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FD" w:rsidRDefault="002D29FC">
      <w:pPr>
        <w:ind w:right="-11"/>
        <w:rPr>
          <w:rFonts w:ascii="Times New Roman"/>
          <w:sz w:val="20"/>
        </w:rPr>
      </w:pPr>
      <w:bookmarkStart w:id="0" w:name="_GoBack"/>
      <w:bookmarkEnd w:id="0"/>
      <w:r>
        <w:rPr>
          <w:rFonts w:ascii="Times New Roman"/>
          <w:noProof/>
          <w:sz w:val="20"/>
          <w:lang w:val="en-GB" w:eastAsia="en-GB"/>
        </w:rPr>
        <w:drawing>
          <wp:inline distT="0" distB="0" distL="0" distR="0">
            <wp:extent cx="7537608" cy="10666666"/>
            <wp:effectExtent l="0" t="0" r="0" b="0"/>
            <wp:docPr id="3" name="image2.jpeg" descr="Background in shades of blue with stylised pound sterling sign (£)" title="Cove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37608" cy="10666666"/>
                    </a:xfrm>
                    <a:prstGeom prst="rect">
                      <a:avLst/>
                    </a:prstGeom>
                  </pic:spPr>
                </pic:pic>
              </a:graphicData>
            </a:graphic>
          </wp:inline>
        </w:drawing>
      </w:r>
    </w:p>
    <w:p w:rsidR="006A18FD" w:rsidRDefault="006A18FD">
      <w:pPr>
        <w:rPr>
          <w:rFonts w:ascii="Times New Roman"/>
          <w:sz w:val="20"/>
        </w:rPr>
        <w:sectPr w:rsidR="006A18FD">
          <w:pgSz w:w="11900" w:h="16840"/>
          <w:pgMar w:top="0" w:right="0" w:bottom="0" w:left="0" w:header="720" w:footer="72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7"/>
        <w:rPr>
          <w:rFonts w:ascii="Times New Roman"/>
          <w:sz w:val="21"/>
        </w:rPr>
      </w:pPr>
    </w:p>
    <w:p w:rsidR="006A18FD" w:rsidRDefault="002D29FC">
      <w:pPr>
        <w:spacing w:before="101"/>
        <w:ind w:left="112"/>
        <w:rPr>
          <w:rFonts w:ascii="Cambria"/>
          <w:b/>
          <w:sz w:val="36"/>
        </w:rPr>
      </w:pPr>
      <w:r>
        <w:rPr>
          <w:rFonts w:ascii="Cambria"/>
          <w:b/>
          <w:sz w:val="36"/>
        </w:rPr>
        <w:t>Unit Costs of Health and Social Care 2019</w:t>
      </w:r>
    </w:p>
    <w:p w:rsidR="006A18FD" w:rsidRDefault="002D29FC">
      <w:pPr>
        <w:spacing w:before="184"/>
        <w:ind w:left="112"/>
        <w:rPr>
          <w:rFonts w:ascii="Calibri"/>
          <w:b/>
          <w:sz w:val="28"/>
        </w:rPr>
      </w:pPr>
      <w:r>
        <w:rPr>
          <w:rFonts w:ascii="Calibri"/>
          <w:b/>
          <w:sz w:val="28"/>
        </w:rPr>
        <w:t>Compiled by Lesley Curtis and Amanda Burns</w:t>
      </w:r>
    </w:p>
    <w:p w:rsidR="006A18FD" w:rsidRDefault="006A18FD">
      <w:pPr>
        <w:rPr>
          <w:rFonts w:ascii="Calibri"/>
          <w:sz w:val="28"/>
        </w:rPr>
        <w:sectPr w:rsidR="006A18FD">
          <w:pgSz w:w="11910" w:h="16840"/>
          <w:pgMar w:top="1580" w:right="1680" w:bottom="280" w:left="1020" w:header="720" w:footer="720" w:gutter="0"/>
          <w:cols w:space="720"/>
        </w:sectPr>
      </w:pPr>
    </w:p>
    <w:p w:rsidR="006A18FD" w:rsidRDefault="006A18FD">
      <w:pPr>
        <w:spacing w:before="3"/>
        <w:rPr>
          <w:rFonts w:ascii="Calibri"/>
          <w:b/>
          <w:sz w:val="12"/>
        </w:rPr>
      </w:pPr>
    </w:p>
    <w:p w:rsidR="006A18FD" w:rsidRDefault="002D29FC">
      <w:pPr>
        <w:spacing w:before="52" w:line="472" w:lineRule="auto"/>
        <w:ind w:left="100" w:right="7145"/>
        <w:rPr>
          <w:rFonts w:ascii="Calibri" w:hAnsi="Calibri"/>
          <w:sz w:val="24"/>
        </w:rPr>
      </w:pPr>
      <w:r>
        <w:rPr>
          <w:rFonts w:ascii="Calibri" w:hAnsi="Calibri"/>
          <w:sz w:val="24"/>
        </w:rPr>
        <w:t>©University of Kent, 2019 Published by:</w:t>
      </w:r>
    </w:p>
    <w:p w:rsidR="006A18FD" w:rsidRDefault="002D29FC">
      <w:pPr>
        <w:spacing w:line="249" w:lineRule="exact"/>
        <w:ind w:left="100"/>
        <w:rPr>
          <w:rFonts w:ascii="Calibri"/>
          <w:sz w:val="24"/>
        </w:rPr>
      </w:pPr>
      <w:r>
        <w:rPr>
          <w:rFonts w:ascii="Calibri"/>
          <w:sz w:val="24"/>
        </w:rPr>
        <w:t>Personal Social Services Research Unit</w:t>
      </w:r>
    </w:p>
    <w:p w:rsidR="006A18FD" w:rsidRDefault="002D29FC">
      <w:pPr>
        <w:ind w:left="100" w:right="7529"/>
        <w:rPr>
          <w:rFonts w:ascii="Calibri"/>
          <w:sz w:val="24"/>
        </w:rPr>
      </w:pPr>
      <w:r>
        <w:rPr>
          <w:rFonts w:ascii="Calibri"/>
          <w:sz w:val="24"/>
        </w:rPr>
        <w:t>Cornwallis Building The University of Kent Canterbury</w:t>
      </w:r>
    </w:p>
    <w:p w:rsidR="006A18FD" w:rsidRDefault="002D29FC">
      <w:pPr>
        <w:ind w:left="100"/>
        <w:rPr>
          <w:rFonts w:ascii="Calibri"/>
          <w:sz w:val="24"/>
        </w:rPr>
      </w:pPr>
      <w:r>
        <w:rPr>
          <w:rFonts w:ascii="Calibri"/>
          <w:sz w:val="24"/>
        </w:rPr>
        <w:t>Kent CT2 7NF</w:t>
      </w:r>
    </w:p>
    <w:p w:rsidR="006A18FD" w:rsidRDefault="002D29FC">
      <w:pPr>
        <w:ind w:left="100" w:right="7144"/>
        <w:rPr>
          <w:rFonts w:ascii="Calibri"/>
          <w:sz w:val="24"/>
        </w:rPr>
      </w:pPr>
      <w:r>
        <w:rPr>
          <w:rFonts w:ascii="Calibri"/>
          <w:sz w:val="24"/>
        </w:rPr>
        <w:t xml:space="preserve">Telephone: 01227 827773 Email: </w:t>
      </w:r>
      <w:hyperlink r:id="rId8">
        <w:r>
          <w:rPr>
            <w:rFonts w:ascii="Calibri"/>
            <w:sz w:val="24"/>
          </w:rPr>
          <w:t>pssru@kent.ac.uk</w:t>
        </w:r>
      </w:hyperlink>
    </w:p>
    <w:p w:rsidR="006A18FD" w:rsidRDefault="006A18FD">
      <w:pPr>
        <w:spacing w:before="10"/>
        <w:rPr>
          <w:rFonts w:ascii="Calibri"/>
          <w:sz w:val="19"/>
        </w:rPr>
      </w:pPr>
    </w:p>
    <w:p w:rsidR="006A18FD" w:rsidRDefault="002D29FC">
      <w:pPr>
        <w:spacing w:before="1"/>
        <w:ind w:left="100"/>
        <w:rPr>
          <w:rFonts w:ascii="Calibri"/>
          <w:sz w:val="24"/>
        </w:rPr>
      </w:pPr>
      <w:r>
        <w:rPr>
          <w:rFonts w:ascii="Calibri"/>
          <w:sz w:val="24"/>
        </w:rPr>
        <w:t>PSSRU website: http://</w:t>
      </w:r>
      <w:hyperlink r:id="rId9">
        <w:r>
          <w:rPr>
            <w:rFonts w:ascii="Calibri"/>
            <w:sz w:val="24"/>
          </w:rPr>
          <w:t>www.pssru.ac.uk</w:t>
        </w:r>
      </w:hyperlink>
    </w:p>
    <w:p w:rsidR="006A18FD" w:rsidRDefault="006A18FD">
      <w:pPr>
        <w:spacing w:before="2"/>
        <w:rPr>
          <w:rFonts w:ascii="Calibri"/>
          <w:sz w:val="23"/>
        </w:rPr>
      </w:pPr>
    </w:p>
    <w:p w:rsidR="006A18FD" w:rsidRDefault="002D29FC">
      <w:pPr>
        <w:spacing w:line="278" w:lineRule="auto"/>
        <w:ind w:left="100" w:right="405"/>
        <w:rPr>
          <w:rFonts w:ascii="Calibri"/>
          <w:sz w:val="24"/>
        </w:rPr>
      </w:pPr>
      <w:r>
        <w:rPr>
          <w:rFonts w:ascii="Calibri"/>
          <w:sz w:val="24"/>
        </w:rPr>
        <w:t>If you would like additional copies of this report, please contact the PSSRU in Canterbury: email</w:t>
      </w:r>
      <w:hyperlink r:id="rId10">
        <w:r>
          <w:rPr>
            <w:rFonts w:ascii="Calibri"/>
            <w:sz w:val="24"/>
          </w:rPr>
          <w:t xml:space="preserve"> pssru@kent.ac.uk. </w:t>
        </w:r>
      </w:hyperlink>
      <w:r>
        <w:rPr>
          <w:rFonts w:ascii="Calibri"/>
          <w:sz w:val="24"/>
        </w:rPr>
        <w:t xml:space="preserve">Website address: </w:t>
      </w:r>
      <w:hyperlink r:id="rId11">
        <w:r>
          <w:rPr>
            <w:rFonts w:ascii="Calibri"/>
            <w:sz w:val="24"/>
            <w:u w:val="single"/>
          </w:rPr>
          <w:t>http://www.pssru.ac.uk</w:t>
        </w:r>
      </w:hyperlink>
    </w:p>
    <w:p w:rsidR="006A18FD" w:rsidRDefault="006A18FD">
      <w:pPr>
        <w:spacing w:before="5"/>
        <w:rPr>
          <w:rFonts w:ascii="Calibri"/>
          <w:sz w:val="18"/>
        </w:rPr>
      </w:pPr>
    </w:p>
    <w:p w:rsidR="006A18FD" w:rsidRDefault="002D29FC">
      <w:pPr>
        <w:spacing w:before="52" w:line="276" w:lineRule="auto"/>
        <w:ind w:left="100" w:right="101"/>
        <w:rPr>
          <w:rFonts w:ascii="Calibri"/>
          <w:sz w:val="24"/>
        </w:rPr>
      </w:pPr>
      <w:r>
        <w:rPr>
          <w:rFonts w:ascii="Calibri"/>
          <w:sz w:val="24"/>
        </w:rPr>
        <w:t>This report is independent research funded by the National Institute for Health Research (Policy Research Programme, Unit Costs of Health and Social Care, 035/0093). The views expressed in this publication are those of the author(s) and not necessarily those of the NIHR or the Department of Health and Social Care. A small amount of additional resources has also been provided by the Department for Education.</w:t>
      </w: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rPr>
          <w:rFonts w:ascii="Calibri"/>
          <w:sz w:val="24"/>
        </w:rPr>
      </w:pPr>
    </w:p>
    <w:p w:rsidR="006A18FD" w:rsidRDefault="006A18FD">
      <w:pPr>
        <w:spacing w:before="3"/>
        <w:rPr>
          <w:rFonts w:ascii="Calibri"/>
          <w:sz w:val="24"/>
        </w:rPr>
      </w:pPr>
    </w:p>
    <w:p w:rsidR="006A18FD" w:rsidRDefault="002D29FC">
      <w:pPr>
        <w:ind w:left="100"/>
        <w:rPr>
          <w:rFonts w:ascii="Calibri"/>
          <w:sz w:val="24"/>
        </w:rPr>
      </w:pPr>
      <w:r>
        <w:rPr>
          <w:rFonts w:ascii="Calibri"/>
          <w:sz w:val="24"/>
        </w:rPr>
        <w:t>ISSN:1368-230X</w:t>
      </w:r>
    </w:p>
    <w:p w:rsidR="006A18FD" w:rsidRDefault="002D29FC">
      <w:pPr>
        <w:ind w:left="100"/>
        <w:rPr>
          <w:rFonts w:ascii="Calibri"/>
          <w:sz w:val="24"/>
        </w:rPr>
      </w:pPr>
      <w:r>
        <w:rPr>
          <w:rFonts w:ascii="Calibri"/>
          <w:sz w:val="24"/>
        </w:rPr>
        <w:t>ISBN: 978-1-911353-10-2</w:t>
      </w:r>
    </w:p>
    <w:p w:rsidR="006A18FD" w:rsidRDefault="006A18FD">
      <w:pPr>
        <w:rPr>
          <w:rFonts w:ascii="Calibri"/>
          <w:sz w:val="24"/>
        </w:rPr>
        <w:sectPr w:rsidR="006A18FD">
          <w:pgSz w:w="11910" w:h="16840"/>
          <w:pgMar w:top="1580" w:right="1480" w:bottom="280" w:left="620" w:header="720" w:footer="720" w:gutter="0"/>
          <w:cols w:space="720"/>
        </w:sectPr>
      </w:pPr>
    </w:p>
    <w:p w:rsidR="006A18FD" w:rsidRDefault="006A18FD">
      <w:pPr>
        <w:rPr>
          <w:rFonts w:ascii="Calibri"/>
          <w:sz w:val="20"/>
        </w:rPr>
      </w:pPr>
    </w:p>
    <w:p w:rsidR="006A18FD" w:rsidRDefault="002D29FC" w:rsidP="00EE595F">
      <w:pPr>
        <w:pStyle w:val="Heading1"/>
      </w:pPr>
      <w:r>
        <w:t>Contents</w:t>
      </w:r>
    </w:p>
    <w:p w:rsidR="006A18FD" w:rsidRDefault="002D29FC">
      <w:pPr>
        <w:tabs>
          <w:tab w:val="right" w:leader="dot" w:pos="8929"/>
        </w:tabs>
        <w:spacing w:before="119"/>
        <w:ind w:left="140"/>
        <w:rPr>
          <w:rFonts w:ascii="Calibri"/>
          <w:b/>
          <w:sz w:val="24"/>
        </w:rPr>
      </w:pPr>
      <w:r>
        <w:rPr>
          <w:rFonts w:ascii="Calibri"/>
          <w:sz w:val="28"/>
        </w:rPr>
        <w:t>Preface</w:t>
      </w:r>
      <w:r>
        <w:rPr>
          <w:rFonts w:ascii="Calibri"/>
          <w:sz w:val="28"/>
        </w:rPr>
        <w:tab/>
      </w:r>
      <w:r>
        <w:rPr>
          <w:rFonts w:ascii="Calibri"/>
          <w:b/>
          <w:sz w:val="24"/>
        </w:rPr>
        <w:t>1</w:t>
      </w:r>
    </w:p>
    <w:p w:rsidR="006A18FD" w:rsidRDefault="002D29FC">
      <w:pPr>
        <w:spacing w:before="110"/>
        <w:ind w:left="140"/>
        <w:rPr>
          <w:rFonts w:ascii="Calibri"/>
          <w:sz w:val="20"/>
        </w:rPr>
      </w:pPr>
      <w:r>
        <w:rPr>
          <w:rFonts w:ascii="Calibri"/>
          <w:sz w:val="20"/>
        </w:rPr>
        <w:t>Lesley Curtis</w:t>
      </w:r>
    </w:p>
    <w:p w:rsidR="006A18FD" w:rsidRDefault="002D29FC">
      <w:pPr>
        <w:spacing w:before="96"/>
        <w:ind w:left="140"/>
        <w:rPr>
          <w:rFonts w:ascii="Calibri"/>
          <w:b/>
          <w:sz w:val="24"/>
        </w:rPr>
      </w:pPr>
      <w:r>
        <w:rPr>
          <w:rFonts w:ascii="Calibri"/>
          <w:sz w:val="28"/>
        </w:rPr>
        <w:t xml:space="preserve">Guest editorial: transitioning from reference costs to patient-level costing ... </w:t>
      </w:r>
      <w:r>
        <w:rPr>
          <w:rFonts w:ascii="Calibri"/>
          <w:b/>
          <w:sz w:val="24"/>
        </w:rPr>
        <w:t>8</w:t>
      </w:r>
    </w:p>
    <w:p w:rsidR="006A18FD" w:rsidRDefault="002D29FC">
      <w:pPr>
        <w:spacing w:before="110"/>
        <w:ind w:left="140"/>
        <w:rPr>
          <w:rFonts w:ascii="Calibri"/>
          <w:sz w:val="20"/>
        </w:rPr>
      </w:pPr>
      <w:r>
        <w:rPr>
          <w:rFonts w:ascii="Calibri"/>
          <w:sz w:val="20"/>
        </w:rPr>
        <w:t>Candice Goold, Costing Lead, NHS England and NHS Improvement</w:t>
      </w:r>
    </w:p>
    <w:p w:rsidR="006A18FD" w:rsidRDefault="002D29FC">
      <w:pPr>
        <w:tabs>
          <w:tab w:val="left" w:leader="dot" w:pos="8688"/>
        </w:tabs>
        <w:spacing w:before="96"/>
        <w:ind w:left="140"/>
        <w:rPr>
          <w:rFonts w:ascii="Calibri"/>
          <w:b/>
          <w:sz w:val="24"/>
        </w:rPr>
      </w:pPr>
      <w:r>
        <w:rPr>
          <w:rFonts w:ascii="Calibri"/>
          <w:sz w:val="28"/>
        </w:rPr>
        <w:t>Understanding the cost of quality within an online sexual</w:t>
      </w:r>
      <w:r>
        <w:rPr>
          <w:rFonts w:ascii="Calibri"/>
          <w:spacing w:val="-30"/>
          <w:sz w:val="28"/>
        </w:rPr>
        <w:t xml:space="preserve"> </w:t>
      </w:r>
      <w:r>
        <w:rPr>
          <w:rFonts w:ascii="Calibri"/>
          <w:sz w:val="28"/>
        </w:rPr>
        <w:t>health</w:t>
      </w:r>
      <w:r>
        <w:rPr>
          <w:rFonts w:ascii="Calibri"/>
          <w:spacing w:val="-5"/>
          <w:sz w:val="28"/>
        </w:rPr>
        <w:t xml:space="preserve"> </w:t>
      </w:r>
      <w:r>
        <w:rPr>
          <w:rFonts w:ascii="Calibri"/>
          <w:sz w:val="28"/>
        </w:rPr>
        <w:t>service</w:t>
      </w:r>
      <w:r>
        <w:rPr>
          <w:rFonts w:ascii="Calibri"/>
          <w:sz w:val="28"/>
        </w:rPr>
        <w:tab/>
      </w:r>
      <w:r>
        <w:rPr>
          <w:rFonts w:ascii="Calibri"/>
          <w:b/>
          <w:sz w:val="24"/>
        </w:rPr>
        <w:t>13</w:t>
      </w:r>
    </w:p>
    <w:p w:rsidR="006A18FD" w:rsidRDefault="002D29FC">
      <w:pPr>
        <w:spacing w:before="108"/>
        <w:ind w:left="140"/>
        <w:rPr>
          <w:rFonts w:ascii="Calibri"/>
          <w:sz w:val="20"/>
        </w:rPr>
      </w:pPr>
      <w:r>
        <w:rPr>
          <w:rFonts w:ascii="Calibri"/>
          <w:sz w:val="20"/>
        </w:rPr>
        <w:t>James Moore and Paula Baraitser</w:t>
      </w:r>
    </w:p>
    <w:p w:rsidR="006A18FD" w:rsidRDefault="002D29FC">
      <w:pPr>
        <w:tabs>
          <w:tab w:val="left" w:leader="dot" w:pos="8688"/>
        </w:tabs>
        <w:spacing w:before="97"/>
        <w:ind w:left="140"/>
        <w:rPr>
          <w:rFonts w:ascii="Calibri"/>
          <w:b/>
          <w:sz w:val="24"/>
        </w:rPr>
      </w:pPr>
      <w:r>
        <w:rPr>
          <w:rFonts w:ascii="Calibri"/>
          <w:sz w:val="28"/>
        </w:rPr>
        <w:t>The costs of obesity prevention</w:t>
      </w:r>
      <w:r>
        <w:rPr>
          <w:rFonts w:ascii="Calibri"/>
          <w:spacing w:val="-13"/>
          <w:sz w:val="28"/>
        </w:rPr>
        <w:t xml:space="preserve"> </w:t>
      </w:r>
      <w:r>
        <w:rPr>
          <w:rFonts w:ascii="Calibri"/>
          <w:sz w:val="28"/>
        </w:rPr>
        <w:t>and</w:t>
      </w:r>
      <w:r>
        <w:rPr>
          <w:rFonts w:ascii="Calibri"/>
          <w:spacing w:val="-4"/>
          <w:sz w:val="28"/>
        </w:rPr>
        <w:t xml:space="preserve"> </w:t>
      </w:r>
      <w:r>
        <w:rPr>
          <w:rFonts w:ascii="Calibri"/>
          <w:sz w:val="28"/>
        </w:rPr>
        <w:t>treatment</w:t>
      </w:r>
      <w:r>
        <w:rPr>
          <w:rFonts w:ascii="Calibri"/>
          <w:sz w:val="28"/>
        </w:rPr>
        <w:tab/>
      </w:r>
      <w:r>
        <w:rPr>
          <w:rFonts w:ascii="Calibri"/>
          <w:b/>
          <w:sz w:val="24"/>
        </w:rPr>
        <w:t>19</w:t>
      </w:r>
    </w:p>
    <w:p w:rsidR="006A18FD" w:rsidRDefault="002D29FC">
      <w:pPr>
        <w:spacing w:before="111"/>
        <w:ind w:left="140"/>
        <w:rPr>
          <w:rFonts w:ascii="Calibri"/>
          <w:sz w:val="20"/>
        </w:rPr>
      </w:pPr>
      <w:r>
        <w:rPr>
          <w:rFonts w:ascii="Calibri"/>
          <w:sz w:val="20"/>
        </w:rPr>
        <w:t>Emma Frew, Alastair Canaway, Louise Jackson, Peymane Adab, Kate Jolly, Miranda Pallan</w:t>
      </w:r>
    </w:p>
    <w:p w:rsidR="006A18FD" w:rsidRDefault="002D29FC" w:rsidP="008E3FA8">
      <w:pPr>
        <w:numPr>
          <w:ilvl w:val="0"/>
          <w:numId w:val="34"/>
        </w:numPr>
        <w:tabs>
          <w:tab w:val="left" w:pos="325"/>
          <w:tab w:val="left" w:leader="dot" w:pos="8688"/>
        </w:tabs>
        <w:spacing w:before="94"/>
        <w:ind w:hanging="184"/>
        <w:rPr>
          <w:rFonts w:ascii="Calibri"/>
          <w:b/>
          <w:sz w:val="24"/>
        </w:rPr>
      </w:pPr>
      <w:r>
        <w:rPr>
          <w:rFonts w:ascii="Calibri"/>
          <w:b/>
          <w:sz w:val="24"/>
        </w:rPr>
        <w:t>SERVICES</w:t>
      </w:r>
      <w:r>
        <w:rPr>
          <w:rFonts w:ascii="Calibri"/>
          <w:b/>
          <w:sz w:val="24"/>
        </w:rPr>
        <w:tab/>
        <w:t>25</w:t>
      </w:r>
    </w:p>
    <w:p w:rsidR="006A18FD" w:rsidRDefault="002D29FC" w:rsidP="008E3FA8">
      <w:pPr>
        <w:numPr>
          <w:ilvl w:val="1"/>
          <w:numId w:val="34"/>
        </w:numPr>
        <w:tabs>
          <w:tab w:val="left" w:pos="340"/>
          <w:tab w:val="left" w:leader="dot" w:pos="8729"/>
        </w:tabs>
        <w:spacing w:before="167"/>
        <w:ind w:hanging="199"/>
        <w:rPr>
          <w:rFonts w:ascii="Calibri"/>
          <w:sz w:val="20"/>
        </w:rPr>
      </w:pPr>
      <w:r>
        <w:rPr>
          <w:rFonts w:ascii="Calibri"/>
          <w:b/>
          <w:sz w:val="20"/>
        </w:rPr>
        <w:t>Services for</w:t>
      </w:r>
      <w:r>
        <w:rPr>
          <w:rFonts w:ascii="Calibri"/>
          <w:b/>
          <w:spacing w:val="-5"/>
          <w:sz w:val="20"/>
        </w:rPr>
        <w:t xml:space="preserve"> </w:t>
      </w:r>
      <w:r>
        <w:rPr>
          <w:rFonts w:ascii="Calibri"/>
          <w:b/>
          <w:sz w:val="20"/>
        </w:rPr>
        <w:t>older</w:t>
      </w:r>
      <w:r>
        <w:rPr>
          <w:rFonts w:ascii="Calibri"/>
          <w:b/>
          <w:spacing w:val="-3"/>
          <w:sz w:val="20"/>
        </w:rPr>
        <w:t xml:space="preserve"> </w:t>
      </w:r>
      <w:r>
        <w:rPr>
          <w:rFonts w:ascii="Calibri"/>
          <w:b/>
          <w:sz w:val="20"/>
        </w:rPr>
        <w:t>people</w:t>
      </w:r>
      <w:r>
        <w:rPr>
          <w:rFonts w:ascii="Calibri"/>
          <w:b/>
          <w:sz w:val="20"/>
        </w:rPr>
        <w:tab/>
      </w:r>
      <w:r>
        <w:rPr>
          <w:rFonts w:ascii="Calibri"/>
          <w:sz w:val="20"/>
        </w:rPr>
        <w:t>27</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Private sector nursing homes for older people</w:t>
      </w:r>
      <w:r>
        <w:rPr>
          <w:rFonts w:ascii="Calibri"/>
          <w:spacing w:val="-16"/>
          <w:sz w:val="20"/>
        </w:rPr>
        <w:t xml:space="preserve"> </w:t>
      </w:r>
      <w:r>
        <w:rPr>
          <w:rFonts w:ascii="Calibri"/>
          <w:sz w:val="20"/>
        </w:rPr>
        <w:t>(age</w:t>
      </w:r>
      <w:r>
        <w:rPr>
          <w:rFonts w:ascii="Calibri"/>
          <w:spacing w:val="-4"/>
          <w:sz w:val="20"/>
        </w:rPr>
        <w:t xml:space="preserve"> </w:t>
      </w:r>
      <w:r>
        <w:rPr>
          <w:rFonts w:ascii="Calibri"/>
          <w:sz w:val="20"/>
        </w:rPr>
        <w:t>65+)</w:t>
      </w:r>
      <w:r>
        <w:rPr>
          <w:rFonts w:ascii="Calibri"/>
          <w:sz w:val="20"/>
        </w:rPr>
        <w:tab/>
        <w:t>28</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Private sector residential care for older people</w:t>
      </w:r>
      <w:r>
        <w:rPr>
          <w:rFonts w:ascii="Calibri"/>
          <w:spacing w:val="-17"/>
          <w:sz w:val="20"/>
        </w:rPr>
        <w:t xml:space="preserve"> </w:t>
      </w:r>
      <w:r>
        <w:rPr>
          <w:rFonts w:ascii="Calibri"/>
          <w:sz w:val="20"/>
        </w:rPr>
        <w:t>(age</w:t>
      </w:r>
      <w:r>
        <w:rPr>
          <w:rFonts w:ascii="Calibri"/>
          <w:spacing w:val="-4"/>
          <w:sz w:val="20"/>
        </w:rPr>
        <w:t xml:space="preserve"> </w:t>
      </w:r>
      <w:r>
        <w:rPr>
          <w:rFonts w:ascii="Calibri"/>
          <w:sz w:val="20"/>
        </w:rPr>
        <w:t>65+)</w:t>
      </w:r>
      <w:r>
        <w:rPr>
          <w:rFonts w:ascii="Calibri"/>
          <w:sz w:val="20"/>
        </w:rPr>
        <w:tab/>
        <w:t>29</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Local authority own-provision residential care for older people</w:t>
      </w:r>
      <w:r>
        <w:rPr>
          <w:rFonts w:ascii="Calibri"/>
          <w:spacing w:val="-16"/>
          <w:sz w:val="20"/>
        </w:rPr>
        <w:t xml:space="preserve"> </w:t>
      </w:r>
      <w:r>
        <w:rPr>
          <w:rFonts w:ascii="Calibri"/>
          <w:sz w:val="20"/>
        </w:rPr>
        <w:t>(age</w:t>
      </w:r>
      <w:r>
        <w:rPr>
          <w:rFonts w:ascii="Calibri"/>
          <w:spacing w:val="-4"/>
          <w:sz w:val="20"/>
        </w:rPr>
        <w:t xml:space="preserve"> </w:t>
      </w:r>
      <w:r>
        <w:rPr>
          <w:rFonts w:ascii="Calibri"/>
          <w:sz w:val="20"/>
        </w:rPr>
        <w:t>65+)</w:t>
      </w:r>
      <w:r>
        <w:rPr>
          <w:rFonts w:ascii="Calibri"/>
          <w:sz w:val="20"/>
        </w:rPr>
        <w:tab/>
        <w:t>30</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Local authority own-provision day care for older people</w:t>
      </w:r>
      <w:r>
        <w:rPr>
          <w:rFonts w:ascii="Calibri"/>
          <w:spacing w:val="-14"/>
          <w:sz w:val="20"/>
        </w:rPr>
        <w:t xml:space="preserve"> </w:t>
      </w:r>
      <w:r>
        <w:rPr>
          <w:rFonts w:ascii="Calibri"/>
          <w:sz w:val="20"/>
        </w:rPr>
        <w:t>(age</w:t>
      </w:r>
      <w:r>
        <w:rPr>
          <w:rFonts w:ascii="Calibri"/>
          <w:spacing w:val="-4"/>
          <w:sz w:val="20"/>
        </w:rPr>
        <w:t xml:space="preserve"> </w:t>
      </w:r>
      <w:r>
        <w:rPr>
          <w:rFonts w:ascii="Calibri"/>
          <w:sz w:val="20"/>
        </w:rPr>
        <w:t>65+)</w:t>
      </w:r>
      <w:r>
        <w:rPr>
          <w:rFonts w:ascii="Calibri"/>
          <w:sz w:val="20"/>
        </w:rPr>
        <w:tab/>
        <w:t>31</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Dementia</w:t>
      </w:r>
      <w:r>
        <w:rPr>
          <w:rFonts w:ascii="Calibri"/>
          <w:spacing w:val="-3"/>
          <w:sz w:val="20"/>
        </w:rPr>
        <w:t xml:space="preserve"> </w:t>
      </w:r>
      <w:r>
        <w:rPr>
          <w:rFonts w:ascii="Calibri"/>
          <w:sz w:val="20"/>
        </w:rPr>
        <w:t>memory service</w:t>
      </w:r>
      <w:r>
        <w:rPr>
          <w:rFonts w:ascii="Calibri"/>
          <w:sz w:val="20"/>
        </w:rPr>
        <w:tab/>
        <w:t>32</w:t>
      </w:r>
    </w:p>
    <w:p w:rsidR="006A18FD" w:rsidRDefault="002D29FC" w:rsidP="008E3FA8">
      <w:pPr>
        <w:numPr>
          <w:ilvl w:val="2"/>
          <w:numId w:val="34"/>
        </w:numPr>
        <w:tabs>
          <w:tab w:val="left" w:pos="438"/>
          <w:tab w:val="left" w:leader="dot" w:pos="8729"/>
        </w:tabs>
        <w:spacing w:before="157"/>
        <w:ind w:hanging="297"/>
        <w:rPr>
          <w:rFonts w:ascii="Calibri"/>
          <w:sz w:val="20"/>
        </w:rPr>
      </w:pPr>
      <w:r>
        <w:rPr>
          <w:rFonts w:ascii="Calibri"/>
          <w:sz w:val="20"/>
        </w:rPr>
        <w:t>Multi-professional clinical medication reviews in care homes for</w:t>
      </w:r>
      <w:r>
        <w:rPr>
          <w:rFonts w:ascii="Calibri"/>
          <w:spacing w:val="-20"/>
          <w:sz w:val="20"/>
        </w:rPr>
        <w:t xml:space="preserve"> </w:t>
      </w:r>
      <w:r>
        <w:rPr>
          <w:rFonts w:ascii="Calibri"/>
          <w:sz w:val="20"/>
        </w:rPr>
        <w:t>older</w:t>
      </w:r>
      <w:r>
        <w:rPr>
          <w:rFonts w:ascii="Calibri"/>
          <w:spacing w:val="-3"/>
          <w:sz w:val="20"/>
        </w:rPr>
        <w:t xml:space="preserve"> </w:t>
      </w:r>
      <w:r>
        <w:rPr>
          <w:rFonts w:ascii="Calibri"/>
          <w:sz w:val="20"/>
        </w:rPr>
        <w:t>people</w:t>
      </w:r>
      <w:r>
        <w:rPr>
          <w:rFonts w:ascii="Calibri"/>
          <w:sz w:val="20"/>
        </w:rPr>
        <w:tab/>
        <w:t>33</w:t>
      </w:r>
    </w:p>
    <w:p w:rsidR="006A18FD" w:rsidRDefault="002D29FC" w:rsidP="008E3FA8">
      <w:pPr>
        <w:numPr>
          <w:ilvl w:val="1"/>
          <w:numId w:val="34"/>
        </w:numPr>
        <w:tabs>
          <w:tab w:val="left" w:pos="340"/>
          <w:tab w:val="left" w:leader="dot" w:pos="8729"/>
        </w:tabs>
        <w:spacing w:before="154"/>
        <w:ind w:hanging="199"/>
        <w:rPr>
          <w:rFonts w:ascii="Calibri"/>
          <w:sz w:val="20"/>
        </w:rPr>
      </w:pPr>
      <w:r>
        <w:rPr>
          <w:rFonts w:ascii="Calibri"/>
          <w:b/>
          <w:sz w:val="20"/>
        </w:rPr>
        <w:t>Services for people with mental</w:t>
      </w:r>
      <w:r>
        <w:rPr>
          <w:rFonts w:ascii="Calibri"/>
          <w:b/>
          <w:spacing w:val="-12"/>
          <w:sz w:val="20"/>
        </w:rPr>
        <w:t xml:space="preserve"> </w:t>
      </w:r>
      <w:r>
        <w:rPr>
          <w:rFonts w:ascii="Calibri"/>
          <w:b/>
          <w:sz w:val="20"/>
        </w:rPr>
        <w:t>health</w:t>
      </w:r>
      <w:r>
        <w:rPr>
          <w:rFonts w:ascii="Calibri"/>
          <w:b/>
          <w:spacing w:val="-2"/>
          <w:sz w:val="20"/>
        </w:rPr>
        <w:t xml:space="preserve"> </w:t>
      </w:r>
      <w:r>
        <w:rPr>
          <w:rFonts w:ascii="Calibri"/>
          <w:b/>
          <w:sz w:val="20"/>
        </w:rPr>
        <w:t>problems</w:t>
      </w:r>
      <w:r>
        <w:rPr>
          <w:rFonts w:ascii="Calibri"/>
          <w:b/>
          <w:sz w:val="20"/>
        </w:rPr>
        <w:tab/>
      </w:r>
      <w:r>
        <w:rPr>
          <w:rFonts w:ascii="Calibri"/>
          <w:sz w:val="20"/>
        </w:rPr>
        <w:t>35</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NHS reference costs for mental</w:t>
      </w:r>
      <w:r>
        <w:rPr>
          <w:rFonts w:ascii="Calibri"/>
          <w:spacing w:val="-14"/>
          <w:sz w:val="20"/>
        </w:rPr>
        <w:t xml:space="preserve"> </w:t>
      </w:r>
      <w:r>
        <w:rPr>
          <w:rFonts w:ascii="Calibri"/>
          <w:sz w:val="20"/>
        </w:rPr>
        <w:t>health</w:t>
      </w:r>
      <w:r>
        <w:rPr>
          <w:rFonts w:ascii="Calibri"/>
          <w:spacing w:val="-2"/>
          <w:sz w:val="20"/>
        </w:rPr>
        <w:t xml:space="preserve"> </w:t>
      </w:r>
      <w:r>
        <w:rPr>
          <w:rFonts w:ascii="Calibri"/>
          <w:sz w:val="20"/>
        </w:rPr>
        <w:t>services</w:t>
      </w:r>
      <w:r>
        <w:rPr>
          <w:rFonts w:ascii="Calibri"/>
          <w:sz w:val="20"/>
        </w:rPr>
        <w:tab/>
        <w:t>36</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Care homes for adults requiring long term mental</w:t>
      </w:r>
      <w:r>
        <w:rPr>
          <w:rFonts w:ascii="Calibri"/>
          <w:spacing w:val="-18"/>
          <w:sz w:val="20"/>
        </w:rPr>
        <w:t xml:space="preserve"> </w:t>
      </w:r>
      <w:r>
        <w:rPr>
          <w:rFonts w:ascii="Calibri"/>
          <w:sz w:val="20"/>
        </w:rPr>
        <w:t>health</w:t>
      </w:r>
      <w:r>
        <w:rPr>
          <w:rFonts w:ascii="Calibri"/>
          <w:spacing w:val="-2"/>
          <w:sz w:val="20"/>
        </w:rPr>
        <w:t xml:space="preserve"> </w:t>
      </w:r>
      <w:r>
        <w:rPr>
          <w:rFonts w:ascii="Calibri"/>
          <w:sz w:val="20"/>
        </w:rPr>
        <w:t>support</w:t>
      </w:r>
      <w:r>
        <w:rPr>
          <w:rFonts w:ascii="Calibri"/>
          <w:sz w:val="20"/>
        </w:rPr>
        <w:tab/>
        <w:t>37</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Local authority own-provision social services day care for adults requiring mental</w:t>
      </w:r>
      <w:r>
        <w:rPr>
          <w:rFonts w:ascii="Calibri"/>
          <w:spacing w:val="-25"/>
          <w:sz w:val="20"/>
        </w:rPr>
        <w:t xml:space="preserve"> </w:t>
      </w:r>
      <w:r>
        <w:rPr>
          <w:rFonts w:ascii="Calibri"/>
          <w:sz w:val="20"/>
        </w:rPr>
        <w:t>health</w:t>
      </w:r>
      <w:r>
        <w:rPr>
          <w:rFonts w:ascii="Calibri"/>
          <w:spacing w:val="-2"/>
          <w:sz w:val="20"/>
        </w:rPr>
        <w:t xml:space="preserve"> </w:t>
      </w:r>
      <w:r>
        <w:rPr>
          <w:rFonts w:ascii="Calibri"/>
          <w:sz w:val="20"/>
        </w:rPr>
        <w:t>support</w:t>
      </w:r>
      <w:r>
        <w:rPr>
          <w:rFonts w:ascii="Calibri"/>
          <w:sz w:val="20"/>
        </w:rPr>
        <w:tab/>
        <w:t>38</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Private and voluntary sector day care for adults requiring mental</w:t>
      </w:r>
      <w:r>
        <w:rPr>
          <w:rFonts w:ascii="Calibri"/>
          <w:spacing w:val="-25"/>
          <w:sz w:val="20"/>
        </w:rPr>
        <w:t xml:space="preserve"> </w:t>
      </w:r>
      <w:r>
        <w:rPr>
          <w:rFonts w:ascii="Calibri"/>
          <w:sz w:val="20"/>
        </w:rPr>
        <w:t>health</w:t>
      </w:r>
      <w:r>
        <w:rPr>
          <w:rFonts w:ascii="Calibri"/>
          <w:spacing w:val="-3"/>
          <w:sz w:val="20"/>
        </w:rPr>
        <w:t xml:space="preserve"> </w:t>
      </w:r>
      <w:r>
        <w:rPr>
          <w:rFonts w:ascii="Calibri"/>
          <w:sz w:val="20"/>
        </w:rPr>
        <w:t>support</w:t>
      </w:r>
      <w:r>
        <w:rPr>
          <w:rFonts w:ascii="Calibri"/>
          <w:sz w:val="20"/>
        </w:rPr>
        <w:tab/>
        <w:t>39</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Behavioural activation delivered by</w:t>
      </w:r>
      <w:r>
        <w:rPr>
          <w:rFonts w:ascii="Calibri"/>
          <w:spacing w:val="-10"/>
          <w:sz w:val="20"/>
        </w:rPr>
        <w:t xml:space="preserve"> </w:t>
      </w:r>
      <w:r>
        <w:rPr>
          <w:rFonts w:ascii="Calibri"/>
          <w:sz w:val="20"/>
        </w:rPr>
        <w:t>a</w:t>
      </w:r>
      <w:r>
        <w:rPr>
          <w:rFonts w:ascii="Calibri"/>
          <w:spacing w:val="-3"/>
          <w:sz w:val="20"/>
        </w:rPr>
        <w:t xml:space="preserve"> </w:t>
      </w:r>
      <w:r>
        <w:rPr>
          <w:rFonts w:ascii="Calibri"/>
          <w:sz w:val="20"/>
        </w:rPr>
        <w:t>non-specialist</w:t>
      </w:r>
      <w:r>
        <w:rPr>
          <w:rFonts w:ascii="Calibri"/>
          <w:sz w:val="20"/>
        </w:rPr>
        <w:tab/>
        <w:t>40</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Deprivation of liberty safeguards</w:t>
      </w:r>
      <w:r>
        <w:rPr>
          <w:rFonts w:ascii="Calibri"/>
          <w:spacing w:val="-10"/>
          <w:sz w:val="20"/>
        </w:rPr>
        <w:t xml:space="preserve"> </w:t>
      </w:r>
      <w:r>
        <w:rPr>
          <w:rFonts w:ascii="Calibri"/>
          <w:sz w:val="20"/>
        </w:rPr>
        <w:t>in</w:t>
      </w:r>
      <w:r>
        <w:rPr>
          <w:rFonts w:ascii="Calibri"/>
          <w:spacing w:val="-2"/>
          <w:sz w:val="20"/>
        </w:rPr>
        <w:t xml:space="preserve"> </w:t>
      </w:r>
      <w:r>
        <w:rPr>
          <w:rFonts w:ascii="Calibri"/>
          <w:sz w:val="20"/>
        </w:rPr>
        <w:t>England</w:t>
      </w:r>
      <w:r>
        <w:rPr>
          <w:rFonts w:ascii="Calibri"/>
          <w:sz w:val="20"/>
        </w:rPr>
        <w:tab/>
        <w:t>41</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Interventions for mental health promotion and mental</w:t>
      </w:r>
      <w:r>
        <w:rPr>
          <w:rFonts w:ascii="Calibri"/>
          <w:spacing w:val="-14"/>
          <w:sz w:val="20"/>
        </w:rPr>
        <w:t xml:space="preserve"> </w:t>
      </w:r>
      <w:r>
        <w:rPr>
          <w:rFonts w:ascii="Calibri"/>
          <w:sz w:val="20"/>
        </w:rPr>
        <w:t>illness</w:t>
      </w:r>
      <w:r>
        <w:rPr>
          <w:rFonts w:ascii="Calibri"/>
          <w:spacing w:val="-5"/>
          <w:sz w:val="20"/>
        </w:rPr>
        <w:t xml:space="preserve"> </w:t>
      </w:r>
      <w:r>
        <w:rPr>
          <w:rFonts w:ascii="Calibri"/>
          <w:sz w:val="20"/>
        </w:rPr>
        <w:t>prevention</w:t>
      </w:r>
      <w:r>
        <w:rPr>
          <w:rFonts w:ascii="Calibri"/>
          <w:sz w:val="20"/>
        </w:rPr>
        <w:tab/>
        <w:t>42</w:t>
      </w:r>
    </w:p>
    <w:p w:rsidR="006A18FD" w:rsidRDefault="002D29FC" w:rsidP="008E3FA8">
      <w:pPr>
        <w:numPr>
          <w:ilvl w:val="2"/>
          <w:numId w:val="34"/>
        </w:numPr>
        <w:tabs>
          <w:tab w:val="left" w:pos="438"/>
          <w:tab w:val="left" w:leader="dot" w:pos="8729"/>
        </w:tabs>
        <w:spacing w:before="157"/>
        <w:ind w:hanging="297"/>
        <w:rPr>
          <w:rFonts w:ascii="Calibri"/>
          <w:sz w:val="20"/>
        </w:rPr>
      </w:pPr>
      <w:r>
        <w:rPr>
          <w:rFonts w:ascii="Calibri"/>
          <w:sz w:val="20"/>
        </w:rPr>
        <w:t>Lifetime costs of</w:t>
      </w:r>
      <w:r>
        <w:rPr>
          <w:rFonts w:ascii="Calibri"/>
          <w:spacing w:val="-11"/>
          <w:sz w:val="20"/>
        </w:rPr>
        <w:t xml:space="preserve"> </w:t>
      </w:r>
      <w:r>
        <w:rPr>
          <w:rFonts w:ascii="Calibri"/>
          <w:sz w:val="20"/>
        </w:rPr>
        <w:t>perinatal</w:t>
      </w:r>
      <w:r>
        <w:rPr>
          <w:rFonts w:ascii="Calibri"/>
          <w:spacing w:val="-1"/>
          <w:sz w:val="20"/>
        </w:rPr>
        <w:t xml:space="preserve"> </w:t>
      </w:r>
      <w:r>
        <w:rPr>
          <w:rFonts w:ascii="Calibri"/>
          <w:sz w:val="20"/>
        </w:rPr>
        <w:t>depression</w:t>
      </w:r>
      <w:r>
        <w:rPr>
          <w:rFonts w:ascii="Calibri"/>
          <w:sz w:val="20"/>
        </w:rPr>
        <w:tab/>
        <w:t>46</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Lifetime costs of</w:t>
      </w:r>
      <w:r>
        <w:rPr>
          <w:rFonts w:ascii="Calibri"/>
          <w:spacing w:val="-10"/>
          <w:sz w:val="20"/>
        </w:rPr>
        <w:t xml:space="preserve"> </w:t>
      </w:r>
      <w:r>
        <w:rPr>
          <w:rFonts w:ascii="Calibri"/>
          <w:sz w:val="20"/>
        </w:rPr>
        <w:t>perinatal anxiety</w:t>
      </w:r>
      <w:r>
        <w:rPr>
          <w:rFonts w:ascii="Calibri"/>
          <w:sz w:val="20"/>
        </w:rPr>
        <w:tab/>
        <w:t>47</w:t>
      </w:r>
    </w:p>
    <w:p w:rsidR="006A18FD" w:rsidRDefault="002D29FC" w:rsidP="008E3FA8">
      <w:pPr>
        <w:numPr>
          <w:ilvl w:val="1"/>
          <w:numId w:val="34"/>
        </w:numPr>
        <w:tabs>
          <w:tab w:val="left" w:pos="340"/>
          <w:tab w:val="left" w:leader="dot" w:pos="8729"/>
        </w:tabs>
        <w:spacing w:before="156"/>
        <w:ind w:hanging="199"/>
        <w:rPr>
          <w:rFonts w:ascii="Calibri"/>
          <w:sz w:val="20"/>
        </w:rPr>
      </w:pPr>
      <w:r>
        <w:rPr>
          <w:rFonts w:ascii="Calibri"/>
          <w:b/>
          <w:sz w:val="20"/>
        </w:rPr>
        <w:t>Services for adults who misuse drugs</w:t>
      </w:r>
      <w:r>
        <w:rPr>
          <w:rFonts w:ascii="Calibri"/>
          <w:b/>
          <w:spacing w:val="-12"/>
          <w:sz w:val="20"/>
        </w:rPr>
        <w:t xml:space="preserve"> </w:t>
      </w:r>
      <w:r>
        <w:rPr>
          <w:rFonts w:ascii="Calibri"/>
          <w:b/>
          <w:sz w:val="20"/>
        </w:rPr>
        <w:t>or</w:t>
      </w:r>
      <w:r>
        <w:rPr>
          <w:rFonts w:ascii="Calibri"/>
          <w:b/>
          <w:spacing w:val="-2"/>
          <w:sz w:val="20"/>
        </w:rPr>
        <w:t xml:space="preserve"> </w:t>
      </w:r>
      <w:r>
        <w:rPr>
          <w:rFonts w:ascii="Calibri"/>
          <w:b/>
          <w:sz w:val="20"/>
        </w:rPr>
        <w:t>alcohol</w:t>
      </w:r>
      <w:r>
        <w:rPr>
          <w:rFonts w:ascii="Calibri"/>
          <w:b/>
          <w:sz w:val="20"/>
        </w:rPr>
        <w:tab/>
      </w:r>
      <w:r>
        <w:rPr>
          <w:rFonts w:ascii="Calibri"/>
          <w:sz w:val="20"/>
        </w:rPr>
        <w:t>49</w:t>
      </w:r>
    </w:p>
    <w:p w:rsidR="006A18FD" w:rsidRDefault="002D29FC" w:rsidP="008E3FA8">
      <w:pPr>
        <w:numPr>
          <w:ilvl w:val="2"/>
          <w:numId w:val="34"/>
        </w:numPr>
        <w:tabs>
          <w:tab w:val="left" w:pos="438"/>
          <w:tab w:val="left" w:leader="dot" w:pos="8729"/>
        </w:tabs>
        <w:spacing w:before="156"/>
        <w:ind w:hanging="297"/>
        <w:rPr>
          <w:rFonts w:ascii="Calibri" w:hAnsi="Calibri"/>
          <w:sz w:val="20"/>
        </w:rPr>
      </w:pPr>
      <w:r>
        <w:rPr>
          <w:rFonts w:ascii="Calibri" w:hAnsi="Calibri"/>
          <w:sz w:val="20"/>
        </w:rPr>
        <w:t>NHS reference costs – misuse of drugs</w:t>
      </w:r>
      <w:r>
        <w:rPr>
          <w:rFonts w:ascii="Calibri" w:hAnsi="Calibri"/>
          <w:spacing w:val="-15"/>
          <w:sz w:val="20"/>
        </w:rPr>
        <w:t xml:space="preserve"> </w:t>
      </w:r>
      <w:r>
        <w:rPr>
          <w:rFonts w:ascii="Calibri" w:hAnsi="Calibri"/>
          <w:sz w:val="20"/>
        </w:rPr>
        <w:t>or</w:t>
      </w:r>
      <w:r>
        <w:rPr>
          <w:rFonts w:ascii="Calibri" w:hAnsi="Calibri"/>
          <w:spacing w:val="-2"/>
          <w:sz w:val="20"/>
        </w:rPr>
        <w:t xml:space="preserve"> </w:t>
      </w:r>
      <w:r>
        <w:rPr>
          <w:rFonts w:ascii="Calibri" w:hAnsi="Calibri"/>
          <w:sz w:val="20"/>
        </w:rPr>
        <w:t>alcohol</w:t>
      </w:r>
      <w:r>
        <w:rPr>
          <w:rFonts w:ascii="Calibri" w:hAnsi="Calibri"/>
          <w:sz w:val="20"/>
        </w:rPr>
        <w:tab/>
        <w:t>50</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Alcohol health worker/Alcohol liaison nurse/Substance</w:t>
      </w:r>
      <w:r>
        <w:rPr>
          <w:rFonts w:ascii="Calibri"/>
          <w:spacing w:val="-14"/>
          <w:sz w:val="20"/>
        </w:rPr>
        <w:t xml:space="preserve"> </w:t>
      </w:r>
      <w:r>
        <w:rPr>
          <w:rFonts w:ascii="Calibri"/>
          <w:sz w:val="20"/>
        </w:rPr>
        <w:t>misuse</w:t>
      </w:r>
      <w:r>
        <w:rPr>
          <w:rFonts w:ascii="Calibri"/>
          <w:spacing w:val="-4"/>
          <w:sz w:val="20"/>
        </w:rPr>
        <w:t xml:space="preserve"> </w:t>
      </w:r>
      <w:r>
        <w:rPr>
          <w:rFonts w:ascii="Calibri"/>
          <w:sz w:val="20"/>
        </w:rPr>
        <w:t>nurse</w:t>
      </w:r>
      <w:r>
        <w:rPr>
          <w:rFonts w:ascii="Calibri"/>
          <w:sz w:val="20"/>
        </w:rPr>
        <w:tab/>
        <w:t>51</w:t>
      </w:r>
    </w:p>
    <w:p w:rsidR="006A18FD" w:rsidRDefault="002D29FC" w:rsidP="008E3FA8">
      <w:pPr>
        <w:numPr>
          <w:ilvl w:val="1"/>
          <w:numId w:val="34"/>
        </w:numPr>
        <w:tabs>
          <w:tab w:val="left" w:pos="340"/>
          <w:tab w:val="left" w:leader="dot" w:pos="8729"/>
        </w:tabs>
        <w:spacing w:before="156"/>
        <w:ind w:hanging="199"/>
        <w:rPr>
          <w:rFonts w:ascii="Calibri"/>
          <w:sz w:val="20"/>
        </w:rPr>
      </w:pPr>
      <w:r>
        <w:rPr>
          <w:rFonts w:ascii="Calibri"/>
          <w:b/>
          <w:sz w:val="20"/>
        </w:rPr>
        <w:t>Services for adults requiring learning</w:t>
      </w:r>
      <w:r>
        <w:rPr>
          <w:rFonts w:ascii="Calibri"/>
          <w:b/>
          <w:spacing w:val="-17"/>
          <w:sz w:val="20"/>
        </w:rPr>
        <w:t xml:space="preserve"> </w:t>
      </w:r>
      <w:r>
        <w:rPr>
          <w:rFonts w:ascii="Calibri"/>
          <w:b/>
          <w:sz w:val="20"/>
        </w:rPr>
        <w:t>disability</w:t>
      </w:r>
      <w:r>
        <w:rPr>
          <w:rFonts w:ascii="Calibri"/>
          <w:b/>
          <w:spacing w:val="-4"/>
          <w:sz w:val="20"/>
        </w:rPr>
        <w:t xml:space="preserve"> </w:t>
      </w:r>
      <w:r>
        <w:rPr>
          <w:rFonts w:ascii="Calibri"/>
          <w:b/>
          <w:sz w:val="20"/>
        </w:rPr>
        <w:t>support</w:t>
      </w:r>
      <w:r>
        <w:rPr>
          <w:rFonts w:ascii="Calibri"/>
          <w:b/>
          <w:sz w:val="20"/>
        </w:rPr>
        <w:tab/>
      </w:r>
      <w:r>
        <w:rPr>
          <w:rFonts w:ascii="Calibri"/>
          <w:sz w:val="20"/>
        </w:rPr>
        <w:t>53</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Local authority own-provision day care for adults requiring learning</w:t>
      </w:r>
      <w:r>
        <w:rPr>
          <w:rFonts w:ascii="Calibri"/>
          <w:spacing w:val="-22"/>
          <w:sz w:val="20"/>
        </w:rPr>
        <w:t xml:space="preserve"> </w:t>
      </w:r>
      <w:r>
        <w:rPr>
          <w:rFonts w:ascii="Calibri"/>
          <w:sz w:val="20"/>
        </w:rPr>
        <w:t>disability</w:t>
      </w:r>
      <w:r>
        <w:rPr>
          <w:rFonts w:ascii="Calibri"/>
          <w:spacing w:val="-2"/>
          <w:sz w:val="20"/>
        </w:rPr>
        <w:t xml:space="preserve"> </w:t>
      </w:r>
      <w:r>
        <w:rPr>
          <w:rFonts w:ascii="Calibri"/>
          <w:sz w:val="20"/>
        </w:rPr>
        <w:t>support</w:t>
      </w:r>
      <w:r>
        <w:rPr>
          <w:rFonts w:ascii="Calibri"/>
          <w:sz w:val="20"/>
        </w:rPr>
        <w:tab/>
        <w:t>54</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Advocacy for parents requiring learning</w:t>
      </w:r>
      <w:r>
        <w:rPr>
          <w:rFonts w:ascii="Calibri"/>
          <w:spacing w:val="-13"/>
          <w:sz w:val="20"/>
        </w:rPr>
        <w:t xml:space="preserve"> </w:t>
      </w:r>
      <w:r>
        <w:rPr>
          <w:rFonts w:ascii="Calibri"/>
          <w:sz w:val="20"/>
        </w:rPr>
        <w:t>disability</w:t>
      </w:r>
      <w:r>
        <w:rPr>
          <w:rFonts w:ascii="Calibri"/>
          <w:spacing w:val="-1"/>
          <w:sz w:val="20"/>
        </w:rPr>
        <w:t xml:space="preserve"> </w:t>
      </w:r>
      <w:r>
        <w:rPr>
          <w:rFonts w:ascii="Calibri"/>
          <w:sz w:val="20"/>
        </w:rPr>
        <w:t>support</w:t>
      </w:r>
      <w:r>
        <w:rPr>
          <w:rFonts w:ascii="Calibri"/>
          <w:sz w:val="20"/>
        </w:rPr>
        <w:tab/>
        <w:t>55</w:t>
      </w:r>
    </w:p>
    <w:p w:rsidR="006A18FD" w:rsidRDefault="002D29FC" w:rsidP="008E3FA8">
      <w:pPr>
        <w:numPr>
          <w:ilvl w:val="2"/>
          <w:numId w:val="34"/>
        </w:numPr>
        <w:tabs>
          <w:tab w:val="left" w:pos="438"/>
          <w:tab w:val="left" w:leader="dot" w:pos="8729"/>
        </w:tabs>
        <w:spacing w:before="156"/>
        <w:ind w:hanging="297"/>
        <w:rPr>
          <w:rFonts w:ascii="Calibri"/>
          <w:sz w:val="20"/>
        </w:rPr>
      </w:pPr>
      <w:r>
        <w:rPr>
          <w:rFonts w:ascii="Calibri"/>
          <w:sz w:val="20"/>
        </w:rPr>
        <w:t>Residential</w:t>
      </w:r>
      <w:r>
        <w:rPr>
          <w:rFonts w:ascii="Calibri"/>
          <w:spacing w:val="-2"/>
          <w:sz w:val="20"/>
        </w:rPr>
        <w:t xml:space="preserve"> </w:t>
      </w:r>
      <w:r>
        <w:rPr>
          <w:rFonts w:ascii="Calibri"/>
          <w:sz w:val="20"/>
        </w:rPr>
        <w:t>care</w:t>
      </w:r>
      <w:r>
        <w:rPr>
          <w:rFonts w:ascii="Calibri"/>
          <w:spacing w:val="-3"/>
          <w:sz w:val="20"/>
        </w:rPr>
        <w:t xml:space="preserve"> </w:t>
      </w:r>
      <w:r>
        <w:rPr>
          <w:rFonts w:ascii="Calibri"/>
          <w:sz w:val="20"/>
        </w:rPr>
        <w:t>homes</w:t>
      </w:r>
      <w:r>
        <w:rPr>
          <w:rFonts w:ascii="Calibri"/>
          <w:sz w:val="20"/>
        </w:rPr>
        <w:tab/>
        <w:t>56</w:t>
      </w:r>
    </w:p>
    <w:p w:rsidR="006A18FD" w:rsidRDefault="006A18FD">
      <w:pPr>
        <w:rPr>
          <w:rFonts w:ascii="Calibri"/>
          <w:sz w:val="20"/>
        </w:rPr>
        <w:sectPr w:rsidR="006A18FD">
          <w:headerReference w:type="even" r:id="rId12"/>
          <w:headerReference w:type="default" r:id="rId13"/>
          <w:pgSz w:w="11910" w:h="16840"/>
          <w:pgMar w:top="1000" w:right="1300" w:bottom="280" w:left="1300" w:header="751" w:footer="0" w:gutter="0"/>
          <w:pgNumType w:start="1"/>
          <w:cols w:space="720"/>
        </w:sectPr>
      </w:pPr>
    </w:p>
    <w:p w:rsidR="006A18FD" w:rsidRDefault="006A18FD">
      <w:pPr>
        <w:rPr>
          <w:rFonts w:ascii="Calibri"/>
          <w:sz w:val="20"/>
        </w:rPr>
      </w:pPr>
    </w:p>
    <w:p w:rsidR="006A18FD" w:rsidRDefault="006A18FD">
      <w:pPr>
        <w:rPr>
          <w:rFonts w:ascii="Calibri"/>
          <w:sz w:val="20"/>
        </w:rPr>
        <w:sectPr w:rsidR="006A18FD">
          <w:pgSz w:w="11910" w:h="16840"/>
          <w:pgMar w:top="1000" w:right="1300" w:bottom="1505" w:left="1300" w:header="751" w:footer="0" w:gutter="0"/>
          <w:cols w:space="720"/>
        </w:sectPr>
      </w:pPr>
    </w:p>
    <w:sdt>
      <w:sdtPr>
        <w:id w:val="1631598979"/>
        <w:docPartObj>
          <w:docPartGallery w:val="Table of Contents"/>
          <w:docPartUnique/>
        </w:docPartObj>
      </w:sdtPr>
      <w:sdtEndPr/>
      <w:sdtContent>
        <w:p w:rsidR="006A18FD" w:rsidRDefault="002D29FC" w:rsidP="008E3FA8">
          <w:pPr>
            <w:numPr>
              <w:ilvl w:val="2"/>
              <w:numId w:val="34"/>
            </w:numPr>
            <w:tabs>
              <w:tab w:val="left" w:pos="438"/>
              <w:tab w:val="right" w:leader="dot" w:pos="8930"/>
            </w:tabs>
            <w:spacing w:before="192"/>
            <w:ind w:hanging="297"/>
            <w:rPr>
              <w:rFonts w:ascii="Calibri"/>
              <w:sz w:val="20"/>
            </w:rPr>
          </w:pPr>
          <w:r>
            <w:rPr>
              <w:rFonts w:ascii="Calibri"/>
              <w:sz w:val="20"/>
            </w:rPr>
            <w:t>Care homes for adults with autism and</w:t>
          </w:r>
          <w:r>
            <w:rPr>
              <w:rFonts w:ascii="Calibri"/>
              <w:spacing w:val="-4"/>
              <w:sz w:val="20"/>
            </w:rPr>
            <w:t xml:space="preserve"> </w:t>
          </w:r>
          <w:r>
            <w:rPr>
              <w:rFonts w:ascii="Calibri"/>
              <w:sz w:val="20"/>
            </w:rPr>
            <w:t>complex</w:t>
          </w:r>
          <w:r>
            <w:rPr>
              <w:rFonts w:ascii="Calibri"/>
              <w:spacing w:val="-1"/>
              <w:sz w:val="20"/>
            </w:rPr>
            <w:t xml:space="preserve"> </w:t>
          </w:r>
          <w:r>
            <w:rPr>
              <w:rFonts w:ascii="Calibri"/>
              <w:sz w:val="20"/>
            </w:rPr>
            <w:t>needs</w:t>
          </w:r>
          <w:r>
            <w:rPr>
              <w:rFonts w:ascii="Calibri"/>
              <w:sz w:val="20"/>
            </w:rPr>
            <w:tab/>
            <w:t>59</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Positive behavioural support for adults with intellectual disabilities and behaviour</w:t>
          </w:r>
          <w:r>
            <w:rPr>
              <w:rFonts w:ascii="Calibri"/>
              <w:spacing w:val="-21"/>
              <w:sz w:val="20"/>
            </w:rPr>
            <w:t xml:space="preserve"> </w:t>
          </w:r>
          <w:r>
            <w:rPr>
              <w:rFonts w:ascii="Calibri"/>
              <w:sz w:val="20"/>
            </w:rPr>
            <w:t>that</w:t>
          </w:r>
          <w:r>
            <w:rPr>
              <w:rFonts w:ascii="Calibri"/>
              <w:spacing w:val="-2"/>
              <w:sz w:val="20"/>
            </w:rPr>
            <w:t xml:space="preserve"> </w:t>
          </w:r>
          <w:r>
            <w:rPr>
              <w:rFonts w:ascii="Calibri"/>
              <w:sz w:val="20"/>
            </w:rPr>
            <w:t>challenges</w:t>
          </w:r>
          <w:r>
            <w:rPr>
              <w:rFonts w:ascii="Calibri"/>
              <w:sz w:val="20"/>
            </w:rPr>
            <w:tab/>
            <w:t>60</w:t>
          </w:r>
        </w:p>
        <w:p w:rsidR="006A18FD" w:rsidRDefault="002D29FC" w:rsidP="008E3FA8">
          <w:pPr>
            <w:numPr>
              <w:ilvl w:val="1"/>
              <w:numId w:val="34"/>
            </w:numPr>
            <w:tabs>
              <w:tab w:val="left" w:pos="340"/>
              <w:tab w:val="right" w:leader="dot" w:pos="8930"/>
            </w:tabs>
            <w:spacing w:before="156"/>
            <w:ind w:hanging="199"/>
            <w:rPr>
              <w:rFonts w:ascii="Calibri"/>
              <w:sz w:val="20"/>
            </w:rPr>
          </w:pPr>
          <w:r>
            <w:rPr>
              <w:rFonts w:ascii="Calibri"/>
              <w:b/>
              <w:sz w:val="20"/>
            </w:rPr>
            <w:t>Services for adults requiring</w:t>
          </w:r>
          <w:r>
            <w:rPr>
              <w:rFonts w:ascii="Calibri"/>
              <w:b/>
              <w:spacing w:val="-3"/>
              <w:sz w:val="20"/>
            </w:rPr>
            <w:t xml:space="preserve"> </w:t>
          </w:r>
          <w:r>
            <w:rPr>
              <w:rFonts w:ascii="Calibri"/>
              <w:b/>
              <w:sz w:val="20"/>
            </w:rPr>
            <w:t>physical support</w:t>
          </w:r>
          <w:r>
            <w:rPr>
              <w:rFonts w:ascii="Calibri"/>
              <w:b/>
              <w:sz w:val="20"/>
            </w:rPr>
            <w:tab/>
          </w:r>
          <w:r>
            <w:rPr>
              <w:rFonts w:ascii="Calibri"/>
              <w:sz w:val="20"/>
            </w:rPr>
            <w:t>63</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Local authority own-provision care homes for adults requiring</w:t>
          </w:r>
          <w:r>
            <w:rPr>
              <w:rFonts w:ascii="Calibri"/>
              <w:spacing w:val="-8"/>
              <w:sz w:val="20"/>
            </w:rPr>
            <w:t xml:space="preserve"> </w:t>
          </w:r>
          <w:r>
            <w:rPr>
              <w:rFonts w:ascii="Calibri"/>
              <w:sz w:val="20"/>
            </w:rPr>
            <w:t>physical</w:t>
          </w:r>
          <w:r>
            <w:rPr>
              <w:rFonts w:ascii="Calibri"/>
              <w:spacing w:val="-1"/>
              <w:sz w:val="20"/>
            </w:rPr>
            <w:t xml:space="preserve"> </w:t>
          </w:r>
          <w:r>
            <w:rPr>
              <w:rFonts w:ascii="Calibri"/>
              <w:sz w:val="20"/>
            </w:rPr>
            <w:t>support</w:t>
          </w:r>
          <w:r>
            <w:rPr>
              <w:rFonts w:ascii="Calibri"/>
              <w:sz w:val="20"/>
            </w:rPr>
            <w:tab/>
            <w:t>64</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Voluntary and private sector residential care homes for adults requiring</w:t>
          </w:r>
          <w:r>
            <w:rPr>
              <w:rFonts w:ascii="Calibri"/>
              <w:spacing w:val="-14"/>
              <w:sz w:val="20"/>
            </w:rPr>
            <w:t xml:space="preserve"> </w:t>
          </w:r>
          <w:r>
            <w:rPr>
              <w:rFonts w:ascii="Calibri"/>
              <w:sz w:val="20"/>
            </w:rPr>
            <w:t>physical</w:t>
          </w:r>
          <w:r>
            <w:rPr>
              <w:rFonts w:ascii="Calibri"/>
              <w:spacing w:val="-2"/>
              <w:sz w:val="20"/>
            </w:rPr>
            <w:t xml:space="preserve"> </w:t>
          </w:r>
          <w:r>
            <w:rPr>
              <w:rFonts w:ascii="Calibri"/>
              <w:sz w:val="20"/>
            </w:rPr>
            <w:t>support</w:t>
          </w:r>
          <w:r>
            <w:rPr>
              <w:rFonts w:ascii="Calibri"/>
              <w:sz w:val="20"/>
            </w:rPr>
            <w:tab/>
            <w:t>65</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Day care for adults requiring</w:t>
          </w:r>
          <w:r>
            <w:rPr>
              <w:rFonts w:ascii="Calibri"/>
              <w:spacing w:val="-4"/>
              <w:sz w:val="20"/>
            </w:rPr>
            <w:t xml:space="preserve"> </w:t>
          </w:r>
          <w:r>
            <w:rPr>
              <w:rFonts w:ascii="Calibri"/>
              <w:sz w:val="20"/>
            </w:rPr>
            <w:t>physical</w:t>
          </w:r>
          <w:r>
            <w:rPr>
              <w:rFonts w:ascii="Calibri"/>
              <w:spacing w:val="-1"/>
              <w:sz w:val="20"/>
            </w:rPr>
            <w:t xml:space="preserve"> </w:t>
          </w:r>
          <w:r>
            <w:rPr>
              <w:rFonts w:ascii="Calibri"/>
              <w:sz w:val="20"/>
            </w:rPr>
            <w:t>support</w:t>
          </w:r>
          <w:r>
            <w:rPr>
              <w:rFonts w:ascii="Calibri"/>
              <w:sz w:val="20"/>
            </w:rPr>
            <w:tab/>
            <w:t>66</w:t>
          </w:r>
        </w:p>
        <w:p w:rsidR="006A18FD" w:rsidRDefault="002D29FC" w:rsidP="008E3FA8">
          <w:pPr>
            <w:numPr>
              <w:ilvl w:val="1"/>
              <w:numId w:val="34"/>
            </w:numPr>
            <w:tabs>
              <w:tab w:val="left" w:pos="340"/>
              <w:tab w:val="right" w:leader="dot" w:pos="8930"/>
            </w:tabs>
            <w:spacing w:before="156"/>
            <w:ind w:hanging="199"/>
            <w:rPr>
              <w:rFonts w:ascii="Calibri"/>
              <w:sz w:val="20"/>
            </w:rPr>
          </w:pPr>
          <w:r>
            <w:rPr>
              <w:rFonts w:ascii="Calibri"/>
              <w:b/>
              <w:sz w:val="20"/>
            </w:rPr>
            <w:t>Services for children and</w:t>
          </w:r>
          <w:r>
            <w:rPr>
              <w:rFonts w:ascii="Calibri"/>
              <w:b/>
              <w:spacing w:val="-1"/>
              <w:sz w:val="20"/>
            </w:rPr>
            <w:t xml:space="preserve"> </w:t>
          </w:r>
          <w:r>
            <w:rPr>
              <w:rFonts w:ascii="Calibri"/>
              <w:b/>
              <w:sz w:val="20"/>
            </w:rPr>
            <w:t>their</w:t>
          </w:r>
          <w:r>
            <w:rPr>
              <w:rFonts w:ascii="Calibri"/>
              <w:b/>
              <w:spacing w:val="-1"/>
              <w:sz w:val="20"/>
            </w:rPr>
            <w:t xml:space="preserve"> </w:t>
          </w:r>
          <w:r>
            <w:rPr>
              <w:rFonts w:ascii="Calibri"/>
              <w:b/>
              <w:sz w:val="20"/>
            </w:rPr>
            <w:t>families</w:t>
          </w:r>
          <w:r>
            <w:rPr>
              <w:rFonts w:ascii="Calibri"/>
              <w:b/>
              <w:sz w:val="20"/>
            </w:rPr>
            <w:tab/>
          </w:r>
          <w:r>
            <w:rPr>
              <w:rFonts w:ascii="Calibri"/>
              <w:sz w:val="20"/>
            </w:rPr>
            <w:t>67</w:t>
          </w:r>
        </w:p>
        <w:p w:rsidR="006A18FD" w:rsidRDefault="002D29FC" w:rsidP="008E3FA8">
          <w:pPr>
            <w:numPr>
              <w:ilvl w:val="2"/>
              <w:numId w:val="34"/>
            </w:numPr>
            <w:tabs>
              <w:tab w:val="left" w:pos="438"/>
              <w:tab w:val="right" w:leader="dot" w:pos="8930"/>
            </w:tabs>
            <w:spacing w:before="156"/>
            <w:ind w:hanging="297"/>
            <w:rPr>
              <w:rFonts w:ascii="Calibri" w:hAnsi="Calibri"/>
              <w:sz w:val="20"/>
            </w:rPr>
          </w:pPr>
          <w:r>
            <w:rPr>
              <w:rFonts w:ascii="Calibri" w:hAnsi="Calibri"/>
              <w:sz w:val="20"/>
            </w:rPr>
            <w:t>NHS reference costs for children’s</w:t>
          </w:r>
          <w:r>
            <w:rPr>
              <w:rFonts w:ascii="Calibri" w:hAnsi="Calibri"/>
              <w:spacing w:val="-7"/>
              <w:sz w:val="20"/>
            </w:rPr>
            <w:t xml:space="preserve"> </w:t>
          </w:r>
          <w:r>
            <w:rPr>
              <w:rFonts w:ascii="Calibri" w:hAnsi="Calibri"/>
              <w:sz w:val="20"/>
            </w:rPr>
            <w:t>health</w:t>
          </w:r>
          <w:r>
            <w:rPr>
              <w:rFonts w:ascii="Calibri" w:hAnsi="Calibri"/>
              <w:spacing w:val="-1"/>
              <w:sz w:val="20"/>
            </w:rPr>
            <w:t xml:space="preserve"> </w:t>
          </w:r>
          <w:r>
            <w:rPr>
              <w:rFonts w:ascii="Calibri" w:hAnsi="Calibri"/>
              <w:sz w:val="20"/>
            </w:rPr>
            <w:t>services</w:t>
          </w:r>
          <w:r>
            <w:rPr>
              <w:rFonts w:ascii="Calibri" w:hAnsi="Calibri"/>
              <w:sz w:val="20"/>
            </w:rPr>
            <w:tab/>
            <w:t>68</w:t>
          </w:r>
        </w:p>
        <w:p w:rsidR="006A18FD" w:rsidRDefault="002D29FC" w:rsidP="008E3FA8">
          <w:pPr>
            <w:numPr>
              <w:ilvl w:val="2"/>
              <w:numId w:val="34"/>
            </w:numPr>
            <w:tabs>
              <w:tab w:val="left" w:pos="438"/>
              <w:tab w:val="right" w:leader="dot" w:pos="8930"/>
            </w:tabs>
            <w:spacing w:before="156"/>
            <w:ind w:hanging="297"/>
            <w:rPr>
              <w:rFonts w:ascii="Calibri" w:hAnsi="Calibri"/>
              <w:sz w:val="20"/>
            </w:rPr>
          </w:pPr>
          <w:r>
            <w:rPr>
              <w:rFonts w:ascii="Calibri" w:hAnsi="Calibri"/>
              <w:sz w:val="20"/>
            </w:rPr>
            <w:t>Department for Education’s Social Care</w:t>
          </w:r>
          <w:r>
            <w:rPr>
              <w:rFonts w:ascii="Calibri" w:hAnsi="Calibri"/>
              <w:spacing w:val="-6"/>
              <w:sz w:val="20"/>
            </w:rPr>
            <w:t xml:space="preserve"> </w:t>
          </w:r>
          <w:r>
            <w:rPr>
              <w:rFonts w:ascii="Calibri" w:hAnsi="Calibri"/>
              <w:sz w:val="20"/>
            </w:rPr>
            <w:t>Innovation Programme</w:t>
          </w:r>
          <w:r>
            <w:rPr>
              <w:rFonts w:ascii="Calibri" w:hAnsi="Calibri"/>
              <w:sz w:val="20"/>
            </w:rPr>
            <w:tab/>
            <w:t>69</w:t>
          </w:r>
        </w:p>
        <w:p w:rsidR="006A18FD" w:rsidRDefault="002D29FC" w:rsidP="008E3FA8">
          <w:pPr>
            <w:numPr>
              <w:ilvl w:val="2"/>
              <w:numId w:val="34"/>
            </w:numPr>
            <w:tabs>
              <w:tab w:val="left" w:pos="438"/>
              <w:tab w:val="right" w:leader="dot" w:pos="8930"/>
            </w:tabs>
            <w:spacing w:before="157"/>
            <w:ind w:hanging="297"/>
            <w:rPr>
              <w:rFonts w:ascii="Calibri" w:hAnsi="Calibri"/>
              <w:sz w:val="20"/>
            </w:rPr>
          </w:pPr>
          <w:r>
            <w:rPr>
              <w:rFonts w:ascii="Calibri" w:hAnsi="Calibri"/>
              <w:sz w:val="20"/>
            </w:rPr>
            <w:t>Care homes for children – local</w:t>
          </w:r>
          <w:r>
            <w:rPr>
              <w:rFonts w:ascii="Calibri" w:hAnsi="Calibri"/>
              <w:spacing w:val="1"/>
              <w:sz w:val="20"/>
            </w:rPr>
            <w:t xml:space="preserve"> </w:t>
          </w:r>
          <w:r>
            <w:rPr>
              <w:rFonts w:ascii="Calibri" w:hAnsi="Calibri"/>
              <w:sz w:val="20"/>
            </w:rPr>
            <w:t>authority</w:t>
          </w:r>
          <w:r>
            <w:rPr>
              <w:rFonts w:ascii="Calibri" w:hAnsi="Calibri"/>
              <w:spacing w:val="-1"/>
              <w:sz w:val="20"/>
            </w:rPr>
            <w:t xml:space="preserve"> </w:t>
          </w:r>
          <w:r>
            <w:rPr>
              <w:rFonts w:ascii="Calibri" w:hAnsi="Calibri"/>
              <w:sz w:val="20"/>
            </w:rPr>
            <w:t>provision</w:t>
          </w:r>
          <w:r>
            <w:rPr>
              <w:rFonts w:ascii="Calibri" w:hAnsi="Calibri"/>
              <w:sz w:val="20"/>
            </w:rPr>
            <w:tab/>
            <w:t>71</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Voluntary and private sector care homes</w:t>
          </w:r>
          <w:r>
            <w:rPr>
              <w:rFonts w:ascii="Calibri"/>
              <w:spacing w:val="-4"/>
              <w:sz w:val="20"/>
            </w:rPr>
            <w:t xml:space="preserve"> </w:t>
          </w:r>
          <w:r>
            <w:rPr>
              <w:rFonts w:ascii="Calibri"/>
              <w:sz w:val="20"/>
            </w:rPr>
            <w:t>for</w:t>
          </w:r>
          <w:r>
            <w:rPr>
              <w:rFonts w:ascii="Calibri"/>
              <w:spacing w:val="-1"/>
              <w:sz w:val="20"/>
            </w:rPr>
            <w:t xml:space="preserve"> </w:t>
          </w:r>
          <w:r>
            <w:rPr>
              <w:rFonts w:ascii="Calibri"/>
              <w:sz w:val="20"/>
            </w:rPr>
            <w:t>children</w:t>
          </w:r>
          <w:r>
            <w:rPr>
              <w:rFonts w:ascii="Calibri"/>
              <w:sz w:val="20"/>
            </w:rPr>
            <w:tab/>
            <w:t>72</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Foster care</w:t>
          </w:r>
          <w:r>
            <w:rPr>
              <w:rFonts w:ascii="Calibri"/>
              <w:spacing w:val="-2"/>
              <w:sz w:val="20"/>
            </w:rPr>
            <w:t xml:space="preserve"> </w:t>
          </w:r>
          <w:r>
            <w:rPr>
              <w:rFonts w:ascii="Calibri"/>
              <w:sz w:val="20"/>
            </w:rPr>
            <w:t>for children</w:t>
          </w:r>
          <w:r>
            <w:rPr>
              <w:rFonts w:ascii="Calibri"/>
              <w:sz w:val="20"/>
            </w:rPr>
            <w:tab/>
            <w:t>73</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Adoption</w:t>
          </w:r>
          <w:r>
            <w:rPr>
              <w:rFonts w:ascii="Calibri"/>
              <w:sz w:val="20"/>
            </w:rPr>
            <w:tab/>
            <w:t>74</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Parent training interventions for parents of disabled children with sleep or</w:t>
          </w:r>
          <w:r>
            <w:rPr>
              <w:rFonts w:ascii="Calibri"/>
              <w:spacing w:val="-24"/>
              <w:sz w:val="20"/>
            </w:rPr>
            <w:t xml:space="preserve"> </w:t>
          </w:r>
          <w:r>
            <w:rPr>
              <w:rFonts w:ascii="Calibri"/>
              <w:sz w:val="20"/>
            </w:rPr>
            <w:t>behavioural</w:t>
          </w:r>
          <w:r>
            <w:rPr>
              <w:rFonts w:ascii="Calibri"/>
              <w:spacing w:val="-2"/>
              <w:sz w:val="20"/>
            </w:rPr>
            <w:t xml:space="preserve"> </w:t>
          </w:r>
          <w:r>
            <w:rPr>
              <w:rFonts w:ascii="Calibri"/>
              <w:sz w:val="20"/>
            </w:rPr>
            <w:t>problems</w:t>
          </w:r>
          <w:r>
            <w:rPr>
              <w:rFonts w:ascii="Calibri"/>
              <w:sz w:val="20"/>
            </w:rPr>
            <w:tab/>
            <w:t>77</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Early Years Teacher Classroom</w:t>
          </w:r>
          <w:r>
            <w:rPr>
              <w:rFonts w:ascii="Calibri"/>
              <w:spacing w:val="-2"/>
              <w:sz w:val="20"/>
            </w:rPr>
            <w:t xml:space="preserve"> </w:t>
          </w:r>
          <w:r>
            <w:rPr>
              <w:rFonts w:ascii="Calibri"/>
              <w:sz w:val="20"/>
            </w:rPr>
            <w:t>Management</w:t>
          </w:r>
          <w:r>
            <w:rPr>
              <w:rFonts w:ascii="Calibri"/>
              <w:spacing w:val="-1"/>
              <w:sz w:val="20"/>
            </w:rPr>
            <w:t xml:space="preserve"> </w:t>
          </w:r>
          <w:r>
            <w:rPr>
              <w:rFonts w:ascii="Calibri"/>
              <w:sz w:val="20"/>
            </w:rPr>
            <w:t>Programme</w:t>
          </w:r>
          <w:r>
            <w:rPr>
              <w:rFonts w:ascii="Calibri"/>
              <w:sz w:val="20"/>
            </w:rPr>
            <w:tab/>
            <w:t>78</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Advocacy for children with</w:t>
          </w:r>
          <w:r>
            <w:rPr>
              <w:rFonts w:ascii="Calibri"/>
              <w:spacing w:val="-1"/>
              <w:sz w:val="20"/>
            </w:rPr>
            <w:t xml:space="preserve"> </w:t>
          </w:r>
          <w:r>
            <w:rPr>
              <w:rFonts w:ascii="Calibri"/>
              <w:sz w:val="20"/>
            </w:rPr>
            <w:t>additional/multiple</w:t>
          </w:r>
          <w:r>
            <w:rPr>
              <w:rFonts w:ascii="Calibri"/>
              <w:spacing w:val="-3"/>
              <w:sz w:val="20"/>
            </w:rPr>
            <w:t xml:space="preserve"> </w:t>
          </w:r>
          <w:r>
            <w:rPr>
              <w:rFonts w:ascii="Calibri"/>
              <w:sz w:val="20"/>
            </w:rPr>
            <w:t>needs</w:t>
          </w:r>
          <w:r>
            <w:rPr>
              <w:rFonts w:ascii="Calibri"/>
              <w:sz w:val="20"/>
            </w:rPr>
            <w:tab/>
            <w:t>79</w:t>
          </w:r>
        </w:p>
        <w:p w:rsidR="006A18FD" w:rsidRDefault="002D29FC" w:rsidP="008E3FA8">
          <w:pPr>
            <w:numPr>
              <w:ilvl w:val="2"/>
              <w:numId w:val="34"/>
            </w:numPr>
            <w:tabs>
              <w:tab w:val="left" w:pos="539"/>
              <w:tab w:val="right" w:leader="dot" w:pos="8930"/>
            </w:tabs>
            <w:spacing w:before="157"/>
            <w:ind w:left="538" w:hanging="398"/>
            <w:rPr>
              <w:rFonts w:ascii="Calibri"/>
              <w:sz w:val="20"/>
            </w:rPr>
          </w:pPr>
          <w:r>
            <w:rPr>
              <w:rFonts w:ascii="Calibri"/>
              <w:sz w:val="20"/>
            </w:rPr>
            <w:t>Counselling for children with mental or</w:t>
          </w:r>
          <w:r>
            <w:rPr>
              <w:rFonts w:ascii="Calibri"/>
              <w:spacing w:val="-4"/>
              <w:sz w:val="20"/>
            </w:rPr>
            <w:t xml:space="preserve"> </w:t>
          </w:r>
          <w:r>
            <w:rPr>
              <w:rFonts w:ascii="Calibri"/>
              <w:sz w:val="20"/>
            </w:rPr>
            <w:t>emotional</w:t>
          </w:r>
          <w:r>
            <w:rPr>
              <w:rFonts w:ascii="Calibri"/>
              <w:spacing w:val="-1"/>
              <w:sz w:val="20"/>
            </w:rPr>
            <w:t xml:space="preserve"> </w:t>
          </w:r>
          <w:r>
            <w:rPr>
              <w:rFonts w:ascii="Calibri"/>
              <w:sz w:val="20"/>
            </w:rPr>
            <w:t>difficulties</w:t>
          </w:r>
          <w:r>
            <w:rPr>
              <w:rFonts w:ascii="Calibri"/>
              <w:sz w:val="20"/>
            </w:rPr>
            <w:tab/>
            <w:t>80</w:t>
          </w:r>
        </w:p>
        <w:p w:rsidR="006A18FD" w:rsidRDefault="002D29FC" w:rsidP="008E3FA8">
          <w:pPr>
            <w:numPr>
              <w:ilvl w:val="1"/>
              <w:numId w:val="34"/>
            </w:numPr>
            <w:tabs>
              <w:tab w:val="left" w:pos="340"/>
              <w:tab w:val="right" w:leader="dot" w:pos="8930"/>
            </w:tabs>
            <w:spacing w:before="157"/>
            <w:ind w:hanging="199"/>
            <w:rPr>
              <w:rFonts w:ascii="Calibri"/>
              <w:sz w:val="20"/>
            </w:rPr>
          </w:pPr>
          <w:r>
            <w:rPr>
              <w:rFonts w:ascii="Calibri"/>
              <w:b/>
              <w:sz w:val="20"/>
            </w:rPr>
            <w:t>Hospital and</w:t>
          </w:r>
          <w:r>
            <w:rPr>
              <w:rFonts w:ascii="Calibri"/>
              <w:b/>
              <w:spacing w:val="-3"/>
              <w:sz w:val="20"/>
            </w:rPr>
            <w:t xml:space="preserve"> </w:t>
          </w:r>
          <w:r>
            <w:rPr>
              <w:rFonts w:ascii="Calibri"/>
              <w:b/>
              <w:sz w:val="20"/>
            </w:rPr>
            <w:t>related</w:t>
          </w:r>
          <w:r>
            <w:rPr>
              <w:rFonts w:ascii="Calibri"/>
              <w:b/>
              <w:spacing w:val="-1"/>
              <w:sz w:val="20"/>
            </w:rPr>
            <w:t xml:space="preserve"> </w:t>
          </w:r>
          <w:r>
            <w:rPr>
              <w:rFonts w:ascii="Calibri"/>
              <w:b/>
              <w:sz w:val="20"/>
            </w:rPr>
            <w:t>services</w:t>
          </w:r>
          <w:r>
            <w:rPr>
              <w:rFonts w:ascii="Calibri"/>
              <w:b/>
              <w:sz w:val="20"/>
            </w:rPr>
            <w:tab/>
          </w:r>
          <w:r>
            <w:rPr>
              <w:rFonts w:ascii="Calibri"/>
              <w:sz w:val="20"/>
            </w:rPr>
            <w:t>81</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NHS reference costs for</w:t>
          </w:r>
          <w:r>
            <w:rPr>
              <w:rFonts w:ascii="Calibri"/>
              <w:spacing w:val="-5"/>
              <w:sz w:val="20"/>
            </w:rPr>
            <w:t xml:space="preserve"> </w:t>
          </w:r>
          <w:r>
            <w:rPr>
              <w:rFonts w:ascii="Calibri"/>
              <w:sz w:val="20"/>
            </w:rPr>
            <w:t>hospital</w:t>
          </w:r>
          <w:r>
            <w:rPr>
              <w:rFonts w:ascii="Calibri"/>
              <w:spacing w:val="-1"/>
              <w:sz w:val="20"/>
            </w:rPr>
            <w:t xml:space="preserve"> </w:t>
          </w:r>
          <w:r>
            <w:rPr>
              <w:rFonts w:ascii="Calibri"/>
              <w:sz w:val="20"/>
            </w:rPr>
            <w:t>services</w:t>
          </w:r>
          <w:r>
            <w:rPr>
              <w:rFonts w:ascii="Calibri"/>
              <w:sz w:val="20"/>
            </w:rPr>
            <w:tab/>
            <w:t>82</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NHS</w:t>
          </w:r>
          <w:r>
            <w:rPr>
              <w:rFonts w:ascii="Calibri"/>
              <w:spacing w:val="-2"/>
              <w:sz w:val="20"/>
            </w:rPr>
            <w:t xml:space="preserve"> </w:t>
          </w:r>
          <w:r>
            <w:rPr>
              <w:rFonts w:ascii="Calibri"/>
              <w:sz w:val="20"/>
            </w:rPr>
            <w:t>wheelchairs</w:t>
          </w:r>
          <w:r>
            <w:rPr>
              <w:rFonts w:ascii="Calibri"/>
              <w:sz w:val="20"/>
            </w:rPr>
            <w:tab/>
            <w:t>83</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Equipment</w:t>
          </w:r>
          <w:r>
            <w:rPr>
              <w:rFonts w:ascii="Calibri"/>
              <w:spacing w:val="-1"/>
              <w:sz w:val="20"/>
            </w:rPr>
            <w:t xml:space="preserve"> </w:t>
          </w:r>
          <w:r>
            <w:rPr>
              <w:rFonts w:ascii="Calibri"/>
              <w:sz w:val="20"/>
            </w:rPr>
            <w:t>and adaptations</w:t>
          </w:r>
          <w:r>
            <w:rPr>
              <w:rFonts w:ascii="Calibri"/>
              <w:sz w:val="20"/>
            </w:rPr>
            <w:tab/>
            <w:t>84</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Public</w:t>
          </w:r>
          <w:r>
            <w:rPr>
              <w:rFonts w:ascii="Calibri"/>
              <w:spacing w:val="-2"/>
              <w:sz w:val="20"/>
            </w:rPr>
            <w:t xml:space="preserve"> </w:t>
          </w:r>
          <w:r>
            <w:rPr>
              <w:rFonts w:ascii="Calibri"/>
              <w:sz w:val="20"/>
            </w:rPr>
            <w:t>health</w:t>
          </w:r>
          <w:r>
            <w:rPr>
              <w:rFonts w:ascii="Calibri"/>
              <w:spacing w:val="-1"/>
              <w:sz w:val="20"/>
            </w:rPr>
            <w:t xml:space="preserve"> </w:t>
          </w:r>
          <w:r>
            <w:rPr>
              <w:rFonts w:ascii="Calibri"/>
              <w:sz w:val="20"/>
            </w:rPr>
            <w:t>interventions</w:t>
          </w:r>
          <w:r>
            <w:rPr>
              <w:rFonts w:ascii="Calibri"/>
              <w:sz w:val="20"/>
            </w:rPr>
            <w:tab/>
            <w:t>86</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Self-management</w:t>
          </w:r>
          <w:r>
            <w:rPr>
              <w:rFonts w:ascii="Calibri"/>
              <w:spacing w:val="-1"/>
              <w:sz w:val="20"/>
            </w:rPr>
            <w:t xml:space="preserve"> </w:t>
          </w:r>
          <w:r>
            <w:rPr>
              <w:rFonts w:ascii="Calibri"/>
              <w:sz w:val="20"/>
            </w:rPr>
            <w:t>programmes</w:t>
          </w:r>
          <w:r>
            <w:rPr>
              <w:rFonts w:ascii="Calibri"/>
              <w:sz w:val="20"/>
            </w:rPr>
            <w:tab/>
            <w:t>88</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Hospice Rapid Response</w:t>
          </w:r>
          <w:r>
            <w:rPr>
              <w:rFonts w:ascii="Calibri"/>
              <w:spacing w:val="-2"/>
              <w:sz w:val="20"/>
            </w:rPr>
            <w:t xml:space="preserve"> </w:t>
          </w:r>
          <w:r>
            <w:rPr>
              <w:rFonts w:ascii="Calibri"/>
              <w:sz w:val="20"/>
            </w:rPr>
            <w:t>Service</w:t>
          </w:r>
          <w:r>
            <w:rPr>
              <w:rFonts w:ascii="Calibri"/>
              <w:sz w:val="20"/>
            </w:rPr>
            <w:tab/>
            <w:t>89</w:t>
          </w:r>
        </w:p>
        <w:p w:rsidR="006A18FD" w:rsidRDefault="002D29FC" w:rsidP="008E3FA8">
          <w:pPr>
            <w:numPr>
              <w:ilvl w:val="2"/>
              <w:numId w:val="34"/>
            </w:numPr>
            <w:tabs>
              <w:tab w:val="left" w:pos="438"/>
              <w:tab w:val="right" w:leader="dot" w:pos="8930"/>
            </w:tabs>
            <w:spacing w:before="156"/>
            <w:ind w:hanging="297"/>
            <w:rPr>
              <w:rFonts w:ascii="Calibri"/>
              <w:sz w:val="20"/>
            </w:rPr>
          </w:pPr>
          <w:r>
            <w:rPr>
              <w:rFonts w:ascii="Calibri"/>
              <w:sz w:val="20"/>
            </w:rPr>
            <w:t>Specialist</w:t>
          </w:r>
          <w:r>
            <w:rPr>
              <w:rFonts w:ascii="Calibri"/>
              <w:spacing w:val="-1"/>
              <w:sz w:val="20"/>
            </w:rPr>
            <w:t xml:space="preserve"> </w:t>
          </w:r>
          <w:r>
            <w:rPr>
              <w:rFonts w:ascii="Calibri"/>
              <w:sz w:val="20"/>
            </w:rPr>
            <w:t>neuro-rehabilitation</w:t>
          </w:r>
          <w:r>
            <w:rPr>
              <w:rFonts w:ascii="Calibri"/>
              <w:spacing w:val="-1"/>
              <w:sz w:val="20"/>
            </w:rPr>
            <w:t xml:space="preserve"> </w:t>
          </w:r>
          <w:r>
            <w:rPr>
              <w:rFonts w:ascii="Calibri"/>
              <w:sz w:val="20"/>
            </w:rPr>
            <w:t>services</w:t>
          </w:r>
          <w:r>
            <w:rPr>
              <w:rFonts w:ascii="Calibri"/>
              <w:sz w:val="20"/>
            </w:rPr>
            <w:tab/>
            <w:t>90</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NHS reference costs for sexual</w:t>
          </w:r>
          <w:r>
            <w:rPr>
              <w:rFonts w:ascii="Calibri"/>
              <w:spacing w:val="-5"/>
              <w:sz w:val="20"/>
            </w:rPr>
            <w:t xml:space="preserve"> </w:t>
          </w:r>
          <w:r>
            <w:rPr>
              <w:rFonts w:ascii="Calibri"/>
              <w:sz w:val="20"/>
            </w:rPr>
            <w:t>health</w:t>
          </w:r>
          <w:r>
            <w:rPr>
              <w:rFonts w:ascii="Calibri"/>
              <w:spacing w:val="-1"/>
              <w:sz w:val="20"/>
            </w:rPr>
            <w:t xml:space="preserve"> </w:t>
          </w:r>
          <w:r>
            <w:rPr>
              <w:rFonts w:ascii="Calibri"/>
              <w:sz w:val="20"/>
            </w:rPr>
            <w:t>services</w:t>
          </w:r>
          <w:r>
            <w:rPr>
              <w:rFonts w:ascii="Calibri"/>
              <w:sz w:val="20"/>
            </w:rPr>
            <w:tab/>
            <w:t>91</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Screening interventions for sexually transmitted infection</w:t>
          </w:r>
          <w:r>
            <w:rPr>
              <w:rFonts w:ascii="Calibri"/>
              <w:spacing w:val="-1"/>
              <w:sz w:val="20"/>
            </w:rPr>
            <w:t xml:space="preserve"> </w:t>
          </w:r>
          <w:r>
            <w:rPr>
              <w:rFonts w:ascii="Calibri"/>
              <w:sz w:val="20"/>
            </w:rPr>
            <w:t>(STI)</w:t>
          </w:r>
          <w:r>
            <w:rPr>
              <w:rFonts w:ascii="Calibri"/>
              <w:sz w:val="20"/>
            </w:rPr>
            <w:tab/>
            <w:t>92</w:t>
          </w:r>
        </w:p>
        <w:p w:rsidR="006A18FD" w:rsidRDefault="002D29FC" w:rsidP="008E3FA8">
          <w:pPr>
            <w:numPr>
              <w:ilvl w:val="2"/>
              <w:numId w:val="34"/>
            </w:numPr>
            <w:tabs>
              <w:tab w:val="left" w:pos="539"/>
              <w:tab w:val="right" w:leader="dot" w:pos="8930"/>
            </w:tabs>
            <w:spacing w:before="157"/>
            <w:ind w:left="538" w:hanging="398"/>
            <w:rPr>
              <w:rFonts w:ascii="Calibri"/>
              <w:sz w:val="20"/>
            </w:rPr>
          </w:pPr>
          <w:r>
            <w:rPr>
              <w:rFonts w:ascii="Calibri"/>
              <w:sz w:val="20"/>
            </w:rPr>
            <w:t>Abortion</w:t>
          </w:r>
          <w:r>
            <w:rPr>
              <w:rFonts w:ascii="Calibri"/>
              <w:spacing w:val="-1"/>
              <w:sz w:val="20"/>
            </w:rPr>
            <w:t xml:space="preserve"> </w:t>
          </w:r>
          <w:r>
            <w:rPr>
              <w:rFonts w:ascii="Calibri"/>
              <w:sz w:val="20"/>
            </w:rPr>
            <w:t>reference</w:t>
          </w:r>
          <w:r>
            <w:rPr>
              <w:rFonts w:ascii="Calibri"/>
              <w:spacing w:val="-2"/>
              <w:sz w:val="20"/>
            </w:rPr>
            <w:t xml:space="preserve"> </w:t>
          </w:r>
          <w:r>
            <w:rPr>
              <w:rFonts w:ascii="Calibri"/>
              <w:sz w:val="20"/>
            </w:rPr>
            <w:t>costs</w:t>
          </w:r>
          <w:r>
            <w:rPr>
              <w:rFonts w:ascii="Calibri"/>
              <w:sz w:val="20"/>
            </w:rPr>
            <w:tab/>
            <w:t>93</w:t>
          </w:r>
        </w:p>
        <w:p w:rsidR="006A18FD" w:rsidRDefault="002D29FC" w:rsidP="008E3FA8">
          <w:pPr>
            <w:numPr>
              <w:ilvl w:val="2"/>
              <w:numId w:val="34"/>
            </w:numPr>
            <w:tabs>
              <w:tab w:val="left" w:pos="539"/>
              <w:tab w:val="right" w:leader="dot" w:pos="8930"/>
            </w:tabs>
            <w:spacing w:before="157"/>
            <w:ind w:left="538" w:hanging="398"/>
            <w:rPr>
              <w:rFonts w:ascii="Calibri"/>
              <w:sz w:val="20"/>
            </w:rPr>
          </w:pPr>
          <w:r>
            <w:rPr>
              <w:rFonts w:ascii="Calibri"/>
              <w:sz w:val="20"/>
            </w:rPr>
            <w:t>Cost of private</w:t>
          </w:r>
          <w:r>
            <w:rPr>
              <w:rFonts w:ascii="Calibri"/>
              <w:spacing w:val="-4"/>
              <w:sz w:val="20"/>
            </w:rPr>
            <w:t xml:space="preserve"> </w:t>
          </w:r>
          <w:r>
            <w:rPr>
              <w:rFonts w:ascii="Calibri"/>
              <w:sz w:val="20"/>
            </w:rPr>
            <w:t>abortion</w:t>
          </w:r>
          <w:r>
            <w:rPr>
              <w:rFonts w:ascii="Calibri"/>
              <w:spacing w:val="-1"/>
              <w:sz w:val="20"/>
            </w:rPr>
            <w:t xml:space="preserve"> </w:t>
          </w:r>
          <w:r>
            <w:rPr>
              <w:rFonts w:ascii="Calibri"/>
              <w:sz w:val="20"/>
            </w:rPr>
            <w:t>treatment</w:t>
          </w:r>
          <w:r>
            <w:rPr>
              <w:rFonts w:ascii="Calibri"/>
              <w:sz w:val="20"/>
            </w:rPr>
            <w:tab/>
            <w:t>94</w:t>
          </w:r>
        </w:p>
        <w:p w:rsidR="006A18FD" w:rsidRDefault="002D29FC" w:rsidP="008E3FA8">
          <w:pPr>
            <w:numPr>
              <w:ilvl w:val="1"/>
              <w:numId w:val="34"/>
            </w:numPr>
            <w:tabs>
              <w:tab w:val="left" w:pos="340"/>
              <w:tab w:val="right" w:leader="dot" w:pos="8930"/>
            </w:tabs>
            <w:spacing w:before="157"/>
            <w:ind w:hanging="199"/>
            <w:rPr>
              <w:rFonts w:ascii="Calibri"/>
              <w:sz w:val="20"/>
            </w:rPr>
          </w:pPr>
          <w:r>
            <w:rPr>
              <w:rFonts w:ascii="Calibri"/>
              <w:b/>
              <w:sz w:val="20"/>
            </w:rPr>
            <w:t>Care</w:t>
          </w:r>
          <w:r>
            <w:rPr>
              <w:rFonts w:ascii="Calibri"/>
              <w:b/>
              <w:spacing w:val="-1"/>
              <w:sz w:val="20"/>
            </w:rPr>
            <w:t xml:space="preserve"> </w:t>
          </w:r>
          <w:r>
            <w:rPr>
              <w:rFonts w:ascii="Calibri"/>
              <w:b/>
              <w:sz w:val="20"/>
            </w:rPr>
            <w:t>packages</w:t>
          </w:r>
          <w:r>
            <w:rPr>
              <w:rFonts w:ascii="Calibri"/>
              <w:b/>
              <w:sz w:val="20"/>
            </w:rPr>
            <w:tab/>
          </w:r>
          <w:r>
            <w:rPr>
              <w:rFonts w:ascii="Calibri"/>
              <w:sz w:val="20"/>
            </w:rPr>
            <w:t>95</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Services for children returning home</w:t>
          </w:r>
          <w:r>
            <w:rPr>
              <w:rFonts w:ascii="Calibri"/>
              <w:spacing w:val="-2"/>
              <w:sz w:val="20"/>
            </w:rPr>
            <w:t xml:space="preserve"> </w:t>
          </w:r>
          <w:r>
            <w:rPr>
              <w:rFonts w:ascii="Calibri"/>
              <w:sz w:val="20"/>
            </w:rPr>
            <w:t>from</w:t>
          </w:r>
          <w:r>
            <w:rPr>
              <w:rFonts w:ascii="Calibri"/>
              <w:spacing w:val="-2"/>
              <w:sz w:val="20"/>
            </w:rPr>
            <w:t xml:space="preserve"> </w:t>
          </w:r>
          <w:r>
            <w:rPr>
              <w:rFonts w:ascii="Calibri"/>
              <w:sz w:val="20"/>
            </w:rPr>
            <w:t>care</w:t>
          </w:r>
          <w:r>
            <w:rPr>
              <w:rFonts w:ascii="Calibri"/>
              <w:sz w:val="20"/>
            </w:rPr>
            <w:tab/>
            <w:t>96</w:t>
          </w:r>
        </w:p>
        <w:p w:rsidR="006A18FD" w:rsidRDefault="002D29FC" w:rsidP="008E3FA8">
          <w:pPr>
            <w:numPr>
              <w:ilvl w:val="2"/>
              <w:numId w:val="34"/>
            </w:numPr>
            <w:tabs>
              <w:tab w:val="left" w:pos="438"/>
              <w:tab w:val="right" w:leader="dot" w:pos="8930"/>
            </w:tabs>
            <w:spacing w:before="157"/>
            <w:ind w:hanging="297"/>
            <w:rPr>
              <w:rFonts w:ascii="Calibri"/>
              <w:sz w:val="20"/>
            </w:rPr>
          </w:pPr>
          <w:r>
            <w:rPr>
              <w:rFonts w:ascii="Calibri"/>
              <w:sz w:val="20"/>
            </w:rPr>
            <w:t>Patient costs following discharge from acute</w:t>
          </w:r>
          <w:r>
            <w:rPr>
              <w:rFonts w:ascii="Calibri"/>
              <w:spacing w:val="-9"/>
              <w:sz w:val="20"/>
            </w:rPr>
            <w:t xml:space="preserve"> </w:t>
          </w:r>
          <w:r>
            <w:rPr>
              <w:rFonts w:ascii="Calibri"/>
              <w:sz w:val="20"/>
            </w:rPr>
            <w:t>medical</w:t>
          </w:r>
          <w:r>
            <w:rPr>
              <w:rFonts w:ascii="Calibri"/>
              <w:spacing w:val="-1"/>
              <w:sz w:val="20"/>
            </w:rPr>
            <w:t xml:space="preserve"> </w:t>
          </w:r>
          <w:r>
            <w:rPr>
              <w:rFonts w:ascii="Calibri"/>
              <w:sz w:val="20"/>
            </w:rPr>
            <w:t>units</w:t>
          </w:r>
          <w:r>
            <w:rPr>
              <w:rFonts w:ascii="Calibri"/>
              <w:sz w:val="20"/>
            </w:rPr>
            <w:tab/>
            <w:t>99</w:t>
          </w:r>
        </w:p>
        <w:p w:rsidR="006A18FD" w:rsidRDefault="002D29FC" w:rsidP="008E3FA8">
          <w:pPr>
            <w:numPr>
              <w:ilvl w:val="2"/>
              <w:numId w:val="34"/>
            </w:numPr>
            <w:tabs>
              <w:tab w:val="left" w:pos="438"/>
              <w:tab w:val="right" w:leader="dot" w:pos="8928"/>
            </w:tabs>
            <w:spacing w:before="154"/>
            <w:ind w:hanging="297"/>
            <w:rPr>
              <w:rFonts w:ascii="Calibri"/>
              <w:sz w:val="20"/>
            </w:rPr>
          </w:pPr>
          <w:r>
            <w:rPr>
              <w:rFonts w:ascii="Calibri"/>
              <w:sz w:val="20"/>
            </w:rPr>
            <w:t>End of</w:t>
          </w:r>
          <w:r>
            <w:rPr>
              <w:rFonts w:ascii="Calibri"/>
              <w:spacing w:val="-3"/>
              <w:sz w:val="20"/>
            </w:rPr>
            <w:t xml:space="preserve"> </w:t>
          </w:r>
          <w:r>
            <w:rPr>
              <w:rFonts w:ascii="Calibri"/>
              <w:sz w:val="20"/>
            </w:rPr>
            <w:t>life</w:t>
          </w:r>
          <w:r>
            <w:rPr>
              <w:rFonts w:ascii="Calibri"/>
              <w:spacing w:val="-2"/>
              <w:sz w:val="20"/>
            </w:rPr>
            <w:t xml:space="preserve"> </w:t>
          </w:r>
          <w:r>
            <w:rPr>
              <w:rFonts w:ascii="Calibri"/>
              <w:sz w:val="20"/>
            </w:rPr>
            <w:t>care</w:t>
          </w:r>
          <w:r>
            <w:rPr>
              <w:rFonts w:ascii="Calibri"/>
              <w:sz w:val="20"/>
            </w:rPr>
            <w:tab/>
            <w:t>101</w:t>
          </w:r>
        </w:p>
        <w:p w:rsidR="006A18FD" w:rsidRDefault="002D29FC" w:rsidP="008E3FA8">
          <w:pPr>
            <w:numPr>
              <w:ilvl w:val="2"/>
              <w:numId w:val="34"/>
            </w:numPr>
            <w:tabs>
              <w:tab w:val="left" w:pos="438"/>
              <w:tab w:val="right" w:leader="dot" w:pos="8928"/>
            </w:tabs>
            <w:spacing w:before="156"/>
            <w:ind w:hanging="297"/>
            <w:rPr>
              <w:rFonts w:ascii="Calibri"/>
              <w:sz w:val="20"/>
            </w:rPr>
          </w:pPr>
          <w:r>
            <w:rPr>
              <w:rFonts w:ascii="Calibri"/>
              <w:sz w:val="20"/>
            </w:rPr>
            <w:t>Smoking</w:t>
          </w:r>
          <w:r>
            <w:rPr>
              <w:rFonts w:ascii="Calibri"/>
              <w:spacing w:val="-2"/>
              <w:sz w:val="20"/>
            </w:rPr>
            <w:t xml:space="preserve"> </w:t>
          </w:r>
          <w:r>
            <w:rPr>
              <w:rFonts w:ascii="Calibri"/>
              <w:sz w:val="20"/>
            </w:rPr>
            <w:t>cessation services</w:t>
          </w:r>
          <w:r>
            <w:rPr>
              <w:rFonts w:ascii="Calibri"/>
              <w:sz w:val="20"/>
            </w:rPr>
            <w:tab/>
            <w:t>103</w:t>
          </w:r>
        </w:p>
        <w:p w:rsidR="006A18FD" w:rsidRDefault="002D29FC" w:rsidP="008E3FA8">
          <w:pPr>
            <w:numPr>
              <w:ilvl w:val="2"/>
              <w:numId w:val="34"/>
            </w:numPr>
            <w:tabs>
              <w:tab w:val="left" w:pos="438"/>
              <w:tab w:val="right" w:leader="dot" w:pos="8928"/>
            </w:tabs>
            <w:spacing w:before="156" w:after="20"/>
            <w:ind w:hanging="297"/>
            <w:rPr>
              <w:rFonts w:ascii="Calibri"/>
              <w:sz w:val="20"/>
            </w:rPr>
          </w:pPr>
          <w:r>
            <w:rPr>
              <w:rFonts w:ascii="Calibri"/>
              <w:sz w:val="20"/>
            </w:rPr>
            <w:t>Social</w:t>
          </w:r>
          <w:r>
            <w:rPr>
              <w:rFonts w:ascii="Calibri"/>
              <w:spacing w:val="-2"/>
              <w:sz w:val="20"/>
            </w:rPr>
            <w:t xml:space="preserve"> </w:t>
          </w:r>
          <w:r>
            <w:rPr>
              <w:rFonts w:ascii="Calibri"/>
              <w:sz w:val="20"/>
            </w:rPr>
            <w:t>prescribing</w:t>
          </w:r>
          <w:r>
            <w:rPr>
              <w:rFonts w:ascii="Calibri"/>
              <w:sz w:val="20"/>
            </w:rPr>
            <w:tab/>
            <w:t>104</w:t>
          </w:r>
        </w:p>
        <w:p w:rsidR="006A18FD" w:rsidRDefault="002D29FC" w:rsidP="008E3FA8">
          <w:pPr>
            <w:numPr>
              <w:ilvl w:val="2"/>
              <w:numId w:val="34"/>
            </w:numPr>
            <w:tabs>
              <w:tab w:val="left" w:pos="438"/>
              <w:tab w:val="right" w:leader="dot" w:pos="8928"/>
            </w:tabs>
            <w:spacing w:before="436"/>
            <w:ind w:hanging="297"/>
            <w:rPr>
              <w:rFonts w:ascii="Calibri"/>
              <w:sz w:val="20"/>
            </w:rPr>
          </w:pPr>
          <w:r>
            <w:rPr>
              <w:rFonts w:ascii="Calibri"/>
              <w:sz w:val="20"/>
            </w:rPr>
            <w:t>Low intensity interventions for the management of</w:t>
          </w:r>
          <w:r>
            <w:rPr>
              <w:rFonts w:ascii="Calibri"/>
              <w:spacing w:val="-11"/>
              <w:sz w:val="20"/>
            </w:rPr>
            <w:t xml:space="preserve"> </w:t>
          </w:r>
          <w:r>
            <w:rPr>
              <w:rFonts w:ascii="Calibri"/>
              <w:sz w:val="20"/>
            </w:rPr>
            <w:t>obsessive-compulsive</w:t>
          </w:r>
          <w:r>
            <w:rPr>
              <w:rFonts w:ascii="Calibri"/>
              <w:spacing w:val="-2"/>
              <w:sz w:val="20"/>
            </w:rPr>
            <w:t xml:space="preserve"> </w:t>
          </w:r>
          <w:r>
            <w:rPr>
              <w:rFonts w:ascii="Calibri"/>
              <w:sz w:val="20"/>
            </w:rPr>
            <w:t>disorder</w:t>
          </w:r>
          <w:r>
            <w:rPr>
              <w:rFonts w:ascii="Calibri"/>
              <w:sz w:val="20"/>
            </w:rPr>
            <w:tab/>
            <w:t>105</w:t>
          </w:r>
        </w:p>
        <w:p w:rsidR="006A18FD" w:rsidRDefault="002D29FC" w:rsidP="008E3FA8">
          <w:pPr>
            <w:numPr>
              <w:ilvl w:val="2"/>
              <w:numId w:val="34"/>
            </w:numPr>
            <w:tabs>
              <w:tab w:val="left" w:pos="438"/>
              <w:tab w:val="right" w:leader="dot" w:pos="8928"/>
            </w:tabs>
            <w:spacing w:before="157"/>
            <w:ind w:hanging="297"/>
            <w:rPr>
              <w:rFonts w:ascii="Calibri"/>
              <w:sz w:val="20"/>
            </w:rPr>
          </w:pPr>
          <w:r>
            <w:rPr>
              <w:rFonts w:ascii="Calibri"/>
              <w:sz w:val="20"/>
            </w:rPr>
            <w:t>The cost of diagnosis and early support in patients with</w:t>
          </w:r>
          <w:r>
            <w:rPr>
              <w:rFonts w:ascii="Calibri"/>
              <w:spacing w:val="-10"/>
              <w:sz w:val="20"/>
            </w:rPr>
            <w:t xml:space="preserve"> </w:t>
          </w:r>
          <w:r>
            <w:rPr>
              <w:rFonts w:ascii="Calibri"/>
              <w:sz w:val="20"/>
            </w:rPr>
            <w:t>cognitive</w:t>
          </w:r>
          <w:r>
            <w:rPr>
              <w:rFonts w:ascii="Calibri"/>
              <w:spacing w:val="-2"/>
              <w:sz w:val="20"/>
            </w:rPr>
            <w:t xml:space="preserve"> </w:t>
          </w:r>
          <w:r>
            <w:rPr>
              <w:rFonts w:ascii="Calibri"/>
              <w:sz w:val="20"/>
            </w:rPr>
            <w:t>decline</w:t>
          </w:r>
          <w:r>
            <w:rPr>
              <w:rFonts w:ascii="Calibri"/>
              <w:sz w:val="20"/>
            </w:rPr>
            <w:tab/>
            <w:t>107</w:t>
          </w:r>
        </w:p>
        <w:p w:rsidR="006A18FD" w:rsidRDefault="002D29FC">
          <w:pPr>
            <w:tabs>
              <w:tab w:val="right" w:leader="dot" w:pos="8933"/>
            </w:tabs>
            <w:spacing w:before="154"/>
            <w:ind w:left="140"/>
            <w:rPr>
              <w:rFonts w:ascii="Calibri"/>
              <w:b/>
              <w:sz w:val="24"/>
            </w:rPr>
          </w:pPr>
          <w:r>
            <w:rPr>
              <w:rFonts w:ascii="Calibri"/>
              <w:b/>
              <w:sz w:val="24"/>
            </w:rPr>
            <w:t>II. COMMUNITY-BASED HEALTH</w:t>
          </w:r>
          <w:r>
            <w:rPr>
              <w:rFonts w:ascii="Calibri"/>
              <w:b/>
              <w:spacing w:val="-5"/>
              <w:sz w:val="24"/>
            </w:rPr>
            <w:t xml:space="preserve"> </w:t>
          </w:r>
          <w:r>
            <w:rPr>
              <w:rFonts w:ascii="Calibri"/>
              <w:b/>
              <w:sz w:val="24"/>
            </w:rPr>
            <w:t>CARE</w:t>
          </w:r>
          <w:r>
            <w:rPr>
              <w:rFonts w:ascii="Calibri"/>
              <w:b/>
              <w:spacing w:val="-3"/>
              <w:sz w:val="24"/>
            </w:rPr>
            <w:t xml:space="preserve"> </w:t>
          </w:r>
          <w:r>
            <w:rPr>
              <w:rFonts w:ascii="Calibri"/>
              <w:b/>
              <w:sz w:val="24"/>
            </w:rPr>
            <w:t>STAFF</w:t>
          </w:r>
          <w:r>
            <w:rPr>
              <w:rFonts w:ascii="Calibri"/>
              <w:b/>
              <w:sz w:val="24"/>
            </w:rPr>
            <w:tab/>
            <w:t>109</w:t>
          </w:r>
        </w:p>
        <w:p w:rsidR="006A18FD" w:rsidRDefault="002D29FC" w:rsidP="008E3FA8">
          <w:pPr>
            <w:numPr>
              <w:ilvl w:val="1"/>
              <w:numId w:val="34"/>
            </w:numPr>
            <w:tabs>
              <w:tab w:val="left" w:pos="383"/>
              <w:tab w:val="right" w:leader="dot" w:pos="8928"/>
            </w:tabs>
            <w:spacing w:before="162"/>
            <w:ind w:left="382" w:hanging="242"/>
            <w:rPr>
              <w:rFonts w:ascii="Calibri"/>
              <w:sz w:val="24"/>
            </w:rPr>
          </w:pPr>
          <w:r>
            <w:rPr>
              <w:rFonts w:ascii="Calibri"/>
              <w:b/>
              <w:sz w:val="24"/>
            </w:rPr>
            <w:t>Scientific and professional staff</w:t>
          </w:r>
          <w:r>
            <w:rPr>
              <w:rFonts w:ascii="Calibri"/>
              <w:b/>
              <w:sz w:val="24"/>
            </w:rPr>
            <w:tab/>
          </w:r>
          <w:r>
            <w:rPr>
              <w:rFonts w:ascii="Calibri"/>
              <w:sz w:val="20"/>
            </w:rPr>
            <w:t>111</w:t>
          </w:r>
        </w:p>
        <w:p w:rsidR="006A18FD" w:rsidRDefault="002D29FC" w:rsidP="008E3FA8">
          <w:pPr>
            <w:numPr>
              <w:ilvl w:val="0"/>
              <w:numId w:val="33"/>
            </w:numPr>
            <w:tabs>
              <w:tab w:val="left" w:pos="337"/>
              <w:tab w:val="right" w:leader="dot" w:pos="8928"/>
            </w:tabs>
            <w:spacing w:before="167"/>
            <w:ind w:hanging="196"/>
            <w:rPr>
              <w:rFonts w:ascii="Calibri"/>
              <w:sz w:val="20"/>
            </w:rPr>
          </w:pPr>
          <w:r>
            <w:rPr>
              <w:rFonts w:ascii="Calibri"/>
              <w:sz w:val="20"/>
            </w:rPr>
            <w:t>Scientific and</w:t>
          </w:r>
          <w:r>
            <w:rPr>
              <w:rFonts w:ascii="Calibri"/>
              <w:spacing w:val="-1"/>
              <w:sz w:val="20"/>
            </w:rPr>
            <w:t xml:space="preserve"> </w:t>
          </w:r>
          <w:r>
            <w:rPr>
              <w:rFonts w:ascii="Calibri"/>
              <w:sz w:val="20"/>
            </w:rPr>
            <w:t>professional</w:t>
          </w:r>
          <w:r>
            <w:rPr>
              <w:rFonts w:ascii="Calibri"/>
              <w:spacing w:val="-1"/>
              <w:sz w:val="20"/>
            </w:rPr>
            <w:t xml:space="preserve"> </w:t>
          </w:r>
          <w:r>
            <w:rPr>
              <w:rFonts w:ascii="Calibri"/>
              <w:sz w:val="20"/>
            </w:rPr>
            <w:t>staff</w:t>
          </w:r>
          <w:r>
            <w:rPr>
              <w:rFonts w:ascii="Calibri"/>
              <w:sz w:val="20"/>
            </w:rPr>
            <w:tab/>
            <w:t>112</w:t>
          </w:r>
        </w:p>
        <w:p w:rsidR="006A18FD" w:rsidRDefault="002D29FC" w:rsidP="008E3FA8">
          <w:pPr>
            <w:numPr>
              <w:ilvl w:val="0"/>
              <w:numId w:val="33"/>
            </w:numPr>
            <w:tabs>
              <w:tab w:val="left" w:pos="440"/>
              <w:tab w:val="right" w:leader="dot" w:pos="8928"/>
            </w:tabs>
            <w:spacing w:before="156"/>
            <w:ind w:left="439" w:hanging="299"/>
            <w:rPr>
              <w:rFonts w:ascii="Calibri"/>
              <w:sz w:val="20"/>
            </w:rPr>
          </w:pPr>
          <w:r>
            <w:rPr>
              <w:rFonts w:ascii="Calibri"/>
              <w:b/>
              <w:sz w:val="20"/>
            </w:rPr>
            <w:t>Nurses, doctors</w:t>
          </w:r>
          <w:r>
            <w:rPr>
              <w:rFonts w:ascii="Calibri"/>
              <w:b/>
              <w:spacing w:val="-4"/>
              <w:sz w:val="20"/>
            </w:rPr>
            <w:t xml:space="preserve"> </w:t>
          </w:r>
          <w:r>
            <w:rPr>
              <w:rFonts w:ascii="Calibri"/>
              <w:b/>
              <w:sz w:val="20"/>
            </w:rPr>
            <w:t>and</w:t>
          </w:r>
          <w:r>
            <w:rPr>
              <w:rFonts w:ascii="Calibri"/>
              <w:b/>
              <w:spacing w:val="-1"/>
              <w:sz w:val="20"/>
            </w:rPr>
            <w:t xml:space="preserve"> </w:t>
          </w:r>
          <w:r>
            <w:rPr>
              <w:rFonts w:ascii="Calibri"/>
              <w:b/>
              <w:sz w:val="20"/>
            </w:rPr>
            <w:t>dentists</w:t>
          </w:r>
          <w:r>
            <w:rPr>
              <w:rFonts w:ascii="Calibri"/>
              <w:b/>
              <w:sz w:val="20"/>
            </w:rPr>
            <w:tab/>
          </w:r>
          <w:r>
            <w:rPr>
              <w:rFonts w:ascii="Calibri"/>
              <w:sz w:val="20"/>
            </w:rPr>
            <w:t>115</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Nurses</w:t>
          </w:r>
          <w:r>
            <w:rPr>
              <w:rFonts w:ascii="Calibri"/>
              <w:sz w:val="20"/>
            </w:rPr>
            <w:tab/>
            <w:t>116</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Nurses</w:t>
          </w:r>
          <w:r>
            <w:rPr>
              <w:rFonts w:ascii="Calibri"/>
              <w:spacing w:val="-3"/>
              <w:sz w:val="20"/>
            </w:rPr>
            <w:t xml:space="preserve"> </w:t>
          </w:r>
          <w:r>
            <w:rPr>
              <w:rFonts w:ascii="Calibri"/>
              <w:sz w:val="20"/>
            </w:rPr>
            <w:t>(GP</w:t>
          </w:r>
          <w:r>
            <w:rPr>
              <w:rFonts w:ascii="Calibri"/>
              <w:spacing w:val="-1"/>
              <w:sz w:val="20"/>
            </w:rPr>
            <w:t xml:space="preserve"> </w:t>
          </w:r>
          <w:r>
            <w:rPr>
              <w:rFonts w:ascii="Calibri"/>
              <w:sz w:val="20"/>
            </w:rPr>
            <w:t>practice</w:t>
          </w:r>
          <w:r>
            <w:rPr>
              <w:rFonts w:ascii="Calibri"/>
              <w:sz w:val="20"/>
            </w:rPr>
            <w:tab/>
            <w:t>118</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General</w:t>
          </w:r>
          <w:r>
            <w:rPr>
              <w:rFonts w:ascii="Calibri"/>
              <w:spacing w:val="-1"/>
              <w:sz w:val="20"/>
            </w:rPr>
            <w:t xml:space="preserve"> </w:t>
          </w:r>
          <w:r>
            <w:rPr>
              <w:rFonts w:ascii="Calibri"/>
              <w:sz w:val="20"/>
            </w:rPr>
            <w:t>practitioner</w:t>
          </w:r>
          <w:r>
            <w:rPr>
              <w:rFonts w:ascii="Calibri"/>
              <w:sz w:val="20"/>
            </w:rPr>
            <w:tab/>
            <w:t>119</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The cost of online</w:t>
          </w:r>
          <w:r>
            <w:rPr>
              <w:rFonts w:ascii="Calibri"/>
              <w:spacing w:val="-1"/>
              <w:sz w:val="20"/>
            </w:rPr>
            <w:t xml:space="preserve"> </w:t>
          </w:r>
          <w:r>
            <w:rPr>
              <w:rFonts w:ascii="Calibri"/>
              <w:sz w:val="20"/>
            </w:rPr>
            <w:t>consultations</w:t>
          </w:r>
          <w:r>
            <w:rPr>
              <w:rFonts w:ascii="Calibri"/>
              <w:sz w:val="20"/>
            </w:rPr>
            <w:tab/>
            <w:t>122</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Telephone</w:t>
          </w:r>
          <w:r>
            <w:rPr>
              <w:rFonts w:ascii="Calibri"/>
              <w:spacing w:val="-2"/>
              <w:sz w:val="20"/>
            </w:rPr>
            <w:t xml:space="preserve"> </w:t>
          </w:r>
          <w:r>
            <w:rPr>
              <w:rFonts w:ascii="Calibri"/>
              <w:sz w:val="20"/>
            </w:rPr>
            <w:t>triage</w:t>
          </w:r>
          <w:r>
            <w:rPr>
              <w:rFonts w:ascii="Calibri"/>
              <w:sz w:val="20"/>
            </w:rPr>
            <w:tab/>
            <w:t>123</w:t>
          </w:r>
        </w:p>
        <w:p w:rsidR="006A18FD" w:rsidRDefault="002D29FC" w:rsidP="008E3FA8">
          <w:pPr>
            <w:numPr>
              <w:ilvl w:val="1"/>
              <w:numId w:val="33"/>
            </w:numPr>
            <w:tabs>
              <w:tab w:val="left" w:pos="539"/>
              <w:tab w:val="right" w:leader="dot" w:pos="8928"/>
            </w:tabs>
            <w:spacing w:before="156"/>
            <w:ind w:hanging="398"/>
            <w:rPr>
              <w:rFonts w:ascii="Calibri" w:hAnsi="Calibri"/>
              <w:sz w:val="20"/>
            </w:rPr>
          </w:pPr>
          <w:r>
            <w:rPr>
              <w:rFonts w:ascii="Calibri" w:hAnsi="Calibri"/>
              <w:sz w:val="20"/>
            </w:rPr>
            <w:t>NHS dentist –</w:t>
          </w:r>
          <w:r>
            <w:rPr>
              <w:rFonts w:ascii="Calibri" w:hAnsi="Calibri"/>
              <w:spacing w:val="-2"/>
              <w:sz w:val="20"/>
            </w:rPr>
            <w:t xml:space="preserve"> </w:t>
          </w:r>
          <w:r>
            <w:rPr>
              <w:rFonts w:ascii="Calibri" w:hAnsi="Calibri"/>
              <w:sz w:val="20"/>
            </w:rPr>
            <w:t>Performer- Only</w:t>
          </w:r>
          <w:r>
            <w:rPr>
              <w:rFonts w:ascii="Calibri" w:hAnsi="Calibri"/>
              <w:sz w:val="20"/>
            </w:rPr>
            <w:tab/>
            <w:t>124</w:t>
          </w:r>
        </w:p>
        <w:p w:rsidR="006A18FD" w:rsidRDefault="002D29FC" w:rsidP="008E3FA8">
          <w:pPr>
            <w:numPr>
              <w:ilvl w:val="1"/>
              <w:numId w:val="33"/>
            </w:numPr>
            <w:tabs>
              <w:tab w:val="left" w:pos="539"/>
              <w:tab w:val="right" w:leader="dot" w:pos="8928"/>
            </w:tabs>
            <w:spacing w:before="156"/>
            <w:ind w:hanging="398"/>
            <w:rPr>
              <w:rFonts w:ascii="Calibri" w:hAnsi="Calibri"/>
              <w:sz w:val="20"/>
            </w:rPr>
          </w:pPr>
          <w:r>
            <w:rPr>
              <w:rFonts w:ascii="Calibri" w:hAnsi="Calibri"/>
              <w:sz w:val="20"/>
            </w:rPr>
            <w:t>NHS dentist</w:t>
          </w:r>
          <w:r>
            <w:rPr>
              <w:rFonts w:ascii="Calibri" w:hAnsi="Calibri"/>
              <w:spacing w:val="-1"/>
              <w:sz w:val="20"/>
            </w:rPr>
            <w:t xml:space="preserve"> </w:t>
          </w:r>
          <w:r>
            <w:rPr>
              <w:rFonts w:ascii="Calibri" w:hAnsi="Calibri"/>
              <w:sz w:val="20"/>
            </w:rPr>
            <w:t>–</w:t>
          </w:r>
          <w:r>
            <w:rPr>
              <w:rFonts w:ascii="Calibri" w:hAnsi="Calibri"/>
              <w:spacing w:val="-2"/>
              <w:sz w:val="20"/>
            </w:rPr>
            <w:t xml:space="preserve"> </w:t>
          </w:r>
          <w:r>
            <w:rPr>
              <w:rFonts w:ascii="Calibri" w:hAnsi="Calibri"/>
              <w:sz w:val="20"/>
            </w:rPr>
            <w:t>Providing-Performer</w:t>
          </w:r>
          <w:r>
            <w:rPr>
              <w:rFonts w:ascii="Calibri" w:hAnsi="Calibri"/>
              <w:sz w:val="20"/>
            </w:rPr>
            <w:tab/>
            <w:t>125</w:t>
          </w:r>
        </w:p>
        <w:p w:rsidR="006A18FD" w:rsidRDefault="002D29FC" w:rsidP="008E3FA8">
          <w:pPr>
            <w:numPr>
              <w:ilvl w:val="1"/>
              <w:numId w:val="33"/>
            </w:numPr>
            <w:tabs>
              <w:tab w:val="left" w:pos="539"/>
              <w:tab w:val="right" w:leader="dot" w:pos="8928"/>
            </w:tabs>
            <w:spacing w:before="156"/>
            <w:ind w:hanging="398"/>
            <w:rPr>
              <w:rFonts w:ascii="Calibri"/>
              <w:sz w:val="20"/>
            </w:rPr>
          </w:pPr>
          <w:r>
            <w:rPr>
              <w:rFonts w:ascii="Calibri"/>
              <w:sz w:val="20"/>
            </w:rPr>
            <w:t>NHS</w:t>
          </w:r>
          <w:r>
            <w:rPr>
              <w:rFonts w:ascii="Calibri"/>
              <w:spacing w:val="-2"/>
              <w:sz w:val="20"/>
            </w:rPr>
            <w:t xml:space="preserve"> </w:t>
          </w:r>
          <w:r>
            <w:rPr>
              <w:rFonts w:ascii="Calibri"/>
              <w:sz w:val="20"/>
            </w:rPr>
            <w:t>dental</w:t>
          </w:r>
          <w:r>
            <w:rPr>
              <w:rFonts w:ascii="Calibri"/>
              <w:spacing w:val="-1"/>
              <w:sz w:val="20"/>
            </w:rPr>
            <w:t xml:space="preserve"> </w:t>
          </w:r>
          <w:r>
            <w:rPr>
              <w:rFonts w:ascii="Calibri"/>
              <w:sz w:val="20"/>
            </w:rPr>
            <w:t>charges</w:t>
          </w:r>
          <w:r>
            <w:rPr>
              <w:rFonts w:ascii="Calibri"/>
              <w:sz w:val="20"/>
            </w:rPr>
            <w:tab/>
            <w:t>126</w:t>
          </w:r>
        </w:p>
        <w:p w:rsidR="006A18FD" w:rsidRDefault="002D29FC">
          <w:pPr>
            <w:tabs>
              <w:tab w:val="right" w:leader="dot" w:pos="8932"/>
            </w:tabs>
            <w:spacing w:before="154"/>
            <w:ind w:left="140"/>
            <w:rPr>
              <w:rFonts w:ascii="Calibri"/>
              <w:b/>
              <w:sz w:val="24"/>
            </w:rPr>
          </w:pPr>
          <w:r>
            <w:rPr>
              <w:rFonts w:ascii="Calibri"/>
              <w:b/>
              <w:sz w:val="24"/>
            </w:rPr>
            <w:t>III. COMMUNITY-BASED</w:t>
          </w:r>
          <w:r>
            <w:rPr>
              <w:rFonts w:ascii="Calibri"/>
              <w:b/>
              <w:spacing w:val="-4"/>
              <w:sz w:val="24"/>
            </w:rPr>
            <w:t xml:space="preserve"> </w:t>
          </w:r>
          <w:r>
            <w:rPr>
              <w:rFonts w:ascii="Calibri"/>
              <w:b/>
              <w:sz w:val="24"/>
            </w:rPr>
            <w:t>SOCIAL</w:t>
          </w:r>
          <w:r>
            <w:rPr>
              <w:rFonts w:ascii="Calibri"/>
              <w:b/>
              <w:spacing w:val="-1"/>
              <w:sz w:val="24"/>
            </w:rPr>
            <w:t xml:space="preserve"> </w:t>
          </w:r>
          <w:r>
            <w:rPr>
              <w:rFonts w:ascii="Calibri"/>
              <w:b/>
              <w:sz w:val="24"/>
            </w:rPr>
            <w:t>CARE</w:t>
          </w:r>
          <w:r>
            <w:rPr>
              <w:rFonts w:ascii="Calibri"/>
              <w:b/>
              <w:sz w:val="24"/>
            </w:rPr>
            <w:tab/>
            <w:t>127</w:t>
          </w:r>
        </w:p>
        <w:p w:rsidR="006A18FD" w:rsidRDefault="002D29FC" w:rsidP="008E3FA8">
          <w:pPr>
            <w:numPr>
              <w:ilvl w:val="0"/>
              <w:numId w:val="33"/>
            </w:numPr>
            <w:tabs>
              <w:tab w:val="left" w:pos="440"/>
              <w:tab w:val="right" w:leader="dot" w:pos="8928"/>
            </w:tabs>
            <w:spacing w:before="164"/>
            <w:ind w:left="439" w:hanging="299"/>
            <w:rPr>
              <w:rFonts w:ascii="Calibri"/>
              <w:sz w:val="20"/>
            </w:rPr>
          </w:pPr>
          <w:r>
            <w:rPr>
              <w:rFonts w:ascii="Calibri"/>
              <w:b/>
              <w:sz w:val="20"/>
            </w:rPr>
            <w:t>Social care staff</w:t>
          </w:r>
          <w:r>
            <w:rPr>
              <w:rFonts w:ascii="Calibri"/>
              <w:b/>
              <w:spacing w:val="-5"/>
              <w:sz w:val="20"/>
            </w:rPr>
            <w:t xml:space="preserve"> </w:t>
          </w:r>
          <w:r>
            <w:rPr>
              <w:rFonts w:ascii="Calibri"/>
              <w:b/>
              <w:sz w:val="20"/>
            </w:rPr>
            <w:t>and</w:t>
          </w:r>
          <w:r>
            <w:rPr>
              <w:rFonts w:ascii="Calibri"/>
              <w:b/>
              <w:spacing w:val="-1"/>
              <w:sz w:val="20"/>
            </w:rPr>
            <w:t xml:space="preserve"> </w:t>
          </w:r>
          <w:r>
            <w:rPr>
              <w:rFonts w:ascii="Calibri"/>
              <w:b/>
              <w:sz w:val="20"/>
            </w:rPr>
            <w:t>services</w:t>
          </w:r>
          <w:r>
            <w:rPr>
              <w:rFonts w:ascii="Calibri"/>
              <w:b/>
              <w:sz w:val="20"/>
            </w:rPr>
            <w:tab/>
          </w:r>
          <w:r>
            <w:rPr>
              <w:rFonts w:ascii="Calibri"/>
              <w:sz w:val="20"/>
            </w:rPr>
            <w:t>129</w:t>
          </w:r>
        </w:p>
        <w:p w:rsidR="006A18FD" w:rsidRDefault="002D29FC" w:rsidP="008E3FA8">
          <w:pPr>
            <w:numPr>
              <w:ilvl w:val="1"/>
              <w:numId w:val="33"/>
            </w:numPr>
            <w:tabs>
              <w:tab w:val="left" w:pos="539"/>
              <w:tab w:val="right" w:leader="dot" w:pos="8928"/>
            </w:tabs>
            <w:spacing w:before="156"/>
            <w:ind w:hanging="398"/>
            <w:rPr>
              <w:rFonts w:ascii="Calibri" w:hAnsi="Calibri"/>
              <w:sz w:val="20"/>
            </w:rPr>
          </w:pPr>
          <w:r>
            <w:rPr>
              <w:rFonts w:ascii="Calibri" w:hAnsi="Calibri"/>
              <w:sz w:val="20"/>
            </w:rPr>
            <w:t>Social worker</w:t>
          </w:r>
          <w:r>
            <w:rPr>
              <w:rFonts w:ascii="Calibri" w:hAnsi="Calibri"/>
              <w:spacing w:val="1"/>
              <w:sz w:val="20"/>
            </w:rPr>
            <w:t xml:space="preserve"> </w:t>
          </w:r>
          <w:r>
            <w:rPr>
              <w:rFonts w:ascii="Calibri" w:hAnsi="Calibri"/>
              <w:sz w:val="20"/>
            </w:rPr>
            <w:t>(adult’s services)</w:t>
          </w:r>
          <w:r>
            <w:rPr>
              <w:rFonts w:ascii="Calibri" w:hAnsi="Calibri"/>
              <w:sz w:val="20"/>
            </w:rPr>
            <w:tab/>
            <w:t>130</w:t>
          </w:r>
        </w:p>
        <w:p w:rsidR="006A18FD" w:rsidRDefault="002D29FC">
          <w:pPr>
            <w:tabs>
              <w:tab w:val="right" w:leader="dot" w:pos="8928"/>
            </w:tabs>
            <w:spacing w:before="156"/>
            <w:ind w:left="140"/>
            <w:rPr>
              <w:rFonts w:ascii="Calibri" w:hAnsi="Calibri"/>
              <w:sz w:val="20"/>
            </w:rPr>
          </w:pPr>
          <w:r>
            <w:rPr>
              <w:rFonts w:ascii="Calibri" w:hAnsi="Calibri"/>
              <w:sz w:val="20"/>
            </w:rPr>
            <w:t>11.1 Social worker (children’s services)</w:t>
          </w:r>
          <w:r>
            <w:rPr>
              <w:rFonts w:ascii="Calibri" w:hAnsi="Calibri"/>
              <w:sz w:val="20"/>
            </w:rPr>
            <w:tab/>
            <w:t>131</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Social work</w:t>
          </w:r>
          <w:r>
            <w:rPr>
              <w:rFonts w:ascii="Calibri"/>
              <w:spacing w:val="-1"/>
              <w:sz w:val="20"/>
            </w:rPr>
            <w:t xml:space="preserve"> </w:t>
          </w:r>
          <w:r>
            <w:rPr>
              <w:rFonts w:ascii="Calibri"/>
              <w:sz w:val="20"/>
            </w:rPr>
            <w:t>assistant</w:t>
          </w:r>
          <w:r>
            <w:rPr>
              <w:rFonts w:ascii="Calibri"/>
              <w:sz w:val="20"/>
            </w:rPr>
            <w:tab/>
            <w:t>132</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Community</w:t>
          </w:r>
          <w:r>
            <w:rPr>
              <w:rFonts w:ascii="Calibri"/>
              <w:spacing w:val="-1"/>
              <w:sz w:val="20"/>
            </w:rPr>
            <w:t xml:space="preserve"> </w:t>
          </w:r>
          <w:r>
            <w:rPr>
              <w:rFonts w:ascii="Calibri"/>
              <w:sz w:val="20"/>
            </w:rPr>
            <w:t>occupational</w:t>
          </w:r>
          <w:r>
            <w:rPr>
              <w:rFonts w:ascii="Calibri"/>
              <w:spacing w:val="-1"/>
              <w:sz w:val="20"/>
            </w:rPr>
            <w:t xml:space="preserve"> </w:t>
          </w:r>
          <w:r>
            <w:rPr>
              <w:rFonts w:ascii="Calibri"/>
              <w:sz w:val="20"/>
            </w:rPr>
            <w:t>therapist</w:t>
          </w:r>
          <w:r>
            <w:rPr>
              <w:rFonts w:ascii="Calibri"/>
              <w:sz w:val="20"/>
            </w:rPr>
            <w:tab/>
            <w:t>133</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Home</w:t>
          </w:r>
          <w:r>
            <w:rPr>
              <w:rFonts w:ascii="Calibri"/>
              <w:spacing w:val="-2"/>
              <w:sz w:val="20"/>
            </w:rPr>
            <w:t xml:space="preserve"> </w:t>
          </w:r>
          <w:r>
            <w:rPr>
              <w:rFonts w:ascii="Calibri"/>
              <w:sz w:val="20"/>
            </w:rPr>
            <w:t>care</w:t>
          </w:r>
          <w:r>
            <w:rPr>
              <w:rFonts w:ascii="Calibri"/>
              <w:spacing w:val="-2"/>
              <w:sz w:val="20"/>
            </w:rPr>
            <w:t xml:space="preserve"> </w:t>
          </w:r>
          <w:r>
            <w:rPr>
              <w:rFonts w:ascii="Calibri"/>
              <w:sz w:val="20"/>
            </w:rPr>
            <w:t>worker</w:t>
          </w:r>
          <w:r>
            <w:rPr>
              <w:rFonts w:ascii="Calibri"/>
              <w:sz w:val="20"/>
            </w:rPr>
            <w:tab/>
            <w:t>134</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Home</w:t>
          </w:r>
          <w:r>
            <w:rPr>
              <w:rFonts w:ascii="Calibri"/>
              <w:spacing w:val="-2"/>
              <w:sz w:val="20"/>
            </w:rPr>
            <w:t xml:space="preserve"> </w:t>
          </w:r>
          <w:r>
            <w:rPr>
              <w:rFonts w:ascii="Calibri"/>
              <w:sz w:val="20"/>
            </w:rPr>
            <w:t>care</w:t>
          </w:r>
          <w:r>
            <w:rPr>
              <w:rFonts w:ascii="Calibri"/>
              <w:spacing w:val="-2"/>
              <w:sz w:val="20"/>
            </w:rPr>
            <w:t xml:space="preserve"> </w:t>
          </w:r>
          <w:r>
            <w:rPr>
              <w:rFonts w:ascii="Calibri"/>
              <w:sz w:val="20"/>
            </w:rPr>
            <w:t>manager</w:t>
          </w:r>
          <w:r>
            <w:rPr>
              <w:rFonts w:ascii="Calibri"/>
              <w:sz w:val="20"/>
            </w:rPr>
            <w:tab/>
            <w:t>135</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Support and</w:t>
          </w:r>
          <w:r>
            <w:rPr>
              <w:rFonts w:ascii="Calibri"/>
              <w:spacing w:val="-1"/>
              <w:sz w:val="20"/>
            </w:rPr>
            <w:t xml:space="preserve"> </w:t>
          </w:r>
          <w:r>
            <w:rPr>
              <w:rFonts w:ascii="Calibri"/>
              <w:sz w:val="20"/>
            </w:rPr>
            <w:t>outreach</w:t>
          </w:r>
          <w:r>
            <w:rPr>
              <w:rFonts w:ascii="Calibri"/>
              <w:spacing w:val="-1"/>
              <w:sz w:val="20"/>
            </w:rPr>
            <w:t xml:space="preserve"> </w:t>
          </w:r>
          <w:r>
            <w:rPr>
              <w:rFonts w:ascii="Calibri"/>
              <w:sz w:val="20"/>
            </w:rPr>
            <w:t>worker</w:t>
          </w:r>
          <w:r>
            <w:rPr>
              <w:rFonts w:ascii="Calibri"/>
              <w:sz w:val="20"/>
            </w:rPr>
            <w:tab/>
            <w:t>136</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Peer</w:t>
          </w:r>
          <w:r>
            <w:rPr>
              <w:rFonts w:ascii="Calibri"/>
              <w:spacing w:val="-1"/>
              <w:sz w:val="20"/>
            </w:rPr>
            <w:t xml:space="preserve"> </w:t>
          </w:r>
          <w:r>
            <w:rPr>
              <w:rFonts w:ascii="Calibri"/>
              <w:sz w:val="20"/>
            </w:rPr>
            <w:t>intern</w:t>
          </w:r>
          <w:r>
            <w:rPr>
              <w:rFonts w:ascii="Calibri"/>
              <w:sz w:val="20"/>
            </w:rPr>
            <w:tab/>
            <w:t>137</w:t>
          </w:r>
        </w:p>
        <w:p w:rsidR="006A18FD" w:rsidRDefault="002D29FC" w:rsidP="008E3FA8">
          <w:pPr>
            <w:numPr>
              <w:ilvl w:val="1"/>
              <w:numId w:val="32"/>
            </w:numPr>
            <w:tabs>
              <w:tab w:val="left" w:pos="539"/>
              <w:tab w:val="right" w:leader="dot" w:pos="8928"/>
            </w:tabs>
            <w:spacing w:before="156"/>
            <w:ind w:hanging="398"/>
            <w:rPr>
              <w:rFonts w:ascii="Calibri"/>
              <w:sz w:val="20"/>
            </w:rPr>
          </w:pPr>
          <w:r>
            <w:rPr>
              <w:rFonts w:ascii="Calibri"/>
              <w:sz w:val="20"/>
            </w:rPr>
            <w:t>Time</w:t>
          </w:r>
          <w:r>
            <w:rPr>
              <w:rFonts w:ascii="Calibri"/>
              <w:spacing w:val="-2"/>
              <w:sz w:val="20"/>
            </w:rPr>
            <w:t xml:space="preserve"> </w:t>
          </w:r>
          <w:r>
            <w:rPr>
              <w:rFonts w:ascii="Calibri"/>
              <w:sz w:val="20"/>
            </w:rPr>
            <w:t>banks</w:t>
          </w:r>
          <w:r>
            <w:rPr>
              <w:rFonts w:ascii="Calibri"/>
              <w:sz w:val="20"/>
            </w:rPr>
            <w:tab/>
            <w:t>138</w:t>
          </w:r>
        </w:p>
        <w:p w:rsidR="006A18FD" w:rsidRDefault="002D29FC" w:rsidP="008E3FA8">
          <w:pPr>
            <w:numPr>
              <w:ilvl w:val="0"/>
              <w:numId w:val="31"/>
            </w:numPr>
            <w:tabs>
              <w:tab w:val="left" w:pos="467"/>
              <w:tab w:val="right" w:leader="dot" w:pos="8933"/>
            </w:tabs>
            <w:spacing w:before="154"/>
            <w:rPr>
              <w:rFonts w:ascii="Calibri"/>
              <w:b/>
              <w:sz w:val="24"/>
            </w:rPr>
          </w:pPr>
          <w:r>
            <w:rPr>
              <w:rFonts w:ascii="Calibri"/>
              <w:b/>
              <w:sz w:val="24"/>
            </w:rPr>
            <w:t>HOSPITAL-BASED HEALTH</w:t>
          </w:r>
          <w:r>
            <w:rPr>
              <w:rFonts w:ascii="Calibri"/>
              <w:b/>
              <w:spacing w:val="-3"/>
              <w:sz w:val="24"/>
            </w:rPr>
            <w:t xml:space="preserve"> </w:t>
          </w:r>
          <w:r>
            <w:rPr>
              <w:rFonts w:ascii="Calibri"/>
              <w:b/>
              <w:sz w:val="24"/>
            </w:rPr>
            <w:t>CARE</w:t>
          </w:r>
          <w:r>
            <w:rPr>
              <w:rFonts w:ascii="Calibri"/>
              <w:b/>
              <w:spacing w:val="-3"/>
              <w:sz w:val="24"/>
            </w:rPr>
            <w:t xml:space="preserve"> </w:t>
          </w:r>
          <w:r>
            <w:rPr>
              <w:rFonts w:ascii="Calibri"/>
              <w:b/>
              <w:sz w:val="24"/>
            </w:rPr>
            <w:t>STAFF</w:t>
          </w:r>
          <w:r>
            <w:rPr>
              <w:rFonts w:ascii="Calibri"/>
              <w:b/>
              <w:sz w:val="24"/>
            </w:rPr>
            <w:tab/>
            <w:t>139</w:t>
          </w:r>
        </w:p>
        <w:p w:rsidR="006A18FD" w:rsidRDefault="002D29FC" w:rsidP="008E3FA8">
          <w:pPr>
            <w:numPr>
              <w:ilvl w:val="0"/>
              <w:numId w:val="33"/>
            </w:numPr>
            <w:tabs>
              <w:tab w:val="left" w:pos="440"/>
              <w:tab w:val="right" w:leader="dot" w:pos="8928"/>
            </w:tabs>
            <w:spacing w:before="164"/>
            <w:ind w:left="439" w:hanging="299"/>
            <w:rPr>
              <w:rFonts w:ascii="Calibri"/>
              <w:sz w:val="20"/>
            </w:rPr>
          </w:pPr>
          <w:r>
            <w:rPr>
              <w:rFonts w:ascii="Calibri"/>
              <w:b/>
              <w:sz w:val="20"/>
            </w:rPr>
            <w:t>Hospital based scientific and</w:t>
          </w:r>
          <w:r>
            <w:rPr>
              <w:rFonts w:ascii="Calibri"/>
              <w:b/>
              <w:spacing w:val="-2"/>
              <w:sz w:val="20"/>
            </w:rPr>
            <w:t xml:space="preserve"> </w:t>
          </w:r>
          <w:r>
            <w:rPr>
              <w:rFonts w:ascii="Calibri"/>
              <w:b/>
              <w:sz w:val="20"/>
            </w:rPr>
            <w:t>professional</w:t>
          </w:r>
          <w:r>
            <w:rPr>
              <w:rFonts w:ascii="Calibri"/>
              <w:b/>
              <w:spacing w:val="-3"/>
              <w:sz w:val="20"/>
            </w:rPr>
            <w:t xml:space="preserve"> </w:t>
          </w:r>
          <w:r>
            <w:rPr>
              <w:rFonts w:ascii="Calibri"/>
              <w:b/>
              <w:sz w:val="20"/>
            </w:rPr>
            <w:t>staff</w:t>
          </w:r>
          <w:r>
            <w:rPr>
              <w:rFonts w:ascii="Calibri"/>
              <w:b/>
              <w:sz w:val="20"/>
            </w:rPr>
            <w:tab/>
          </w:r>
          <w:r>
            <w:rPr>
              <w:rFonts w:ascii="Calibri"/>
              <w:sz w:val="20"/>
            </w:rPr>
            <w:t>141</w:t>
          </w:r>
        </w:p>
        <w:p w:rsidR="006A18FD" w:rsidRDefault="002D29FC" w:rsidP="008E3FA8">
          <w:pPr>
            <w:numPr>
              <w:ilvl w:val="0"/>
              <w:numId w:val="33"/>
            </w:numPr>
            <w:tabs>
              <w:tab w:val="left" w:pos="440"/>
              <w:tab w:val="right" w:leader="dot" w:pos="8928"/>
            </w:tabs>
            <w:spacing w:before="156"/>
            <w:ind w:left="439" w:hanging="299"/>
            <w:rPr>
              <w:rFonts w:ascii="Calibri"/>
              <w:sz w:val="20"/>
            </w:rPr>
          </w:pPr>
          <w:r>
            <w:rPr>
              <w:rFonts w:ascii="Calibri"/>
              <w:b/>
              <w:sz w:val="20"/>
            </w:rPr>
            <w:t>Hospital-based nurses</w:t>
          </w:r>
          <w:r>
            <w:rPr>
              <w:rFonts w:ascii="Calibri"/>
              <w:b/>
              <w:sz w:val="20"/>
            </w:rPr>
            <w:tab/>
          </w:r>
          <w:r>
            <w:rPr>
              <w:rFonts w:ascii="Calibri"/>
              <w:sz w:val="20"/>
            </w:rPr>
            <w:t>145</w:t>
          </w:r>
        </w:p>
        <w:p w:rsidR="006A18FD" w:rsidRDefault="002D29FC" w:rsidP="008E3FA8">
          <w:pPr>
            <w:numPr>
              <w:ilvl w:val="0"/>
              <w:numId w:val="33"/>
            </w:numPr>
            <w:tabs>
              <w:tab w:val="left" w:pos="440"/>
              <w:tab w:val="right" w:leader="dot" w:pos="8928"/>
            </w:tabs>
            <w:spacing w:before="156"/>
            <w:ind w:left="439" w:hanging="299"/>
            <w:rPr>
              <w:rFonts w:ascii="Calibri"/>
              <w:sz w:val="20"/>
            </w:rPr>
          </w:pPr>
          <w:r>
            <w:rPr>
              <w:rFonts w:ascii="Calibri"/>
              <w:b/>
              <w:sz w:val="20"/>
            </w:rPr>
            <w:t>Hospital-based doctors</w:t>
          </w:r>
          <w:r>
            <w:rPr>
              <w:rFonts w:ascii="Calibri"/>
              <w:b/>
              <w:sz w:val="20"/>
            </w:rPr>
            <w:tab/>
          </w:r>
          <w:r>
            <w:rPr>
              <w:rFonts w:ascii="Calibri"/>
              <w:sz w:val="20"/>
            </w:rPr>
            <w:t>148</w:t>
          </w:r>
        </w:p>
        <w:p w:rsidR="006A18FD" w:rsidRDefault="002D29FC" w:rsidP="008E3FA8">
          <w:pPr>
            <w:numPr>
              <w:ilvl w:val="0"/>
              <w:numId w:val="31"/>
            </w:numPr>
            <w:tabs>
              <w:tab w:val="left" w:pos="402"/>
              <w:tab w:val="right" w:leader="dot" w:pos="8933"/>
            </w:tabs>
            <w:spacing w:before="154"/>
            <w:ind w:left="401" w:hanging="261"/>
            <w:rPr>
              <w:rFonts w:ascii="Calibri"/>
              <w:b/>
              <w:sz w:val="24"/>
            </w:rPr>
          </w:pPr>
          <w:r>
            <w:rPr>
              <w:rFonts w:ascii="Calibri"/>
              <w:b/>
              <w:sz w:val="24"/>
            </w:rPr>
            <w:t>SOURCES</w:t>
          </w:r>
          <w:r>
            <w:rPr>
              <w:rFonts w:ascii="Calibri"/>
              <w:b/>
              <w:spacing w:val="-1"/>
              <w:sz w:val="24"/>
            </w:rPr>
            <w:t xml:space="preserve"> </w:t>
          </w:r>
          <w:r>
            <w:rPr>
              <w:rFonts w:ascii="Calibri"/>
              <w:b/>
              <w:sz w:val="24"/>
            </w:rPr>
            <w:t>OF</w:t>
          </w:r>
          <w:r>
            <w:rPr>
              <w:rFonts w:ascii="Calibri"/>
              <w:b/>
              <w:spacing w:val="-3"/>
              <w:sz w:val="24"/>
            </w:rPr>
            <w:t xml:space="preserve"> </w:t>
          </w:r>
          <w:r>
            <w:rPr>
              <w:rFonts w:ascii="Calibri"/>
              <w:b/>
              <w:sz w:val="24"/>
            </w:rPr>
            <w:t>INFORMATION</w:t>
          </w:r>
          <w:r>
            <w:rPr>
              <w:rFonts w:ascii="Calibri"/>
              <w:b/>
              <w:sz w:val="24"/>
            </w:rPr>
            <w:tab/>
            <w:t>151</w:t>
          </w:r>
        </w:p>
        <w:p w:rsidR="006A18FD" w:rsidRDefault="002D29FC" w:rsidP="008E3FA8">
          <w:pPr>
            <w:numPr>
              <w:ilvl w:val="0"/>
              <w:numId w:val="33"/>
            </w:numPr>
            <w:tabs>
              <w:tab w:val="left" w:pos="438"/>
              <w:tab w:val="right" w:leader="dot" w:pos="8928"/>
            </w:tabs>
            <w:spacing w:before="167"/>
            <w:ind w:left="437" w:hanging="297"/>
            <w:rPr>
              <w:rFonts w:ascii="Calibri"/>
              <w:sz w:val="20"/>
            </w:rPr>
          </w:pPr>
          <w:r>
            <w:rPr>
              <w:rFonts w:ascii="Calibri"/>
              <w:sz w:val="20"/>
            </w:rPr>
            <w:t>Inflation indices</w:t>
          </w:r>
          <w:r>
            <w:rPr>
              <w:rFonts w:ascii="Calibri"/>
              <w:sz w:val="20"/>
            </w:rPr>
            <w:tab/>
            <w:t>153</w:t>
          </w:r>
        </w:p>
        <w:p w:rsidR="006A18FD" w:rsidRDefault="002D29FC" w:rsidP="008E3FA8">
          <w:pPr>
            <w:numPr>
              <w:ilvl w:val="0"/>
              <w:numId w:val="33"/>
            </w:numPr>
            <w:tabs>
              <w:tab w:val="left" w:pos="438"/>
              <w:tab w:val="right" w:leader="dot" w:pos="8928"/>
            </w:tabs>
            <w:spacing w:before="154"/>
            <w:ind w:left="437" w:hanging="297"/>
            <w:rPr>
              <w:rFonts w:ascii="Calibri"/>
              <w:sz w:val="20"/>
            </w:rPr>
          </w:pPr>
          <w:r>
            <w:rPr>
              <w:rFonts w:ascii="Calibri"/>
              <w:sz w:val="20"/>
            </w:rPr>
            <w:t>NHS staff</w:t>
          </w:r>
          <w:r>
            <w:rPr>
              <w:rFonts w:ascii="Calibri"/>
              <w:spacing w:val="-4"/>
              <w:sz w:val="20"/>
            </w:rPr>
            <w:t xml:space="preserve"> </w:t>
          </w:r>
          <w:r>
            <w:rPr>
              <w:rFonts w:ascii="Calibri"/>
              <w:sz w:val="20"/>
            </w:rPr>
            <w:t>earnings estimates</w:t>
          </w:r>
          <w:r>
            <w:rPr>
              <w:rFonts w:ascii="Calibri"/>
              <w:sz w:val="20"/>
            </w:rPr>
            <w:tab/>
            <w:t>156</w:t>
          </w:r>
        </w:p>
        <w:p w:rsidR="006A18FD" w:rsidRDefault="002D29FC" w:rsidP="008E3FA8">
          <w:pPr>
            <w:numPr>
              <w:ilvl w:val="0"/>
              <w:numId w:val="33"/>
            </w:numPr>
            <w:tabs>
              <w:tab w:val="left" w:pos="438"/>
              <w:tab w:val="right" w:leader="dot" w:pos="8928"/>
            </w:tabs>
            <w:spacing w:before="157"/>
            <w:ind w:left="437" w:hanging="297"/>
            <w:rPr>
              <w:rFonts w:ascii="Calibri"/>
              <w:sz w:val="20"/>
            </w:rPr>
          </w:pPr>
          <w:r>
            <w:rPr>
              <w:rFonts w:ascii="Calibri"/>
              <w:sz w:val="20"/>
            </w:rPr>
            <w:t>Examples of roles in each Agenda for</w:t>
          </w:r>
          <w:r>
            <w:rPr>
              <w:rFonts w:ascii="Calibri"/>
              <w:spacing w:val="-4"/>
              <w:sz w:val="20"/>
            </w:rPr>
            <w:t xml:space="preserve"> </w:t>
          </w:r>
          <w:r>
            <w:rPr>
              <w:rFonts w:ascii="Calibri"/>
              <w:sz w:val="20"/>
            </w:rPr>
            <w:t>Change</w:t>
          </w:r>
          <w:r>
            <w:rPr>
              <w:rFonts w:ascii="Calibri"/>
              <w:spacing w:val="-3"/>
              <w:sz w:val="20"/>
            </w:rPr>
            <w:t xml:space="preserve"> </w:t>
          </w:r>
          <w:r>
            <w:rPr>
              <w:rFonts w:ascii="Calibri"/>
              <w:sz w:val="20"/>
            </w:rPr>
            <w:t>band</w:t>
          </w:r>
          <w:r>
            <w:rPr>
              <w:rFonts w:ascii="Calibri"/>
              <w:sz w:val="20"/>
            </w:rPr>
            <w:tab/>
            <w:t>158</w:t>
          </w:r>
        </w:p>
        <w:p w:rsidR="006A18FD" w:rsidRDefault="002D29FC" w:rsidP="008E3FA8">
          <w:pPr>
            <w:numPr>
              <w:ilvl w:val="0"/>
              <w:numId w:val="33"/>
            </w:numPr>
            <w:tabs>
              <w:tab w:val="left" w:pos="438"/>
              <w:tab w:val="right" w:leader="dot" w:pos="8928"/>
            </w:tabs>
            <w:spacing w:before="156" w:after="140"/>
            <w:ind w:left="437" w:hanging="297"/>
            <w:rPr>
              <w:rFonts w:ascii="Calibri"/>
              <w:sz w:val="20"/>
            </w:rPr>
          </w:pPr>
          <w:r>
            <w:rPr>
              <w:rFonts w:ascii="Calibri"/>
              <w:sz w:val="20"/>
            </w:rPr>
            <w:t>Training costs of health and social</w:t>
          </w:r>
          <w:r>
            <w:rPr>
              <w:rFonts w:ascii="Calibri"/>
              <w:spacing w:val="-7"/>
              <w:sz w:val="20"/>
            </w:rPr>
            <w:t xml:space="preserve"> </w:t>
          </w:r>
          <w:r>
            <w:rPr>
              <w:rFonts w:ascii="Calibri"/>
              <w:sz w:val="20"/>
            </w:rPr>
            <w:t>care</w:t>
          </w:r>
          <w:r>
            <w:rPr>
              <w:rFonts w:ascii="Calibri"/>
              <w:spacing w:val="-2"/>
              <w:sz w:val="20"/>
            </w:rPr>
            <w:t xml:space="preserve"> </w:t>
          </w:r>
          <w:r>
            <w:rPr>
              <w:rFonts w:ascii="Calibri"/>
              <w:sz w:val="20"/>
            </w:rPr>
            <w:t>professionals</w:t>
          </w:r>
          <w:r>
            <w:rPr>
              <w:rFonts w:ascii="Calibri"/>
              <w:sz w:val="20"/>
            </w:rPr>
            <w:tab/>
            <w:t>160</w:t>
          </w:r>
        </w:p>
        <w:p w:rsidR="006A18FD" w:rsidRDefault="002D29FC" w:rsidP="008E3FA8">
          <w:pPr>
            <w:numPr>
              <w:ilvl w:val="0"/>
              <w:numId w:val="33"/>
            </w:numPr>
            <w:tabs>
              <w:tab w:val="left" w:pos="438"/>
              <w:tab w:val="right" w:leader="dot" w:pos="8928"/>
            </w:tabs>
            <w:spacing w:before="436"/>
            <w:ind w:left="437" w:hanging="297"/>
            <w:rPr>
              <w:rFonts w:ascii="Calibri"/>
              <w:sz w:val="20"/>
            </w:rPr>
          </w:pPr>
          <w:r>
            <w:rPr>
              <w:rFonts w:ascii="Calibri"/>
              <w:sz w:val="20"/>
            </w:rPr>
            <w:t>Care</w:t>
          </w:r>
          <w:r>
            <w:rPr>
              <w:rFonts w:ascii="Calibri"/>
              <w:spacing w:val="-2"/>
              <w:sz w:val="20"/>
            </w:rPr>
            <w:t xml:space="preserve"> </w:t>
          </w:r>
          <w:r>
            <w:rPr>
              <w:rFonts w:ascii="Calibri"/>
              <w:sz w:val="20"/>
            </w:rPr>
            <w:t>home</w:t>
          </w:r>
          <w:r>
            <w:rPr>
              <w:rFonts w:ascii="Calibri"/>
              <w:spacing w:val="-2"/>
              <w:sz w:val="20"/>
            </w:rPr>
            <w:t xml:space="preserve"> </w:t>
          </w:r>
          <w:r>
            <w:rPr>
              <w:rFonts w:ascii="Calibri"/>
              <w:sz w:val="20"/>
            </w:rPr>
            <w:t>fees</w:t>
          </w:r>
          <w:r>
            <w:rPr>
              <w:rFonts w:ascii="Calibri"/>
              <w:sz w:val="20"/>
            </w:rPr>
            <w:tab/>
            <w:t>162</w:t>
          </w:r>
        </w:p>
        <w:p w:rsidR="006A18FD" w:rsidRDefault="002D29FC" w:rsidP="008E3FA8">
          <w:pPr>
            <w:numPr>
              <w:ilvl w:val="0"/>
              <w:numId w:val="33"/>
            </w:numPr>
            <w:tabs>
              <w:tab w:val="left" w:pos="438"/>
              <w:tab w:val="right" w:leader="dot" w:pos="8928"/>
            </w:tabs>
            <w:spacing w:before="157"/>
            <w:ind w:left="437" w:hanging="297"/>
            <w:rPr>
              <w:rFonts w:ascii="Calibri"/>
              <w:sz w:val="20"/>
            </w:rPr>
          </w:pPr>
          <w:r>
            <w:rPr>
              <w:rFonts w:ascii="Calibri"/>
              <w:sz w:val="20"/>
            </w:rPr>
            <w:t>Time use of community</w:t>
          </w:r>
          <w:r>
            <w:rPr>
              <w:rFonts w:ascii="Calibri"/>
              <w:spacing w:val="-5"/>
              <w:sz w:val="20"/>
            </w:rPr>
            <w:t xml:space="preserve"> </w:t>
          </w:r>
          <w:r>
            <w:rPr>
              <w:rFonts w:ascii="Calibri"/>
              <w:sz w:val="20"/>
            </w:rPr>
            <w:t>care</w:t>
          </w:r>
          <w:r>
            <w:rPr>
              <w:rFonts w:ascii="Calibri"/>
              <w:spacing w:val="-2"/>
              <w:sz w:val="20"/>
            </w:rPr>
            <w:t xml:space="preserve"> </w:t>
          </w:r>
          <w:r>
            <w:rPr>
              <w:rFonts w:ascii="Calibri"/>
              <w:sz w:val="20"/>
            </w:rPr>
            <w:t>professionals</w:t>
          </w:r>
          <w:r>
            <w:rPr>
              <w:rFonts w:ascii="Calibri"/>
              <w:sz w:val="20"/>
            </w:rPr>
            <w:tab/>
            <w:t>163</w:t>
          </w:r>
        </w:p>
        <w:p w:rsidR="006A18FD" w:rsidRDefault="002D29FC" w:rsidP="008E3FA8">
          <w:pPr>
            <w:numPr>
              <w:ilvl w:val="0"/>
              <w:numId w:val="33"/>
            </w:numPr>
            <w:tabs>
              <w:tab w:val="left" w:pos="438"/>
              <w:tab w:val="right" w:leader="dot" w:pos="8928"/>
            </w:tabs>
            <w:spacing w:before="156"/>
            <w:ind w:left="437" w:hanging="297"/>
            <w:rPr>
              <w:rFonts w:ascii="Calibri"/>
              <w:sz w:val="20"/>
            </w:rPr>
          </w:pPr>
          <w:r>
            <w:rPr>
              <w:rFonts w:ascii="Calibri"/>
              <w:sz w:val="20"/>
            </w:rPr>
            <w:t>Glossary</w:t>
          </w:r>
          <w:r>
            <w:rPr>
              <w:rFonts w:ascii="Calibri"/>
              <w:sz w:val="20"/>
            </w:rPr>
            <w:tab/>
            <w:t>164</w:t>
          </w:r>
        </w:p>
        <w:p w:rsidR="006A18FD" w:rsidRDefault="002D29FC" w:rsidP="008E3FA8">
          <w:pPr>
            <w:numPr>
              <w:ilvl w:val="0"/>
              <w:numId w:val="33"/>
            </w:numPr>
            <w:tabs>
              <w:tab w:val="left" w:pos="438"/>
              <w:tab w:val="right" w:leader="dot" w:pos="8928"/>
            </w:tabs>
            <w:spacing w:before="156"/>
            <w:ind w:left="437" w:hanging="297"/>
            <w:rPr>
              <w:rFonts w:ascii="Calibri"/>
              <w:sz w:val="20"/>
            </w:rPr>
          </w:pPr>
          <w:r>
            <w:rPr>
              <w:rFonts w:ascii="Calibri"/>
              <w:sz w:val="20"/>
            </w:rPr>
            <w:t>References</w:t>
          </w:r>
          <w:r>
            <w:rPr>
              <w:rFonts w:ascii="Calibri"/>
              <w:sz w:val="20"/>
            </w:rPr>
            <w:tab/>
            <w:t>166</w:t>
          </w:r>
        </w:p>
        <w:p w:rsidR="006A18FD" w:rsidRDefault="002D29FC" w:rsidP="008E3FA8">
          <w:pPr>
            <w:numPr>
              <w:ilvl w:val="0"/>
              <w:numId w:val="33"/>
            </w:numPr>
            <w:tabs>
              <w:tab w:val="left" w:pos="438"/>
              <w:tab w:val="right" w:leader="dot" w:pos="8928"/>
            </w:tabs>
            <w:spacing w:before="156"/>
            <w:ind w:left="437" w:hanging="297"/>
            <w:rPr>
              <w:rFonts w:ascii="Calibri"/>
              <w:sz w:val="20"/>
            </w:rPr>
          </w:pPr>
          <w:r>
            <w:rPr>
              <w:rFonts w:ascii="Calibri"/>
              <w:sz w:val="20"/>
            </w:rPr>
            <w:t>List of</w:t>
          </w:r>
          <w:r>
            <w:rPr>
              <w:rFonts w:ascii="Calibri"/>
              <w:spacing w:val="-2"/>
              <w:sz w:val="20"/>
            </w:rPr>
            <w:t xml:space="preserve"> </w:t>
          </w:r>
          <w:r>
            <w:rPr>
              <w:rFonts w:ascii="Calibri"/>
              <w:sz w:val="20"/>
            </w:rPr>
            <w:t>useful websites</w:t>
          </w:r>
          <w:r>
            <w:rPr>
              <w:rFonts w:ascii="Calibri"/>
              <w:sz w:val="20"/>
            </w:rPr>
            <w:tab/>
            <w:t>171</w:t>
          </w:r>
        </w:p>
        <w:p w:rsidR="006A18FD" w:rsidRDefault="002D29FC" w:rsidP="008E3FA8">
          <w:pPr>
            <w:numPr>
              <w:ilvl w:val="0"/>
              <w:numId w:val="33"/>
            </w:numPr>
            <w:tabs>
              <w:tab w:val="left" w:pos="438"/>
              <w:tab w:val="right" w:leader="dot" w:pos="8928"/>
            </w:tabs>
            <w:spacing w:before="156"/>
            <w:ind w:left="437" w:hanging="297"/>
            <w:rPr>
              <w:rFonts w:ascii="Calibri"/>
              <w:sz w:val="20"/>
            </w:rPr>
          </w:pPr>
          <w:r>
            <w:rPr>
              <w:rFonts w:ascii="Calibri"/>
              <w:sz w:val="20"/>
            </w:rPr>
            <w:t>List of items from</w:t>
          </w:r>
          <w:r>
            <w:rPr>
              <w:rFonts w:ascii="Calibri"/>
              <w:spacing w:val="-6"/>
              <w:sz w:val="20"/>
            </w:rPr>
            <w:t xml:space="preserve"> </w:t>
          </w:r>
          <w:r>
            <w:rPr>
              <w:rFonts w:ascii="Calibri"/>
              <w:sz w:val="20"/>
            </w:rPr>
            <w:t>previous</w:t>
          </w:r>
          <w:r>
            <w:rPr>
              <w:rFonts w:ascii="Calibri"/>
              <w:spacing w:val="-3"/>
              <w:sz w:val="20"/>
            </w:rPr>
            <w:t xml:space="preserve"> </w:t>
          </w:r>
          <w:r>
            <w:rPr>
              <w:rFonts w:ascii="Calibri"/>
              <w:sz w:val="20"/>
            </w:rPr>
            <w:t>volumes</w:t>
          </w:r>
          <w:r>
            <w:rPr>
              <w:rFonts w:ascii="Calibri"/>
              <w:sz w:val="20"/>
            </w:rPr>
            <w:tab/>
            <w:t>173</w:t>
          </w:r>
        </w:p>
      </w:sdtContent>
    </w:sdt>
    <w:p w:rsidR="006A18FD" w:rsidRDefault="006A18FD">
      <w:pPr>
        <w:rPr>
          <w:rFonts w:ascii="Calibri"/>
          <w:sz w:val="20"/>
        </w:rPr>
        <w:sectPr w:rsidR="006A18FD">
          <w:type w:val="continuous"/>
          <w:pgSz w:w="11910" w:h="16840"/>
          <w:pgMar w:top="1007" w:right="1300" w:bottom="1505" w:left="1300" w:header="720" w:footer="720" w:gutter="0"/>
          <w:cols w:space="720"/>
        </w:sectPr>
      </w:pPr>
    </w:p>
    <w:p w:rsidR="006A18FD" w:rsidRDefault="002D29FC" w:rsidP="00EE595F">
      <w:pPr>
        <w:pStyle w:val="Heading1"/>
      </w:pPr>
      <w:r>
        <w:t>Introduction to the Unit Costs of Health and Social Care publication</w:t>
      </w:r>
    </w:p>
    <w:p w:rsidR="006A18FD" w:rsidRDefault="00E60AD2">
      <w:pPr>
        <w:spacing w:before="156"/>
        <w:ind w:left="140" w:right="227"/>
        <w:rPr>
          <w:rFonts w:ascii="Calibri"/>
          <w:sz w:val="19"/>
        </w:rPr>
      </w:pPr>
      <w:r>
        <w:rPr>
          <w:noProof/>
          <w:lang w:val="en-GB" w:eastAsia="en-GB"/>
        </w:rPr>
        <mc:AlternateContent>
          <mc:Choice Requires="wps">
            <w:drawing>
              <wp:anchor distT="0" distB="0" distL="0" distR="0" simplePos="0" relativeHeight="251589632" behindDoc="0" locked="0" layoutInCell="1" allowOverlap="1">
                <wp:simplePos x="0" y="0"/>
                <wp:positionH relativeFrom="page">
                  <wp:posOffset>917575</wp:posOffset>
                </wp:positionH>
                <wp:positionV relativeFrom="paragraph">
                  <wp:posOffset>767080</wp:posOffset>
                </wp:positionV>
                <wp:extent cx="5727065" cy="1733550"/>
                <wp:effectExtent l="12700" t="11430" r="13335" b="7620"/>
                <wp:wrapTopAndBottom/>
                <wp:docPr id="40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73355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21"/>
                              <w:ind w:left="103"/>
                              <w:rPr>
                                <w:rFonts w:ascii="Calibri"/>
                                <w:b/>
                                <w:sz w:val="19"/>
                              </w:rPr>
                            </w:pPr>
                            <w:r>
                              <w:rPr>
                                <w:rFonts w:ascii="Calibri"/>
                                <w:b/>
                                <w:sz w:val="19"/>
                              </w:rPr>
                              <w:t>Unit costs should:</w:t>
                            </w:r>
                          </w:p>
                          <w:p w:rsidR="002E1E01" w:rsidRDefault="002E1E01" w:rsidP="008E3FA8">
                            <w:pPr>
                              <w:numPr>
                                <w:ilvl w:val="0"/>
                                <w:numId w:val="30"/>
                              </w:numPr>
                              <w:tabs>
                                <w:tab w:val="left" w:pos="708"/>
                              </w:tabs>
                              <w:spacing w:before="120"/>
                              <w:ind w:right="350" w:hanging="283"/>
                              <w:rPr>
                                <w:rFonts w:ascii="Calibri"/>
                                <w:sz w:val="19"/>
                              </w:rPr>
                            </w:pPr>
                            <w:r>
                              <w:rPr>
                                <w:rFonts w:ascii="Calibri"/>
                                <w:b/>
                                <w:sz w:val="19"/>
                              </w:rPr>
                              <w:t xml:space="preserve">Be consistent </w:t>
                            </w:r>
                            <w:r>
                              <w:rPr>
                                <w:rFonts w:ascii="Calibri"/>
                                <w:sz w:val="19"/>
                              </w:rPr>
                              <w:t>across different economic analyses, to avoid inconsistency in unit costs used which could feed into inconsistency in decisions</w:t>
                            </w:r>
                            <w:r>
                              <w:rPr>
                                <w:rFonts w:ascii="Calibri"/>
                                <w:spacing w:val="-20"/>
                                <w:sz w:val="19"/>
                              </w:rPr>
                              <w:t xml:space="preserve"> </w:t>
                            </w:r>
                            <w:r>
                              <w:rPr>
                                <w:rFonts w:ascii="Calibri"/>
                                <w:sz w:val="19"/>
                              </w:rPr>
                              <w:t>proposed.</w:t>
                            </w:r>
                          </w:p>
                          <w:p w:rsidR="002E1E01" w:rsidRDefault="002E1E01" w:rsidP="008E3FA8">
                            <w:pPr>
                              <w:numPr>
                                <w:ilvl w:val="0"/>
                                <w:numId w:val="30"/>
                              </w:numPr>
                              <w:tabs>
                                <w:tab w:val="left" w:pos="708"/>
                              </w:tabs>
                              <w:spacing w:before="118"/>
                              <w:ind w:right="350" w:hanging="283"/>
                              <w:rPr>
                                <w:rFonts w:ascii="Calibri"/>
                                <w:sz w:val="19"/>
                              </w:rPr>
                            </w:pPr>
                            <w:r>
                              <w:rPr>
                                <w:rFonts w:ascii="Calibri"/>
                                <w:b/>
                                <w:sz w:val="19"/>
                              </w:rPr>
                              <w:t>Be comprehensive</w:t>
                            </w:r>
                            <w:r>
                              <w:rPr>
                                <w:rFonts w:ascii="Calibri"/>
                                <w:sz w:val="19"/>
                              </w:rPr>
                              <w:t>, in that they consider long-run marginal costs as well as obvious direct costs such as salaries. Long-run marginal costs include the initial qualifications cost of staff and the cost of building, heating and running the buildings in which they work. These long-run costs are often substantial. Excluding them would underestimate the long-run cost of decisions</w:t>
                            </w:r>
                            <w:r>
                              <w:rPr>
                                <w:rFonts w:ascii="Calibri"/>
                                <w:spacing w:val="-23"/>
                                <w:sz w:val="19"/>
                              </w:rPr>
                              <w:t xml:space="preserve"> </w:t>
                            </w:r>
                            <w:r>
                              <w:rPr>
                                <w:rFonts w:ascii="Calibri"/>
                                <w:sz w:val="19"/>
                              </w:rPr>
                              <w:t>made.</w:t>
                            </w:r>
                          </w:p>
                          <w:p w:rsidR="002E1E01" w:rsidRDefault="002E1E01" w:rsidP="008E3FA8">
                            <w:pPr>
                              <w:numPr>
                                <w:ilvl w:val="0"/>
                                <w:numId w:val="30"/>
                              </w:numPr>
                              <w:tabs>
                                <w:tab w:val="left" w:pos="708"/>
                              </w:tabs>
                              <w:spacing w:before="118"/>
                              <w:ind w:right="242" w:hanging="283"/>
                              <w:rPr>
                                <w:rFonts w:ascii="Calibri"/>
                                <w:sz w:val="19"/>
                              </w:rPr>
                            </w:pPr>
                            <w:r>
                              <w:rPr>
                                <w:rFonts w:ascii="Calibri"/>
                                <w:b/>
                                <w:sz w:val="19"/>
                              </w:rPr>
                              <w:t>Be clearly documented</w:t>
                            </w:r>
                            <w:r>
                              <w:rPr>
                                <w:rFonts w:ascii="Calibri"/>
                                <w:sz w:val="19"/>
                              </w:rPr>
                              <w:t>, so that it is clear what judgments have been made in constructing them, so that they can be used in an informed</w:t>
                            </w:r>
                            <w:r>
                              <w:rPr>
                                <w:rFonts w:ascii="Calibri"/>
                                <w:spacing w:val="-17"/>
                                <w:sz w:val="19"/>
                              </w:rPr>
                              <w:t xml:space="preserve"> </w:t>
                            </w:r>
                            <w:r>
                              <w:rPr>
                                <w:rFonts w:ascii="Calibri"/>
                                <w:sz w:val="19"/>
                              </w:rPr>
                              <w:t>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26" type="#_x0000_t202" style="position:absolute;left:0;text-align:left;margin-left:72.25pt;margin-top:60.4pt;width:450.95pt;height:136.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" filled="f" strokeweight=".16936mm">
                <v:textbox inset="0,0,0,0">
                  <w:txbxContent>
                    <w:p w:rsidR="002E1E01" w:rsidRDefault="002E1E01">
                      <w:pPr>
                        <w:spacing w:before="121"/>
                        <w:ind w:left="103"/>
                        <w:rPr>
                          <w:rFonts w:ascii="Calibri"/>
                          <w:b/>
                          <w:sz w:val="19"/>
                        </w:rPr>
                      </w:pPr>
                      <w:r>
                        <w:rPr>
                          <w:rFonts w:ascii="Calibri"/>
                          <w:b/>
                          <w:sz w:val="19"/>
                        </w:rPr>
                        <w:t>Unit costs should:</w:t>
                      </w:r>
                    </w:p>
                    <w:p w:rsidR="002E1E01" w:rsidRDefault="002E1E01" w:rsidP="008E3FA8">
                      <w:pPr>
                        <w:numPr>
                          <w:ilvl w:val="0"/>
                          <w:numId w:val="30"/>
                        </w:numPr>
                        <w:tabs>
                          <w:tab w:val="left" w:pos="708"/>
                        </w:tabs>
                        <w:spacing w:before="120"/>
                        <w:ind w:right="350" w:hanging="283"/>
                        <w:rPr>
                          <w:rFonts w:ascii="Calibri"/>
                          <w:sz w:val="19"/>
                        </w:rPr>
                      </w:pPr>
                      <w:r>
                        <w:rPr>
                          <w:rFonts w:ascii="Calibri"/>
                          <w:b/>
                          <w:sz w:val="19"/>
                        </w:rPr>
                        <w:t xml:space="preserve">Be consistent </w:t>
                      </w:r>
                      <w:r>
                        <w:rPr>
                          <w:rFonts w:ascii="Calibri"/>
                          <w:sz w:val="19"/>
                        </w:rPr>
                        <w:t>across different economic analyses, to avoid inconsistency in unit costs used which could feed into inconsistency in decisions</w:t>
                      </w:r>
                      <w:r>
                        <w:rPr>
                          <w:rFonts w:ascii="Calibri"/>
                          <w:spacing w:val="-20"/>
                          <w:sz w:val="19"/>
                        </w:rPr>
                        <w:t xml:space="preserve"> </w:t>
                      </w:r>
                      <w:r>
                        <w:rPr>
                          <w:rFonts w:ascii="Calibri"/>
                          <w:sz w:val="19"/>
                        </w:rPr>
                        <w:t>proposed.</w:t>
                      </w:r>
                    </w:p>
                    <w:p w:rsidR="002E1E01" w:rsidRDefault="002E1E01" w:rsidP="008E3FA8">
                      <w:pPr>
                        <w:numPr>
                          <w:ilvl w:val="0"/>
                          <w:numId w:val="30"/>
                        </w:numPr>
                        <w:tabs>
                          <w:tab w:val="left" w:pos="708"/>
                        </w:tabs>
                        <w:spacing w:before="118"/>
                        <w:ind w:right="350" w:hanging="283"/>
                        <w:rPr>
                          <w:rFonts w:ascii="Calibri"/>
                          <w:sz w:val="19"/>
                        </w:rPr>
                      </w:pPr>
                      <w:r>
                        <w:rPr>
                          <w:rFonts w:ascii="Calibri"/>
                          <w:b/>
                          <w:sz w:val="19"/>
                        </w:rPr>
                        <w:t>Be comprehensive</w:t>
                      </w:r>
                      <w:r>
                        <w:rPr>
                          <w:rFonts w:ascii="Calibri"/>
                          <w:sz w:val="19"/>
                        </w:rPr>
                        <w:t>, in that they consider long-run marginal costs as well as obvious direct costs such as salaries. Long-run marginal costs include the initial qualifications cost of staff and the cost of building, heating and running the buildings in which they work. These long-run costs are often substantial. Excluding them would underestimate the long-run cost of decisions</w:t>
                      </w:r>
                      <w:r>
                        <w:rPr>
                          <w:rFonts w:ascii="Calibri"/>
                          <w:spacing w:val="-23"/>
                          <w:sz w:val="19"/>
                        </w:rPr>
                        <w:t xml:space="preserve"> </w:t>
                      </w:r>
                      <w:r>
                        <w:rPr>
                          <w:rFonts w:ascii="Calibri"/>
                          <w:sz w:val="19"/>
                        </w:rPr>
                        <w:t>made.</w:t>
                      </w:r>
                    </w:p>
                    <w:p w:rsidR="002E1E01" w:rsidRDefault="002E1E01" w:rsidP="008E3FA8">
                      <w:pPr>
                        <w:numPr>
                          <w:ilvl w:val="0"/>
                          <w:numId w:val="30"/>
                        </w:numPr>
                        <w:tabs>
                          <w:tab w:val="left" w:pos="708"/>
                        </w:tabs>
                        <w:spacing w:before="118"/>
                        <w:ind w:right="242" w:hanging="283"/>
                        <w:rPr>
                          <w:rFonts w:ascii="Calibri"/>
                          <w:sz w:val="19"/>
                        </w:rPr>
                      </w:pPr>
                      <w:r>
                        <w:rPr>
                          <w:rFonts w:ascii="Calibri"/>
                          <w:b/>
                          <w:sz w:val="19"/>
                        </w:rPr>
                        <w:t>Be clearly documented</w:t>
                      </w:r>
                      <w:r>
                        <w:rPr>
                          <w:rFonts w:ascii="Calibri"/>
                          <w:sz w:val="19"/>
                        </w:rPr>
                        <w:t>, so that it is clear what judgments have been made in constructing them, so that they can be used in an informed</w:t>
                      </w:r>
                      <w:r>
                        <w:rPr>
                          <w:rFonts w:ascii="Calibri"/>
                          <w:spacing w:val="-17"/>
                          <w:sz w:val="19"/>
                        </w:rPr>
                        <w:t xml:space="preserve"> </w:t>
                      </w:r>
                      <w:r>
                        <w:rPr>
                          <w:rFonts w:ascii="Calibri"/>
                          <w:sz w:val="19"/>
                        </w:rPr>
                        <w:t>way.</w:t>
                      </w:r>
                    </w:p>
                  </w:txbxContent>
                </v:textbox>
                <w10:wrap type="topAndBottom" anchorx="page"/>
              </v:shape>
            </w:pict>
          </mc:Fallback>
        </mc:AlternateContent>
      </w:r>
      <w:r w:rsidR="002D29FC">
        <w:rPr>
          <w:rFonts w:ascii="Calibri"/>
          <w:sz w:val="19"/>
        </w:rPr>
        <w:t>The first Unit Costs of Health &amp; Social Care volume was published in 1992. It has always been funded by the Department of Health (DOH), now the Department of Health and Social Care (DHSC), with small amounts of funding provided by the Department for Education (DfE). We ensure our costs are of good quality by applying established cost estimation methods and principles.</w:t>
      </w:r>
    </w:p>
    <w:p w:rsidR="006A18FD" w:rsidRDefault="002D29FC" w:rsidP="00E42AC6">
      <w:pPr>
        <w:pStyle w:val="Heading2"/>
      </w:pPr>
      <w:r>
        <w:t>What are unit costs and why are they important?</w:t>
      </w:r>
    </w:p>
    <w:p w:rsidR="006A18FD" w:rsidRDefault="002D29FC">
      <w:pPr>
        <w:spacing w:before="118"/>
        <w:ind w:left="140" w:right="199"/>
        <w:rPr>
          <w:rFonts w:ascii="Calibri" w:hAnsi="Calibri"/>
          <w:sz w:val="19"/>
        </w:rPr>
      </w:pPr>
      <w:r>
        <w:rPr>
          <w:rFonts w:ascii="Calibri" w:hAnsi="Calibri"/>
          <w:sz w:val="19"/>
        </w:rPr>
        <w:t>Unit costs represent the total expenditure incurred to produce one unit of output. In health and social care, this could be the cost of one hour of a nurse or GP’s time, or a face-to-face appointment with a social worker or perhaps</w:t>
      </w:r>
    </w:p>
    <w:p w:rsidR="006A18FD" w:rsidRDefault="002D29FC">
      <w:pPr>
        <w:ind w:left="140" w:right="147"/>
        <w:rPr>
          <w:rFonts w:ascii="Calibri" w:hAnsi="Calibri"/>
          <w:sz w:val="19"/>
        </w:rPr>
      </w:pPr>
      <w:r>
        <w:rPr>
          <w:rFonts w:ascii="Calibri" w:hAnsi="Calibri"/>
          <w:sz w:val="19"/>
        </w:rPr>
        <w:t>a speech therapist. It could also be a week in a residential care or nursing home or the cost of a day care attendance. Unit costs are important because they support organisations’ assessments of performance and value for money. In other words, they can help providers achieve the most efficient use of resources.</w:t>
      </w:r>
    </w:p>
    <w:p w:rsidR="006A18FD" w:rsidRDefault="002D29FC" w:rsidP="00E42AC6">
      <w:pPr>
        <w:pStyle w:val="Heading2"/>
      </w:pPr>
      <w:r>
        <w:t>How we calculate costs</w:t>
      </w:r>
    </w:p>
    <w:p w:rsidR="006A18FD" w:rsidRDefault="00E60AD2">
      <w:pPr>
        <w:spacing w:before="118"/>
        <w:ind w:left="140" w:right="413"/>
        <w:rPr>
          <w:rFonts w:ascii="Calibri"/>
          <w:sz w:val="19"/>
        </w:rPr>
      </w:pPr>
      <w:r>
        <w:rPr>
          <w:noProof/>
          <w:lang w:val="en-GB" w:eastAsia="en-GB"/>
        </w:rPr>
        <mc:AlternateContent>
          <mc:Choice Requires="wps">
            <w:drawing>
              <wp:anchor distT="0" distB="0" distL="0" distR="0" simplePos="0" relativeHeight="251590656" behindDoc="0" locked="0" layoutInCell="1" allowOverlap="1">
                <wp:simplePos x="0" y="0"/>
                <wp:positionH relativeFrom="page">
                  <wp:posOffset>917575</wp:posOffset>
                </wp:positionH>
                <wp:positionV relativeFrom="paragraph">
                  <wp:posOffset>595630</wp:posOffset>
                </wp:positionV>
                <wp:extent cx="5727065" cy="1325880"/>
                <wp:effectExtent l="12700" t="12700" r="13335" b="13970"/>
                <wp:wrapTopAndBottom/>
                <wp:docPr id="40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32588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21"/>
                              <w:ind w:left="103"/>
                              <w:rPr>
                                <w:rFonts w:ascii="Calibri"/>
                                <w:sz w:val="19"/>
                              </w:rPr>
                            </w:pPr>
                            <w:r>
                              <w:rPr>
                                <w:rFonts w:ascii="Calibri"/>
                                <w:sz w:val="19"/>
                              </w:rPr>
                              <w:t>Cost estimation approach</w:t>
                            </w:r>
                          </w:p>
                          <w:p w:rsidR="002E1E01" w:rsidRDefault="002E1E01" w:rsidP="008E3FA8">
                            <w:pPr>
                              <w:numPr>
                                <w:ilvl w:val="0"/>
                                <w:numId w:val="29"/>
                              </w:numPr>
                              <w:tabs>
                                <w:tab w:val="left" w:pos="823"/>
                                <w:tab w:val="left" w:pos="824"/>
                              </w:tabs>
                              <w:spacing w:before="120"/>
                              <w:rPr>
                                <w:rFonts w:ascii="Calibri"/>
                                <w:sz w:val="19"/>
                              </w:rPr>
                            </w:pPr>
                            <w:r>
                              <w:rPr>
                                <w:rFonts w:ascii="Calibri"/>
                                <w:sz w:val="19"/>
                              </w:rPr>
                              <w:t>Financial implications of all service components are</w:t>
                            </w:r>
                            <w:r>
                              <w:rPr>
                                <w:rFonts w:ascii="Calibri"/>
                                <w:spacing w:val="-22"/>
                                <w:sz w:val="19"/>
                              </w:rPr>
                              <w:t xml:space="preserve"> </w:t>
                            </w:r>
                            <w:r>
                              <w:rPr>
                                <w:rFonts w:ascii="Calibri"/>
                                <w:sz w:val="19"/>
                              </w:rPr>
                              <w:t>included</w:t>
                            </w:r>
                          </w:p>
                          <w:p w:rsidR="002E1E01" w:rsidRDefault="002E1E01" w:rsidP="008E3FA8">
                            <w:pPr>
                              <w:numPr>
                                <w:ilvl w:val="0"/>
                                <w:numId w:val="29"/>
                              </w:numPr>
                              <w:tabs>
                                <w:tab w:val="left" w:pos="823"/>
                                <w:tab w:val="left" w:pos="824"/>
                              </w:tabs>
                              <w:rPr>
                                <w:rFonts w:ascii="Calibri"/>
                                <w:sz w:val="19"/>
                              </w:rPr>
                            </w:pPr>
                            <w:r>
                              <w:rPr>
                                <w:rFonts w:ascii="Calibri"/>
                                <w:sz w:val="19"/>
                              </w:rPr>
                              <w:t>Unit costs reflect the long-run marginal opportunity cost for that</w:t>
                            </w:r>
                            <w:r>
                              <w:rPr>
                                <w:rFonts w:ascii="Calibri"/>
                                <w:spacing w:val="-31"/>
                                <w:sz w:val="19"/>
                              </w:rPr>
                              <w:t xml:space="preserve"> </w:t>
                            </w:r>
                            <w:r>
                              <w:rPr>
                                <w:rFonts w:ascii="Calibri"/>
                                <w:sz w:val="19"/>
                              </w:rPr>
                              <w:t>service</w:t>
                            </w:r>
                          </w:p>
                          <w:p w:rsidR="002E1E01" w:rsidRDefault="002E1E01" w:rsidP="008E3FA8">
                            <w:pPr>
                              <w:numPr>
                                <w:ilvl w:val="0"/>
                                <w:numId w:val="29"/>
                              </w:numPr>
                              <w:tabs>
                                <w:tab w:val="left" w:pos="823"/>
                                <w:tab w:val="left" w:pos="824"/>
                              </w:tabs>
                              <w:spacing w:line="241" w:lineRule="exact"/>
                              <w:rPr>
                                <w:rFonts w:ascii="Calibri" w:hAnsi="Calibri"/>
                                <w:sz w:val="19"/>
                              </w:rPr>
                            </w:pPr>
                            <w:r>
                              <w:rPr>
                                <w:rFonts w:ascii="Calibri" w:hAnsi="Calibri"/>
                                <w:sz w:val="19"/>
                              </w:rPr>
                              <w:t>A “bottom-up” approach is taken – users can substitute their own data for any</w:t>
                            </w:r>
                            <w:r>
                              <w:rPr>
                                <w:rFonts w:ascii="Calibri" w:hAnsi="Calibri"/>
                                <w:spacing w:val="-28"/>
                                <w:sz w:val="19"/>
                              </w:rPr>
                              <w:t xml:space="preserve"> </w:t>
                            </w:r>
                            <w:r>
                              <w:rPr>
                                <w:rFonts w:ascii="Calibri" w:hAnsi="Calibri"/>
                                <w:sz w:val="19"/>
                              </w:rPr>
                              <w:t>component</w:t>
                            </w:r>
                          </w:p>
                          <w:p w:rsidR="002E1E01" w:rsidRDefault="002E1E01" w:rsidP="008E3FA8">
                            <w:pPr>
                              <w:numPr>
                                <w:ilvl w:val="0"/>
                                <w:numId w:val="29"/>
                              </w:numPr>
                              <w:tabs>
                                <w:tab w:val="left" w:pos="823"/>
                                <w:tab w:val="left" w:pos="824"/>
                              </w:tabs>
                              <w:spacing w:line="241" w:lineRule="exact"/>
                              <w:rPr>
                                <w:rFonts w:ascii="Calibri"/>
                                <w:sz w:val="19"/>
                              </w:rPr>
                            </w:pPr>
                            <w:r>
                              <w:rPr>
                                <w:rFonts w:ascii="Calibri"/>
                                <w:sz w:val="19"/>
                              </w:rPr>
                              <w:t>Sources of information are fully</w:t>
                            </w:r>
                            <w:r>
                              <w:rPr>
                                <w:rFonts w:ascii="Calibri"/>
                                <w:spacing w:val="-20"/>
                                <w:sz w:val="19"/>
                              </w:rPr>
                              <w:t xml:space="preserve"> </w:t>
                            </w:r>
                            <w:r>
                              <w:rPr>
                                <w:rFonts w:ascii="Calibri"/>
                                <w:sz w:val="19"/>
                              </w:rPr>
                              <w:t>referenced</w:t>
                            </w:r>
                          </w:p>
                          <w:p w:rsidR="002E1E01" w:rsidRDefault="002E1E01" w:rsidP="008E3FA8">
                            <w:pPr>
                              <w:numPr>
                                <w:ilvl w:val="0"/>
                                <w:numId w:val="29"/>
                              </w:numPr>
                              <w:tabs>
                                <w:tab w:val="left" w:pos="823"/>
                                <w:tab w:val="left" w:pos="824"/>
                              </w:tabs>
                              <w:rPr>
                                <w:rFonts w:ascii="Calibri"/>
                                <w:sz w:val="19"/>
                              </w:rPr>
                            </w:pPr>
                            <w:r>
                              <w:rPr>
                                <w:rFonts w:ascii="Calibri"/>
                                <w:sz w:val="19"/>
                              </w:rPr>
                              <w:t>Unit</w:t>
                            </w:r>
                            <w:r>
                              <w:rPr>
                                <w:rFonts w:ascii="Calibri"/>
                                <w:spacing w:val="-4"/>
                                <w:sz w:val="19"/>
                              </w:rPr>
                              <w:t xml:space="preserve"> </w:t>
                            </w:r>
                            <w:r>
                              <w:rPr>
                                <w:rFonts w:ascii="Calibri"/>
                                <w:sz w:val="19"/>
                              </w:rPr>
                              <w:t>costs</w:t>
                            </w:r>
                            <w:r>
                              <w:rPr>
                                <w:rFonts w:ascii="Calibri"/>
                                <w:spacing w:val="-2"/>
                                <w:sz w:val="19"/>
                              </w:rPr>
                              <w:t xml:space="preserve"> </w:t>
                            </w:r>
                            <w:r>
                              <w:rPr>
                                <w:rFonts w:ascii="Calibri"/>
                                <w:sz w:val="19"/>
                              </w:rPr>
                              <w:t>account</w:t>
                            </w:r>
                            <w:r>
                              <w:rPr>
                                <w:rFonts w:ascii="Calibri"/>
                                <w:spacing w:val="-4"/>
                                <w:sz w:val="19"/>
                              </w:rPr>
                              <w:t xml:space="preserve"> </w:t>
                            </w:r>
                            <w:r>
                              <w:rPr>
                                <w:rFonts w:ascii="Calibri"/>
                                <w:sz w:val="19"/>
                              </w:rPr>
                              <w:t>for</w:t>
                            </w:r>
                            <w:r>
                              <w:rPr>
                                <w:rFonts w:ascii="Calibri"/>
                                <w:spacing w:val="-2"/>
                                <w:sz w:val="19"/>
                              </w:rPr>
                              <w:t xml:space="preserve"> </w:t>
                            </w:r>
                            <w:r>
                              <w:rPr>
                                <w:rFonts w:ascii="Calibri"/>
                                <w:sz w:val="19"/>
                              </w:rPr>
                              <w:t>the</w:t>
                            </w:r>
                            <w:r>
                              <w:rPr>
                                <w:rFonts w:ascii="Calibri"/>
                                <w:spacing w:val="-3"/>
                                <w:sz w:val="19"/>
                              </w:rPr>
                              <w:t xml:space="preserve"> </w:t>
                            </w:r>
                            <w:r>
                              <w:rPr>
                                <w:rFonts w:ascii="Calibri"/>
                                <w:sz w:val="19"/>
                              </w:rPr>
                              <w:t>fact</w:t>
                            </w:r>
                            <w:r>
                              <w:rPr>
                                <w:rFonts w:ascii="Calibri"/>
                                <w:spacing w:val="-4"/>
                                <w:sz w:val="19"/>
                              </w:rPr>
                              <w:t xml:space="preserve"> </w:t>
                            </w:r>
                            <w:r>
                              <w:rPr>
                                <w:rFonts w:ascii="Calibri"/>
                                <w:sz w:val="19"/>
                              </w:rPr>
                              <w:t>that</w:t>
                            </w:r>
                            <w:r>
                              <w:rPr>
                                <w:rFonts w:ascii="Calibri"/>
                                <w:spacing w:val="-3"/>
                                <w:sz w:val="19"/>
                              </w:rPr>
                              <w:t xml:space="preserve"> </w:t>
                            </w:r>
                            <w:r>
                              <w:rPr>
                                <w:rFonts w:ascii="Calibri"/>
                                <w:sz w:val="19"/>
                              </w:rPr>
                              <w:t>care</w:t>
                            </w:r>
                            <w:r>
                              <w:rPr>
                                <w:rFonts w:ascii="Calibri"/>
                                <w:spacing w:val="-3"/>
                                <w:sz w:val="19"/>
                              </w:rPr>
                              <w:t xml:space="preserve"> </w:t>
                            </w:r>
                            <w:r>
                              <w:rPr>
                                <w:rFonts w:ascii="Calibri"/>
                                <w:sz w:val="19"/>
                              </w:rPr>
                              <w:t>staff</w:t>
                            </w:r>
                            <w:r>
                              <w:rPr>
                                <w:rFonts w:ascii="Calibri"/>
                                <w:spacing w:val="-3"/>
                                <w:sz w:val="19"/>
                              </w:rPr>
                              <w:t xml:space="preserve"> </w:t>
                            </w:r>
                            <w:r>
                              <w:rPr>
                                <w:rFonts w:ascii="Calibri"/>
                                <w:sz w:val="19"/>
                              </w:rPr>
                              <w:t>do</w:t>
                            </w:r>
                            <w:r>
                              <w:rPr>
                                <w:rFonts w:ascii="Calibri"/>
                                <w:spacing w:val="-2"/>
                                <w:sz w:val="19"/>
                              </w:rPr>
                              <w:t xml:space="preserve"> </w:t>
                            </w:r>
                            <w:r>
                              <w:rPr>
                                <w:rFonts w:ascii="Calibri"/>
                                <w:sz w:val="19"/>
                              </w:rPr>
                              <w:t>not</w:t>
                            </w:r>
                            <w:r>
                              <w:rPr>
                                <w:rFonts w:ascii="Calibri"/>
                                <w:spacing w:val="-4"/>
                                <w:sz w:val="19"/>
                              </w:rPr>
                              <w:t xml:space="preserve"> </w:t>
                            </w:r>
                            <w:r>
                              <w:rPr>
                                <w:rFonts w:ascii="Calibri"/>
                                <w:sz w:val="19"/>
                              </w:rPr>
                              <w:t>spend</w:t>
                            </w:r>
                            <w:r>
                              <w:rPr>
                                <w:rFonts w:ascii="Calibri"/>
                                <w:spacing w:val="-2"/>
                                <w:sz w:val="19"/>
                              </w:rPr>
                              <w:t xml:space="preserve"> </w:t>
                            </w:r>
                            <w:r>
                              <w:rPr>
                                <w:rFonts w:ascii="Calibri"/>
                                <w:sz w:val="19"/>
                              </w:rPr>
                              <w:t>all</w:t>
                            </w:r>
                            <w:r>
                              <w:rPr>
                                <w:rFonts w:ascii="Calibri"/>
                                <w:spacing w:val="-3"/>
                                <w:sz w:val="19"/>
                              </w:rPr>
                              <w:t xml:space="preserve"> </w:t>
                            </w:r>
                            <w:r>
                              <w:rPr>
                                <w:rFonts w:ascii="Calibri"/>
                                <w:sz w:val="19"/>
                              </w:rPr>
                              <w:t>their</w:t>
                            </w:r>
                            <w:r>
                              <w:rPr>
                                <w:rFonts w:ascii="Calibri"/>
                                <w:spacing w:val="-2"/>
                                <w:sz w:val="19"/>
                              </w:rPr>
                              <w:t xml:space="preserve"> </w:t>
                            </w:r>
                            <w:r>
                              <w:rPr>
                                <w:rFonts w:ascii="Calibri"/>
                                <w:sz w:val="19"/>
                              </w:rPr>
                              <w:t>time</w:t>
                            </w:r>
                            <w:r>
                              <w:rPr>
                                <w:rFonts w:ascii="Calibri"/>
                                <w:spacing w:val="-3"/>
                                <w:sz w:val="19"/>
                              </w:rPr>
                              <w:t xml:space="preserve"> </w:t>
                            </w:r>
                            <w:r>
                              <w:rPr>
                                <w:rFonts w:ascii="Calibri"/>
                                <w:sz w:val="19"/>
                              </w:rPr>
                              <w:t>with</w:t>
                            </w:r>
                            <w:r>
                              <w:rPr>
                                <w:rFonts w:ascii="Calibri"/>
                                <w:spacing w:val="-2"/>
                                <w:sz w:val="19"/>
                              </w:rPr>
                              <w:t xml:space="preserve"> </w:t>
                            </w:r>
                            <w:r>
                              <w:rPr>
                                <w:rFonts w:ascii="Calibri"/>
                                <w:sz w:val="19"/>
                              </w:rPr>
                              <w:t>clients</w:t>
                            </w:r>
                          </w:p>
                          <w:p w:rsidR="002E1E01" w:rsidRDefault="002E1E01" w:rsidP="008E3FA8">
                            <w:pPr>
                              <w:numPr>
                                <w:ilvl w:val="0"/>
                                <w:numId w:val="29"/>
                              </w:numPr>
                              <w:tabs>
                                <w:tab w:val="left" w:pos="823"/>
                                <w:tab w:val="left" w:pos="824"/>
                              </w:tabs>
                              <w:rPr>
                                <w:rFonts w:ascii="Calibri"/>
                                <w:sz w:val="19"/>
                              </w:rPr>
                            </w:pPr>
                            <w:r>
                              <w:rPr>
                                <w:rFonts w:ascii="Calibri"/>
                                <w:sz w:val="19"/>
                              </w:rPr>
                              <w:t>Regional weightings are given where</w:t>
                            </w:r>
                            <w:r>
                              <w:rPr>
                                <w:rFonts w:ascii="Calibri"/>
                                <w:spacing w:val="-14"/>
                                <w:sz w:val="19"/>
                              </w:rPr>
                              <w:t xml:space="preserve"> </w:t>
                            </w:r>
                            <w:r>
                              <w:rPr>
                                <w:rFonts w:ascii="Calibri"/>
                                <w:sz w:val="19"/>
                              </w:rPr>
                              <w:t>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27" type="#_x0000_t202" style="position:absolute;left:0;text-align:left;margin-left:72.25pt;margin-top:46.9pt;width:450.95pt;height:104.4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E3fwIAAAs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" filled="f" strokeweight=".16936mm">
                <v:textbox inset="0,0,0,0">
                  <w:txbxContent>
                    <w:p w:rsidR="002E1E01" w:rsidRDefault="002E1E01">
                      <w:pPr>
                        <w:spacing w:before="121"/>
                        <w:ind w:left="103"/>
                        <w:rPr>
                          <w:rFonts w:ascii="Calibri"/>
                          <w:sz w:val="19"/>
                        </w:rPr>
                      </w:pPr>
                      <w:r>
                        <w:rPr>
                          <w:rFonts w:ascii="Calibri"/>
                          <w:sz w:val="19"/>
                        </w:rPr>
                        <w:t>Cost estimation approach</w:t>
                      </w:r>
                    </w:p>
                    <w:p w:rsidR="002E1E01" w:rsidRDefault="002E1E01" w:rsidP="008E3FA8">
                      <w:pPr>
                        <w:numPr>
                          <w:ilvl w:val="0"/>
                          <w:numId w:val="29"/>
                        </w:numPr>
                        <w:tabs>
                          <w:tab w:val="left" w:pos="823"/>
                          <w:tab w:val="left" w:pos="824"/>
                        </w:tabs>
                        <w:spacing w:before="120"/>
                        <w:rPr>
                          <w:rFonts w:ascii="Calibri"/>
                          <w:sz w:val="19"/>
                        </w:rPr>
                      </w:pPr>
                      <w:r>
                        <w:rPr>
                          <w:rFonts w:ascii="Calibri"/>
                          <w:sz w:val="19"/>
                        </w:rPr>
                        <w:t>Financial implications of all service components are</w:t>
                      </w:r>
                      <w:r>
                        <w:rPr>
                          <w:rFonts w:ascii="Calibri"/>
                          <w:spacing w:val="-22"/>
                          <w:sz w:val="19"/>
                        </w:rPr>
                        <w:t xml:space="preserve"> </w:t>
                      </w:r>
                      <w:r>
                        <w:rPr>
                          <w:rFonts w:ascii="Calibri"/>
                          <w:sz w:val="19"/>
                        </w:rPr>
                        <w:t>included</w:t>
                      </w:r>
                    </w:p>
                    <w:p w:rsidR="002E1E01" w:rsidRDefault="002E1E01" w:rsidP="008E3FA8">
                      <w:pPr>
                        <w:numPr>
                          <w:ilvl w:val="0"/>
                          <w:numId w:val="29"/>
                        </w:numPr>
                        <w:tabs>
                          <w:tab w:val="left" w:pos="823"/>
                          <w:tab w:val="left" w:pos="824"/>
                        </w:tabs>
                        <w:rPr>
                          <w:rFonts w:ascii="Calibri"/>
                          <w:sz w:val="19"/>
                        </w:rPr>
                      </w:pPr>
                      <w:r>
                        <w:rPr>
                          <w:rFonts w:ascii="Calibri"/>
                          <w:sz w:val="19"/>
                        </w:rPr>
                        <w:t>Unit costs reflect the long-run marginal opportunity cost for that</w:t>
                      </w:r>
                      <w:r>
                        <w:rPr>
                          <w:rFonts w:ascii="Calibri"/>
                          <w:spacing w:val="-31"/>
                          <w:sz w:val="19"/>
                        </w:rPr>
                        <w:t xml:space="preserve"> </w:t>
                      </w:r>
                      <w:r>
                        <w:rPr>
                          <w:rFonts w:ascii="Calibri"/>
                          <w:sz w:val="19"/>
                        </w:rPr>
                        <w:t>service</w:t>
                      </w:r>
                    </w:p>
                    <w:p w:rsidR="002E1E01" w:rsidRDefault="002E1E01" w:rsidP="008E3FA8">
                      <w:pPr>
                        <w:numPr>
                          <w:ilvl w:val="0"/>
                          <w:numId w:val="29"/>
                        </w:numPr>
                        <w:tabs>
                          <w:tab w:val="left" w:pos="823"/>
                          <w:tab w:val="left" w:pos="824"/>
                        </w:tabs>
                        <w:spacing w:line="241" w:lineRule="exact"/>
                        <w:rPr>
                          <w:rFonts w:ascii="Calibri" w:hAnsi="Calibri"/>
                          <w:sz w:val="19"/>
                        </w:rPr>
                      </w:pPr>
                      <w:r>
                        <w:rPr>
                          <w:rFonts w:ascii="Calibri" w:hAnsi="Calibri"/>
                          <w:sz w:val="19"/>
                        </w:rPr>
                        <w:t>A “bottom-up” approach is taken – users can substitute their own data for any</w:t>
                      </w:r>
                      <w:r>
                        <w:rPr>
                          <w:rFonts w:ascii="Calibri" w:hAnsi="Calibri"/>
                          <w:spacing w:val="-28"/>
                          <w:sz w:val="19"/>
                        </w:rPr>
                        <w:t xml:space="preserve"> </w:t>
                      </w:r>
                      <w:r>
                        <w:rPr>
                          <w:rFonts w:ascii="Calibri" w:hAnsi="Calibri"/>
                          <w:sz w:val="19"/>
                        </w:rPr>
                        <w:t>component</w:t>
                      </w:r>
                    </w:p>
                    <w:p w:rsidR="002E1E01" w:rsidRDefault="002E1E01" w:rsidP="008E3FA8">
                      <w:pPr>
                        <w:numPr>
                          <w:ilvl w:val="0"/>
                          <w:numId w:val="29"/>
                        </w:numPr>
                        <w:tabs>
                          <w:tab w:val="left" w:pos="823"/>
                          <w:tab w:val="left" w:pos="824"/>
                        </w:tabs>
                        <w:spacing w:line="241" w:lineRule="exact"/>
                        <w:rPr>
                          <w:rFonts w:ascii="Calibri"/>
                          <w:sz w:val="19"/>
                        </w:rPr>
                      </w:pPr>
                      <w:r>
                        <w:rPr>
                          <w:rFonts w:ascii="Calibri"/>
                          <w:sz w:val="19"/>
                        </w:rPr>
                        <w:t>Sources of information are fully</w:t>
                      </w:r>
                      <w:r>
                        <w:rPr>
                          <w:rFonts w:ascii="Calibri"/>
                          <w:spacing w:val="-20"/>
                          <w:sz w:val="19"/>
                        </w:rPr>
                        <w:t xml:space="preserve"> </w:t>
                      </w:r>
                      <w:r>
                        <w:rPr>
                          <w:rFonts w:ascii="Calibri"/>
                          <w:sz w:val="19"/>
                        </w:rPr>
                        <w:t>referenced</w:t>
                      </w:r>
                    </w:p>
                    <w:p w:rsidR="002E1E01" w:rsidRDefault="002E1E01" w:rsidP="008E3FA8">
                      <w:pPr>
                        <w:numPr>
                          <w:ilvl w:val="0"/>
                          <w:numId w:val="29"/>
                        </w:numPr>
                        <w:tabs>
                          <w:tab w:val="left" w:pos="823"/>
                          <w:tab w:val="left" w:pos="824"/>
                        </w:tabs>
                        <w:rPr>
                          <w:rFonts w:ascii="Calibri"/>
                          <w:sz w:val="19"/>
                        </w:rPr>
                      </w:pPr>
                      <w:r>
                        <w:rPr>
                          <w:rFonts w:ascii="Calibri"/>
                          <w:sz w:val="19"/>
                        </w:rPr>
                        <w:t>Unit</w:t>
                      </w:r>
                      <w:r>
                        <w:rPr>
                          <w:rFonts w:ascii="Calibri"/>
                          <w:spacing w:val="-4"/>
                          <w:sz w:val="19"/>
                        </w:rPr>
                        <w:t xml:space="preserve"> </w:t>
                      </w:r>
                      <w:r>
                        <w:rPr>
                          <w:rFonts w:ascii="Calibri"/>
                          <w:sz w:val="19"/>
                        </w:rPr>
                        <w:t>costs</w:t>
                      </w:r>
                      <w:r>
                        <w:rPr>
                          <w:rFonts w:ascii="Calibri"/>
                          <w:spacing w:val="-2"/>
                          <w:sz w:val="19"/>
                        </w:rPr>
                        <w:t xml:space="preserve"> </w:t>
                      </w:r>
                      <w:r>
                        <w:rPr>
                          <w:rFonts w:ascii="Calibri"/>
                          <w:sz w:val="19"/>
                        </w:rPr>
                        <w:t>account</w:t>
                      </w:r>
                      <w:r>
                        <w:rPr>
                          <w:rFonts w:ascii="Calibri"/>
                          <w:spacing w:val="-4"/>
                          <w:sz w:val="19"/>
                        </w:rPr>
                        <w:t xml:space="preserve"> </w:t>
                      </w:r>
                      <w:r>
                        <w:rPr>
                          <w:rFonts w:ascii="Calibri"/>
                          <w:sz w:val="19"/>
                        </w:rPr>
                        <w:t>for</w:t>
                      </w:r>
                      <w:r>
                        <w:rPr>
                          <w:rFonts w:ascii="Calibri"/>
                          <w:spacing w:val="-2"/>
                          <w:sz w:val="19"/>
                        </w:rPr>
                        <w:t xml:space="preserve"> </w:t>
                      </w:r>
                      <w:r>
                        <w:rPr>
                          <w:rFonts w:ascii="Calibri"/>
                          <w:sz w:val="19"/>
                        </w:rPr>
                        <w:t>the</w:t>
                      </w:r>
                      <w:r>
                        <w:rPr>
                          <w:rFonts w:ascii="Calibri"/>
                          <w:spacing w:val="-3"/>
                          <w:sz w:val="19"/>
                        </w:rPr>
                        <w:t xml:space="preserve"> </w:t>
                      </w:r>
                      <w:r>
                        <w:rPr>
                          <w:rFonts w:ascii="Calibri"/>
                          <w:sz w:val="19"/>
                        </w:rPr>
                        <w:t>fact</w:t>
                      </w:r>
                      <w:r>
                        <w:rPr>
                          <w:rFonts w:ascii="Calibri"/>
                          <w:spacing w:val="-4"/>
                          <w:sz w:val="19"/>
                        </w:rPr>
                        <w:t xml:space="preserve"> </w:t>
                      </w:r>
                      <w:r>
                        <w:rPr>
                          <w:rFonts w:ascii="Calibri"/>
                          <w:sz w:val="19"/>
                        </w:rPr>
                        <w:t>that</w:t>
                      </w:r>
                      <w:r>
                        <w:rPr>
                          <w:rFonts w:ascii="Calibri"/>
                          <w:spacing w:val="-3"/>
                          <w:sz w:val="19"/>
                        </w:rPr>
                        <w:t xml:space="preserve"> </w:t>
                      </w:r>
                      <w:r>
                        <w:rPr>
                          <w:rFonts w:ascii="Calibri"/>
                          <w:sz w:val="19"/>
                        </w:rPr>
                        <w:t>care</w:t>
                      </w:r>
                      <w:r>
                        <w:rPr>
                          <w:rFonts w:ascii="Calibri"/>
                          <w:spacing w:val="-3"/>
                          <w:sz w:val="19"/>
                        </w:rPr>
                        <w:t xml:space="preserve"> </w:t>
                      </w:r>
                      <w:r>
                        <w:rPr>
                          <w:rFonts w:ascii="Calibri"/>
                          <w:sz w:val="19"/>
                        </w:rPr>
                        <w:t>staff</w:t>
                      </w:r>
                      <w:r>
                        <w:rPr>
                          <w:rFonts w:ascii="Calibri"/>
                          <w:spacing w:val="-3"/>
                          <w:sz w:val="19"/>
                        </w:rPr>
                        <w:t xml:space="preserve"> </w:t>
                      </w:r>
                      <w:r>
                        <w:rPr>
                          <w:rFonts w:ascii="Calibri"/>
                          <w:sz w:val="19"/>
                        </w:rPr>
                        <w:t>do</w:t>
                      </w:r>
                      <w:r>
                        <w:rPr>
                          <w:rFonts w:ascii="Calibri"/>
                          <w:spacing w:val="-2"/>
                          <w:sz w:val="19"/>
                        </w:rPr>
                        <w:t xml:space="preserve"> </w:t>
                      </w:r>
                      <w:r>
                        <w:rPr>
                          <w:rFonts w:ascii="Calibri"/>
                          <w:sz w:val="19"/>
                        </w:rPr>
                        <w:t>not</w:t>
                      </w:r>
                      <w:r>
                        <w:rPr>
                          <w:rFonts w:ascii="Calibri"/>
                          <w:spacing w:val="-4"/>
                          <w:sz w:val="19"/>
                        </w:rPr>
                        <w:t xml:space="preserve"> </w:t>
                      </w:r>
                      <w:r>
                        <w:rPr>
                          <w:rFonts w:ascii="Calibri"/>
                          <w:sz w:val="19"/>
                        </w:rPr>
                        <w:t>spend</w:t>
                      </w:r>
                      <w:r>
                        <w:rPr>
                          <w:rFonts w:ascii="Calibri"/>
                          <w:spacing w:val="-2"/>
                          <w:sz w:val="19"/>
                        </w:rPr>
                        <w:t xml:space="preserve"> </w:t>
                      </w:r>
                      <w:r>
                        <w:rPr>
                          <w:rFonts w:ascii="Calibri"/>
                          <w:sz w:val="19"/>
                        </w:rPr>
                        <w:t>all</w:t>
                      </w:r>
                      <w:r>
                        <w:rPr>
                          <w:rFonts w:ascii="Calibri"/>
                          <w:spacing w:val="-3"/>
                          <w:sz w:val="19"/>
                        </w:rPr>
                        <w:t xml:space="preserve"> </w:t>
                      </w:r>
                      <w:r>
                        <w:rPr>
                          <w:rFonts w:ascii="Calibri"/>
                          <w:sz w:val="19"/>
                        </w:rPr>
                        <w:t>their</w:t>
                      </w:r>
                      <w:r>
                        <w:rPr>
                          <w:rFonts w:ascii="Calibri"/>
                          <w:spacing w:val="-2"/>
                          <w:sz w:val="19"/>
                        </w:rPr>
                        <w:t xml:space="preserve"> </w:t>
                      </w:r>
                      <w:r>
                        <w:rPr>
                          <w:rFonts w:ascii="Calibri"/>
                          <w:sz w:val="19"/>
                        </w:rPr>
                        <w:t>time</w:t>
                      </w:r>
                      <w:r>
                        <w:rPr>
                          <w:rFonts w:ascii="Calibri"/>
                          <w:spacing w:val="-3"/>
                          <w:sz w:val="19"/>
                        </w:rPr>
                        <w:t xml:space="preserve"> </w:t>
                      </w:r>
                      <w:r>
                        <w:rPr>
                          <w:rFonts w:ascii="Calibri"/>
                          <w:sz w:val="19"/>
                        </w:rPr>
                        <w:t>with</w:t>
                      </w:r>
                      <w:r>
                        <w:rPr>
                          <w:rFonts w:ascii="Calibri"/>
                          <w:spacing w:val="-2"/>
                          <w:sz w:val="19"/>
                        </w:rPr>
                        <w:t xml:space="preserve"> </w:t>
                      </w:r>
                      <w:r>
                        <w:rPr>
                          <w:rFonts w:ascii="Calibri"/>
                          <w:sz w:val="19"/>
                        </w:rPr>
                        <w:t>clients</w:t>
                      </w:r>
                    </w:p>
                    <w:p w:rsidR="002E1E01" w:rsidRDefault="002E1E01" w:rsidP="008E3FA8">
                      <w:pPr>
                        <w:numPr>
                          <w:ilvl w:val="0"/>
                          <w:numId w:val="29"/>
                        </w:numPr>
                        <w:tabs>
                          <w:tab w:val="left" w:pos="823"/>
                          <w:tab w:val="left" w:pos="824"/>
                        </w:tabs>
                        <w:rPr>
                          <w:rFonts w:ascii="Calibri"/>
                          <w:sz w:val="19"/>
                        </w:rPr>
                      </w:pPr>
                      <w:r>
                        <w:rPr>
                          <w:rFonts w:ascii="Calibri"/>
                          <w:sz w:val="19"/>
                        </w:rPr>
                        <w:t>Regional weightings are given where</w:t>
                      </w:r>
                      <w:r>
                        <w:rPr>
                          <w:rFonts w:ascii="Calibri"/>
                          <w:spacing w:val="-14"/>
                          <w:sz w:val="19"/>
                        </w:rPr>
                        <w:t xml:space="preserve"> </w:t>
                      </w:r>
                      <w:r>
                        <w:rPr>
                          <w:rFonts w:ascii="Calibri"/>
                          <w:sz w:val="19"/>
                        </w:rPr>
                        <w:t>possible</w:t>
                      </w:r>
                    </w:p>
                  </w:txbxContent>
                </v:textbox>
                <w10:wrap type="topAndBottom" anchorx="page"/>
              </v:shape>
            </w:pict>
          </mc:Fallback>
        </mc:AlternateContent>
      </w:r>
      <w:r w:rsidR="002D29FC">
        <w:rPr>
          <w:rFonts w:ascii="Calibri"/>
          <w:sz w:val="19"/>
        </w:rPr>
        <w:t xml:space="preserve">Our approach to cost estimation is grounded in economic theory and is both transparent and flexible. Our cost estimation approach is shown below and more information is available in our presentation which can be found at </w:t>
      </w:r>
      <w:hyperlink r:id="rId14">
        <w:r w:rsidR="002D29FC">
          <w:rPr>
            <w:rFonts w:ascii="Calibri"/>
            <w:color w:val="0000FF"/>
            <w:sz w:val="19"/>
            <w:u w:val="single" w:color="0000FF"/>
          </w:rPr>
          <w:t>https://www.pssru.ac.uk/project-pages/unit-costs/unit-costs-2018/</w:t>
        </w:r>
      </w:hyperlink>
    </w:p>
    <w:p w:rsidR="006A18FD" w:rsidRDefault="002D29FC" w:rsidP="00E42AC6">
      <w:pPr>
        <w:pStyle w:val="Heading2"/>
      </w:pPr>
      <w:r>
        <w:t>How do we find our information?</w:t>
      </w:r>
    </w:p>
    <w:p w:rsidR="006A18FD" w:rsidRDefault="00E60AD2">
      <w:pPr>
        <w:spacing w:before="118"/>
        <w:ind w:left="140" w:right="192"/>
        <w:rPr>
          <w:rFonts w:ascii="Calibri"/>
          <w:sz w:val="19"/>
        </w:rPr>
      </w:pPr>
      <w:r>
        <w:rPr>
          <w:noProof/>
          <w:lang w:val="en-GB" w:eastAsia="en-GB"/>
        </w:rPr>
        <mc:AlternateContent>
          <mc:Choice Requires="wps">
            <w:drawing>
              <wp:anchor distT="0" distB="0" distL="0" distR="0" simplePos="0" relativeHeight="251591680" behindDoc="0" locked="0" layoutInCell="1" allowOverlap="1">
                <wp:simplePos x="0" y="0"/>
                <wp:positionH relativeFrom="page">
                  <wp:posOffset>917575</wp:posOffset>
                </wp:positionH>
                <wp:positionV relativeFrom="paragraph">
                  <wp:posOffset>889635</wp:posOffset>
                </wp:positionV>
                <wp:extent cx="5727065" cy="954405"/>
                <wp:effectExtent l="12700" t="11430" r="13335" b="5715"/>
                <wp:wrapTopAndBottom/>
                <wp:docPr id="40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95440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24"/>
                              <w:ind w:left="103"/>
                              <w:rPr>
                                <w:rFonts w:ascii="Calibri"/>
                                <w:sz w:val="19"/>
                              </w:rPr>
                            </w:pPr>
                            <w:r>
                              <w:rPr>
                                <w:rFonts w:ascii="Calibri"/>
                                <w:sz w:val="19"/>
                              </w:rPr>
                              <w:t>Throughout the year we prepare the volume by:</w:t>
                            </w:r>
                          </w:p>
                          <w:p w:rsidR="002E1E01" w:rsidRDefault="002E1E01" w:rsidP="008E3FA8">
                            <w:pPr>
                              <w:numPr>
                                <w:ilvl w:val="0"/>
                                <w:numId w:val="28"/>
                              </w:numPr>
                              <w:tabs>
                                <w:tab w:val="left" w:pos="823"/>
                                <w:tab w:val="left" w:pos="824"/>
                              </w:tabs>
                              <w:spacing w:before="118"/>
                              <w:rPr>
                                <w:rFonts w:ascii="Calibri"/>
                                <w:sz w:val="19"/>
                              </w:rPr>
                            </w:pPr>
                            <w:r>
                              <w:rPr>
                                <w:rFonts w:ascii="Calibri"/>
                                <w:sz w:val="19"/>
                              </w:rPr>
                              <w:t>Identifying where our unit costs could be improved or</w:t>
                            </w:r>
                            <w:r>
                              <w:rPr>
                                <w:rFonts w:ascii="Calibri"/>
                                <w:spacing w:val="-23"/>
                                <w:sz w:val="19"/>
                              </w:rPr>
                              <w:t xml:space="preserve"> </w:t>
                            </w:r>
                            <w:r>
                              <w:rPr>
                                <w:rFonts w:ascii="Calibri"/>
                                <w:sz w:val="19"/>
                              </w:rPr>
                              <w:t>updated</w:t>
                            </w:r>
                          </w:p>
                          <w:p w:rsidR="002E1E01" w:rsidRDefault="002E1E01" w:rsidP="008E3FA8">
                            <w:pPr>
                              <w:numPr>
                                <w:ilvl w:val="0"/>
                                <w:numId w:val="28"/>
                              </w:numPr>
                              <w:tabs>
                                <w:tab w:val="left" w:pos="823"/>
                                <w:tab w:val="left" w:pos="824"/>
                              </w:tabs>
                              <w:rPr>
                                <w:rFonts w:ascii="Calibri"/>
                                <w:sz w:val="19"/>
                              </w:rPr>
                            </w:pPr>
                            <w:r>
                              <w:rPr>
                                <w:rFonts w:ascii="Calibri"/>
                                <w:sz w:val="19"/>
                              </w:rPr>
                              <w:t>Identifying gaps where new unit costs estimations are</w:t>
                            </w:r>
                            <w:r>
                              <w:rPr>
                                <w:rFonts w:ascii="Calibri"/>
                                <w:spacing w:val="-19"/>
                                <w:sz w:val="19"/>
                              </w:rPr>
                              <w:t xml:space="preserve"> </w:t>
                            </w:r>
                            <w:r>
                              <w:rPr>
                                <w:rFonts w:ascii="Calibri"/>
                                <w:sz w:val="19"/>
                              </w:rPr>
                              <w:t>required</w:t>
                            </w:r>
                          </w:p>
                          <w:p w:rsidR="002E1E01" w:rsidRDefault="002E1E01" w:rsidP="008E3FA8">
                            <w:pPr>
                              <w:numPr>
                                <w:ilvl w:val="0"/>
                                <w:numId w:val="28"/>
                              </w:numPr>
                              <w:tabs>
                                <w:tab w:val="left" w:pos="823"/>
                                <w:tab w:val="left" w:pos="824"/>
                              </w:tabs>
                              <w:rPr>
                                <w:rFonts w:ascii="Calibri"/>
                                <w:sz w:val="19"/>
                              </w:rPr>
                            </w:pPr>
                            <w:r>
                              <w:rPr>
                                <w:rFonts w:ascii="Calibri"/>
                                <w:sz w:val="19"/>
                              </w:rPr>
                              <w:t>Identifying data sources or research to derive new unit</w:t>
                            </w:r>
                            <w:r>
                              <w:rPr>
                                <w:rFonts w:ascii="Calibri"/>
                                <w:spacing w:val="-25"/>
                                <w:sz w:val="19"/>
                              </w:rPr>
                              <w:t xml:space="preserve"> </w:t>
                            </w:r>
                            <w:r>
                              <w:rPr>
                                <w:rFonts w:ascii="Calibri"/>
                                <w:sz w:val="19"/>
                              </w:rPr>
                              <w:t>costs</w:t>
                            </w:r>
                          </w:p>
                          <w:p w:rsidR="002E1E01" w:rsidRDefault="002E1E01" w:rsidP="008E3FA8">
                            <w:pPr>
                              <w:numPr>
                                <w:ilvl w:val="0"/>
                                <w:numId w:val="28"/>
                              </w:numPr>
                              <w:tabs>
                                <w:tab w:val="left" w:pos="823"/>
                                <w:tab w:val="left" w:pos="824"/>
                              </w:tabs>
                              <w:rPr>
                                <w:rFonts w:ascii="Calibri"/>
                                <w:sz w:val="19"/>
                              </w:rPr>
                            </w:pPr>
                            <w:r>
                              <w:rPr>
                                <w:rFonts w:ascii="Calibri"/>
                                <w:sz w:val="19"/>
                              </w:rPr>
                              <w:t>Responding</w:t>
                            </w:r>
                            <w:r>
                              <w:rPr>
                                <w:rFonts w:ascii="Calibri"/>
                                <w:spacing w:val="-4"/>
                                <w:sz w:val="19"/>
                              </w:rPr>
                              <w:t xml:space="preserve"> </w:t>
                            </w:r>
                            <w:r>
                              <w:rPr>
                                <w:rFonts w:ascii="Calibri"/>
                                <w:sz w:val="19"/>
                              </w:rPr>
                              <w:t>to</w:t>
                            </w:r>
                            <w:r>
                              <w:rPr>
                                <w:rFonts w:ascii="Calibri"/>
                                <w:spacing w:val="-4"/>
                                <w:sz w:val="19"/>
                              </w:rPr>
                              <w:t xml:space="preserve"> </w:t>
                            </w:r>
                            <w:r>
                              <w:rPr>
                                <w:rFonts w:ascii="Calibri"/>
                                <w:sz w:val="19"/>
                              </w:rPr>
                              <w:t>government</w:t>
                            </w:r>
                            <w:r>
                              <w:rPr>
                                <w:rFonts w:ascii="Calibri"/>
                                <w:spacing w:val="-6"/>
                                <w:sz w:val="19"/>
                              </w:rPr>
                              <w:t xml:space="preserve"> </w:t>
                            </w:r>
                            <w:r>
                              <w:rPr>
                                <w:rFonts w:ascii="Calibri"/>
                                <w:sz w:val="19"/>
                              </w:rPr>
                              <w:t>priorities,</w:t>
                            </w:r>
                            <w:r>
                              <w:rPr>
                                <w:rFonts w:ascii="Calibri"/>
                                <w:spacing w:val="-4"/>
                                <w:sz w:val="19"/>
                              </w:rPr>
                              <w:t xml:space="preserve"> </w:t>
                            </w:r>
                            <w:r>
                              <w:rPr>
                                <w:rFonts w:ascii="Calibri"/>
                                <w:sz w:val="19"/>
                              </w:rPr>
                              <w:t>new</w:t>
                            </w:r>
                            <w:r>
                              <w:rPr>
                                <w:rFonts w:ascii="Calibri"/>
                                <w:spacing w:val="-6"/>
                                <w:sz w:val="19"/>
                              </w:rPr>
                              <w:t xml:space="preserve"> </w:t>
                            </w:r>
                            <w:r>
                              <w:rPr>
                                <w:rFonts w:ascii="Calibri"/>
                                <w:sz w:val="19"/>
                              </w:rPr>
                              <w:t>policies</w:t>
                            </w:r>
                            <w:r>
                              <w:rPr>
                                <w:rFonts w:ascii="Calibri"/>
                                <w:spacing w:val="-4"/>
                                <w:sz w:val="19"/>
                              </w:rPr>
                              <w:t xml:space="preserve"> </w:t>
                            </w:r>
                            <w:r>
                              <w:rPr>
                                <w:rFonts w:ascii="Calibri"/>
                                <w:sz w:val="19"/>
                              </w:rPr>
                              <w:t>or</w:t>
                            </w:r>
                            <w:r>
                              <w:rPr>
                                <w:rFonts w:ascii="Calibri"/>
                                <w:spacing w:val="-4"/>
                                <w:sz w:val="19"/>
                              </w:rPr>
                              <w:t xml:space="preserve"> </w:t>
                            </w:r>
                            <w:r>
                              <w:rPr>
                                <w:rFonts w:ascii="Calibri"/>
                                <w:sz w:val="19"/>
                              </w:rPr>
                              <w:t>practice</w:t>
                            </w:r>
                            <w:r>
                              <w:rPr>
                                <w:rFonts w:ascii="Calibri"/>
                                <w:spacing w:val="-5"/>
                                <w:sz w:val="19"/>
                              </w:rPr>
                              <w:t xml:space="preserve"> </w:t>
                            </w:r>
                            <w:r>
                              <w:rPr>
                                <w:rFonts w:ascii="Calibri"/>
                                <w:sz w:val="19"/>
                              </w:rPr>
                              <w:t>developments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28" type="#_x0000_t202" style="position:absolute;left:0;text-align:left;margin-left:72.25pt;margin-top:70.05pt;width:450.95pt;height:75.1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" filled="f" strokeweight=".16936mm">
                <v:textbox inset="0,0,0,0">
                  <w:txbxContent>
                    <w:p w:rsidR="002E1E01" w:rsidRDefault="002E1E01">
                      <w:pPr>
                        <w:spacing w:before="124"/>
                        <w:ind w:left="103"/>
                        <w:rPr>
                          <w:rFonts w:ascii="Calibri"/>
                          <w:sz w:val="19"/>
                        </w:rPr>
                      </w:pPr>
                      <w:r>
                        <w:rPr>
                          <w:rFonts w:ascii="Calibri"/>
                          <w:sz w:val="19"/>
                        </w:rPr>
                        <w:t>Throughout the year we prepare the volume by:</w:t>
                      </w:r>
                    </w:p>
                    <w:p w:rsidR="002E1E01" w:rsidRDefault="002E1E01" w:rsidP="008E3FA8">
                      <w:pPr>
                        <w:numPr>
                          <w:ilvl w:val="0"/>
                          <w:numId w:val="28"/>
                        </w:numPr>
                        <w:tabs>
                          <w:tab w:val="left" w:pos="823"/>
                          <w:tab w:val="left" w:pos="824"/>
                        </w:tabs>
                        <w:spacing w:before="118"/>
                        <w:rPr>
                          <w:rFonts w:ascii="Calibri"/>
                          <w:sz w:val="19"/>
                        </w:rPr>
                      </w:pPr>
                      <w:r>
                        <w:rPr>
                          <w:rFonts w:ascii="Calibri"/>
                          <w:sz w:val="19"/>
                        </w:rPr>
                        <w:t>Identifying where our unit costs could be improved or</w:t>
                      </w:r>
                      <w:r>
                        <w:rPr>
                          <w:rFonts w:ascii="Calibri"/>
                          <w:spacing w:val="-23"/>
                          <w:sz w:val="19"/>
                        </w:rPr>
                        <w:t xml:space="preserve"> </w:t>
                      </w:r>
                      <w:r>
                        <w:rPr>
                          <w:rFonts w:ascii="Calibri"/>
                          <w:sz w:val="19"/>
                        </w:rPr>
                        <w:t>updated</w:t>
                      </w:r>
                    </w:p>
                    <w:p w:rsidR="002E1E01" w:rsidRDefault="002E1E01" w:rsidP="008E3FA8">
                      <w:pPr>
                        <w:numPr>
                          <w:ilvl w:val="0"/>
                          <w:numId w:val="28"/>
                        </w:numPr>
                        <w:tabs>
                          <w:tab w:val="left" w:pos="823"/>
                          <w:tab w:val="left" w:pos="824"/>
                        </w:tabs>
                        <w:rPr>
                          <w:rFonts w:ascii="Calibri"/>
                          <w:sz w:val="19"/>
                        </w:rPr>
                      </w:pPr>
                      <w:r>
                        <w:rPr>
                          <w:rFonts w:ascii="Calibri"/>
                          <w:sz w:val="19"/>
                        </w:rPr>
                        <w:t>Identifying gaps where new unit costs estimations are</w:t>
                      </w:r>
                      <w:r>
                        <w:rPr>
                          <w:rFonts w:ascii="Calibri"/>
                          <w:spacing w:val="-19"/>
                          <w:sz w:val="19"/>
                        </w:rPr>
                        <w:t xml:space="preserve"> </w:t>
                      </w:r>
                      <w:r>
                        <w:rPr>
                          <w:rFonts w:ascii="Calibri"/>
                          <w:sz w:val="19"/>
                        </w:rPr>
                        <w:t>required</w:t>
                      </w:r>
                    </w:p>
                    <w:p w:rsidR="002E1E01" w:rsidRDefault="002E1E01" w:rsidP="008E3FA8">
                      <w:pPr>
                        <w:numPr>
                          <w:ilvl w:val="0"/>
                          <w:numId w:val="28"/>
                        </w:numPr>
                        <w:tabs>
                          <w:tab w:val="left" w:pos="823"/>
                          <w:tab w:val="left" w:pos="824"/>
                        </w:tabs>
                        <w:rPr>
                          <w:rFonts w:ascii="Calibri"/>
                          <w:sz w:val="19"/>
                        </w:rPr>
                      </w:pPr>
                      <w:r>
                        <w:rPr>
                          <w:rFonts w:ascii="Calibri"/>
                          <w:sz w:val="19"/>
                        </w:rPr>
                        <w:t>Identifying data sources or research to derive new unit</w:t>
                      </w:r>
                      <w:r>
                        <w:rPr>
                          <w:rFonts w:ascii="Calibri"/>
                          <w:spacing w:val="-25"/>
                          <w:sz w:val="19"/>
                        </w:rPr>
                        <w:t xml:space="preserve"> </w:t>
                      </w:r>
                      <w:r>
                        <w:rPr>
                          <w:rFonts w:ascii="Calibri"/>
                          <w:sz w:val="19"/>
                        </w:rPr>
                        <w:t>costs</w:t>
                      </w:r>
                    </w:p>
                    <w:p w:rsidR="002E1E01" w:rsidRDefault="002E1E01" w:rsidP="008E3FA8">
                      <w:pPr>
                        <w:numPr>
                          <w:ilvl w:val="0"/>
                          <w:numId w:val="28"/>
                        </w:numPr>
                        <w:tabs>
                          <w:tab w:val="left" w:pos="823"/>
                          <w:tab w:val="left" w:pos="824"/>
                        </w:tabs>
                        <w:rPr>
                          <w:rFonts w:ascii="Calibri"/>
                          <w:sz w:val="19"/>
                        </w:rPr>
                      </w:pPr>
                      <w:r>
                        <w:rPr>
                          <w:rFonts w:ascii="Calibri"/>
                          <w:sz w:val="19"/>
                        </w:rPr>
                        <w:t>Responding</w:t>
                      </w:r>
                      <w:r>
                        <w:rPr>
                          <w:rFonts w:ascii="Calibri"/>
                          <w:spacing w:val="-4"/>
                          <w:sz w:val="19"/>
                        </w:rPr>
                        <w:t xml:space="preserve"> </w:t>
                      </w:r>
                      <w:r>
                        <w:rPr>
                          <w:rFonts w:ascii="Calibri"/>
                          <w:sz w:val="19"/>
                        </w:rPr>
                        <w:t>to</w:t>
                      </w:r>
                      <w:r>
                        <w:rPr>
                          <w:rFonts w:ascii="Calibri"/>
                          <w:spacing w:val="-4"/>
                          <w:sz w:val="19"/>
                        </w:rPr>
                        <w:t xml:space="preserve"> </w:t>
                      </w:r>
                      <w:r>
                        <w:rPr>
                          <w:rFonts w:ascii="Calibri"/>
                          <w:sz w:val="19"/>
                        </w:rPr>
                        <w:t>government</w:t>
                      </w:r>
                      <w:r>
                        <w:rPr>
                          <w:rFonts w:ascii="Calibri"/>
                          <w:spacing w:val="-6"/>
                          <w:sz w:val="19"/>
                        </w:rPr>
                        <w:t xml:space="preserve"> </w:t>
                      </w:r>
                      <w:r>
                        <w:rPr>
                          <w:rFonts w:ascii="Calibri"/>
                          <w:sz w:val="19"/>
                        </w:rPr>
                        <w:t>priorities,</w:t>
                      </w:r>
                      <w:r>
                        <w:rPr>
                          <w:rFonts w:ascii="Calibri"/>
                          <w:spacing w:val="-4"/>
                          <w:sz w:val="19"/>
                        </w:rPr>
                        <w:t xml:space="preserve"> </w:t>
                      </w:r>
                      <w:r>
                        <w:rPr>
                          <w:rFonts w:ascii="Calibri"/>
                          <w:sz w:val="19"/>
                        </w:rPr>
                        <w:t>new</w:t>
                      </w:r>
                      <w:r>
                        <w:rPr>
                          <w:rFonts w:ascii="Calibri"/>
                          <w:spacing w:val="-6"/>
                          <w:sz w:val="19"/>
                        </w:rPr>
                        <w:t xml:space="preserve"> </w:t>
                      </w:r>
                      <w:r>
                        <w:rPr>
                          <w:rFonts w:ascii="Calibri"/>
                          <w:sz w:val="19"/>
                        </w:rPr>
                        <w:t>policies</w:t>
                      </w:r>
                      <w:r>
                        <w:rPr>
                          <w:rFonts w:ascii="Calibri"/>
                          <w:spacing w:val="-4"/>
                          <w:sz w:val="19"/>
                        </w:rPr>
                        <w:t xml:space="preserve"> </w:t>
                      </w:r>
                      <w:r>
                        <w:rPr>
                          <w:rFonts w:ascii="Calibri"/>
                          <w:sz w:val="19"/>
                        </w:rPr>
                        <w:t>or</w:t>
                      </w:r>
                      <w:r>
                        <w:rPr>
                          <w:rFonts w:ascii="Calibri"/>
                          <w:spacing w:val="-4"/>
                          <w:sz w:val="19"/>
                        </w:rPr>
                        <w:t xml:space="preserve"> </w:t>
                      </w:r>
                      <w:r>
                        <w:rPr>
                          <w:rFonts w:ascii="Calibri"/>
                          <w:sz w:val="19"/>
                        </w:rPr>
                        <w:t>practice</w:t>
                      </w:r>
                      <w:r>
                        <w:rPr>
                          <w:rFonts w:ascii="Calibri"/>
                          <w:spacing w:val="-5"/>
                          <w:sz w:val="19"/>
                        </w:rPr>
                        <w:t xml:space="preserve"> </w:t>
                      </w:r>
                      <w:r>
                        <w:rPr>
                          <w:rFonts w:ascii="Calibri"/>
                          <w:sz w:val="19"/>
                        </w:rPr>
                        <w:t>developments</w:t>
                      </w:r>
                    </w:p>
                  </w:txbxContent>
                </v:textbox>
                <w10:wrap type="topAndBottom" anchorx="page"/>
              </v:shape>
            </w:pict>
          </mc:Fallback>
        </mc:AlternateContent>
      </w:r>
      <w:r w:rsidR="002D29FC">
        <w:rPr>
          <w:rFonts w:ascii="Calibri"/>
          <w:sz w:val="19"/>
        </w:rPr>
        <w:t>Our Advisory Group, who we meet with annually, guides our work and provides valuable leads. The Advisory Group consists of representatives from DHSC and DfE, economists from research units, and representatives from the Social Care Institute for Excellence (SCIE) and the National Institute for Health and Care Excellence (NICE). We perform a literature search for new studies and draw information from secondary sources of data, as well as working with organisations to estimate unit costs for specific services. Occasionally we commission our own research.</w:t>
      </w:r>
    </w:p>
    <w:p w:rsidR="006A18FD" w:rsidRDefault="002D29FC">
      <w:pPr>
        <w:spacing w:before="92"/>
        <w:ind w:left="140" w:right="209"/>
        <w:rPr>
          <w:rFonts w:ascii="Calibri"/>
          <w:sz w:val="19"/>
        </w:rPr>
      </w:pPr>
      <w:r>
        <w:rPr>
          <w:rFonts w:ascii="Calibri"/>
          <w:sz w:val="19"/>
        </w:rPr>
        <w:t>In the past, we have worked closely with Foundations, the National Body for Home Improvements who helped us to calculate the total cost of supplying and fitting a variety of home adaptations. We also conducted a survey with the assistance of the General Dental Council/Department of Health and Social Care and the Chief Dental Officer for England, to identify the unit cost of dental services.</w:t>
      </w:r>
    </w:p>
    <w:p w:rsidR="006A18FD" w:rsidRDefault="006A18FD">
      <w:pPr>
        <w:rPr>
          <w:rFonts w:ascii="Calibri"/>
          <w:sz w:val="19"/>
        </w:rPr>
        <w:sectPr w:rsidR="006A18FD">
          <w:headerReference w:type="even" r:id="rId15"/>
          <w:headerReference w:type="default" r:id="rId16"/>
          <w:pgSz w:w="11910" w:h="16840"/>
          <w:pgMar w:top="1000" w:right="1300" w:bottom="280" w:left="1300" w:header="751" w:footer="0" w:gutter="0"/>
          <w:pgNumType w:start="1"/>
          <w:cols w:space="720"/>
        </w:sectPr>
      </w:pPr>
    </w:p>
    <w:p w:rsidR="006A18FD" w:rsidRDefault="006A18FD">
      <w:pPr>
        <w:rPr>
          <w:rFonts w:ascii="Calibri"/>
          <w:sz w:val="20"/>
        </w:rPr>
      </w:pPr>
    </w:p>
    <w:p w:rsidR="006A18FD" w:rsidRDefault="006A18FD">
      <w:pPr>
        <w:spacing w:before="9"/>
        <w:rPr>
          <w:rFonts w:ascii="Calibri"/>
          <w:sz w:val="17"/>
        </w:rPr>
      </w:pPr>
    </w:p>
    <w:p w:rsidR="006A18FD" w:rsidRPr="00EE595F" w:rsidRDefault="002D29FC">
      <w:pPr>
        <w:spacing w:before="62"/>
        <w:ind w:left="140"/>
        <w:rPr>
          <w:rStyle w:val="Heading2Char"/>
        </w:rPr>
      </w:pPr>
      <w:r w:rsidRPr="00EE595F">
        <w:rPr>
          <w:rStyle w:val="Heading2Char"/>
        </w:rPr>
        <w:t>What information is included?</w:t>
      </w:r>
    </w:p>
    <w:p w:rsidR="006A18FD" w:rsidRDefault="002D29FC">
      <w:pPr>
        <w:spacing w:before="121"/>
        <w:ind w:left="140" w:right="167"/>
        <w:rPr>
          <w:rFonts w:ascii="Calibri" w:hAnsi="Calibri"/>
          <w:sz w:val="19"/>
        </w:rPr>
      </w:pPr>
      <w:r>
        <w:rPr>
          <w:rFonts w:ascii="Calibri" w:hAnsi="Calibri"/>
          <w:sz w:val="19"/>
        </w:rPr>
        <w:t xml:space="preserve">We begin the volume with an author-produced preface introducing the reader to the year’s work and any new additions or changes. We also summarise this year’s new schema and identify schema which have been withdrawn due to our policy of only publishing work which is less than ten years old. We then have a number of articles from external authors relating to cost information and sometimes a guest editorial which focuses on overarching and timely policy issues. These papers are provided free-of-charge and we are very grateful to all those who contribute their time and expertise to ensuring a wide range of interesting items. All guest editorials and articles since 2003 can be viewed in our articles database </w:t>
      </w:r>
      <w:hyperlink r:id="rId17">
        <w:r>
          <w:rPr>
            <w:rFonts w:ascii="Calibri" w:hAnsi="Calibri"/>
            <w:sz w:val="19"/>
            <w:u w:val="single"/>
          </w:rPr>
          <w:t>https://www.pssru.ac.uk/ucarticles/</w:t>
        </w:r>
      </w:hyperlink>
    </w:p>
    <w:p w:rsidR="006A18FD" w:rsidRDefault="002D29FC">
      <w:pPr>
        <w:spacing w:before="118"/>
        <w:ind w:left="140" w:right="166"/>
        <w:rPr>
          <w:rFonts w:ascii="Calibri" w:hAnsi="Calibri"/>
          <w:sz w:val="19"/>
        </w:rPr>
      </w:pPr>
      <w:r>
        <w:rPr>
          <w:rFonts w:ascii="Calibri" w:hAnsi="Calibri"/>
          <w:sz w:val="19"/>
        </w:rPr>
        <w:t>Section I of the report covers services used by particular client groups. For many of the groups, we include the cost of residential care and day care and we differentiate where possible between local authority and private sector providers. Chapter 6, the children’s services chapter includes information on adoption and foster care, together with the</w:t>
      </w:r>
      <w:r>
        <w:rPr>
          <w:rFonts w:ascii="Calibri" w:hAnsi="Calibri"/>
          <w:spacing w:val="-4"/>
          <w:sz w:val="19"/>
        </w:rPr>
        <w:t xml:space="preserve"> </w:t>
      </w:r>
      <w:r>
        <w:rPr>
          <w:rFonts w:ascii="Calibri" w:hAnsi="Calibri"/>
          <w:sz w:val="19"/>
        </w:rPr>
        <w:t>costs</w:t>
      </w:r>
      <w:r>
        <w:rPr>
          <w:rFonts w:ascii="Calibri" w:hAnsi="Calibri"/>
          <w:spacing w:val="-3"/>
          <w:sz w:val="19"/>
        </w:rPr>
        <w:t xml:space="preserve"> </w:t>
      </w:r>
      <w:r>
        <w:rPr>
          <w:rFonts w:ascii="Calibri" w:hAnsi="Calibri"/>
          <w:sz w:val="19"/>
        </w:rPr>
        <w:t>of</w:t>
      </w:r>
      <w:r>
        <w:rPr>
          <w:rFonts w:ascii="Calibri" w:hAnsi="Calibri"/>
          <w:spacing w:val="-4"/>
          <w:sz w:val="19"/>
        </w:rPr>
        <w:t xml:space="preserve"> </w:t>
      </w:r>
      <w:r>
        <w:rPr>
          <w:rFonts w:ascii="Calibri" w:hAnsi="Calibri"/>
          <w:sz w:val="19"/>
        </w:rPr>
        <w:t>more</w:t>
      </w:r>
      <w:r>
        <w:rPr>
          <w:rFonts w:ascii="Calibri" w:hAnsi="Calibri"/>
          <w:spacing w:val="-4"/>
          <w:sz w:val="19"/>
        </w:rPr>
        <w:t xml:space="preserve"> </w:t>
      </w:r>
      <w:r>
        <w:rPr>
          <w:rFonts w:ascii="Calibri" w:hAnsi="Calibri"/>
          <w:sz w:val="19"/>
        </w:rPr>
        <w:t>specialised</w:t>
      </w:r>
      <w:r>
        <w:rPr>
          <w:rFonts w:ascii="Calibri" w:hAnsi="Calibri"/>
          <w:spacing w:val="-3"/>
          <w:sz w:val="19"/>
        </w:rPr>
        <w:t xml:space="preserve"> </w:t>
      </w:r>
      <w:r>
        <w:rPr>
          <w:rFonts w:ascii="Calibri" w:hAnsi="Calibri"/>
          <w:sz w:val="19"/>
        </w:rPr>
        <w:t>services</w:t>
      </w:r>
      <w:r>
        <w:rPr>
          <w:rFonts w:ascii="Calibri" w:hAnsi="Calibri"/>
          <w:spacing w:val="-3"/>
          <w:sz w:val="19"/>
        </w:rPr>
        <w:t xml:space="preserve"> </w:t>
      </w:r>
      <w:r>
        <w:rPr>
          <w:rFonts w:ascii="Calibri" w:hAnsi="Calibri"/>
          <w:sz w:val="19"/>
        </w:rPr>
        <w:t>such</w:t>
      </w:r>
      <w:r>
        <w:rPr>
          <w:rFonts w:ascii="Calibri" w:hAnsi="Calibri"/>
          <w:spacing w:val="-3"/>
          <w:sz w:val="19"/>
        </w:rPr>
        <w:t xml:space="preserve"> </w:t>
      </w:r>
      <w:r>
        <w:rPr>
          <w:rFonts w:ascii="Calibri" w:hAnsi="Calibri"/>
          <w:sz w:val="19"/>
        </w:rPr>
        <w:t>as</w:t>
      </w:r>
      <w:r>
        <w:rPr>
          <w:rFonts w:ascii="Calibri" w:hAnsi="Calibri"/>
          <w:spacing w:val="-3"/>
          <w:sz w:val="19"/>
        </w:rPr>
        <w:t xml:space="preserve"> </w:t>
      </w:r>
      <w:r>
        <w:rPr>
          <w:rFonts w:ascii="Calibri" w:hAnsi="Calibri"/>
          <w:sz w:val="19"/>
        </w:rPr>
        <w:t>counselling</w:t>
      </w:r>
      <w:r>
        <w:rPr>
          <w:rFonts w:ascii="Calibri" w:hAnsi="Calibri"/>
          <w:spacing w:val="-3"/>
          <w:sz w:val="19"/>
        </w:rPr>
        <w:t xml:space="preserve"> </w:t>
      </w:r>
      <w:r>
        <w:rPr>
          <w:rFonts w:ascii="Calibri" w:hAnsi="Calibri"/>
          <w:sz w:val="19"/>
        </w:rPr>
        <w:t>and</w:t>
      </w:r>
      <w:r>
        <w:rPr>
          <w:rFonts w:ascii="Calibri" w:hAnsi="Calibri"/>
          <w:spacing w:val="-3"/>
          <w:sz w:val="19"/>
        </w:rPr>
        <w:t xml:space="preserve"> </w:t>
      </w:r>
      <w:r>
        <w:rPr>
          <w:rFonts w:ascii="Calibri" w:hAnsi="Calibri"/>
          <w:sz w:val="19"/>
        </w:rPr>
        <w:t>advocacy.</w:t>
      </w:r>
      <w:r>
        <w:rPr>
          <w:rFonts w:ascii="Calibri" w:hAnsi="Calibri"/>
          <w:spacing w:val="-3"/>
          <w:sz w:val="19"/>
        </w:rPr>
        <w:t xml:space="preserve"> </w:t>
      </w:r>
      <w:r>
        <w:rPr>
          <w:rFonts w:ascii="Calibri" w:hAnsi="Calibri"/>
          <w:sz w:val="19"/>
        </w:rPr>
        <w:t>Chapter</w:t>
      </w:r>
      <w:r>
        <w:rPr>
          <w:rFonts w:ascii="Calibri" w:hAnsi="Calibri"/>
          <w:spacing w:val="-3"/>
          <w:sz w:val="19"/>
        </w:rPr>
        <w:t xml:space="preserve"> </w:t>
      </w:r>
      <w:r>
        <w:rPr>
          <w:rFonts w:ascii="Calibri" w:hAnsi="Calibri"/>
          <w:sz w:val="19"/>
        </w:rPr>
        <w:t>7</w:t>
      </w:r>
      <w:r>
        <w:rPr>
          <w:rFonts w:ascii="Calibri" w:hAnsi="Calibri"/>
          <w:spacing w:val="-3"/>
          <w:sz w:val="19"/>
        </w:rPr>
        <w:t xml:space="preserve"> </w:t>
      </w:r>
      <w:r>
        <w:rPr>
          <w:rFonts w:ascii="Calibri" w:hAnsi="Calibri"/>
          <w:sz w:val="19"/>
        </w:rPr>
        <w:t>contains</w:t>
      </w:r>
      <w:r>
        <w:rPr>
          <w:rFonts w:ascii="Calibri" w:hAnsi="Calibri"/>
          <w:spacing w:val="-3"/>
          <w:sz w:val="19"/>
        </w:rPr>
        <w:t xml:space="preserve"> </w:t>
      </w:r>
      <w:r>
        <w:rPr>
          <w:rFonts w:ascii="Calibri" w:hAnsi="Calibri"/>
          <w:sz w:val="19"/>
        </w:rPr>
        <w:t>average</w:t>
      </w:r>
      <w:r>
        <w:rPr>
          <w:rFonts w:ascii="Calibri" w:hAnsi="Calibri"/>
          <w:spacing w:val="-5"/>
          <w:sz w:val="19"/>
        </w:rPr>
        <w:t xml:space="preserve"> </w:t>
      </w:r>
      <w:r>
        <w:rPr>
          <w:rFonts w:ascii="Calibri" w:hAnsi="Calibri"/>
          <w:sz w:val="19"/>
        </w:rPr>
        <w:t>costs</w:t>
      </w:r>
      <w:r>
        <w:rPr>
          <w:rFonts w:ascii="Calibri" w:hAnsi="Calibri"/>
          <w:spacing w:val="-3"/>
          <w:sz w:val="19"/>
        </w:rPr>
        <w:t xml:space="preserve"> </w:t>
      </w:r>
      <w:r>
        <w:rPr>
          <w:rFonts w:ascii="Calibri" w:hAnsi="Calibri"/>
          <w:sz w:val="19"/>
        </w:rPr>
        <w:t>for</w:t>
      </w:r>
      <w:r>
        <w:rPr>
          <w:rFonts w:ascii="Calibri" w:hAnsi="Calibri"/>
          <w:spacing w:val="-3"/>
          <w:sz w:val="19"/>
        </w:rPr>
        <w:t xml:space="preserve"> </w:t>
      </w:r>
      <w:r>
        <w:rPr>
          <w:rFonts w:ascii="Calibri" w:hAnsi="Calibri"/>
          <w:sz w:val="19"/>
        </w:rPr>
        <w:t>elective and non-elective hospital admissions as well as outpatient attendances and other more specialised services such as inpatient and outpatient palliative care. These have been drawn from the NHS reference costs. The costs for specialist neuro-rehabilitation services, screening interventions for sexually transmitted infections and self- management programmes are also found in this</w:t>
      </w:r>
      <w:r>
        <w:rPr>
          <w:rFonts w:ascii="Calibri" w:hAnsi="Calibri"/>
          <w:spacing w:val="-17"/>
          <w:sz w:val="19"/>
        </w:rPr>
        <w:t xml:space="preserve"> </w:t>
      </w:r>
      <w:r>
        <w:rPr>
          <w:rFonts w:ascii="Calibri" w:hAnsi="Calibri"/>
          <w:sz w:val="19"/>
        </w:rPr>
        <w:t>chapter.</w:t>
      </w:r>
    </w:p>
    <w:p w:rsidR="006A18FD" w:rsidRDefault="002D29FC">
      <w:pPr>
        <w:spacing w:before="118"/>
        <w:ind w:left="140" w:right="138"/>
        <w:rPr>
          <w:rFonts w:ascii="Calibri"/>
          <w:sz w:val="19"/>
        </w:rPr>
      </w:pPr>
      <w:r>
        <w:rPr>
          <w:rFonts w:ascii="Calibri"/>
          <w:sz w:val="19"/>
        </w:rPr>
        <w:t>Whereas our usual approach is to present the unit costs for particular services or professionals, Chapter 8 contains our care-package costs. Here the unit of interest is the individual and the combination of services they use. Examples of care packages are health care support received by people requiring mental health support and care packages for people at the end of their lives.</w:t>
      </w:r>
    </w:p>
    <w:p w:rsidR="006A18FD" w:rsidRDefault="00E60AD2">
      <w:pPr>
        <w:spacing w:before="10"/>
        <w:rPr>
          <w:rFonts w:ascii="Calibri"/>
          <w:sz w:val="15"/>
        </w:rPr>
      </w:pPr>
      <w:r>
        <w:rPr>
          <w:noProof/>
          <w:lang w:val="en-GB" w:eastAsia="en-GB"/>
        </w:rPr>
        <mc:AlternateContent>
          <mc:Choice Requires="wps">
            <w:drawing>
              <wp:anchor distT="0" distB="0" distL="0" distR="0" simplePos="0" relativeHeight="251592704" behindDoc="0" locked="0" layoutInCell="1" allowOverlap="1">
                <wp:simplePos x="0" y="0"/>
                <wp:positionH relativeFrom="page">
                  <wp:posOffset>917575</wp:posOffset>
                </wp:positionH>
                <wp:positionV relativeFrom="paragraph">
                  <wp:posOffset>150495</wp:posOffset>
                </wp:positionV>
                <wp:extent cx="5727065" cy="1677035"/>
                <wp:effectExtent l="12700" t="7620" r="13335" b="10795"/>
                <wp:wrapTopAndBottom/>
                <wp:docPr id="40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67703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
                              <w:ind w:left="103"/>
                              <w:rPr>
                                <w:rFonts w:ascii="Calibri"/>
                                <w:sz w:val="19"/>
                              </w:rPr>
                            </w:pPr>
                            <w:r>
                              <w:rPr>
                                <w:rFonts w:ascii="Calibri"/>
                                <w:sz w:val="19"/>
                              </w:rPr>
                              <w:t>Section I: services for</w:t>
                            </w:r>
                          </w:p>
                          <w:p w:rsidR="002E1E01" w:rsidRDefault="002E1E01">
                            <w:pPr>
                              <w:spacing w:before="10"/>
                              <w:rPr>
                                <w:rFonts w:ascii="Calibri"/>
                                <w:sz w:val="18"/>
                              </w:rPr>
                            </w:pPr>
                          </w:p>
                          <w:p w:rsidR="002E1E01" w:rsidRDefault="002E1E01" w:rsidP="008E3FA8">
                            <w:pPr>
                              <w:numPr>
                                <w:ilvl w:val="0"/>
                                <w:numId w:val="27"/>
                              </w:numPr>
                              <w:tabs>
                                <w:tab w:val="left" w:pos="823"/>
                                <w:tab w:val="left" w:pos="824"/>
                              </w:tabs>
                              <w:rPr>
                                <w:rFonts w:ascii="Calibri"/>
                                <w:sz w:val="19"/>
                              </w:rPr>
                            </w:pPr>
                            <w:r>
                              <w:rPr>
                                <w:rFonts w:ascii="Calibri"/>
                                <w:sz w:val="19"/>
                              </w:rPr>
                              <w:t>Older</w:t>
                            </w:r>
                            <w:r>
                              <w:rPr>
                                <w:rFonts w:ascii="Calibri"/>
                                <w:spacing w:val="-4"/>
                                <w:sz w:val="19"/>
                              </w:rPr>
                              <w:t xml:space="preserve"> </w:t>
                            </w:r>
                            <w:r>
                              <w:rPr>
                                <w:rFonts w:ascii="Calibri"/>
                                <w:sz w:val="19"/>
                              </w:rPr>
                              <w:t>people</w:t>
                            </w:r>
                          </w:p>
                          <w:p w:rsidR="002E1E01" w:rsidRDefault="002E1E01" w:rsidP="008E3FA8">
                            <w:pPr>
                              <w:numPr>
                                <w:ilvl w:val="0"/>
                                <w:numId w:val="27"/>
                              </w:numPr>
                              <w:tabs>
                                <w:tab w:val="left" w:pos="823"/>
                                <w:tab w:val="left" w:pos="824"/>
                              </w:tabs>
                              <w:rPr>
                                <w:rFonts w:ascii="Calibri"/>
                                <w:sz w:val="19"/>
                              </w:rPr>
                            </w:pPr>
                            <w:r>
                              <w:rPr>
                                <w:rFonts w:ascii="Calibri"/>
                                <w:sz w:val="19"/>
                              </w:rPr>
                              <w:t>Those requiring mental health</w:t>
                            </w:r>
                            <w:r>
                              <w:rPr>
                                <w:rFonts w:ascii="Calibri"/>
                                <w:spacing w:val="-13"/>
                                <w:sz w:val="19"/>
                              </w:rPr>
                              <w:t xml:space="preserve"> </w:t>
                            </w:r>
                            <w:r>
                              <w:rPr>
                                <w:rFonts w:ascii="Calibri"/>
                                <w:sz w:val="19"/>
                              </w:rPr>
                              <w:t>support</w:t>
                            </w:r>
                          </w:p>
                          <w:p w:rsidR="002E1E01" w:rsidRDefault="002E1E01" w:rsidP="008E3FA8">
                            <w:pPr>
                              <w:numPr>
                                <w:ilvl w:val="0"/>
                                <w:numId w:val="27"/>
                              </w:numPr>
                              <w:tabs>
                                <w:tab w:val="left" w:pos="823"/>
                                <w:tab w:val="left" w:pos="824"/>
                              </w:tabs>
                              <w:rPr>
                                <w:rFonts w:ascii="Calibri"/>
                                <w:sz w:val="19"/>
                              </w:rPr>
                            </w:pPr>
                            <w:r>
                              <w:rPr>
                                <w:rFonts w:ascii="Calibri"/>
                                <w:sz w:val="19"/>
                              </w:rPr>
                              <w:t>Those with learning disability or physical support</w:t>
                            </w:r>
                            <w:r>
                              <w:rPr>
                                <w:rFonts w:ascii="Calibri"/>
                                <w:spacing w:val="-22"/>
                                <w:sz w:val="19"/>
                              </w:rPr>
                              <w:t xml:space="preserve"> </w:t>
                            </w:r>
                            <w:r>
                              <w:rPr>
                                <w:rFonts w:ascii="Calibri"/>
                                <w:sz w:val="19"/>
                              </w:rPr>
                              <w:t>needs</w:t>
                            </w:r>
                          </w:p>
                          <w:p w:rsidR="002E1E01" w:rsidRDefault="002E1E01" w:rsidP="008E3FA8">
                            <w:pPr>
                              <w:numPr>
                                <w:ilvl w:val="0"/>
                                <w:numId w:val="27"/>
                              </w:numPr>
                              <w:tabs>
                                <w:tab w:val="left" w:pos="823"/>
                                <w:tab w:val="left" w:pos="824"/>
                              </w:tabs>
                              <w:rPr>
                                <w:rFonts w:ascii="Calibri"/>
                                <w:sz w:val="19"/>
                              </w:rPr>
                            </w:pPr>
                            <w:r>
                              <w:rPr>
                                <w:rFonts w:ascii="Calibri"/>
                                <w:sz w:val="19"/>
                              </w:rPr>
                              <w:t>People who abuse drugs and</w:t>
                            </w:r>
                            <w:r>
                              <w:rPr>
                                <w:rFonts w:ascii="Calibri"/>
                                <w:spacing w:val="-12"/>
                                <w:sz w:val="19"/>
                              </w:rPr>
                              <w:t xml:space="preserve"> </w:t>
                            </w:r>
                            <w:r>
                              <w:rPr>
                                <w:rFonts w:ascii="Calibri"/>
                                <w:sz w:val="19"/>
                              </w:rPr>
                              <w:t>alcohol</w:t>
                            </w:r>
                          </w:p>
                          <w:p w:rsidR="002E1E01" w:rsidRDefault="002E1E01" w:rsidP="008E3FA8">
                            <w:pPr>
                              <w:numPr>
                                <w:ilvl w:val="0"/>
                                <w:numId w:val="27"/>
                              </w:numPr>
                              <w:tabs>
                                <w:tab w:val="left" w:pos="823"/>
                                <w:tab w:val="left" w:pos="824"/>
                              </w:tabs>
                              <w:spacing w:before="1"/>
                              <w:rPr>
                                <w:rFonts w:ascii="Calibri"/>
                                <w:sz w:val="19"/>
                              </w:rPr>
                            </w:pPr>
                            <w:r>
                              <w:rPr>
                                <w:rFonts w:ascii="Calibri"/>
                                <w:sz w:val="19"/>
                              </w:rPr>
                              <w:t>Children and young</w:t>
                            </w:r>
                            <w:r>
                              <w:rPr>
                                <w:rFonts w:ascii="Calibri"/>
                                <w:spacing w:val="-10"/>
                                <w:sz w:val="19"/>
                              </w:rPr>
                              <w:t xml:space="preserve"> </w:t>
                            </w:r>
                            <w:r>
                              <w:rPr>
                                <w:rFonts w:ascii="Calibri"/>
                                <w:sz w:val="19"/>
                              </w:rPr>
                              <w:t>adults</w:t>
                            </w:r>
                          </w:p>
                          <w:p w:rsidR="002E1E01" w:rsidRDefault="002E1E01">
                            <w:pPr>
                              <w:spacing w:before="121"/>
                              <w:ind w:left="103"/>
                              <w:rPr>
                                <w:rFonts w:ascii="Calibri"/>
                                <w:sz w:val="19"/>
                              </w:rPr>
                            </w:pPr>
                            <w:r>
                              <w:rPr>
                                <w:rFonts w:ascii="Calibri"/>
                                <w:sz w:val="19"/>
                              </w:rPr>
                              <w:t>And</w:t>
                            </w:r>
                          </w:p>
                          <w:p w:rsidR="002E1E01" w:rsidRDefault="002E1E01" w:rsidP="008E3FA8">
                            <w:pPr>
                              <w:numPr>
                                <w:ilvl w:val="0"/>
                                <w:numId w:val="27"/>
                              </w:numPr>
                              <w:tabs>
                                <w:tab w:val="left" w:pos="823"/>
                                <w:tab w:val="left" w:pos="824"/>
                              </w:tabs>
                              <w:spacing w:before="118"/>
                              <w:rPr>
                                <w:rFonts w:ascii="Calibri"/>
                                <w:sz w:val="19"/>
                              </w:rPr>
                            </w:pPr>
                            <w:r>
                              <w:rPr>
                                <w:rFonts w:ascii="Calibri"/>
                                <w:sz w:val="19"/>
                              </w:rPr>
                              <w:t>Hospital</w:t>
                            </w:r>
                            <w:r>
                              <w:rPr>
                                <w:rFonts w:ascii="Calibri"/>
                                <w:spacing w:val="-11"/>
                                <w:sz w:val="19"/>
                              </w:rPr>
                              <w:t xml:space="preserve"> </w:t>
                            </w:r>
                            <w:r>
                              <w:rPr>
                                <w:rFonts w:ascii="Calibri"/>
                                <w:sz w:val="19"/>
                              </w:rPr>
                              <w:t>services</w:t>
                            </w:r>
                          </w:p>
                          <w:p w:rsidR="002E1E01" w:rsidRDefault="002E1E01" w:rsidP="008E3FA8">
                            <w:pPr>
                              <w:numPr>
                                <w:ilvl w:val="0"/>
                                <w:numId w:val="27"/>
                              </w:numPr>
                              <w:tabs>
                                <w:tab w:val="left" w:pos="823"/>
                                <w:tab w:val="left" w:pos="824"/>
                              </w:tabs>
                              <w:spacing w:line="241" w:lineRule="exact"/>
                              <w:rPr>
                                <w:rFonts w:ascii="Calibri"/>
                                <w:sz w:val="19"/>
                              </w:rPr>
                            </w:pPr>
                            <w:r>
                              <w:rPr>
                                <w:rFonts w:ascii="Calibri"/>
                                <w:sz w:val="19"/>
                              </w:rPr>
                              <w:t>Care packages for people with a range of</w:t>
                            </w:r>
                            <w:r>
                              <w:rPr>
                                <w:rFonts w:ascii="Calibri"/>
                                <w:spacing w:val="-15"/>
                                <w:sz w:val="19"/>
                              </w:rPr>
                              <w:t xml:space="preserve"> </w:t>
                            </w:r>
                            <w:r>
                              <w:rPr>
                                <w:rFonts w:ascii="Calibri"/>
                                <w:sz w:val="19"/>
                              </w:rPr>
                              <w:t>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29" type="#_x0000_t202" style="position:absolute;margin-left:72.25pt;margin-top:11.85pt;width:450.95pt;height:132.0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" filled="f" strokeweight=".16936mm">
                <v:textbox inset="0,0,0,0">
                  <w:txbxContent>
                    <w:p w:rsidR="002E1E01" w:rsidRDefault="002E1E01">
                      <w:pPr>
                        <w:spacing w:before="1"/>
                        <w:ind w:left="103"/>
                        <w:rPr>
                          <w:rFonts w:ascii="Calibri"/>
                          <w:sz w:val="19"/>
                        </w:rPr>
                      </w:pPr>
                      <w:r>
                        <w:rPr>
                          <w:rFonts w:ascii="Calibri"/>
                          <w:sz w:val="19"/>
                        </w:rPr>
                        <w:t>Section I: services for</w:t>
                      </w:r>
                    </w:p>
                    <w:p w:rsidR="002E1E01" w:rsidRDefault="002E1E01">
                      <w:pPr>
                        <w:spacing w:before="10"/>
                        <w:rPr>
                          <w:rFonts w:ascii="Calibri"/>
                          <w:sz w:val="18"/>
                        </w:rPr>
                      </w:pPr>
                    </w:p>
                    <w:p w:rsidR="002E1E01" w:rsidRDefault="002E1E01" w:rsidP="008E3FA8">
                      <w:pPr>
                        <w:numPr>
                          <w:ilvl w:val="0"/>
                          <w:numId w:val="27"/>
                        </w:numPr>
                        <w:tabs>
                          <w:tab w:val="left" w:pos="823"/>
                          <w:tab w:val="left" w:pos="824"/>
                        </w:tabs>
                        <w:rPr>
                          <w:rFonts w:ascii="Calibri"/>
                          <w:sz w:val="19"/>
                        </w:rPr>
                      </w:pPr>
                      <w:r>
                        <w:rPr>
                          <w:rFonts w:ascii="Calibri"/>
                          <w:sz w:val="19"/>
                        </w:rPr>
                        <w:t>Older</w:t>
                      </w:r>
                      <w:r>
                        <w:rPr>
                          <w:rFonts w:ascii="Calibri"/>
                          <w:spacing w:val="-4"/>
                          <w:sz w:val="19"/>
                        </w:rPr>
                        <w:t xml:space="preserve"> </w:t>
                      </w:r>
                      <w:r>
                        <w:rPr>
                          <w:rFonts w:ascii="Calibri"/>
                          <w:sz w:val="19"/>
                        </w:rPr>
                        <w:t>people</w:t>
                      </w:r>
                    </w:p>
                    <w:p w:rsidR="002E1E01" w:rsidRDefault="002E1E01" w:rsidP="008E3FA8">
                      <w:pPr>
                        <w:numPr>
                          <w:ilvl w:val="0"/>
                          <w:numId w:val="27"/>
                        </w:numPr>
                        <w:tabs>
                          <w:tab w:val="left" w:pos="823"/>
                          <w:tab w:val="left" w:pos="824"/>
                        </w:tabs>
                        <w:rPr>
                          <w:rFonts w:ascii="Calibri"/>
                          <w:sz w:val="19"/>
                        </w:rPr>
                      </w:pPr>
                      <w:r>
                        <w:rPr>
                          <w:rFonts w:ascii="Calibri"/>
                          <w:sz w:val="19"/>
                        </w:rPr>
                        <w:t>Those requiring mental health</w:t>
                      </w:r>
                      <w:r>
                        <w:rPr>
                          <w:rFonts w:ascii="Calibri"/>
                          <w:spacing w:val="-13"/>
                          <w:sz w:val="19"/>
                        </w:rPr>
                        <w:t xml:space="preserve"> </w:t>
                      </w:r>
                      <w:r>
                        <w:rPr>
                          <w:rFonts w:ascii="Calibri"/>
                          <w:sz w:val="19"/>
                        </w:rPr>
                        <w:t>support</w:t>
                      </w:r>
                    </w:p>
                    <w:p w:rsidR="002E1E01" w:rsidRDefault="002E1E01" w:rsidP="008E3FA8">
                      <w:pPr>
                        <w:numPr>
                          <w:ilvl w:val="0"/>
                          <w:numId w:val="27"/>
                        </w:numPr>
                        <w:tabs>
                          <w:tab w:val="left" w:pos="823"/>
                          <w:tab w:val="left" w:pos="824"/>
                        </w:tabs>
                        <w:rPr>
                          <w:rFonts w:ascii="Calibri"/>
                          <w:sz w:val="19"/>
                        </w:rPr>
                      </w:pPr>
                      <w:r>
                        <w:rPr>
                          <w:rFonts w:ascii="Calibri"/>
                          <w:sz w:val="19"/>
                        </w:rPr>
                        <w:t>Those with learning disability or physical support</w:t>
                      </w:r>
                      <w:r>
                        <w:rPr>
                          <w:rFonts w:ascii="Calibri"/>
                          <w:spacing w:val="-22"/>
                          <w:sz w:val="19"/>
                        </w:rPr>
                        <w:t xml:space="preserve"> </w:t>
                      </w:r>
                      <w:r>
                        <w:rPr>
                          <w:rFonts w:ascii="Calibri"/>
                          <w:sz w:val="19"/>
                        </w:rPr>
                        <w:t>needs</w:t>
                      </w:r>
                    </w:p>
                    <w:p w:rsidR="002E1E01" w:rsidRDefault="002E1E01" w:rsidP="008E3FA8">
                      <w:pPr>
                        <w:numPr>
                          <w:ilvl w:val="0"/>
                          <w:numId w:val="27"/>
                        </w:numPr>
                        <w:tabs>
                          <w:tab w:val="left" w:pos="823"/>
                          <w:tab w:val="left" w:pos="824"/>
                        </w:tabs>
                        <w:rPr>
                          <w:rFonts w:ascii="Calibri"/>
                          <w:sz w:val="19"/>
                        </w:rPr>
                      </w:pPr>
                      <w:r>
                        <w:rPr>
                          <w:rFonts w:ascii="Calibri"/>
                          <w:sz w:val="19"/>
                        </w:rPr>
                        <w:t>People who abuse drugs and</w:t>
                      </w:r>
                      <w:r>
                        <w:rPr>
                          <w:rFonts w:ascii="Calibri"/>
                          <w:spacing w:val="-12"/>
                          <w:sz w:val="19"/>
                        </w:rPr>
                        <w:t xml:space="preserve"> </w:t>
                      </w:r>
                      <w:r>
                        <w:rPr>
                          <w:rFonts w:ascii="Calibri"/>
                          <w:sz w:val="19"/>
                        </w:rPr>
                        <w:t>alcohol</w:t>
                      </w:r>
                    </w:p>
                    <w:p w:rsidR="002E1E01" w:rsidRDefault="002E1E01" w:rsidP="008E3FA8">
                      <w:pPr>
                        <w:numPr>
                          <w:ilvl w:val="0"/>
                          <w:numId w:val="27"/>
                        </w:numPr>
                        <w:tabs>
                          <w:tab w:val="left" w:pos="823"/>
                          <w:tab w:val="left" w:pos="824"/>
                        </w:tabs>
                        <w:spacing w:before="1"/>
                        <w:rPr>
                          <w:rFonts w:ascii="Calibri"/>
                          <w:sz w:val="19"/>
                        </w:rPr>
                      </w:pPr>
                      <w:r>
                        <w:rPr>
                          <w:rFonts w:ascii="Calibri"/>
                          <w:sz w:val="19"/>
                        </w:rPr>
                        <w:t>Children and young</w:t>
                      </w:r>
                      <w:r>
                        <w:rPr>
                          <w:rFonts w:ascii="Calibri"/>
                          <w:spacing w:val="-10"/>
                          <w:sz w:val="19"/>
                        </w:rPr>
                        <w:t xml:space="preserve"> </w:t>
                      </w:r>
                      <w:r>
                        <w:rPr>
                          <w:rFonts w:ascii="Calibri"/>
                          <w:sz w:val="19"/>
                        </w:rPr>
                        <w:t>adults</w:t>
                      </w:r>
                    </w:p>
                    <w:p w:rsidR="002E1E01" w:rsidRDefault="002E1E01">
                      <w:pPr>
                        <w:spacing w:before="121"/>
                        <w:ind w:left="103"/>
                        <w:rPr>
                          <w:rFonts w:ascii="Calibri"/>
                          <w:sz w:val="19"/>
                        </w:rPr>
                      </w:pPr>
                      <w:r>
                        <w:rPr>
                          <w:rFonts w:ascii="Calibri"/>
                          <w:sz w:val="19"/>
                        </w:rPr>
                        <w:t>And</w:t>
                      </w:r>
                    </w:p>
                    <w:p w:rsidR="002E1E01" w:rsidRDefault="002E1E01" w:rsidP="008E3FA8">
                      <w:pPr>
                        <w:numPr>
                          <w:ilvl w:val="0"/>
                          <w:numId w:val="27"/>
                        </w:numPr>
                        <w:tabs>
                          <w:tab w:val="left" w:pos="823"/>
                          <w:tab w:val="left" w:pos="824"/>
                        </w:tabs>
                        <w:spacing w:before="118"/>
                        <w:rPr>
                          <w:rFonts w:ascii="Calibri"/>
                          <w:sz w:val="19"/>
                        </w:rPr>
                      </w:pPr>
                      <w:r>
                        <w:rPr>
                          <w:rFonts w:ascii="Calibri"/>
                          <w:sz w:val="19"/>
                        </w:rPr>
                        <w:t>Hospital</w:t>
                      </w:r>
                      <w:r>
                        <w:rPr>
                          <w:rFonts w:ascii="Calibri"/>
                          <w:spacing w:val="-11"/>
                          <w:sz w:val="19"/>
                        </w:rPr>
                        <w:t xml:space="preserve"> </w:t>
                      </w:r>
                      <w:r>
                        <w:rPr>
                          <w:rFonts w:ascii="Calibri"/>
                          <w:sz w:val="19"/>
                        </w:rPr>
                        <w:t>services</w:t>
                      </w:r>
                    </w:p>
                    <w:p w:rsidR="002E1E01" w:rsidRDefault="002E1E01" w:rsidP="008E3FA8">
                      <w:pPr>
                        <w:numPr>
                          <w:ilvl w:val="0"/>
                          <w:numId w:val="27"/>
                        </w:numPr>
                        <w:tabs>
                          <w:tab w:val="left" w:pos="823"/>
                          <w:tab w:val="left" w:pos="824"/>
                        </w:tabs>
                        <w:spacing w:line="241" w:lineRule="exact"/>
                        <w:rPr>
                          <w:rFonts w:ascii="Calibri"/>
                          <w:sz w:val="19"/>
                        </w:rPr>
                      </w:pPr>
                      <w:r>
                        <w:rPr>
                          <w:rFonts w:ascii="Calibri"/>
                          <w:sz w:val="19"/>
                        </w:rPr>
                        <w:t>Care packages for people with a range of</w:t>
                      </w:r>
                      <w:r>
                        <w:rPr>
                          <w:rFonts w:ascii="Calibri"/>
                          <w:spacing w:val="-15"/>
                          <w:sz w:val="19"/>
                        </w:rPr>
                        <w:t xml:space="preserve"> </w:t>
                      </w:r>
                      <w:r>
                        <w:rPr>
                          <w:rFonts w:ascii="Calibri"/>
                          <w:sz w:val="19"/>
                        </w:rPr>
                        <w:t>needs</w:t>
                      </w:r>
                    </w:p>
                  </w:txbxContent>
                </v:textbox>
                <w10:wrap type="topAndBottom" anchorx="page"/>
              </v:shape>
            </w:pict>
          </mc:Fallback>
        </mc:AlternateContent>
      </w:r>
    </w:p>
    <w:p w:rsidR="006A18FD" w:rsidRDefault="006A18FD">
      <w:pPr>
        <w:spacing w:before="5"/>
        <w:rPr>
          <w:rFonts w:ascii="Calibri"/>
          <w:sz w:val="21"/>
        </w:rPr>
      </w:pPr>
    </w:p>
    <w:p w:rsidR="006A18FD" w:rsidRDefault="002D29FC">
      <w:pPr>
        <w:spacing w:before="61"/>
        <w:ind w:left="140" w:right="323"/>
        <w:jc w:val="both"/>
        <w:rPr>
          <w:rFonts w:ascii="Calibri"/>
          <w:sz w:val="19"/>
        </w:rPr>
      </w:pPr>
      <w:r>
        <w:rPr>
          <w:rFonts w:ascii="Calibri"/>
          <w:sz w:val="19"/>
        </w:rPr>
        <w:t>Sections II, III and IV present the costs for professionals and teams of professionals who can provide support for all client groups. They are divided in the volume according to whether staff are health or social care professionals and whether they are hospital or community based.</w:t>
      </w:r>
    </w:p>
    <w:p w:rsidR="006A18FD" w:rsidRDefault="006A18FD">
      <w:pPr>
        <w:spacing w:before="11"/>
        <w:rPr>
          <w:rFonts w:ascii="Calibri"/>
          <w:sz w:val="18"/>
        </w:rPr>
      </w:pPr>
    </w:p>
    <w:p w:rsidR="006A18FD" w:rsidRDefault="002D29FC">
      <w:pPr>
        <w:ind w:left="140" w:right="559"/>
        <w:rPr>
          <w:rFonts w:ascii="Calibri"/>
          <w:sz w:val="19"/>
        </w:rPr>
      </w:pPr>
      <w:r>
        <w:rPr>
          <w:rFonts w:ascii="Calibri"/>
          <w:sz w:val="19"/>
        </w:rPr>
        <w:t xml:space="preserve">In section V you will find other useful information such as inflation indices, NHS staff earning estimates, training costs and care home fees. You can also find further information in our blog </w:t>
      </w:r>
      <w:hyperlink r:id="rId18">
        <w:r>
          <w:rPr>
            <w:rFonts w:ascii="Calibri"/>
            <w:color w:val="0000FF"/>
            <w:sz w:val="19"/>
            <w:u w:val="single" w:color="0000FF"/>
          </w:rPr>
          <w:t>https://www.pssru.ac.uk/blog/category/unit-costs/page/6/</w:t>
        </w:r>
      </w:hyperlink>
    </w:p>
    <w:p w:rsidR="006A18FD" w:rsidRDefault="00E60AD2">
      <w:pPr>
        <w:spacing w:before="10"/>
        <w:rPr>
          <w:rFonts w:ascii="Calibri"/>
          <w:sz w:val="15"/>
        </w:rPr>
      </w:pPr>
      <w:r>
        <w:rPr>
          <w:noProof/>
          <w:lang w:val="en-GB" w:eastAsia="en-GB"/>
        </w:rPr>
        <mc:AlternateContent>
          <mc:Choice Requires="wps">
            <w:drawing>
              <wp:anchor distT="0" distB="0" distL="0" distR="0" simplePos="0" relativeHeight="251593728" behindDoc="0" locked="0" layoutInCell="1" allowOverlap="1">
                <wp:simplePos x="0" y="0"/>
                <wp:positionH relativeFrom="page">
                  <wp:posOffset>917575</wp:posOffset>
                </wp:positionH>
                <wp:positionV relativeFrom="paragraph">
                  <wp:posOffset>150495</wp:posOffset>
                </wp:positionV>
                <wp:extent cx="5727065" cy="672465"/>
                <wp:effectExtent l="12700" t="7620" r="13335" b="5715"/>
                <wp:wrapTopAndBottom/>
                <wp:docPr id="40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7246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 w:line="231" w:lineRule="exact"/>
                              <w:ind w:left="103"/>
                              <w:rPr>
                                <w:rFonts w:ascii="Calibri"/>
                                <w:sz w:val="19"/>
                              </w:rPr>
                            </w:pPr>
                            <w:r>
                              <w:rPr>
                                <w:rFonts w:ascii="Calibri"/>
                                <w:sz w:val="19"/>
                              </w:rPr>
                              <w:t>Section II: community-based health care staff such as nurses, GPs and dentists</w:t>
                            </w:r>
                          </w:p>
                          <w:p w:rsidR="002E1E01" w:rsidRDefault="002E1E01">
                            <w:pPr>
                              <w:ind w:left="103" w:right="2206"/>
                              <w:rPr>
                                <w:rFonts w:ascii="Calibri"/>
                                <w:sz w:val="19"/>
                              </w:rPr>
                            </w:pPr>
                            <w:r>
                              <w:rPr>
                                <w:rFonts w:ascii="Calibri"/>
                                <w:sz w:val="19"/>
                              </w:rPr>
                              <w:t>Section III: community-based social care staff e.g. social workers or home care workers Section IV: hospital-based staff including doctors and scientific and professional staff</w:t>
                            </w:r>
                          </w:p>
                          <w:p w:rsidR="002E1E01" w:rsidRDefault="002E1E01">
                            <w:pPr>
                              <w:spacing w:before="2"/>
                              <w:ind w:left="103"/>
                              <w:rPr>
                                <w:rFonts w:ascii="Calibri"/>
                                <w:sz w:val="19"/>
                              </w:rPr>
                            </w:pPr>
                            <w:r>
                              <w:rPr>
                                <w:rFonts w:ascii="Calibri"/>
                                <w:sz w:val="19"/>
                              </w:rPr>
                              <w:t>Section V: supporting information, such as inflation indices, NHS staff earnings, training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0" type="#_x0000_t202" style="position:absolute;margin-left:72.25pt;margin-top:11.85pt;width:450.95pt;height:52.9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" filled="f" strokeweight=".16936mm">
                <v:textbox inset="0,0,0,0">
                  <w:txbxContent>
                    <w:p w:rsidR="002E1E01" w:rsidRDefault="002E1E01">
                      <w:pPr>
                        <w:spacing w:before="1" w:line="231" w:lineRule="exact"/>
                        <w:ind w:left="103"/>
                        <w:rPr>
                          <w:rFonts w:ascii="Calibri"/>
                          <w:sz w:val="19"/>
                        </w:rPr>
                      </w:pPr>
                      <w:r>
                        <w:rPr>
                          <w:rFonts w:ascii="Calibri"/>
                          <w:sz w:val="19"/>
                        </w:rPr>
                        <w:t>Section II: community-based health care staff such as nurses, GPs and dentists</w:t>
                      </w:r>
                    </w:p>
                    <w:p w:rsidR="002E1E01" w:rsidRDefault="002E1E01">
                      <w:pPr>
                        <w:ind w:left="103" w:right="2206"/>
                        <w:rPr>
                          <w:rFonts w:ascii="Calibri"/>
                          <w:sz w:val="19"/>
                        </w:rPr>
                      </w:pPr>
                      <w:r>
                        <w:rPr>
                          <w:rFonts w:ascii="Calibri"/>
                          <w:sz w:val="19"/>
                        </w:rPr>
                        <w:t>Section III: community-based social care staff e.g. social workers or home care workers Section IV: hospital-based staff including doctors and scientific and professional staff</w:t>
                      </w:r>
                    </w:p>
                    <w:p w:rsidR="002E1E01" w:rsidRDefault="002E1E01">
                      <w:pPr>
                        <w:spacing w:before="2"/>
                        <w:ind w:left="103"/>
                        <w:rPr>
                          <w:rFonts w:ascii="Calibri"/>
                          <w:sz w:val="19"/>
                        </w:rPr>
                      </w:pPr>
                      <w:r>
                        <w:rPr>
                          <w:rFonts w:ascii="Calibri"/>
                          <w:sz w:val="19"/>
                        </w:rPr>
                        <w:t>Section V: supporting information, such as inflation indices, NHS staff earnings, training costs</w:t>
                      </w:r>
                    </w:p>
                  </w:txbxContent>
                </v:textbox>
                <w10:wrap type="topAndBottom" anchorx="page"/>
              </v:shape>
            </w:pict>
          </mc:Fallback>
        </mc:AlternateContent>
      </w:r>
    </w:p>
    <w:p w:rsidR="006A18FD" w:rsidRDefault="002D29FC">
      <w:pPr>
        <w:spacing w:before="90" w:after="119"/>
        <w:ind w:left="140" w:right="243"/>
        <w:rPr>
          <w:rFonts w:ascii="Calibri"/>
          <w:sz w:val="19"/>
        </w:rPr>
      </w:pPr>
      <w:r>
        <w:rPr>
          <w:rFonts w:ascii="Calibri"/>
          <w:sz w:val="19"/>
        </w:rPr>
        <w:t>All volumes dating back to 2003 can be downloaded in PDF format from the PSSRU website either in sections or the whole volume.</w:t>
      </w:r>
    </w:p>
    <w:p w:rsidR="006A18FD" w:rsidRDefault="002D29FC">
      <w:pPr>
        <w:ind w:left="140"/>
        <w:rPr>
          <w:rFonts w:ascii="Calibri"/>
          <w:sz w:val="20"/>
        </w:rPr>
      </w:pPr>
      <w:r>
        <w:rPr>
          <w:rFonts w:ascii="Times New Roman"/>
          <w:spacing w:val="-49"/>
          <w:sz w:val="20"/>
        </w:rPr>
        <w:t xml:space="preserve"> </w:t>
      </w:r>
      <w:r w:rsidR="00E60AD2">
        <w:rPr>
          <w:rFonts w:ascii="Calibri"/>
          <w:noProof/>
          <w:spacing w:val="-49"/>
          <w:sz w:val="20"/>
          <w:lang w:val="en-GB" w:eastAsia="en-GB"/>
        </w:rPr>
        <mc:AlternateContent>
          <mc:Choice Requires="wps">
            <w:drawing>
              <wp:inline distT="0" distB="0" distL="0" distR="0">
                <wp:extent cx="5727065" cy="1240790"/>
                <wp:effectExtent l="9525" t="9525" r="6985" b="6985"/>
                <wp:docPr id="40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24079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21"/>
                              <w:ind w:left="103" w:right="551"/>
                              <w:rPr>
                                <w:rFonts w:ascii="Calibri"/>
                                <w:sz w:val="19"/>
                              </w:rPr>
                            </w:pPr>
                            <w:r>
                              <w:rPr>
                                <w:rFonts w:ascii="Calibri"/>
                                <w:sz w:val="19"/>
                              </w:rPr>
                              <w:t xml:space="preserve">The </w:t>
                            </w:r>
                            <w:r>
                              <w:rPr>
                                <w:rFonts w:ascii="Calibri"/>
                                <w:i/>
                                <w:sz w:val="19"/>
                              </w:rPr>
                              <w:t xml:space="preserve">Unit Cost of Health &amp; Social Care (UCH&amp;SC) </w:t>
                            </w:r>
                            <w:r>
                              <w:rPr>
                                <w:rFonts w:ascii="Calibri"/>
                                <w:sz w:val="19"/>
                              </w:rPr>
                              <w:t xml:space="preserve">is available on the PSSRU website: </w:t>
                            </w:r>
                            <w:hyperlink r:id="rId19">
                              <w:r>
                                <w:rPr>
                                  <w:rFonts w:ascii="Calibri"/>
                                  <w:sz w:val="19"/>
                                  <w:u w:val="single"/>
                                </w:rPr>
                                <w:t>https:/www.pssru.ac.uk/.</w:t>
                              </w:r>
                            </w:hyperlink>
                            <w:r>
                              <w:rPr>
                                <w:rFonts w:ascii="Calibri"/>
                                <w:sz w:val="19"/>
                              </w:rPr>
                              <w:t xml:space="preserve"> </w:t>
                            </w:r>
                            <w:r>
                              <w:rPr>
                                <w:rFonts w:ascii="Calibri"/>
                                <w:sz w:val="19"/>
                                <w:u w:val="single"/>
                              </w:rPr>
                              <w:t>There are also links for the following:</w:t>
                            </w:r>
                          </w:p>
                          <w:p w:rsidR="002E1E01" w:rsidRDefault="002E1E01" w:rsidP="008E3FA8">
                            <w:pPr>
                              <w:numPr>
                                <w:ilvl w:val="0"/>
                                <w:numId w:val="26"/>
                              </w:numPr>
                              <w:tabs>
                                <w:tab w:val="left" w:pos="823"/>
                                <w:tab w:val="left" w:pos="824"/>
                              </w:tabs>
                              <w:spacing w:before="117"/>
                              <w:rPr>
                                <w:rFonts w:ascii="Calibri"/>
                                <w:sz w:val="19"/>
                              </w:rPr>
                            </w:pPr>
                            <w:r>
                              <w:rPr>
                                <w:rFonts w:ascii="Calibri"/>
                                <w:sz w:val="19"/>
                              </w:rPr>
                              <w:t>UCH&amp;SC</w:t>
                            </w:r>
                            <w:r>
                              <w:rPr>
                                <w:rFonts w:ascii="Calibri"/>
                                <w:spacing w:val="-4"/>
                                <w:sz w:val="19"/>
                              </w:rPr>
                              <w:t xml:space="preserve"> </w:t>
                            </w:r>
                            <w:r>
                              <w:rPr>
                                <w:rFonts w:ascii="Calibri"/>
                                <w:sz w:val="19"/>
                              </w:rPr>
                              <w:t>volumes</w:t>
                            </w:r>
                            <w:r>
                              <w:rPr>
                                <w:rFonts w:ascii="Calibri"/>
                                <w:spacing w:val="-3"/>
                                <w:sz w:val="19"/>
                              </w:rPr>
                              <w:t xml:space="preserve"> </w:t>
                            </w:r>
                            <w:r>
                              <w:rPr>
                                <w:rFonts w:ascii="Calibri"/>
                                <w:sz w:val="19"/>
                              </w:rPr>
                              <w:t>from</w:t>
                            </w:r>
                            <w:r>
                              <w:rPr>
                                <w:rFonts w:ascii="Calibri"/>
                                <w:spacing w:val="-4"/>
                                <w:sz w:val="19"/>
                              </w:rPr>
                              <w:t xml:space="preserve"> </w:t>
                            </w:r>
                            <w:r>
                              <w:rPr>
                                <w:rFonts w:ascii="Calibri"/>
                                <w:sz w:val="19"/>
                              </w:rPr>
                              <w:t>2003</w:t>
                            </w:r>
                            <w:r>
                              <w:rPr>
                                <w:rFonts w:ascii="Calibri"/>
                                <w:spacing w:val="-4"/>
                                <w:sz w:val="19"/>
                              </w:rPr>
                              <w:t xml:space="preserve"> </w:t>
                            </w:r>
                            <w:r>
                              <w:rPr>
                                <w:rFonts w:ascii="Calibri"/>
                                <w:sz w:val="19"/>
                              </w:rPr>
                              <w:t>can</w:t>
                            </w:r>
                            <w:r>
                              <w:rPr>
                                <w:rFonts w:ascii="Calibri"/>
                                <w:spacing w:val="-3"/>
                                <w:sz w:val="19"/>
                              </w:rPr>
                              <w:t xml:space="preserve"> </w:t>
                            </w:r>
                            <w:r>
                              <w:rPr>
                                <w:rFonts w:ascii="Calibri"/>
                                <w:sz w:val="19"/>
                              </w:rPr>
                              <w:t>be</w:t>
                            </w:r>
                            <w:r>
                              <w:rPr>
                                <w:rFonts w:ascii="Calibri"/>
                                <w:spacing w:val="-4"/>
                                <w:sz w:val="19"/>
                              </w:rPr>
                              <w:t xml:space="preserve"> </w:t>
                            </w:r>
                            <w:r>
                              <w:rPr>
                                <w:rFonts w:ascii="Calibri"/>
                                <w:sz w:val="19"/>
                              </w:rPr>
                              <w:t>downloaded</w:t>
                            </w:r>
                            <w:r>
                              <w:rPr>
                                <w:rFonts w:ascii="Calibri"/>
                                <w:spacing w:val="-3"/>
                                <w:sz w:val="19"/>
                              </w:rPr>
                              <w:t xml:space="preserve"> </w:t>
                            </w:r>
                            <w:r>
                              <w:rPr>
                                <w:rFonts w:ascii="Calibri"/>
                                <w:sz w:val="19"/>
                              </w:rPr>
                              <w:t>as</w:t>
                            </w:r>
                            <w:r>
                              <w:rPr>
                                <w:rFonts w:ascii="Calibri"/>
                                <w:spacing w:val="-3"/>
                                <w:sz w:val="19"/>
                              </w:rPr>
                              <w:t xml:space="preserve"> </w:t>
                            </w:r>
                            <w:r>
                              <w:rPr>
                                <w:rFonts w:ascii="Calibri"/>
                                <w:sz w:val="19"/>
                              </w:rPr>
                              <w:t>a</w:t>
                            </w:r>
                            <w:r>
                              <w:rPr>
                                <w:rFonts w:ascii="Calibri"/>
                                <w:spacing w:val="-3"/>
                                <w:sz w:val="19"/>
                              </w:rPr>
                              <w:t xml:space="preserve"> </w:t>
                            </w:r>
                            <w:r>
                              <w:rPr>
                                <w:rFonts w:ascii="Calibri"/>
                                <w:sz w:val="19"/>
                              </w:rPr>
                              <w:t>whole</w:t>
                            </w:r>
                            <w:r>
                              <w:rPr>
                                <w:rFonts w:ascii="Calibri"/>
                                <w:spacing w:val="-5"/>
                                <w:sz w:val="19"/>
                              </w:rPr>
                              <w:t xml:space="preserve"> </w:t>
                            </w:r>
                            <w:r>
                              <w:rPr>
                                <w:rFonts w:ascii="Calibri"/>
                                <w:sz w:val="19"/>
                              </w:rPr>
                              <w:t>publication</w:t>
                            </w:r>
                            <w:r>
                              <w:rPr>
                                <w:rFonts w:ascii="Calibri"/>
                                <w:spacing w:val="-2"/>
                                <w:sz w:val="19"/>
                              </w:rPr>
                              <w:t xml:space="preserve"> </w:t>
                            </w:r>
                            <w:r>
                              <w:rPr>
                                <w:rFonts w:ascii="Calibri"/>
                                <w:sz w:val="19"/>
                              </w:rPr>
                              <w:t>or</w:t>
                            </w:r>
                            <w:r>
                              <w:rPr>
                                <w:rFonts w:ascii="Calibri"/>
                                <w:spacing w:val="-3"/>
                                <w:sz w:val="19"/>
                              </w:rPr>
                              <w:t xml:space="preserve"> </w:t>
                            </w:r>
                            <w:r>
                              <w:rPr>
                                <w:rFonts w:ascii="Calibri"/>
                                <w:sz w:val="19"/>
                              </w:rPr>
                              <w:t>in</w:t>
                            </w:r>
                            <w:r>
                              <w:rPr>
                                <w:rFonts w:ascii="Calibri"/>
                                <w:spacing w:val="-3"/>
                                <w:sz w:val="19"/>
                              </w:rPr>
                              <w:t xml:space="preserve"> </w:t>
                            </w:r>
                            <w:r>
                              <w:rPr>
                                <w:rFonts w:ascii="Calibri"/>
                                <w:sz w:val="19"/>
                              </w:rPr>
                              <w:t>sections</w:t>
                            </w:r>
                          </w:p>
                          <w:p w:rsidR="002E1E01" w:rsidRDefault="002E1E01" w:rsidP="008E3FA8">
                            <w:pPr>
                              <w:numPr>
                                <w:ilvl w:val="0"/>
                                <w:numId w:val="26"/>
                              </w:numPr>
                              <w:tabs>
                                <w:tab w:val="left" w:pos="823"/>
                                <w:tab w:val="left" w:pos="824"/>
                              </w:tabs>
                              <w:rPr>
                                <w:rFonts w:ascii="Calibri"/>
                                <w:sz w:val="19"/>
                              </w:rPr>
                            </w:pPr>
                            <w:r>
                              <w:rPr>
                                <w:rFonts w:ascii="Calibri"/>
                                <w:sz w:val="19"/>
                              </w:rPr>
                              <w:t>Excel spreadsheets that summarise unit costs by professional</w:t>
                            </w:r>
                            <w:r>
                              <w:rPr>
                                <w:rFonts w:ascii="Calibri"/>
                                <w:spacing w:val="-28"/>
                                <w:sz w:val="19"/>
                              </w:rPr>
                              <w:t xml:space="preserve"> </w:t>
                            </w:r>
                            <w:r>
                              <w:rPr>
                                <w:rFonts w:ascii="Calibri"/>
                                <w:sz w:val="19"/>
                              </w:rPr>
                              <w:t>groups</w:t>
                            </w:r>
                          </w:p>
                          <w:p w:rsidR="002E1E01" w:rsidRDefault="002E1E01" w:rsidP="008E3FA8">
                            <w:pPr>
                              <w:numPr>
                                <w:ilvl w:val="0"/>
                                <w:numId w:val="26"/>
                              </w:numPr>
                              <w:tabs>
                                <w:tab w:val="left" w:pos="823"/>
                                <w:tab w:val="left" w:pos="824"/>
                              </w:tabs>
                              <w:spacing w:before="1"/>
                              <w:ind w:right="1721"/>
                              <w:rPr>
                                <w:rFonts w:ascii="Calibri"/>
                                <w:sz w:val="19"/>
                              </w:rPr>
                            </w:pPr>
                            <w:r>
                              <w:rPr>
                                <w:rFonts w:ascii="Calibri"/>
                                <w:sz w:val="19"/>
                              </w:rPr>
                              <w:t>There is a database of around 65 articles that have previously been published in the UCH&amp;SC volumes:</w:t>
                            </w:r>
                            <w:r>
                              <w:rPr>
                                <w:rFonts w:ascii="Calibri"/>
                                <w:color w:val="0000FF"/>
                                <w:spacing w:val="-32"/>
                                <w:sz w:val="19"/>
                              </w:rPr>
                              <w:t xml:space="preserve"> </w:t>
                            </w:r>
                            <w:hyperlink r:id="rId20">
                              <w:r>
                                <w:rPr>
                                  <w:rFonts w:ascii="Calibri"/>
                                  <w:color w:val="0000FF"/>
                                  <w:sz w:val="19"/>
                                  <w:u w:val="single" w:color="0000FF"/>
                                </w:rPr>
                                <w:t>https://www.pssru.ac.uk/ucarticles/</w:t>
                              </w:r>
                            </w:hyperlink>
                          </w:p>
                          <w:p w:rsidR="002E1E01" w:rsidRDefault="002E1E01" w:rsidP="008E3FA8">
                            <w:pPr>
                              <w:numPr>
                                <w:ilvl w:val="0"/>
                                <w:numId w:val="26"/>
                              </w:numPr>
                              <w:tabs>
                                <w:tab w:val="left" w:pos="823"/>
                                <w:tab w:val="left" w:pos="824"/>
                              </w:tabs>
                              <w:spacing w:line="240" w:lineRule="exact"/>
                              <w:rPr>
                                <w:rFonts w:ascii="Calibri"/>
                                <w:sz w:val="19"/>
                              </w:rPr>
                            </w:pPr>
                            <w:r>
                              <w:rPr>
                                <w:rFonts w:ascii="Calibri"/>
                                <w:sz w:val="19"/>
                              </w:rPr>
                              <w:t xml:space="preserve">Our blogs can also be found on the website at </w:t>
                            </w:r>
                            <w:hyperlink r:id="rId21">
                              <w:r>
                                <w:rPr>
                                  <w:rFonts w:ascii="Calibri"/>
                                  <w:sz w:val="19"/>
                                  <w:u w:val="single"/>
                                </w:rPr>
                                <w:t>Home |</w:t>
                              </w:r>
                              <w:r>
                                <w:rPr>
                                  <w:rFonts w:ascii="Calibri"/>
                                  <w:spacing w:val="-20"/>
                                  <w:sz w:val="19"/>
                                  <w:u w:val="single"/>
                                </w:rPr>
                                <w:t xml:space="preserve"> </w:t>
                              </w:r>
                              <w:r>
                                <w:rPr>
                                  <w:rFonts w:ascii="Calibri"/>
                                  <w:sz w:val="19"/>
                                  <w:u w:val="single"/>
                                </w:rPr>
                                <w:t>PSSRU</w:t>
                              </w:r>
                              <w:r>
                                <w:rPr>
                                  <w:rFonts w:ascii="Calibri"/>
                                  <w:sz w:val="19"/>
                                </w:rPr>
                                <w:t>.</w:t>
                              </w:r>
                            </w:hyperlink>
                          </w:p>
                        </w:txbxContent>
                      </wps:txbx>
                      <wps:bodyPr rot="0" vert="horz" wrap="square" lIns="0" tIns="0" rIns="0" bIns="0" anchor="t" anchorCtr="0" upright="1">
                        <a:noAutofit/>
                      </wps:bodyPr>
                    </wps:wsp>
                  </a:graphicData>
                </a:graphic>
              </wp:inline>
            </w:drawing>
          </mc:Choice>
          <mc:Fallback>
            <w:pict>
              <v:shape id="Text Box 267" o:spid="_x0000_s1031" type="#_x0000_t202" style="width:450.95pt;height: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" filled="f" strokeweight=".16936mm">
                <v:textbox inset="0,0,0,0">
                  <w:txbxContent>
                    <w:p w:rsidR="002E1E01" w:rsidRDefault="002E1E01">
                      <w:pPr>
                        <w:spacing w:before="121"/>
                        <w:ind w:left="103" w:right="551"/>
                        <w:rPr>
                          <w:rFonts w:ascii="Calibri"/>
                          <w:sz w:val="19"/>
                        </w:rPr>
                      </w:pPr>
                      <w:r>
                        <w:rPr>
                          <w:rFonts w:ascii="Calibri"/>
                          <w:sz w:val="19"/>
                        </w:rPr>
                        <w:t xml:space="preserve">The </w:t>
                      </w:r>
                      <w:r>
                        <w:rPr>
                          <w:rFonts w:ascii="Calibri"/>
                          <w:i/>
                          <w:sz w:val="19"/>
                        </w:rPr>
                        <w:t xml:space="preserve">Unit Cost of Health &amp; Social Care (UCH&amp;SC) </w:t>
                      </w:r>
                      <w:r>
                        <w:rPr>
                          <w:rFonts w:ascii="Calibri"/>
                          <w:sz w:val="19"/>
                        </w:rPr>
                        <w:t xml:space="preserve">is available on the PSSRU website: </w:t>
                      </w:r>
                      <w:hyperlink r:id="rId22">
                        <w:r>
                          <w:rPr>
                            <w:rFonts w:ascii="Calibri"/>
                            <w:sz w:val="19"/>
                            <w:u w:val="single"/>
                          </w:rPr>
                          <w:t>https:/www.pssru.ac.uk/.</w:t>
                        </w:r>
                      </w:hyperlink>
                      <w:r>
                        <w:rPr>
                          <w:rFonts w:ascii="Calibri"/>
                          <w:sz w:val="19"/>
                        </w:rPr>
                        <w:t xml:space="preserve"> </w:t>
                      </w:r>
                      <w:r>
                        <w:rPr>
                          <w:rFonts w:ascii="Calibri"/>
                          <w:sz w:val="19"/>
                          <w:u w:val="single"/>
                        </w:rPr>
                        <w:t>There are also links for the following:</w:t>
                      </w:r>
                    </w:p>
                    <w:p w:rsidR="002E1E01" w:rsidRDefault="002E1E01" w:rsidP="008E3FA8">
                      <w:pPr>
                        <w:numPr>
                          <w:ilvl w:val="0"/>
                          <w:numId w:val="26"/>
                        </w:numPr>
                        <w:tabs>
                          <w:tab w:val="left" w:pos="823"/>
                          <w:tab w:val="left" w:pos="824"/>
                        </w:tabs>
                        <w:spacing w:before="117"/>
                        <w:rPr>
                          <w:rFonts w:ascii="Calibri"/>
                          <w:sz w:val="19"/>
                        </w:rPr>
                      </w:pPr>
                      <w:r>
                        <w:rPr>
                          <w:rFonts w:ascii="Calibri"/>
                          <w:sz w:val="19"/>
                        </w:rPr>
                        <w:t>UCH&amp;SC</w:t>
                      </w:r>
                      <w:r>
                        <w:rPr>
                          <w:rFonts w:ascii="Calibri"/>
                          <w:spacing w:val="-4"/>
                          <w:sz w:val="19"/>
                        </w:rPr>
                        <w:t xml:space="preserve"> </w:t>
                      </w:r>
                      <w:r>
                        <w:rPr>
                          <w:rFonts w:ascii="Calibri"/>
                          <w:sz w:val="19"/>
                        </w:rPr>
                        <w:t>volumes</w:t>
                      </w:r>
                      <w:r>
                        <w:rPr>
                          <w:rFonts w:ascii="Calibri"/>
                          <w:spacing w:val="-3"/>
                          <w:sz w:val="19"/>
                        </w:rPr>
                        <w:t xml:space="preserve"> </w:t>
                      </w:r>
                      <w:r>
                        <w:rPr>
                          <w:rFonts w:ascii="Calibri"/>
                          <w:sz w:val="19"/>
                        </w:rPr>
                        <w:t>from</w:t>
                      </w:r>
                      <w:r>
                        <w:rPr>
                          <w:rFonts w:ascii="Calibri"/>
                          <w:spacing w:val="-4"/>
                          <w:sz w:val="19"/>
                        </w:rPr>
                        <w:t xml:space="preserve"> </w:t>
                      </w:r>
                      <w:r>
                        <w:rPr>
                          <w:rFonts w:ascii="Calibri"/>
                          <w:sz w:val="19"/>
                        </w:rPr>
                        <w:t>2003</w:t>
                      </w:r>
                      <w:r>
                        <w:rPr>
                          <w:rFonts w:ascii="Calibri"/>
                          <w:spacing w:val="-4"/>
                          <w:sz w:val="19"/>
                        </w:rPr>
                        <w:t xml:space="preserve"> </w:t>
                      </w:r>
                      <w:r>
                        <w:rPr>
                          <w:rFonts w:ascii="Calibri"/>
                          <w:sz w:val="19"/>
                        </w:rPr>
                        <w:t>can</w:t>
                      </w:r>
                      <w:r>
                        <w:rPr>
                          <w:rFonts w:ascii="Calibri"/>
                          <w:spacing w:val="-3"/>
                          <w:sz w:val="19"/>
                        </w:rPr>
                        <w:t xml:space="preserve"> </w:t>
                      </w:r>
                      <w:r>
                        <w:rPr>
                          <w:rFonts w:ascii="Calibri"/>
                          <w:sz w:val="19"/>
                        </w:rPr>
                        <w:t>be</w:t>
                      </w:r>
                      <w:r>
                        <w:rPr>
                          <w:rFonts w:ascii="Calibri"/>
                          <w:spacing w:val="-4"/>
                          <w:sz w:val="19"/>
                        </w:rPr>
                        <w:t xml:space="preserve"> </w:t>
                      </w:r>
                      <w:r>
                        <w:rPr>
                          <w:rFonts w:ascii="Calibri"/>
                          <w:sz w:val="19"/>
                        </w:rPr>
                        <w:t>downloaded</w:t>
                      </w:r>
                      <w:r>
                        <w:rPr>
                          <w:rFonts w:ascii="Calibri"/>
                          <w:spacing w:val="-3"/>
                          <w:sz w:val="19"/>
                        </w:rPr>
                        <w:t xml:space="preserve"> </w:t>
                      </w:r>
                      <w:r>
                        <w:rPr>
                          <w:rFonts w:ascii="Calibri"/>
                          <w:sz w:val="19"/>
                        </w:rPr>
                        <w:t>as</w:t>
                      </w:r>
                      <w:r>
                        <w:rPr>
                          <w:rFonts w:ascii="Calibri"/>
                          <w:spacing w:val="-3"/>
                          <w:sz w:val="19"/>
                        </w:rPr>
                        <w:t xml:space="preserve"> </w:t>
                      </w:r>
                      <w:r>
                        <w:rPr>
                          <w:rFonts w:ascii="Calibri"/>
                          <w:sz w:val="19"/>
                        </w:rPr>
                        <w:t>a</w:t>
                      </w:r>
                      <w:r>
                        <w:rPr>
                          <w:rFonts w:ascii="Calibri"/>
                          <w:spacing w:val="-3"/>
                          <w:sz w:val="19"/>
                        </w:rPr>
                        <w:t xml:space="preserve"> </w:t>
                      </w:r>
                      <w:r>
                        <w:rPr>
                          <w:rFonts w:ascii="Calibri"/>
                          <w:sz w:val="19"/>
                        </w:rPr>
                        <w:t>whole</w:t>
                      </w:r>
                      <w:r>
                        <w:rPr>
                          <w:rFonts w:ascii="Calibri"/>
                          <w:spacing w:val="-5"/>
                          <w:sz w:val="19"/>
                        </w:rPr>
                        <w:t xml:space="preserve"> </w:t>
                      </w:r>
                      <w:r>
                        <w:rPr>
                          <w:rFonts w:ascii="Calibri"/>
                          <w:sz w:val="19"/>
                        </w:rPr>
                        <w:t>publication</w:t>
                      </w:r>
                      <w:r>
                        <w:rPr>
                          <w:rFonts w:ascii="Calibri"/>
                          <w:spacing w:val="-2"/>
                          <w:sz w:val="19"/>
                        </w:rPr>
                        <w:t xml:space="preserve"> </w:t>
                      </w:r>
                      <w:r>
                        <w:rPr>
                          <w:rFonts w:ascii="Calibri"/>
                          <w:sz w:val="19"/>
                        </w:rPr>
                        <w:t>or</w:t>
                      </w:r>
                      <w:r>
                        <w:rPr>
                          <w:rFonts w:ascii="Calibri"/>
                          <w:spacing w:val="-3"/>
                          <w:sz w:val="19"/>
                        </w:rPr>
                        <w:t xml:space="preserve"> </w:t>
                      </w:r>
                      <w:r>
                        <w:rPr>
                          <w:rFonts w:ascii="Calibri"/>
                          <w:sz w:val="19"/>
                        </w:rPr>
                        <w:t>in</w:t>
                      </w:r>
                      <w:r>
                        <w:rPr>
                          <w:rFonts w:ascii="Calibri"/>
                          <w:spacing w:val="-3"/>
                          <w:sz w:val="19"/>
                        </w:rPr>
                        <w:t xml:space="preserve"> </w:t>
                      </w:r>
                      <w:r>
                        <w:rPr>
                          <w:rFonts w:ascii="Calibri"/>
                          <w:sz w:val="19"/>
                        </w:rPr>
                        <w:t>sections</w:t>
                      </w:r>
                    </w:p>
                    <w:p w:rsidR="002E1E01" w:rsidRDefault="002E1E01" w:rsidP="008E3FA8">
                      <w:pPr>
                        <w:numPr>
                          <w:ilvl w:val="0"/>
                          <w:numId w:val="26"/>
                        </w:numPr>
                        <w:tabs>
                          <w:tab w:val="left" w:pos="823"/>
                          <w:tab w:val="left" w:pos="824"/>
                        </w:tabs>
                        <w:rPr>
                          <w:rFonts w:ascii="Calibri"/>
                          <w:sz w:val="19"/>
                        </w:rPr>
                      </w:pPr>
                      <w:r>
                        <w:rPr>
                          <w:rFonts w:ascii="Calibri"/>
                          <w:sz w:val="19"/>
                        </w:rPr>
                        <w:t>Excel spreadsheets that summarise unit costs by professional</w:t>
                      </w:r>
                      <w:r>
                        <w:rPr>
                          <w:rFonts w:ascii="Calibri"/>
                          <w:spacing w:val="-28"/>
                          <w:sz w:val="19"/>
                        </w:rPr>
                        <w:t xml:space="preserve"> </w:t>
                      </w:r>
                      <w:r>
                        <w:rPr>
                          <w:rFonts w:ascii="Calibri"/>
                          <w:sz w:val="19"/>
                        </w:rPr>
                        <w:t>groups</w:t>
                      </w:r>
                    </w:p>
                    <w:p w:rsidR="002E1E01" w:rsidRDefault="002E1E01" w:rsidP="008E3FA8">
                      <w:pPr>
                        <w:numPr>
                          <w:ilvl w:val="0"/>
                          <w:numId w:val="26"/>
                        </w:numPr>
                        <w:tabs>
                          <w:tab w:val="left" w:pos="823"/>
                          <w:tab w:val="left" w:pos="824"/>
                        </w:tabs>
                        <w:spacing w:before="1"/>
                        <w:ind w:right="1721"/>
                        <w:rPr>
                          <w:rFonts w:ascii="Calibri"/>
                          <w:sz w:val="19"/>
                        </w:rPr>
                      </w:pPr>
                      <w:r>
                        <w:rPr>
                          <w:rFonts w:ascii="Calibri"/>
                          <w:sz w:val="19"/>
                        </w:rPr>
                        <w:t>There is a database of around 65 articles that have previously been published in the UCH&amp;SC volumes:</w:t>
                      </w:r>
                      <w:r>
                        <w:rPr>
                          <w:rFonts w:ascii="Calibri"/>
                          <w:color w:val="0000FF"/>
                          <w:spacing w:val="-32"/>
                          <w:sz w:val="19"/>
                        </w:rPr>
                        <w:t xml:space="preserve"> </w:t>
                      </w:r>
                      <w:hyperlink r:id="rId23">
                        <w:r>
                          <w:rPr>
                            <w:rFonts w:ascii="Calibri"/>
                            <w:color w:val="0000FF"/>
                            <w:sz w:val="19"/>
                            <w:u w:val="single" w:color="0000FF"/>
                          </w:rPr>
                          <w:t>https://www.pssru.ac.uk/ucarticles/</w:t>
                        </w:r>
                      </w:hyperlink>
                    </w:p>
                    <w:p w:rsidR="002E1E01" w:rsidRDefault="002E1E01" w:rsidP="008E3FA8">
                      <w:pPr>
                        <w:numPr>
                          <w:ilvl w:val="0"/>
                          <w:numId w:val="26"/>
                        </w:numPr>
                        <w:tabs>
                          <w:tab w:val="left" w:pos="823"/>
                          <w:tab w:val="left" w:pos="824"/>
                        </w:tabs>
                        <w:spacing w:line="240" w:lineRule="exact"/>
                        <w:rPr>
                          <w:rFonts w:ascii="Calibri"/>
                          <w:sz w:val="19"/>
                        </w:rPr>
                      </w:pPr>
                      <w:r>
                        <w:rPr>
                          <w:rFonts w:ascii="Calibri"/>
                          <w:sz w:val="19"/>
                        </w:rPr>
                        <w:t xml:space="preserve">Our blogs can also be found on the website at </w:t>
                      </w:r>
                      <w:hyperlink r:id="rId24">
                        <w:r>
                          <w:rPr>
                            <w:rFonts w:ascii="Calibri"/>
                            <w:sz w:val="19"/>
                            <w:u w:val="single"/>
                          </w:rPr>
                          <w:t>Home |</w:t>
                        </w:r>
                        <w:r>
                          <w:rPr>
                            <w:rFonts w:ascii="Calibri"/>
                            <w:spacing w:val="-20"/>
                            <w:sz w:val="19"/>
                            <w:u w:val="single"/>
                          </w:rPr>
                          <w:t xml:space="preserve"> </w:t>
                        </w:r>
                        <w:r>
                          <w:rPr>
                            <w:rFonts w:ascii="Calibri"/>
                            <w:sz w:val="19"/>
                            <w:u w:val="single"/>
                          </w:rPr>
                          <w:t>PSSRU</w:t>
                        </w:r>
                        <w:r>
                          <w:rPr>
                            <w:rFonts w:ascii="Calibri"/>
                            <w:sz w:val="19"/>
                          </w:rPr>
                          <w:t>.</w:t>
                        </w:r>
                      </w:hyperlink>
                    </w:p>
                  </w:txbxContent>
                </v:textbox>
                <w10:anchorlock/>
              </v:shape>
            </w:pict>
          </mc:Fallback>
        </mc:AlternateContent>
      </w:r>
    </w:p>
    <w:p w:rsidR="006A18FD" w:rsidRDefault="006A18FD">
      <w:pPr>
        <w:rPr>
          <w:rFonts w:ascii="Calibri"/>
          <w:sz w:val="20"/>
        </w:rPr>
        <w:sectPr w:rsidR="006A18FD">
          <w:pgSz w:w="11910" w:h="16840"/>
          <w:pgMar w:top="1000" w:right="1300" w:bottom="280" w:left="1300" w:header="751" w:footer="0" w:gutter="0"/>
          <w:cols w:space="720"/>
        </w:sectPr>
      </w:pPr>
    </w:p>
    <w:p w:rsidR="006A18FD" w:rsidRDefault="006A18FD">
      <w:pPr>
        <w:spacing w:before="2"/>
        <w:rPr>
          <w:rFonts w:ascii="Calibri"/>
          <w:sz w:val="27"/>
        </w:rPr>
      </w:pPr>
    </w:p>
    <w:p w:rsidR="006A18FD" w:rsidRDefault="002D29FC" w:rsidP="00EE595F">
      <w:pPr>
        <w:pStyle w:val="Heading1"/>
      </w:pPr>
      <w:r>
        <w:t>Preface</w:t>
      </w:r>
    </w:p>
    <w:p w:rsidR="006A18FD" w:rsidRDefault="002D29FC" w:rsidP="00E42AC6">
      <w:r>
        <w:t>Lesley Curtis</w:t>
      </w:r>
    </w:p>
    <w:p w:rsidR="006A18FD" w:rsidRDefault="002D29FC">
      <w:pPr>
        <w:spacing w:before="158" w:line="276" w:lineRule="auto"/>
        <w:ind w:left="140" w:right="538"/>
        <w:rPr>
          <w:rFonts w:ascii="Calibri"/>
          <w:sz w:val="20"/>
        </w:rPr>
      </w:pPr>
      <w:r>
        <w:rPr>
          <w:rFonts w:ascii="Calibri"/>
          <w:sz w:val="20"/>
        </w:rPr>
        <w:t xml:space="preserve">In 2016 at the start of a new contract, our research contacts at the Department of Health and Social Care (DHSC) consulted with analytical colleagues to find out how well the </w:t>
      </w:r>
      <w:r>
        <w:rPr>
          <w:rFonts w:ascii="Calibri"/>
          <w:i/>
          <w:sz w:val="20"/>
        </w:rPr>
        <w:t xml:space="preserve">Unit Costs of Health and Social Care </w:t>
      </w:r>
      <w:r>
        <w:rPr>
          <w:rFonts w:ascii="Calibri"/>
          <w:sz w:val="20"/>
        </w:rPr>
        <w:t>(UCH&amp;SC) volumes met their needs. They also asked for suggestions on ways to enhance our unit cost calculations and whether new unit costs were likely to be required to support policy initiatives. With new priorities about to be established for the UCH&amp;SC volumes, it is a timely opportunity to reflect on how the volume has expanded in response to this consultation.</w:t>
      </w:r>
    </w:p>
    <w:p w:rsidR="006A18FD" w:rsidRDefault="002D29FC">
      <w:pPr>
        <w:spacing w:before="119" w:line="276" w:lineRule="auto"/>
        <w:ind w:left="140" w:right="233"/>
        <w:rPr>
          <w:rFonts w:ascii="Calibri"/>
          <w:sz w:val="20"/>
        </w:rPr>
      </w:pPr>
      <w:r>
        <w:rPr>
          <w:rFonts w:ascii="Calibri"/>
          <w:sz w:val="20"/>
        </w:rPr>
        <w:t>Some suggestions could be dealt with in the 2016 edition; per day residential care costs were provided in the care homes schema for older people and for people requiring mental health support (see: 1.1-1.3; 2.2) as well as costs per week, so that easy comparisons could be made with NHS bed days. Also the duration of GP consultations could be updated thanks to new information published by the Royal College of General Practitioners in 2018. This enabled us to provide an insight into the reasons for the reduction of the net ingredient cost over time and to see how this has affected estimates made for the prescription cost per GP consultation in the UCH&amp;SC volumes (see 2018 volume, pages 19-22). Although there was a request for calculations to be expressed more precisely than to the nearest pound, this was not considered appropriate given that all costs are averages for England and to provide this level of detail may be misleading.</w:t>
      </w:r>
    </w:p>
    <w:p w:rsidR="006A18FD" w:rsidRDefault="002D29FC">
      <w:pPr>
        <w:spacing w:before="119" w:line="276" w:lineRule="auto"/>
        <w:ind w:left="140" w:right="147"/>
        <w:rPr>
          <w:rFonts w:ascii="Calibri"/>
          <w:sz w:val="20"/>
        </w:rPr>
      </w:pPr>
      <w:r>
        <w:rPr>
          <w:rFonts w:ascii="Calibri"/>
          <w:sz w:val="20"/>
        </w:rPr>
        <w:t>A focus on different aspects of sexual health services was one of the consultation priorities and in Chapter 7 we</w:t>
      </w:r>
      <w:r>
        <w:rPr>
          <w:rFonts w:ascii="Calibri"/>
          <w:spacing w:val="-4"/>
          <w:sz w:val="20"/>
        </w:rPr>
        <w:t xml:space="preserve"> </w:t>
      </w:r>
      <w:r>
        <w:rPr>
          <w:rFonts w:ascii="Calibri"/>
          <w:sz w:val="20"/>
        </w:rPr>
        <w:t>have</w:t>
      </w:r>
      <w:r>
        <w:rPr>
          <w:rFonts w:ascii="Calibri"/>
          <w:spacing w:val="-4"/>
          <w:sz w:val="20"/>
        </w:rPr>
        <w:t xml:space="preserve"> </w:t>
      </w:r>
      <w:r>
        <w:rPr>
          <w:rFonts w:ascii="Calibri"/>
          <w:sz w:val="20"/>
        </w:rPr>
        <w:t>added</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costs</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HIV</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AIDs</w:t>
      </w:r>
      <w:r>
        <w:rPr>
          <w:rFonts w:ascii="Calibri"/>
          <w:spacing w:val="-5"/>
          <w:sz w:val="20"/>
        </w:rPr>
        <w:t xml:space="preserve"> </w:t>
      </w:r>
      <w:r>
        <w:rPr>
          <w:rFonts w:ascii="Calibri"/>
          <w:sz w:val="20"/>
        </w:rPr>
        <w:t>treatments,</w:t>
      </w:r>
      <w:r>
        <w:rPr>
          <w:rFonts w:ascii="Calibri"/>
          <w:spacing w:val="-3"/>
          <w:sz w:val="20"/>
        </w:rPr>
        <w:t xml:space="preserve"> </w:t>
      </w:r>
      <w:r>
        <w:rPr>
          <w:rFonts w:ascii="Calibri"/>
          <w:sz w:val="20"/>
        </w:rPr>
        <w:t>related</w:t>
      </w:r>
      <w:r>
        <w:rPr>
          <w:rFonts w:ascii="Calibri"/>
          <w:spacing w:val="-3"/>
          <w:sz w:val="20"/>
        </w:rPr>
        <w:t xml:space="preserve"> </w:t>
      </w:r>
      <w:r>
        <w:rPr>
          <w:rFonts w:ascii="Calibri"/>
          <w:sz w:val="20"/>
        </w:rPr>
        <w:t>support</w:t>
      </w:r>
      <w:r>
        <w:rPr>
          <w:rFonts w:ascii="Calibri"/>
          <w:spacing w:val="-3"/>
          <w:sz w:val="20"/>
        </w:rPr>
        <w:t xml:space="preserve"> </w:t>
      </w:r>
      <w:r>
        <w:rPr>
          <w:rFonts w:ascii="Calibri"/>
          <w:sz w:val="20"/>
        </w:rPr>
        <w:t>services,</w:t>
      </w:r>
      <w:r>
        <w:rPr>
          <w:rFonts w:ascii="Calibri"/>
          <w:spacing w:val="-3"/>
          <w:sz w:val="20"/>
        </w:rPr>
        <w:t xml:space="preserve"> </w:t>
      </w:r>
      <w:r>
        <w:rPr>
          <w:rFonts w:ascii="Calibri"/>
          <w:sz w:val="20"/>
        </w:rPr>
        <w:t>family</w:t>
      </w:r>
      <w:r>
        <w:rPr>
          <w:rFonts w:ascii="Calibri"/>
          <w:spacing w:val="-3"/>
          <w:sz w:val="20"/>
        </w:rPr>
        <w:t xml:space="preserve"> </w:t>
      </w:r>
      <w:r>
        <w:rPr>
          <w:rFonts w:ascii="Calibri"/>
          <w:sz w:val="20"/>
        </w:rPr>
        <w:t>planning</w:t>
      </w:r>
      <w:r>
        <w:rPr>
          <w:rFonts w:ascii="Calibri"/>
          <w:spacing w:val="-4"/>
          <w:sz w:val="20"/>
        </w:rPr>
        <w:t xml:space="preserve"> </w:t>
      </w:r>
      <w:r>
        <w:rPr>
          <w:rFonts w:ascii="Calibri"/>
          <w:sz w:val="20"/>
        </w:rPr>
        <w:t>services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the treatment of genito-urinary (GUM) conditions drawn from the reference costs data collection. We have also identified and presented work from a study led by Louise Jackson and colleagues (2014), which explored the costs and outcomes of sexually transmitted infection screening interventions targeting men in football club settings (Chapter 7). Despite not having a detailed costing, attention was also drawn to work by Crawford et al. (2014) which provided a cost for brief advice and input given for excessive alcohol consumption among people attending sexual health clinics. This year, James Moore and Paula Baraitser have written an article intended as a resource for those planning to cost or commission online sexual health resources. This is described in more detail</w:t>
      </w:r>
      <w:r>
        <w:rPr>
          <w:rFonts w:ascii="Calibri"/>
          <w:spacing w:val="-7"/>
          <w:sz w:val="20"/>
        </w:rPr>
        <w:t xml:space="preserve"> </w:t>
      </w:r>
      <w:r>
        <w:rPr>
          <w:rFonts w:ascii="Calibri"/>
          <w:sz w:val="20"/>
        </w:rPr>
        <w:t>below.</w:t>
      </w:r>
    </w:p>
    <w:p w:rsidR="006A18FD" w:rsidRDefault="002D29FC">
      <w:pPr>
        <w:spacing w:before="119" w:line="276" w:lineRule="auto"/>
        <w:ind w:left="140" w:right="209"/>
        <w:rPr>
          <w:rFonts w:ascii="Calibri"/>
          <w:sz w:val="20"/>
        </w:rPr>
      </w:pPr>
      <w:r>
        <w:rPr>
          <w:rFonts w:ascii="Calibri"/>
          <w:sz w:val="20"/>
        </w:rPr>
        <w:t>Unit costs for abortion services were also requested and this year we have included a variety of costs relating to abortions of varying degrees of complexity encompassing day cases as well as longer hospital stays. A guide to fees for private and NHS funded abortions is also provided.</w:t>
      </w:r>
    </w:p>
    <w:p w:rsidR="006A18FD" w:rsidRDefault="002D29FC">
      <w:pPr>
        <w:spacing w:before="119" w:line="276" w:lineRule="auto"/>
        <w:ind w:left="140" w:right="168"/>
        <w:rPr>
          <w:rFonts w:ascii="Calibri" w:hAnsi="Calibri"/>
          <w:sz w:val="20"/>
        </w:rPr>
      </w:pPr>
      <w:r>
        <w:rPr>
          <w:rFonts w:ascii="Calibri" w:hAnsi="Calibri"/>
          <w:sz w:val="20"/>
        </w:rPr>
        <w:t>As a result of the Government’s emphasis on empowering patients and targeted prevention set out in the Five Year Forward View (NHS, 2014, p. 10-13), requests were made for the cost of self-management support groups. Thus our 2017 edition included three new schema: self-management support using a digital health system for chronic obstructive pulmonary disease, nurse-facilitated self-management support for people with heart failure and their family carers, and the Diabetes Education and Self-Management Programme.</w:t>
      </w:r>
    </w:p>
    <w:p w:rsidR="006A18FD" w:rsidRDefault="002D29FC">
      <w:pPr>
        <w:spacing w:before="119" w:line="276" w:lineRule="auto"/>
        <w:ind w:left="140" w:right="225"/>
        <w:rPr>
          <w:rFonts w:ascii="Calibri"/>
          <w:sz w:val="20"/>
        </w:rPr>
      </w:pPr>
      <w:r>
        <w:rPr>
          <w:rFonts w:ascii="Calibri"/>
          <w:sz w:val="20"/>
        </w:rPr>
        <w:t>Video consultation costs were also a topic of interest and contact was made with Barts Health NHS Trust who, since 2011, have been exploring the use of video consultations via Skype for patients who do not need to physically come to the hospital (</w:t>
      </w:r>
      <w:hyperlink r:id="rId25">
        <w:r>
          <w:rPr>
            <w:rFonts w:ascii="Calibri"/>
            <w:sz w:val="20"/>
            <w:u w:val="single"/>
          </w:rPr>
          <w:t>https://bartshealth.nhs.uk/virtual-consultations</w:t>
        </w:r>
      </w:hyperlink>
      <w:r>
        <w:rPr>
          <w:rFonts w:ascii="Calibri"/>
          <w:sz w:val="20"/>
        </w:rPr>
        <w:t>). Unfortunately no unit costs are available and to date we have not been able to identify any other work in this area.</w:t>
      </w:r>
    </w:p>
    <w:p w:rsidR="006A18FD" w:rsidRDefault="002D29FC">
      <w:pPr>
        <w:spacing w:before="119" w:line="276" w:lineRule="auto"/>
        <w:ind w:left="140" w:right="168"/>
        <w:rPr>
          <w:rFonts w:ascii="Calibri"/>
          <w:sz w:val="20"/>
        </w:rPr>
      </w:pPr>
      <w:r>
        <w:rPr>
          <w:rFonts w:ascii="Calibri"/>
          <w:sz w:val="20"/>
        </w:rPr>
        <w:t>Another clear strand of work over the last five years has been our collaborations with charities and other organisations which have enabled us to include or update the costs of several new services. These include: the peer intern (Chapter 11), advocacy for children with additional/multiple needs and counselling for children with mental or emotional difficulty (Chapter 6), supported-living homes for adults with autism and complex needs (Chapter 4), home adaptations (Chapter 7) and costs associated with the treatment of perinatal anxiety and depression (Chapter 2). Literature searches have also resulted in many additions such as interventions for</w:t>
      </w:r>
    </w:p>
    <w:p w:rsidR="006A18FD" w:rsidRDefault="006A18FD">
      <w:pPr>
        <w:spacing w:line="276" w:lineRule="auto"/>
        <w:rPr>
          <w:rFonts w:ascii="Calibri"/>
          <w:sz w:val="20"/>
        </w:rPr>
        <w:sectPr w:rsidR="006A18FD">
          <w:pgSz w:w="11910" w:h="16840"/>
          <w:pgMar w:top="1000" w:right="1300" w:bottom="280" w:left="1300" w:header="751" w:footer="0" w:gutter="0"/>
          <w:cols w:space="720"/>
        </w:sectPr>
      </w:pPr>
    </w:p>
    <w:p w:rsidR="006A18FD" w:rsidRDefault="006A18FD">
      <w:pPr>
        <w:rPr>
          <w:rFonts w:ascii="Calibri"/>
          <w:sz w:val="20"/>
        </w:rPr>
      </w:pPr>
    </w:p>
    <w:p w:rsidR="006A18FD" w:rsidRDefault="006A18FD">
      <w:pPr>
        <w:spacing w:before="12"/>
        <w:rPr>
          <w:rFonts w:ascii="Calibri"/>
          <w:sz w:val="17"/>
        </w:rPr>
      </w:pPr>
    </w:p>
    <w:p w:rsidR="006A18FD" w:rsidRDefault="002D29FC">
      <w:pPr>
        <w:spacing w:before="59" w:line="276" w:lineRule="auto"/>
        <w:ind w:left="140" w:right="516"/>
        <w:rPr>
          <w:rFonts w:ascii="Calibri"/>
          <w:sz w:val="20"/>
        </w:rPr>
      </w:pPr>
      <w:r>
        <w:rPr>
          <w:rFonts w:ascii="Calibri"/>
          <w:sz w:val="20"/>
        </w:rPr>
        <w:t>the management of obsessive compulsive disorder (Chapter 8) and positive behavioural support for adults (Chapter 4).</w:t>
      </w:r>
    </w:p>
    <w:p w:rsidR="006A18FD" w:rsidRDefault="002D29FC">
      <w:pPr>
        <w:spacing w:before="120" w:line="276" w:lineRule="auto"/>
        <w:ind w:left="140" w:right="386"/>
        <w:rPr>
          <w:rFonts w:ascii="Calibri" w:hAnsi="Calibri"/>
          <w:sz w:val="20"/>
        </w:rPr>
      </w:pPr>
      <w:r>
        <w:rPr>
          <w:rFonts w:ascii="Calibri" w:hAnsi="Calibri"/>
          <w:sz w:val="20"/>
        </w:rPr>
        <w:t xml:space="preserve">We have also continued to search for ways of improving underlying data. For example, an analysis of the </w:t>
      </w:r>
      <w:r>
        <w:rPr>
          <w:rFonts w:ascii="Calibri" w:hAnsi="Calibri"/>
          <w:i/>
          <w:sz w:val="20"/>
        </w:rPr>
        <w:t>Foundation Trusts: Consolidated Accounts</w:t>
      </w:r>
      <w:r>
        <w:rPr>
          <w:rFonts w:ascii="Calibri" w:hAnsi="Calibri"/>
          <w:sz w:val="20"/>
        </w:rPr>
        <w:t>, 2016 improved the accuracy of our hospital-based services; we found that overheads for NHS hospital-based services were lower than those for community-based services. Actuarial valuations produced by the administrators of the Local Government Pension Scheme (LGPS) have been analysed twice to enable us to update the rate employers contribute to superannuation for local government employees and new sources of information have been found for land costs. We also instigated and maintained contact with the Sustainable Development Unit (SDU) which is enabling us to include the environmental costs for more services every year thereby assisting with the goals set in ‘Fit for the Future’ (</w:t>
      </w:r>
      <w:hyperlink r:id="rId26">
        <w:r>
          <w:rPr>
            <w:rFonts w:ascii="Calibri" w:hAnsi="Calibri"/>
            <w:sz w:val="20"/>
            <w:u w:val="single"/>
          </w:rPr>
          <w:t>https://www.sduhealth.org.uk/policy-strategy/what-is-sustainable-health.aspx</w:t>
        </w:r>
      </w:hyperlink>
      <w:r>
        <w:rPr>
          <w:rFonts w:ascii="Calibri" w:hAnsi="Calibri"/>
          <w:sz w:val="20"/>
        </w:rPr>
        <w:t>).</w:t>
      </w:r>
    </w:p>
    <w:p w:rsidR="006A18FD" w:rsidRDefault="002D29FC" w:rsidP="00EE595F">
      <w:pPr>
        <w:pStyle w:val="Heading2"/>
      </w:pPr>
      <w:r>
        <w:t>Web-based improvements</w:t>
      </w:r>
    </w:p>
    <w:p w:rsidR="006A18FD" w:rsidRDefault="002D29FC">
      <w:pPr>
        <w:spacing w:before="158" w:line="276" w:lineRule="auto"/>
        <w:ind w:left="140" w:right="105"/>
        <w:rPr>
          <w:rFonts w:ascii="Calibri"/>
          <w:sz w:val="20"/>
        </w:rPr>
      </w:pPr>
      <w:r>
        <w:rPr>
          <w:rFonts w:ascii="Calibri"/>
          <w:sz w:val="20"/>
        </w:rPr>
        <w:t>Over the last three years, we have developed new web-based facilities to better support our users. We now have an online unit cost database of unit costs for health and social care professionals (</w:t>
      </w:r>
      <w:hyperlink r:id="rId27">
        <w:r>
          <w:rPr>
            <w:rFonts w:ascii="Calibri"/>
            <w:sz w:val="20"/>
            <w:u w:val="single"/>
          </w:rPr>
          <w:t>https://www.pssru.ac.uk/project-pages/unit-costs/unit-costs-2018/</w:t>
        </w:r>
        <w:r>
          <w:rPr>
            <w:rFonts w:ascii="Calibri"/>
            <w:sz w:val="20"/>
          </w:rPr>
          <w:t xml:space="preserve">) </w:t>
        </w:r>
      </w:hyperlink>
      <w:r>
        <w:rPr>
          <w:rFonts w:ascii="Calibri"/>
          <w:sz w:val="20"/>
        </w:rPr>
        <w:t>and an accessible library of unit costs articles published in previous volumes (</w:t>
      </w:r>
      <w:hyperlink r:id="rId28">
        <w:r>
          <w:rPr>
            <w:rFonts w:ascii="Calibri"/>
            <w:sz w:val="20"/>
            <w:u w:val="single"/>
          </w:rPr>
          <w:t>https://www.pssru.ac.uk/project-pages/unit-costs/</w:t>
        </w:r>
      </w:hyperlink>
      <w:r>
        <w:rPr>
          <w:rFonts w:ascii="Calibri"/>
          <w:sz w:val="20"/>
        </w:rPr>
        <w:t>). Comments from readers and download statistics over the last few years suggest that both have been well received. We are now planning to develop a time series of unit costs for many professional groups.</w:t>
      </w:r>
    </w:p>
    <w:p w:rsidR="006A18FD" w:rsidRDefault="002D29FC">
      <w:pPr>
        <w:spacing w:before="119" w:line="276" w:lineRule="auto"/>
        <w:ind w:left="140" w:right="133"/>
        <w:rPr>
          <w:rFonts w:ascii="Calibri"/>
          <w:sz w:val="20"/>
        </w:rPr>
      </w:pPr>
      <w:r>
        <w:rPr>
          <w:rFonts w:ascii="Calibri"/>
          <w:sz w:val="20"/>
        </w:rPr>
        <w:t xml:space="preserve">Our first video presentation giving an introduction to the </w:t>
      </w:r>
      <w:r>
        <w:rPr>
          <w:rFonts w:ascii="Calibri"/>
          <w:i/>
          <w:sz w:val="20"/>
        </w:rPr>
        <w:t xml:space="preserve">Unit Costs of Health and Social Care </w:t>
      </w:r>
      <w:r>
        <w:rPr>
          <w:rFonts w:ascii="Calibri"/>
          <w:sz w:val="20"/>
        </w:rPr>
        <w:t>was added to our website in 2018. This year, we have included the text to this first presentation and a second presentation focusing on methods will be made available next year.</w:t>
      </w:r>
    </w:p>
    <w:p w:rsidR="006A18FD" w:rsidRDefault="002D29FC" w:rsidP="00EE595F">
      <w:pPr>
        <w:pStyle w:val="Heading2"/>
      </w:pPr>
      <w:r>
        <w:t>Guest editorials and articles</w:t>
      </w:r>
    </w:p>
    <w:p w:rsidR="006A18FD" w:rsidRDefault="002D29FC">
      <w:pPr>
        <w:spacing w:before="156" w:line="276" w:lineRule="auto"/>
        <w:ind w:left="140" w:right="199"/>
        <w:rPr>
          <w:rFonts w:ascii="Calibri"/>
          <w:sz w:val="20"/>
        </w:rPr>
      </w:pPr>
      <w:r>
        <w:rPr>
          <w:rFonts w:ascii="Calibri"/>
          <w:sz w:val="20"/>
        </w:rPr>
        <w:t>Our guest editorial this year has been written by Candice Goold (Costing Lead at NHS England and NHS Improvement) and focuses on the introduction of patient-level costing (PLICS) which has replaced the national schedule of reference costs. As well as discussing the theory of patient-level costing and why it is preferable to service-level costing, an example is provided of where patient-level data has been used to assess the costs of different delivery modes for patient care.</w:t>
      </w:r>
    </w:p>
    <w:p w:rsidR="006A18FD" w:rsidRDefault="002D29FC">
      <w:pPr>
        <w:spacing w:before="120" w:line="276" w:lineRule="auto"/>
        <w:ind w:left="140" w:right="105"/>
        <w:rPr>
          <w:rFonts w:ascii="Calibri"/>
          <w:sz w:val="20"/>
        </w:rPr>
      </w:pPr>
      <w:r>
        <w:rPr>
          <w:rFonts w:ascii="Calibri"/>
          <w:sz w:val="20"/>
        </w:rPr>
        <w:t>In our first article (referred to briefly above), James Moore and Paula Baraitser have mapped the pathway for the delivery of online sexual health services and have generated a list of cost areas which should be considered when developing standard unit costs. This will be a useful resource for those carrying out an economic</w:t>
      </w:r>
    </w:p>
    <w:p w:rsidR="006A18FD" w:rsidRDefault="002D29FC">
      <w:pPr>
        <w:spacing w:line="276" w:lineRule="auto"/>
        <w:ind w:left="140"/>
        <w:rPr>
          <w:rFonts w:ascii="Calibri" w:hAnsi="Calibri"/>
          <w:sz w:val="20"/>
        </w:rPr>
      </w:pPr>
      <w:r>
        <w:rPr>
          <w:rFonts w:ascii="Calibri" w:hAnsi="Calibri"/>
          <w:sz w:val="20"/>
        </w:rPr>
        <w:t>evaluation or costing services as none of the other articles found in the authors’ literature search take into account the quality of care.</w:t>
      </w:r>
    </w:p>
    <w:p w:rsidR="006A18FD" w:rsidRDefault="002D29FC">
      <w:pPr>
        <w:spacing w:before="120" w:line="276" w:lineRule="auto"/>
        <w:ind w:left="140" w:right="389"/>
        <w:rPr>
          <w:rFonts w:ascii="Calibri" w:hAnsi="Calibri"/>
          <w:sz w:val="20"/>
        </w:rPr>
      </w:pPr>
      <w:r>
        <w:rPr>
          <w:rFonts w:ascii="Calibri" w:hAnsi="Calibri"/>
          <w:sz w:val="20"/>
        </w:rPr>
        <w:t xml:space="preserve">Our second article by Emma Frew and colleagues presents detailed information from three evaluations of obesity interventions for children and families. Further information on the hidden costs of obesity and the implications for long-term care can be found in Olena Nizalova’s blog which is published on PSSRU’s website </w:t>
      </w:r>
      <w:hyperlink r:id="rId29">
        <w:r>
          <w:rPr>
            <w:rFonts w:ascii="Calibri" w:hAnsi="Calibri"/>
            <w:sz w:val="20"/>
            <w:u w:val="single"/>
          </w:rPr>
          <w:t>https://www.pssru.ac.uk/blog/the-hidden-costs-of-obesity-implications-for-long-term-care/</w:t>
        </w:r>
        <w:r>
          <w:rPr>
            <w:rFonts w:ascii="Calibri" w:hAnsi="Calibri"/>
            <w:sz w:val="20"/>
          </w:rPr>
          <w:t>.</w:t>
        </w:r>
      </w:hyperlink>
    </w:p>
    <w:p w:rsidR="006A18FD" w:rsidRDefault="002D29FC" w:rsidP="00EE595F">
      <w:pPr>
        <w:pStyle w:val="Heading2"/>
      </w:pPr>
      <w:r>
        <w:t>New work</w:t>
      </w:r>
    </w:p>
    <w:p w:rsidR="006A18FD" w:rsidRDefault="002D29FC" w:rsidP="00EE595F">
      <w:pPr>
        <w:pStyle w:val="Heading3"/>
      </w:pPr>
      <w:r>
        <w:t>Supported housing and specialised supported housing</w:t>
      </w:r>
    </w:p>
    <w:p w:rsidR="006A18FD" w:rsidRDefault="002D29FC">
      <w:pPr>
        <w:spacing w:before="156" w:line="276" w:lineRule="auto"/>
        <w:ind w:left="140" w:right="532"/>
        <w:rPr>
          <w:rFonts w:ascii="Calibri"/>
          <w:sz w:val="20"/>
        </w:rPr>
      </w:pPr>
      <w:r>
        <w:rPr>
          <w:rFonts w:ascii="Calibri"/>
          <w:sz w:val="20"/>
        </w:rPr>
        <w:t>To update our work on supported housing found in Chapter 4, we have drawn on two Laing and Buisson reports. Included in the same schema (4.3) are costs for a sub-category of supported housing known as specialised supported housing, which are properties developed in partnership with local authorities or the health service and are exempt from social rent requirements.</w:t>
      </w:r>
    </w:p>
    <w:p w:rsidR="006A18FD" w:rsidRDefault="006A18FD">
      <w:pPr>
        <w:spacing w:line="276" w:lineRule="auto"/>
        <w:rPr>
          <w:rFonts w:ascii="Calibri"/>
          <w:sz w:val="20"/>
        </w:rPr>
        <w:sectPr w:rsidR="006A18FD">
          <w:pgSz w:w="11910" w:h="16840"/>
          <w:pgMar w:top="1000" w:right="1300" w:bottom="280" w:left="1300" w:header="751" w:footer="0" w:gutter="0"/>
          <w:cols w:space="720"/>
        </w:sectPr>
      </w:pPr>
    </w:p>
    <w:p w:rsidR="006A18FD" w:rsidRDefault="006A18FD">
      <w:pPr>
        <w:spacing w:before="5"/>
        <w:rPr>
          <w:rFonts w:ascii="Calibri"/>
          <w:sz w:val="27"/>
        </w:rPr>
      </w:pPr>
    </w:p>
    <w:p w:rsidR="006A18FD" w:rsidRDefault="002D29FC" w:rsidP="00EE595F">
      <w:pPr>
        <w:pStyle w:val="Heading3"/>
      </w:pPr>
      <w:r>
        <w:t>New ratio of direct to indirect time</w:t>
      </w:r>
    </w:p>
    <w:p w:rsidR="006A18FD" w:rsidRDefault="002D29FC">
      <w:pPr>
        <w:spacing w:before="156" w:line="276" w:lineRule="auto"/>
        <w:ind w:left="140" w:right="302"/>
        <w:rPr>
          <w:rFonts w:ascii="Calibri"/>
          <w:sz w:val="20"/>
        </w:rPr>
      </w:pPr>
      <w:r>
        <w:rPr>
          <w:rFonts w:ascii="Calibri"/>
          <w:sz w:val="20"/>
        </w:rPr>
        <w:t>We have included the costs of face-to-face time for an alcohol health worker (chapter 3) thanks to a study by John Marsden et al. (2019). They found that for every hour of face-to-face time, an additional 28 minutes of non face-to-face time was required.</w:t>
      </w:r>
    </w:p>
    <w:p w:rsidR="006A18FD" w:rsidRDefault="002D29FC" w:rsidP="00EE595F">
      <w:pPr>
        <w:pStyle w:val="Heading3"/>
      </w:pPr>
      <w:r>
        <w:t>Multi-professional clinical medication reviews in care homes for older people (CAREMED)</w:t>
      </w:r>
    </w:p>
    <w:p w:rsidR="006A18FD" w:rsidRDefault="002D29FC">
      <w:pPr>
        <w:spacing w:before="158" w:line="276" w:lineRule="auto"/>
        <w:ind w:left="140"/>
        <w:rPr>
          <w:rFonts w:ascii="Calibri" w:hAnsi="Calibri"/>
          <w:sz w:val="20"/>
        </w:rPr>
      </w:pPr>
      <w:r>
        <w:rPr>
          <w:rFonts w:ascii="Calibri" w:hAnsi="Calibri"/>
          <w:sz w:val="20"/>
        </w:rPr>
        <w:t>In last year’s report, Tracey Sach’s article focussed on whether two different methods of collecting primary and social care resource use data produces similar results. This year, information has been drawn from the same study (CAREMED) to provide a breakdown of the costs for providing patients’ medication in care homes. Travel costs for review meetings have been included.</w:t>
      </w:r>
    </w:p>
    <w:p w:rsidR="006A18FD" w:rsidRDefault="002D29FC" w:rsidP="00EE595F">
      <w:pPr>
        <w:pStyle w:val="Heading3"/>
      </w:pPr>
      <w:r>
        <w:t>Dementia Memory Service</w:t>
      </w:r>
    </w:p>
    <w:p w:rsidR="006A18FD" w:rsidRDefault="002D29FC">
      <w:pPr>
        <w:spacing w:before="157" w:line="276" w:lineRule="auto"/>
        <w:ind w:left="140" w:right="230"/>
        <w:rPr>
          <w:rFonts w:ascii="Calibri"/>
          <w:sz w:val="20"/>
        </w:rPr>
      </w:pPr>
      <w:r>
        <w:rPr>
          <w:rFonts w:ascii="Calibri"/>
          <w:sz w:val="20"/>
        </w:rPr>
        <w:t>A study carried out by Mark Pennington et al. (2016) has provided the costs of assessing and supporting 1,353 people with suspected dementia from 69 Memory Assessment Services. This can be found in our care packages chapter (8).</w:t>
      </w:r>
    </w:p>
    <w:p w:rsidR="006A18FD" w:rsidRDefault="002D29FC" w:rsidP="00EE595F">
      <w:pPr>
        <w:pStyle w:val="Heading3"/>
      </w:pPr>
      <w:r>
        <w:t>Reference Costs</w:t>
      </w:r>
    </w:p>
    <w:p w:rsidR="006A18FD" w:rsidRDefault="002D29FC">
      <w:pPr>
        <w:spacing w:before="156" w:line="276" w:lineRule="auto"/>
        <w:ind w:left="140" w:right="285"/>
        <w:rPr>
          <w:rFonts w:ascii="Calibri" w:hAnsi="Calibri"/>
          <w:sz w:val="20"/>
        </w:rPr>
      </w:pPr>
      <w:r>
        <w:rPr>
          <w:rFonts w:ascii="Calibri" w:hAnsi="Calibri"/>
          <w:sz w:val="20"/>
        </w:rPr>
        <w:t>This year, our guest editorial introduced above discusses the gradual move away from service-level costing to patient-level costing (PLICS). Due to the timings of the annual release of hospital data however, this year’s costs remain at the service-level and have been uprated to current values using the new NHS cost inflation index discussed below.</w:t>
      </w:r>
    </w:p>
    <w:p w:rsidR="006A18FD" w:rsidRDefault="002D29FC">
      <w:pPr>
        <w:spacing w:before="119" w:line="276" w:lineRule="auto"/>
        <w:ind w:left="140" w:right="285"/>
        <w:rPr>
          <w:rFonts w:ascii="Calibri" w:hAnsi="Calibri"/>
          <w:sz w:val="20"/>
        </w:rPr>
      </w:pPr>
      <w:r>
        <w:rPr>
          <w:rFonts w:ascii="Calibri" w:hAnsi="Calibri"/>
          <w:sz w:val="20"/>
        </w:rPr>
        <w:t>In Chapter 2 we report on adult mental health costs and have included some additional costs in this volume including specialist psychosexual teams. We have also added a second schema to our children’s services’ Chapter 6 which separates out the costs of mental health services for children and incorporates the drug and alcohol services which relate solely to children. Additionally in Chapter 7 we have added some new reference costs for abortion services</w:t>
      </w:r>
      <w:r>
        <w:rPr>
          <w:rFonts w:ascii="Calibri" w:hAnsi="Calibri"/>
          <w:color w:val="FF0000"/>
          <w:sz w:val="20"/>
        </w:rPr>
        <w:t>.</w:t>
      </w:r>
    </w:p>
    <w:p w:rsidR="006A18FD" w:rsidRDefault="002D29FC" w:rsidP="00EE595F">
      <w:pPr>
        <w:pStyle w:val="Heading2"/>
      </w:pPr>
      <w:r>
        <w:t>Routine activities</w:t>
      </w:r>
    </w:p>
    <w:p w:rsidR="006A18FD" w:rsidRDefault="002D29FC" w:rsidP="00EE595F">
      <w:pPr>
        <w:pStyle w:val="Heading3"/>
      </w:pPr>
      <w:r>
        <w:t>Qualification costs</w:t>
      </w:r>
    </w:p>
    <w:p w:rsidR="006A18FD" w:rsidRDefault="002D29FC">
      <w:pPr>
        <w:spacing w:before="156" w:line="276" w:lineRule="auto"/>
        <w:ind w:left="140" w:right="133"/>
        <w:rPr>
          <w:rFonts w:ascii="Calibri" w:hAnsi="Calibri"/>
          <w:sz w:val="20"/>
        </w:rPr>
      </w:pPr>
      <w:r>
        <w:rPr>
          <w:rFonts w:ascii="Calibri" w:hAnsi="Calibri"/>
          <w:sz w:val="20"/>
        </w:rPr>
        <w:t>To improve the accuracy of our cost estimates for qualifying in certain professions, we first need to annuitise the investment in a way that reflects the expected return over time. But over what period should this expected return be measured? An important element is the number and distribution of years that health service professionals would use their training – their ‘expected working life’. To estimate the expected annual cost of training in previous volumes, data on working lives were calculated using the 2001 Census and the Labour Force Survey. See articles: Curtis, Moriarty &amp; Netten (2010), Curtis, Robinson &amp; Netten (2009).</w:t>
      </w:r>
    </w:p>
    <w:p w:rsidR="006A18FD" w:rsidRDefault="002D29FC">
      <w:pPr>
        <w:spacing w:before="120" w:line="276" w:lineRule="auto"/>
        <w:ind w:left="140" w:right="156"/>
        <w:rPr>
          <w:rFonts w:ascii="Calibri" w:hAnsi="Calibri"/>
          <w:sz w:val="20"/>
        </w:rPr>
      </w:pPr>
      <w:r>
        <w:rPr>
          <w:rFonts w:ascii="Calibri" w:hAnsi="Calibri"/>
          <w:sz w:val="20"/>
        </w:rPr>
        <w:t>Unfortunately the most current Census (2011) no longer includes the variables necessary for us to carry out this analysis so the new estimates are not directly comparable to those noted in UCH&amp;SC in Section V. Nevertheless, we have been able to update the estimates for medical/dental professionals, nurses and social workers using the April 2018-March 2019 Labour Force Survey (LFS) data. We have found that the expected working life of a social worker has increased from 8 years to 19 years in just over ten years, possibly as a result of councils encouraging and supporting experienced professionals back into employment (</w:t>
      </w:r>
      <w:hyperlink r:id="rId30">
        <w:r>
          <w:rPr>
            <w:rFonts w:ascii="Calibri" w:hAnsi="Calibri"/>
            <w:sz w:val="20"/>
            <w:u w:val="single"/>
          </w:rPr>
          <w:t>https://www.theguardian.com/social-care-network/2016/nov/17/ive-returned-older-and-wiser-the-social-</w:t>
        </w:r>
      </w:hyperlink>
      <w:r>
        <w:rPr>
          <w:rFonts w:ascii="Calibri" w:hAnsi="Calibri"/>
          <w:sz w:val="20"/>
        </w:rPr>
        <w:t xml:space="preserve"> </w:t>
      </w:r>
      <w:hyperlink r:id="rId31">
        <w:r>
          <w:rPr>
            <w:rFonts w:ascii="Calibri" w:hAnsi="Calibri"/>
            <w:sz w:val="20"/>
            <w:u w:val="single"/>
          </w:rPr>
          <w:t>workers-coming-back-to-practice</w:t>
        </w:r>
      </w:hyperlink>
      <w:r>
        <w:rPr>
          <w:rFonts w:ascii="Calibri" w:hAnsi="Calibri"/>
          <w:sz w:val="20"/>
        </w:rPr>
        <w:t>). This is reflected in the annual cost of qualifying social workers which, using the previous estimate of a social worker’s working life was £25,417 in 2018, compared to £9,469 in 2019, using the most recent LFS. The expected working life of a nurse has also risen from 17 years (using the LFS</w:t>
      </w:r>
    </w:p>
    <w:p w:rsidR="006A18FD" w:rsidRDefault="002D29FC">
      <w:pPr>
        <w:spacing w:line="276" w:lineRule="auto"/>
        <w:ind w:left="140" w:right="147"/>
        <w:rPr>
          <w:rFonts w:ascii="Calibri" w:hAnsi="Calibri"/>
          <w:sz w:val="20"/>
        </w:rPr>
      </w:pPr>
      <w:r>
        <w:rPr>
          <w:rFonts w:ascii="Calibri" w:hAnsi="Calibri"/>
          <w:sz w:val="20"/>
        </w:rPr>
        <w:t>2003-2006) to 24 years (using the LFS 2017-2018); Burtney and Buchanan’s report (2015) suggest reasons why this might be the case. On the other hand, we have found that the expected working life of medical practitioners has reduced from 26 to 22 years. Although, we were unable to separate medical practitioners from dentists</w:t>
      </w:r>
    </w:p>
    <w:p w:rsidR="006A18FD" w:rsidRDefault="006A18FD">
      <w:pPr>
        <w:spacing w:line="276" w:lineRule="auto"/>
        <w:rPr>
          <w:rFonts w:ascii="Calibri" w:hAnsi="Calibri"/>
          <w:sz w:val="20"/>
        </w:rPr>
        <w:sectPr w:rsidR="006A18FD">
          <w:pgSz w:w="11910" w:h="16840"/>
          <w:pgMar w:top="1000" w:right="1300" w:bottom="280" w:left="1300" w:header="751" w:footer="0" w:gutter="0"/>
          <w:cols w:space="720"/>
        </w:sectPr>
      </w:pPr>
    </w:p>
    <w:p w:rsidR="006A18FD" w:rsidRDefault="006A18FD">
      <w:pPr>
        <w:rPr>
          <w:rFonts w:ascii="Calibri"/>
          <w:sz w:val="20"/>
        </w:rPr>
      </w:pPr>
    </w:p>
    <w:p w:rsidR="006A18FD" w:rsidRDefault="006A18FD">
      <w:pPr>
        <w:spacing w:before="12"/>
        <w:rPr>
          <w:rFonts w:ascii="Calibri"/>
          <w:sz w:val="17"/>
        </w:rPr>
      </w:pPr>
    </w:p>
    <w:p w:rsidR="006A18FD" w:rsidRDefault="002D29FC">
      <w:pPr>
        <w:spacing w:before="59" w:line="276" w:lineRule="auto"/>
        <w:ind w:left="140" w:right="235"/>
        <w:rPr>
          <w:rFonts w:ascii="Calibri"/>
          <w:sz w:val="20"/>
        </w:rPr>
      </w:pPr>
      <w:r>
        <w:rPr>
          <w:rFonts w:ascii="Calibri"/>
          <w:sz w:val="20"/>
        </w:rPr>
        <w:t xml:space="preserve">using the Labour Force Survey data, it is very likely that medical practitioners are working for fewer years as a result of the changes in the pension rules. Indeed it has been reported that an increasing proportion of GPs have been working less than 37.5 hours per week over the past five years. See: </w:t>
      </w:r>
      <w:hyperlink r:id="rId32">
        <w:r>
          <w:rPr>
            <w:rFonts w:ascii="Calibri"/>
            <w:w w:val="95"/>
            <w:sz w:val="20"/>
            <w:u w:val="single"/>
          </w:rPr>
          <w:t>http://www.pulsetoday.co.uk/news/gp-topics/employment/more-than-two-thirds-of-gps-work-less-than-full-</w:t>
        </w:r>
      </w:hyperlink>
      <w:r>
        <w:rPr>
          <w:rFonts w:ascii="Calibri"/>
          <w:w w:val="95"/>
          <w:sz w:val="20"/>
        </w:rPr>
        <w:t xml:space="preserve"> </w:t>
      </w:r>
      <w:hyperlink r:id="rId33">
        <w:r>
          <w:rPr>
            <w:rFonts w:ascii="Calibri"/>
            <w:sz w:val="20"/>
            <w:u w:val="single"/>
          </w:rPr>
          <w:t>time-says-official-data/20037483.article</w:t>
        </w:r>
        <w:r>
          <w:rPr>
            <w:rFonts w:ascii="Bell MT"/>
            <w:i/>
            <w:sz w:val="24"/>
          </w:rPr>
          <w:t xml:space="preserve">; </w:t>
        </w:r>
      </w:hyperlink>
      <w:hyperlink r:id="rId34">
        <w:r>
          <w:rPr>
            <w:rFonts w:ascii="Calibri"/>
            <w:sz w:val="20"/>
            <w:u w:val="single"/>
          </w:rPr>
          <w:t>https://www.telegraph.co.uk/news/2018/02/01/gps-retire-early-</w:t>
        </w:r>
      </w:hyperlink>
      <w:r>
        <w:rPr>
          <w:rFonts w:ascii="Calibri"/>
          <w:sz w:val="20"/>
        </w:rPr>
        <w:t xml:space="preserve"> </w:t>
      </w:r>
      <w:hyperlink r:id="rId35">
        <w:r>
          <w:rPr>
            <w:rFonts w:ascii="Calibri"/>
            <w:sz w:val="20"/>
            <w:u w:val="single"/>
          </w:rPr>
          <w:t>amid-clampdown-multi-million-pension-pots/.</w:t>
        </w:r>
      </w:hyperlink>
    </w:p>
    <w:p w:rsidR="006A18FD" w:rsidRDefault="002D29FC" w:rsidP="00EE595F">
      <w:pPr>
        <w:pStyle w:val="Heading3"/>
      </w:pPr>
      <w:r>
        <w:t>NHS Cost Inflation Index</w:t>
      </w:r>
    </w:p>
    <w:p w:rsidR="006A18FD" w:rsidRDefault="002D29FC">
      <w:pPr>
        <w:spacing w:before="159" w:line="276" w:lineRule="auto"/>
        <w:ind w:left="140" w:right="216"/>
        <w:rPr>
          <w:rFonts w:ascii="Calibri"/>
          <w:sz w:val="20"/>
        </w:rPr>
      </w:pPr>
      <w:r>
        <w:rPr>
          <w:rFonts w:ascii="Calibri"/>
          <w:sz w:val="20"/>
        </w:rPr>
        <w:t>Until 2016/17, inflation faced by the NHS was measured by the Hospital and Community Health Services (HCHS) Index. The HCHS was a weighted average of two separate inflation indices, the Pay Cost Index (PCI) which measured pay inflation and the Health Service Cost Index (HSCI) which measured non-pay inflation. The Pay Cost Index and the Health Service Cost Index were weighted by the proportion of HCHS expenditure on each. Following a review of departmental analytical products, the HSCI index, and thus the HCHS inflator, was discontinued.</w:t>
      </w:r>
    </w:p>
    <w:p w:rsidR="006A18FD" w:rsidRDefault="002D29FC">
      <w:pPr>
        <w:spacing w:before="120" w:line="276" w:lineRule="auto"/>
        <w:ind w:left="140" w:right="227"/>
        <w:rPr>
          <w:rFonts w:ascii="Calibri"/>
          <w:sz w:val="20"/>
        </w:rPr>
      </w:pPr>
      <w:r>
        <w:rPr>
          <w:rFonts w:ascii="Calibri"/>
          <w:sz w:val="20"/>
        </w:rPr>
        <w:t>Last year, in collaboration with the DHSC, we constructed a new Health Services (HS) index to ensure that we could present a relevant inflation index in this volume. This has been superseded by the NHS Cost Inflation Index (NHSCII), to be used this year to uprate health services. See Section V, 15.3 for further details.</w:t>
      </w:r>
    </w:p>
    <w:p w:rsidR="006A18FD" w:rsidRDefault="002D29FC" w:rsidP="00EE595F">
      <w:pPr>
        <w:pStyle w:val="Heading3"/>
      </w:pPr>
      <w:r>
        <w:t>Local authority overheads</w:t>
      </w:r>
    </w:p>
    <w:p w:rsidR="006A18FD" w:rsidRDefault="002D29FC">
      <w:pPr>
        <w:spacing w:before="159" w:line="276" w:lineRule="auto"/>
        <w:ind w:left="140" w:right="221"/>
        <w:rPr>
          <w:rFonts w:ascii="Calibri"/>
          <w:sz w:val="20"/>
        </w:rPr>
      </w:pPr>
      <w:r>
        <w:rPr>
          <w:rFonts w:ascii="Calibri"/>
          <w:sz w:val="20"/>
        </w:rPr>
        <w:t>We are aware that the information we have drawn on to estimate local authority overheads is now ten years old and would normally be withdrawn from the volume. However, given that overheads are key to the social care unit costs, in the absence of any new sources, we have continued to use the same work. We urge our readers to contact us if they know of any recent information we could use, or from which this information can be gleaned. Additionally, if any local authorities are willing to work with us to estimate council overheads, we would be grateful if they could get in touch.</w:t>
      </w:r>
    </w:p>
    <w:p w:rsidR="006A18FD" w:rsidRDefault="002D29FC" w:rsidP="00EE595F">
      <w:pPr>
        <w:pStyle w:val="Heading3"/>
      </w:pPr>
      <w:r>
        <w:t>Blogs and other useful information</w:t>
      </w:r>
    </w:p>
    <w:p w:rsidR="006A18FD" w:rsidRDefault="002D29FC">
      <w:pPr>
        <w:spacing w:before="156" w:line="276" w:lineRule="auto"/>
        <w:ind w:left="140" w:right="2609"/>
        <w:rPr>
          <w:rFonts w:ascii="Calibri"/>
          <w:sz w:val="20"/>
        </w:rPr>
      </w:pPr>
      <w:r>
        <w:rPr>
          <w:rFonts w:ascii="Calibri"/>
          <w:sz w:val="20"/>
        </w:rPr>
        <w:t>This year, three new Unit Costs blogs have been published on the PSSRU website (</w:t>
      </w:r>
      <w:hyperlink r:id="rId36">
        <w:r>
          <w:rPr>
            <w:rFonts w:ascii="Calibri"/>
            <w:color w:val="0000FF"/>
            <w:sz w:val="20"/>
            <w:u w:val="single" w:color="0000FF"/>
          </w:rPr>
          <w:t>https://www.pssru.ac.uk/blog/category/unit-costs/</w:t>
        </w:r>
        <w:r>
          <w:rPr>
            <w:rFonts w:ascii="Calibri"/>
            <w:sz w:val="20"/>
          </w:rPr>
          <w:t>)</w:t>
        </w:r>
      </w:hyperlink>
    </w:p>
    <w:p w:rsidR="006A18FD" w:rsidRDefault="002D29FC">
      <w:pPr>
        <w:spacing w:before="120"/>
        <w:ind w:left="140"/>
        <w:rPr>
          <w:rFonts w:ascii="Calibri" w:hAnsi="Calibri"/>
          <w:sz w:val="20"/>
        </w:rPr>
      </w:pPr>
      <w:r>
        <w:rPr>
          <w:rFonts w:ascii="Calibri" w:hAnsi="Calibri"/>
          <w:sz w:val="20"/>
        </w:rPr>
        <w:t>New and innovative children’s services in UCR 2018 (Amanda Burns),</w:t>
      </w:r>
    </w:p>
    <w:p w:rsidR="006A18FD" w:rsidRDefault="002D29FC">
      <w:pPr>
        <w:spacing w:before="157" w:line="393" w:lineRule="auto"/>
        <w:ind w:left="140" w:right="2658"/>
        <w:rPr>
          <w:rFonts w:ascii="Calibri" w:hAnsi="Calibri"/>
          <w:sz w:val="20"/>
        </w:rPr>
      </w:pPr>
      <w:r>
        <w:rPr>
          <w:rFonts w:ascii="Calibri" w:hAnsi="Calibri"/>
          <w:sz w:val="20"/>
        </w:rPr>
        <w:t xml:space="preserve">The unit costs of professionals – free database now available (Unit Costs’ team), 101 uses for a </w:t>
      </w:r>
      <w:r>
        <w:rPr>
          <w:rFonts w:ascii="Calibri" w:hAnsi="Calibri"/>
          <w:i/>
          <w:sz w:val="20"/>
        </w:rPr>
        <w:t xml:space="preserve">Unit Costs of Health &amp; Social Care </w:t>
      </w:r>
      <w:r>
        <w:rPr>
          <w:rFonts w:ascii="Calibri" w:hAnsi="Calibri"/>
          <w:sz w:val="20"/>
        </w:rPr>
        <w:t>volume (Amanda Burns)</w:t>
      </w:r>
    </w:p>
    <w:p w:rsidR="006A18FD" w:rsidRDefault="002D29FC" w:rsidP="00EE595F">
      <w:pPr>
        <w:pStyle w:val="Heading3"/>
      </w:pPr>
      <w:r>
        <w:t>What have we taken out?</w:t>
      </w:r>
    </w:p>
    <w:p w:rsidR="006A18FD" w:rsidRDefault="002D29FC">
      <w:pPr>
        <w:spacing w:before="156" w:line="276" w:lineRule="auto"/>
        <w:ind w:left="140" w:right="240"/>
        <w:rPr>
          <w:rFonts w:ascii="Calibri"/>
          <w:sz w:val="20"/>
        </w:rPr>
      </w:pPr>
      <w:r>
        <w:rPr>
          <w:rFonts w:ascii="Calibri"/>
          <w:sz w:val="20"/>
        </w:rPr>
        <w:t>To comply with the rule of removing schema for which the original data are more than ten years old, this year we have withdrawn the following schema. Although they will no longer be updated, Section V of the volume contains the list of services removed since 2006, which can be downloaded online.</w:t>
      </w:r>
    </w:p>
    <w:p w:rsidR="006A18FD" w:rsidRDefault="002D29FC">
      <w:pPr>
        <w:spacing w:before="119"/>
        <w:ind w:left="140"/>
        <w:rPr>
          <w:rFonts w:ascii="Calibri"/>
          <w:sz w:val="20"/>
        </w:rPr>
      </w:pPr>
      <w:r>
        <w:rPr>
          <w:rFonts w:ascii="Calibri"/>
          <w:sz w:val="20"/>
        </w:rPr>
        <w:t>4.3 Residential care homes for adults requiring learning disability support</w:t>
      </w:r>
    </w:p>
    <w:p w:rsidR="006A18FD" w:rsidRDefault="002D29FC">
      <w:pPr>
        <w:spacing w:before="156"/>
        <w:ind w:left="140"/>
        <w:rPr>
          <w:rFonts w:ascii="Calibri"/>
          <w:sz w:val="20"/>
        </w:rPr>
      </w:pPr>
      <w:r>
        <w:rPr>
          <w:rFonts w:ascii="Calibri"/>
          <w:sz w:val="20"/>
        </w:rPr>
        <w:t>6.6 End-of-life care at home for children</w:t>
      </w:r>
    </w:p>
    <w:p w:rsidR="006A18FD" w:rsidRDefault="002D29FC" w:rsidP="008E3FA8">
      <w:pPr>
        <w:numPr>
          <w:ilvl w:val="1"/>
          <w:numId w:val="25"/>
        </w:numPr>
        <w:tabs>
          <w:tab w:val="left" w:pos="438"/>
        </w:tabs>
        <w:spacing w:before="156"/>
        <w:ind w:hanging="297"/>
        <w:rPr>
          <w:rFonts w:ascii="Calibri"/>
          <w:sz w:val="20"/>
        </w:rPr>
      </w:pPr>
      <w:r>
        <w:rPr>
          <w:rFonts w:ascii="Calibri"/>
          <w:sz w:val="20"/>
        </w:rPr>
        <w:t>Decision-making</w:t>
      </w:r>
      <w:r>
        <w:rPr>
          <w:rFonts w:ascii="Calibri"/>
          <w:spacing w:val="-10"/>
          <w:sz w:val="20"/>
        </w:rPr>
        <w:t xml:space="preserve"> </w:t>
      </w:r>
      <w:r>
        <w:rPr>
          <w:rFonts w:ascii="Calibri"/>
          <w:sz w:val="20"/>
        </w:rPr>
        <w:t>panels</w:t>
      </w:r>
    </w:p>
    <w:p w:rsidR="006A18FD" w:rsidRDefault="002D29FC" w:rsidP="008E3FA8">
      <w:pPr>
        <w:numPr>
          <w:ilvl w:val="1"/>
          <w:numId w:val="25"/>
        </w:numPr>
        <w:tabs>
          <w:tab w:val="left" w:pos="539"/>
        </w:tabs>
        <w:spacing w:before="156"/>
        <w:ind w:left="538" w:hanging="398"/>
        <w:rPr>
          <w:rFonts w:ascii="Calibri"/>
          <w:sz w:val="20"/>
        </w:rPr>
      </w:pPr>
      <w:r>
        <w:rPr>
          <w:rFonts w:ascii="Calibri"/>
          <w:sz w:val="20"/>
        </w:rPr>
        <w:t>Costs of</w:t>
      </w:r>
      <w:r>
        <w:rPr>
          <w:rFonts w:ascii="Calibri"/>
          <w:spacing w:val="-11"/>
          <w:sz w:val="20"/>
        </w:rPr>
        <w:t xml:space="preserve"> </w:t>
      </w:r>
      <w:r>
        <w:rPr>
          <w:rFonts w:ascii="Calibri"/>
          <w:sz w:val="20"/>
        </w:rPr>
        <w:t>reunification</w:t>
      </w:r>
    </w:p>
    <w:p w:rsidR="006A18FD" w:rsidRDefault="002D29FC" w:rsidP="008E3FA8">
      <w:pPr>
        <w:numPr>
          <w:ilvl w:val="1"/>
          <w:numId w:val="25"/>
        </w:numPr>
        <w:tabs>
          <w:tab w:val="left" w:pos="539"/>
        </w:tabs>
        <w:spacing w:before="156"/>
        <w:ind w:left="538" w:hanging="398"/>
        <w:rPr>
          <w:rFonts w:ascii="Calibri"/>
          <w:sz w:val="20"/>
        </w:rPr>
      </w:pPr>
      <w:r>
        <w:rPr>
          <w:rFonts w:ascii="Calibri"/>
          <w:sz w:val="20"/>
        </w:rPr>
        <w:t>Short-break provision for disabled children and their</w:t>
      </w:r>
      <w:r>
        <w:rPr>
          <w:rFonts w:ascii="Calibri"/>
          <w:spacing w:val="-26"/>
          <w:sz w:val="20"/>
        </w:rPr>
        <w:t xml:space="preserve"> </w:t>
      </w:r>
      <w:r>
        <w:rPr>
          <w:rFonts w:ascii="Calibri"/>
          <w:sz w:val="20"/>
        </w:rPr>
        <w:t>families</w:t>
      </w:r>
    </w:p>
    <w:p w:rsidR="006A18FD" w:rsidRDefault="002D29FC">
      <w:pPr>
        <w:spacing w:before="156" w:line="276" w:lineRule="auto"/>
        <w:ind w:left="140" w:right="500"/>
        <w:rPr>
          <w:rFonts w:ascii="Calibri"/>
          <w:sz w:val="20"/>
        </w:rPr>
      </w:pPr>
      <w:r>
        <w:rPr>
          <w:rFonts w:ascii="Calibri"/>
          <w:sz w:val="20"/>
        </w:rPr>
        <w:t>8.1 Health care support received by people with mental health problems, older people (over 75) and other service users.</w:t>
      </w:r>
    </w:p>
    <w:p w:rsidR="006A18FD" w:rsidRDefault="002D29FC">
      <w:pPr>
        <w:spacing w:before="119"/>
        <w:ind w:left="140"/>
        <w:rPr>
          <w:rFonts w:ascii="Calibri"/>
          <w:sz w:val="20"/>
        </w:rPr>
      </w:pPr>
      <w:r>
        <w:rPr>
          <w:rFonts w:ascii="Calibri"/>
          <w:sz w:val="20"/>
        </w:rPr>
        <w:t>11.10 Re-ablement services</w:t>
      </w:r>
    </w:p>
    <w:p w:rsidR="006A18FD" w:rsidRDefault="006A18FD">
      <w:pPr>
        <w:rPr>
          <w:rFonts w:ascii="Calibri"/>
          <w:sz w:val="20"/>
        </w:rPr>
        <w:sectPr w:rsidR="006A18FD">
          <w:pgSz w:w="11910" w:h="16840"/>
          <w:pgMar w:top="1000" w:right="1300" w:bottom="280" w:left="1300" w:header="751" w:footer="0" w:gutter="0"/>
          <w:cols w:space="720"/>
        </w:sectPr>
      </w:pPr>
    </w:p>
    <w:p w:rsidR="006A18FD" w:rsidRDefault="006A18FD">
      <w:pPr>
        <w:spacing w:before="6"/>
        <w:rPr>
          <w:rFonts w:ascii="Calibri"/>
          <w:sz w:val="27"/>
        </w:rPr>
      </w:pPr>
    </w:p>
    <w:p w:rsidR="006A18FD" w:rsidRDefault="002D29FC" w:rsidP="00EE595F">
      <w:pPr>
        <w:pStyle w:val="Heading1"/>
      </w:pPr>
      <w:r>
        <w:t>Acknowledgements</w:t>
      </w:r>
    </w:p>
    <w:p w:rsidR="006A18FD" w:rsidRDefault="002D29FC">
      <w:pPr>
        <w:spacing w:before="158" w:line="276" w:lineRule="auto"/>
        <w:ind w:left="140" w:right="316"/>
        <w:rPr>
          <w:rFonts w:ascii="Calibri"/>
          <w:sz w:val="20"/>
        </w:rPr>
      </w:pPr>
      <w:r>
        <w:rPr>
          <w:rFonts w:ascii="Calibri"/>
          <w:sz w:val="20"/>
        </w:rPr>
        <w:t>I would like to thank Jennifer Beecham, Amanda Burns, Alan Dargan, Sarah Godfrey and James Cordery for their help provided in compiling and producing this volume. Also many thanks go to the researchers involved in cost work who have drawn our attention to new information, and to our Working Group members (Ross Campbell, Adriana Castelli, Ciara Donnelly, Sebastian Hinde, Emma Mcmanus, Tracey Sach and Jonathan White) for their continued input and support.</w:t>
      </w:r>
    </w:p>
    <w:p w:rsidR="006A18FD" w:rsidRDefault="002D29FC" w:rsidP="00EE595F">
      <w:pPr>
        <w:pStyle w:val="Heading1"/>
      </w:pPr>
      <w:r>
        <w:t>References</w:t>
      </w:r>
    </w:p>
    <w:p w:rsidR="006A18FD" w:rsidRDefault="002D29FC">
      <w:pPr>
        <w:spacing w:before="156" w:line="276" w:lineRule="auto"/>
        <w:ind w:left="140" w:right="435"/>
        <w:rPr>
          <w:rFonts w:ascii="Calibri"/>
          <w:sz w:val="20"/>
        </w:rPr>
      </w:pPr>
      <w:r>
        <w:rPr>
          <w:rFonts w:ascii="Calibri"/>
          <w:sz w:val="20"/>
        </w:rPr>
        <w:t xml:space="preserve">Burtney, L. &amp; Buchanan, P. (2015) </w:t>
      </w:r>
      <w:r>
        <w:rPr>
          <w:rFonts w:ascii="Calibri"/>
          <w:i/>
          <w:sz w:val="20"/>
        </w:rPr>
        <w:t>Impact of Working Longer Hours on Quality of Care</w:t>
      </w:r>
      <w:r>
        <w:rPr>
          <w:rFonts w:ascii="Calibri"/>
          <w:sz w:val="20"/>
        </w:rPr>
        <w:t>, Final report, Skills for Care, Leeds</w:t>
      </w:r>
      <w:hyperlink r:id="rId37">
        <w:r>
          <w:rPr>
            <w:rFonts w:ascii="Calibri"/>
            <w:sz w:val="20"/>
          </w:rPr>
          <w:t>.</w:t>
        </w:r>
        <w:r>
          <w:rPr>
            <w:rFonts w:ascii="Calibri"/>
            <w:sz w:val="20"/>
            <w:u w:val="single"/>
          </w:rPr>
          <w:t>https://www.skillsforcare.org.uk/Documents/NMDS-SC-and-intelligence/Research-</w:t>
        </w:r>
      </w:hyperlink>
      <w:r>
        <w:rPr>
          <w:rFonts w:ascii="Calibri"/>
          <w:sz w:val="20"/>
        </w:rPr>
        <w:t xml:space="preserve"> </w:t>
      </w:r>
      <w:hyperlink r:id="rId38">
        <w:r>
          <w:rPr>
            <w:rFonts w:ascii="Calibri"/>
            <w:sz w:val="20"/>
            <w:u w:val="single"/>
          </w:rPr>
          <w:t>evidence/Impact-of-longer-working-hours-on-quality-of-care-final-report.pdf</w:t>
        </w:r>
        <w:r>
          <w:rPr>
            <w:rFonts w:ascii="Calibri"/>
            <w:sz w:val="20"/>
          </w:rPr>
          <w:t>.</w:t>
        </w:r>
      </w:hyperlink>
    </w:p>
    <w:p w:rsidR="006A18FD" w:rsidRDefault="002D29FC">
      <w:pPr>
        <w:spacing w:before="120" w:line="276" w:lineRule="auto"/>
        <w:ind w:left="140" w:right="275"/>
        <w:rPr>
          <w:rFonts w:ascii="Calibri"/>
          <w:sz w:val="20"/>
        </w:rPr>
      </w:pPr>
      <w:r>
        <w:rPr>
          <w:rFonts w:ascii="Calibri"/>
          <w:sz w:val="20"/>
        </w:rPr>
        <w:t xml:space="preserve">Crawford, M., Sanatinia, R., Barrett, B., Byford, S., Dean, M., Green, J., Jones, R., Leurent, B., Lingford-Hughes, A., Sweeting, M., Rouquet, R., Tyrer, P. &amp; Ward, H. (2014) The clinical effectiveness and cost-effectiveness of brief intervention for excessive alcohol consumption among people attending sexual health clinics: a randomised controlled trial (SHEAR), </w:t>
      </w:r>
      <w:r>
        <w:rPr>
          <w:rFonts w:ascii="Calibri"/>
          <w:i/>
          <w:sz w:val="20"/>
        </w:rPr>
        <w:t>Health Technology Assessment</w:t>
      </w:r>
      <w:r>
        <w:rPr>
          <w:rFonts w:ascii="Calibri"/>
          <w:sz w:val="20"/>
        </w:rPr>
        <w:t>, 18, 30, 1-48.</w:t>
      </w:r>
    </w:p>
    <w:p w:rsidR="006A18FD" w:rsidRDefault="002D29FC">
      <w:pPr>
        <w:spacing w:before="120"/>
        <w:ind w:left="140" w:right="347"/>
        <w:rPr>
          <w:rFonts w:ascii="Calibri"/>
          <w:sz w:val="20"/>
        </w:rPr>
      </w:pPr>
      <w:r>
        <w:rPr>
          <w:rFonts w:ascii="Calibri"/>
          <w:sz w:val="20"/>
        </w:rPr>
        <w:t xml:space="preserve">Curtis, L., Moriarty, J., Netten, A. (2010) The expected working life of a social worker, </w:t>
      </w:r>
      <w:r>
        <w:rPr>
          <w:rFonts w:ascii="Calibri"/>
          <w:i/>
          <w:sz w:val="20"/>
        </w:rPr>
        <w:t>British Journal of Social Work</w:t>
      </w:r>
      <w:r>
        <w:rPr>
          <w:rFonts w:ascii="Calibri"/>
          <w:sz w:val="20"/>
        </w:rPr>
        <w:t>, 40, 5, 1628-1643.2.</w:t>
      </w:r>
    </w:p>
    <w:p w:rsidR="006A18FD" w:rsidRDefault="002D29FC">
      <w:pPr>
        <w:spacing w:before="120" w:line="276" w:lineRule="auto"/>
        <w:ind w:left="140"/>
        <w:rPr>
          <w:rFonts w:ascii="Arial" w:hAnsi="Arial"/>
          <w:sz w:val="20"/>
        </w:rPr>
      </w:pPr>
      <w:r>
        <w:rPr>
          <w:rFonts w:ascii="Calibri" w:hAnsi="Calibri"/>
          <w:sz w:val="20"/>
        </w:rPr>
        <w:t xml:space="preserve">Curtis, L., Robinson, S., Netten, A. (2009) Changing patterns of male and female nurses’ participation in the workforce, </w:t>
      </w:r>
      <w:r>
        <w:rPr>
          <w:rFonts w:ascii="Calibri" w:hAnsi="Calibri"/>
          <w:i/>
          <w:sz w:val="20"/>
        </w:rPr>
        <w:t>Journal of Nursing Management</w:t>
      </w:r>
      <w:r>
        <w:rPr>
          <w:rFonts w:ascii="Calibri" w:hAnsi="Calibri"/>
          <w:sz w:val="20"/>
        </w:rPr>
        <w:t>, 843-52</w:t>
      </w:r>
      <w:r>
        <w:rPr>
          <w:rFonts w:ascii="Arial" w:hAnsi="Arial"/>
          <w:sz w:val="20"/>
        </w:rPr>
        <w:t>.</w:t>
      </w:r>
    </w:p>
    <w:p w:rsidR="006A18FD" w:rsidRDefault="002D29FC">
      <w:pPr>
        <w:spacing w:before="119" w:line="276" w:lineRule="auto"/>
        <w:ind w:left="140" w:right="227"/>
        <w:rPr>
          <w:rFonts w:ascii="Calibri"/>
          <w:sz w:val="20"/>
        </w:rPr>
      </w:pPr>
      <w:r>
        <w:rPr>
          <w:rFonts w:ascii="Calibri"/>
          <w:sz w:val="20"/>
        </w:rPr>
        <w:t xml:space="preserve">Jackson, L., Roberts, T., Fuller, T., Sebastian, S., Sutcliffe, L., Saunders, J., Copas, A., Mercer, C., Cassell, J. &amp; Estcourt, C. (2014) Exploring the costs and outcomes of sexually transmitted infection (STI) screening interventions targeting men in football club settings: preliminary cost-consequences analysis of the SPORTSMART pilot randomised controlled trial, </w:t>
      </w:r>
      <w:r>
        <w:rPr>
          <w:rFonts w:ascii="Calibri"/>
          <w:i/>
          <w:sz w:val="20"/>
        </w:rPr>
        <w:t>Sexually Transmitted Infections</w:t>
      </w:r>
      <w:r>
        <w:rPr>
          <w:rFonts w:ascii="Calibri"/>
          <w:sz w:val="20"/>
        </w:rPr>
        <w:t>, 91, 2, 100-105.</w:t>
      </w:r>
    </w:p>
    <w:p w:rsidR="006A18FD" w:rsidRDefault="002D29FC">
      <w:pPr>
        <w:spacing w:before="119" w:line="276" w:lineRule="auto"/>
        <w:ind w:left="140" w:right="201"/>
        <w:rPr>
          <w:rFonts w:ascii="Calibri"/>
          <w:sz w:val="20"/>
        </w:rPr>
      </w:pPr>
      <w:r>
        <w:rPr>
          <w:rFonts w:ascii="Calibri"/>
          <w:sz w:val="20"/>
        </w:rPr>
        <w:t xml:space="preserve">Marsden, J., Stillwell, G. James, K., Shearer, J., Byford, S., Hellier, J., Kelleher, M., Kelly, J., Murphy, C. &amp; Mitcheson, L. (2019) Efficacy and cost-effectiveness of an adjunctive personalised psychosocial intervention in treatment-resistant maintenance opioid agonist therapy: a pragmatic, open-label, randomised controlled trial, </w:t>
      </w:r>
      <w:r>
        <w:rPr>
          <w:rFonts w:ascii="Calibri"/>
          <w:i/>
          <w:sz w:val="20"/>
        </w:rPr>
        <w:t xml:space="preserve">Lancet Psychiatry </w:t>
      </w:r>
      <w:r>
        <w:rPr>
          <w:rFonts w:ascii="Calibri"/>
          <w:sz w:val="20"/>
        </w:rPr>
        <w:t>2019, 6, 391-402.</w:t>
      </w:r>
    </w:p>
    <w:p w:rsidR="006A18FD" w:rsidRDefault="002D29FC">
      <w:pPr>
        <w:spacing w:before="119"/>
        <w:ind w:left="140"/>
        <w:rPr>
          <w:rFonts w:ascii="Calibri"/>
          <w:sz w:val="20"/>
        </w:rPr>
      </w:pPr>
      <w:r>
        <w:rPr>
          <w:rFonts w:ascii="Calibri"/>
          <w:sz w:val="20"/>
        </w:rPr>
        <w:t xml:space="preserve">NHS (2014) </w:t>
      </w:r>
      <w:r>
        <w:rPr>
          <w:rFonts w:ascii="Calibri"/>
          <w:i/>
          <w:sz w:val="20"/>
        </w:rPr>
        <w:t>Five Year Forward View</w:t>
      </w:r>
      <w:r>
        <w:rPr>
          <w:rFonts w:ascii="Calibri"/>
          <w:sz w:val="20"/>
        </w:rPr>
        <w:t xml:space="preserve">, NHS, London. </w:t>
      </w:r>
      <w:hyperlink r:id="rId39">
        <w:r>
          <w:rPr>
            <w:rFonts w:ascii="Calibri"/>
            <w:sz w:val="20"/>
            <w:u w:val="single"/>
          </w:rPr>
          <w:t>https://www.england.nhs.uk/five-year-forward-view/</w:t>
        </w:r>
      </w:hyperlink>
    </w:p>
    <w:p w:rsidR="006A18FD" w:rsidRDefault="002D29FC">
      <w:pPr>
        <w:spacing w:before="156" w:line="276" w:lineRule="auto"/>
        <w:ind w:left="140" w:right="562"/>
        <w:rPr>
          <w:rFonts w:ascii="Calibri"/>
          <w:sz w:val="20"/>
        </w:rPr>
      </w:pPr>
      <w:r>
        <w:rPr>
          <w:rFonts w:ascii="Calibri"/>
          <w:sz w:val="20"/>
        </w:rPr>
        <w:t xml:space="preserve">Pennington, M., Gomes, M., Chrysanthaki, T., Hendriks, J., Wittenberg, R., Knapp, M., Black, N. &amp; Smith, S. (2016) The cost of diagnosis and early support in patients with cognitive decline, </w:t>
      </w:r>
      <w:r>
        <w:rPr>
          <w:rFonts w:ascii="Calibri"/>
          <w:i/>
          <w:sz w:val="20"/>
        </w:rPr>
        <w:t>Geriatric Psychiatry</w:t>
      </w:r>
      <w:r>
        <w:rPr>
          <w:rFonts w:ascii="Calibri"/>
          <w:sz w:val="20"/>
        </w:rPr>
        <w:t>,</w:t>
      </w:r>
      <w:hyperlink r:id="rId40">
        <w:r>
          <w:rPr>
            <w:rFonts w:ascii="Calibri"/>
            <w:sz w:val="20"/>
          </w:rPr>
          <w:t xml:space="preserve"> https://doi.org/10.1002/gps.4641.</w:t>
        </w:r>
      </w:hyperlink>
    </w:p>
    <w:p w:rsidR="006A18FD" w:rsidRDefault="006A18FD">
      <w:pPr>
        <w:spacing w:line="276" w:lineRule="auto"/>
        <w:rPr>
          <w:rFonts w:ascii="Calibri"/>
          <w:sz w:val="20"/>
        </w:rPr>
        <w:sectPr w:rsidR="006A18FD">
          <w:pgSz w:w="11910" w:h="16840"/>
          <w:pgMar w:top="1000" w:right="1300" w:bottom="280" w:left="1300" w:header="751" w:footer="0" w:gutter="0"/>
          <w:cols w:space="720"/>
        </w:sectPr>
      </w:pPr>
    </w:p>
    <w:p w:rsidR="006A18FD" w:rsidRDefault="006A18FD">
      <w:pPr>
        <w:rPr>
          <w:rFonts w:ascii="Calibri"/>
          <w:sz w:val="20"/>
        </w:rPr>
      </w:pPr>
    </w:p>
    <w:p w:rsidR="006A18FD" w:rsidRDefault="002D29FC" w:rsidP="00EE595F">
      <w:pPr>
        <w:pStyle w:val="Heading1"/>
      </w:pPr>
      <w:r>
        <w:t>Guest Editorial: Transitioning from reference costs to patient-level costing</w:t>
      </w:r>
    </w:p>
    <w:p w:rsidR="006A18FD" w:rsidRPr="00EE595F" w:rsidRDefault="002D29FC">
      <w:pPr>
        <w:spacing w:before="120" w:line="388" w:lineRule="auto"/>
        <w:ind w:left="140" w:right="2597"/>
        <w:rPr>
          <w:rStyle w:val="Heading2Char"/>
        </w:rPr>
      </w:pPr>
      <w:r>
        <w:rPr>
          <w:rFonts w:ascii="Cambria"/>
          <w:b/>
        </w:rPr>
        <w:t xml:space="preserve">Candice Goold, Costing Lead, NHS England and NHS Improvement </w:t>
      </w:r>
      <w:r w:rsidRPr="00EE595F">
        <w:rPr>
          <w:rStyle w:val="Heading2Char"/>
        </w:rPr>
        <w:t>The history of costing in the NHS</w:t>
      </w:r>
    </w:p>
    <w:p w:rsidR="006A18FD" w:rsidRDefault="002D29FC">
      <w:pPr>
        <w:spacing w:line="276" w:lineRule="auto"/>
        <w:ind w:left="140" w:right="260"/>
        <w:jc w:val="both"/>
        <w:rPr>
          <w:rFonts w:ascii="Calibri"/>
          <w:sz w:val="20"/>
        </w:rPr>
      </w:pPr>
      <w:r>
        <w:rPr>
          <w:rFonts w:ascii="Calibri"/>
          <w:sz w:val="20"/>
        </w:rPr>
        <w:t>Secondary care providers have been submitting a reference cost return since 1998 and the National Schedule of Reference Costs (NSRC), (NHS Improvement, 2018) has been compiled annually as a result. Reference costs record the average (aggregated) unit cost to the trust of providing defined services to NHS patients in a given financial year. While comprehensive in terms of its coverage of the sector, it has been criticised for:</w:t>
      </w:r>
    </w:p>
    <w:p w:rsidR="006A18FD" w:rsidRDefault="002D29FC">
      <w:pPr>
        <w:numPr>
          <w:ilvl w:val="0"/>
          <w:numId w:val="1"/>
        </w:numPr>
        <w:tabs>
          <w:tab w:val="left" w:pos="860"/>
          <w:tab w:val="left" w:pos="861"/>
        </w:tabs>
        <w:spacing w:before="122" w:line="276" w:lineRule="auto"/>
        <w:ind w:right="720"/>
        <w:rPr>
          <w:rFonts w:ascii="Calibri"/>
          <w:sz w:val="20"/>
        </w:rPr>
      </w:pPr>
      <w:r>
        <w:rPr>
          <w:rFonts w:ascii="Calibri"/>
          <w:sz w:val="20"/>
        </w:rPr>
        <w:t>not providing sufficiently granular cost data to lead to changes in sector financial efficiency and transformation, due to the level of aggregation required to make a</w:t>
      </w:r>
      <w:r>
        <w:rPr>
          <w:rFonts w:ascii="Calibri"/>
          <w:spacing w:val="-28"/>
          <w:sz w:val="20"/>
        </w:rPr>
        <w:t xml:space="preserve"> </w:t>
      </w:r>
      <w:r>
        <w:rPr>
          <w:rFonts w:ascii="Calibri"/>
          <w:sz w:val="20"/>
        </w:rPr>
        <w:t>submission</w:t>
      </w:r>
    </w:p>
    <w:p w:rsidR="006A18FD" w:rsidRDefault="002D29FC">
      <w:pPr>
        <w:numPr>
          <w:ilvl w:val="0"/>
          <w:numId w:val="1"/>
        </w:numPr>
        <w:tabs>
          <w:tab w:val="left" w:pos="860"/>
          <w:tab w:val="left" w:pos="861"/>
        </w:tabs>
        <w:spacing w:line="276" w:lineRule="auto"/>
        <w:ind w:right="210"/>
        <w:rPr>
          <w:rFonts w:ascii="Calibri"/>
          <w:sz w:val="20"/>
        </w:rPr>
      </w:pPr>
      <w:r>
        <w:rPr>
          <w:rFonts w:ascii="Calibri"/>
          <w:sz w:val="20"/>
        </w:rPr>
        <w:t>a lack of clear instruction and guidance on how to prepare costing returns, leading to inconsistency in the methodology applied by</w:t>
      </w:r>
      <w:r>
        <w:rPr>
          <w:rFonts w:ascii="Calibri"/>
          <w:spacing w:val="-15"/>
          <w:sz w:val="20"/>
        </w:rPr>
        <w:t xml:space="preserve"> </w:t>
      </w:r>
      <w:r>
        <w:rPr>
          <w:rFonts w:ascii="Calibri"/>
          <w:sz w:val="20"/>
        </w:rPr>
        <w:t>providers</w:t>
      </w:r>
    </w:p>
    <w:p w:rsidR="006A18FD" w:rsidRDefault="002D29FC">
      <w:pPr>
        <w:numPr>
          <w:ilvl w:val="0"/>
          <w:numId w:val="1"/>
        </w:numPr>
        <w:tabs>
          <w:tab w:val="left" w:pos="860"/>
          <w:tab w:val="left" w:pos="861"/>
        </w:tabs>
        <w:spacing w:line="273" w:lineRule="auto"/>
        <w:ind w:right="1269"/>
        <w:rPr>
          <w:rFonts w:ascii="Calibri"/>
          <w:sz w:val="20"/>
        </w:rPr>
      </w:pPr>
      <w:r>
        <w:rPr>
          <w:rFonts w:ascii="Calibri"/>
          <w:sz w:val="20"/>
        </w:rPr>
        <w:t>an absence of clinical engagement in assuring the reference cost returns are an accurate representation of the real pathway</w:t>
      </w:r>
      <w:r>
        <w:rPr>
          <w:rFonts w:ascii="Calibri"/>
          <w:spacing w:val="-21"/>
          <w:sz w:val="20"/>
        </w:rPr>
        <w:t xml:space="preserve"> </w:t>
      </w:r>
      <w:r>
        <w:rPr>
          <w:rFonts w:ascii="Calibri"/>
          <w:sz w:val="20"/>
        </w:rPr>
        <w:t>costs.</w:t>
      </w:r>
    </w:p>
    <w:p w:rsidR="006A18FD" w:rsidRDefault="002D29FC">
      <w:pPr>
        <w:spacing w:before="122" w:line="276" w:lineRule="auto"/>
        <w:ind w:left="140" w:right="467"/>
        <w:rPr>
          <w:rFonts w:ascii="Calibri" w:hAnsi="Calibri"/>
          <w:sz w:val="20"/>
        </w:rPr>
      </w:pPr>
      <w:r>
        <w:rPr>
          <w:rFonts w:ascii="Calibri" w:hAnsi="Calibri"/>
          <w:sz w:val="20"/>
        </w:rPr>
        <w:t>The processes for submitting reference costs – and their accuracy – vary considerably between trusts. Between 2013 and 2015, audits commissioned by NHS Improvement found that more than 50 per cent of acute trusts’ submissions were materially inaccurate (Monitor, 2014 &amp; 2015). While more recent audits suggest the quality of reference costs submitted by acute trusts has improved, the fundamental underlying issues remain the same.</w:t>
      </w:r>
    </w:p>
    <w:p w:rsidR="006A18FD" w:rsidRDefault="002D29FC">
      <w:pPr>
        <w:spacing w:before="120" w:line="276" w:lineRule="auto"/>
        <w:ind w:left="140" w:right="153"/>
        <w:rPr>
          <w:rFonts w:ascii="Calibri" w:hAnsi="Calibri"/>
          <w:sz w:val="20"/>
        </w:rPr>
      </w:pPr>
      <w:r>
        <w:rPr>
          <w:rFonts w:ascii="Calibri" w:hAnsi="Calibri"/>
          <w:sz w:val="20"/>
        </w:rPr>
        <w:t>Since 2012, NHS England and NHS Improvement has advocated mandating patient-level costs (known as PLICS) rather than reference costs as PLICS offers a much richer source of cost data, linkable at patient level, to improve value in the NHS. A consultation in 2014 (GOV.UK, 2014) covered a detailed plan and timetable for their adoption, and it received positive feedback. In addition, Lord Carter’s Review of Operational Productivity (Department of Health, 2016) identified the need for PLICS to support the elimination of unwarranted variation.</w:t>
      </w:r>
    </w:p>
    <w:p w:rsidR="006A18FD" w:rsidRDefault="002D29FC" w:rsidP="00E42AC6">
      <w:pPr>
        <w:pStyle w:val="Heading2"/>
      </w:pPr>
      <w:r>
        <w:t>The transition in costing methodologies</w:t>
      </w:r>
    </w:p>
    <w:p w:rsidR="006A18FD" w:rsidRDefault="002D29FC">
      <w:pPr>
        <w:spacing w:before="158" w:line="276" w:lineRule="auto"/>
        <w:ind w:left="140" w:right="125"/>
        <w:rPr>
          <w:rFonts w:ascii="Calibri"/>
          <w:sz w:val="20"/>
        </w:rPr>
      </w:pPr>
      <w:r>
        <w:rPr>
          <w:rFonts w:ascii="Calibri"/>
          <w:sz w:val="20"/>
        </w:rPr>
        <w:t>As a result of this, in 2015, NHS England and NHS Improvement, in partnership with NHS Digital, created the Costing Transformation Programme to address the criticisms levelled at reference costs. The aim was to improve the quality of costing information in the NHS through costing individual patient episodes using a single annual cost collection held in early Summer 2021.</w:t>
      </w:r>
    </w:p>
    <w:p w:rsidR="006A18FD" w:rsidRDefault="002D29FC">
      <w:pPr>
        <w:spacing w:before="120"/>
        <w:ind w:left="140"/>
        <w:rPr>
          <w:rFonts w:ascii="Calibri"/>
          <w:sz w:val="20"/>
        </w:rPr>
      </w:pPr>
      <w:r>
        <w:rPr>
          <w:rFonts w:ascii="Calibri"/>
          <w:sz w:val="20"/>
        </w:rPr>
        <w:t>The six-year plan to migrate aggregated costs to patient-level includes the following workstreams:</w:t>
      </w:r>
    </w:p>
    <w:p w:rsidR="006A18FD" w:rsidRDefault="002D29FC">
      <w:pPr>
        <w:numPr>
          <w:ilvl w:val="0"/>
          <w:numId w:val="1"/>
        </w:numPr>
        <w:tabs>
          <w:tab w:val="left" w:pos="860"/>
          <w:tab w:val="left" w:pos="861"/>
        </w:tabs>
        <w:spacing w:before="155" w:line="276" w:lineRule="auto"/>
        <w:ind w:right="337"/>
        <w:rPr>
          <w:rFonts w:ascii="Calibri"/>
          <w:sz w:val="20"/>
        </w:rPr>
      </w:pPr>
      <w:r>
        <w:rPr>
          <w:rFonts w:ascii="Calibri"/>
          <w:b/>
          <w:sz w:val="20"/>
        </w:rPr>
        <w:t xml:space="preserve">stakeholder engagement (including clinicians) </w:t>
      </w:r>
      <w:r>
        <w:rPr>
          <w:rFonts w:ascii="Calibri"/>
          <w:sz w:val="20"/>
        </w:rPr>
        <w:t>to educate the wider audience to the uses of costing data and promote the transformation project in all sectors. This will ensure voluntary uptake and support the improvement of data collection and</w:t>
      </w:r>
      <w:r>
        <w:rPr>
          <w:rFonts w:ascii="Calibri"/>
          <w:spacing w:val="-15"/>
          <w:sz w:val="20"/>
        </w:rPr>
        <w:t xml:space="preserve"> </w:t>
      </w:r>
      <w:r>
        <w:rPr>
          <w:rFonts w:ascii="Calibri"/>
          <w:sz w:val="20"/>
        </w:rPr>
        <w:t>quality.</w:t>
      </w:r>
    </w:p>
    <w:p w:rsidR="006A18FD" w:rsidRDefault="002D29FC">
      <w:pPr>
        <w:numPr>
          <w:ilvl w:val="0"/>
          <w:numId w:val="1"/>
        </w:numPr>
        <w:tabs>
          <w:tab w:val="left" w:pos="860"/>
          <w:tab w:val="left" w:pos="861"/>
        </w:tabs>
        <w:spacing w:line="276" w:lineRule="auto"/>
        <w:ind w:right="278"/>
        <w:rPr>
          <w:rFonts w:ascii="Calibri"/>
          <w:sz w:val="20"/>
        </w:rPr>
      </w:pPr>
      <w:r>
        <w:rPr>
          <w:rFonts w:ascii="Calibri"/>
          <w:b/>
          <w:sz w:val="20"/>
        </w:rPr>
        <w:t xml:space="preserve">mandating </w:t>
      </w:r>
      <w:r>
        <w:rPr>
          <w:rFonts w:ascii="Calibri"/>
          <w:sz w:val="20"/>
        </w:rPr>
        <w:t>to ensure consistency in costing methodologies which align across providers to ensure system-level</w:t>
      </w:r>
      <w:r>
        <w:rPr>
          <w:rFonts w:ascii="Calibri"/>
          <w:spacing w:val="-3"/>
          <w:sz w:val="20"/>
        </w:rPr>
        <w:t xml:space="preserve"> </w:t>
      </w:r>
      <w:r>
        <w:rPr>
          <w:rFonts w:ascii="Calibri"/>
          <w:sz w:val="20"/>
        </w:rPr>
        <w:t>decisions</w:t>
      </w:r>
      <w:r>
        <w:rPr>
          <w:rFonts w:ascii="Calibri"/>
          <w:spacing w:val="-5"/>
          <w:sz w:val="20"/>
        </w:rPr>
        <w:t xml:space="preserve"> </w:t>
      </w:r>
      <w:r>
        <w:rPr>
          <w:rFonts w:ascii="Calibri"/>
          <w:sz w:val="20"/>
        </w:rPr>
        <w:t>are</w:t>
      </w:r>
      <w:r>
        <w:rPr>
          <w:rFonts w:ascii="Calibri"/>
          <w:spacing w:val="-4"/>
          <w:sz w:val="20"/>
        </w:rPr>
        <w:t xml:space="preserve"> </w:t>
      </w:r>
      <w:r>
        <w:rPr>
          <w:rFonts w:ascii="Calibri"/>
          <w:sz w:val="20"/>
        </w:rPr>
        <w:t>based</w:t>
      </w:r>
      <w:r>
        <w:rPr>
          <w:rFonts w:ascii="Calibri"/>
          <w:spacing w:val="-1"/>
          <w:sz w:val="20"/>
        </w:rPr>
        <w:t xml:space="preserve"> </w:t>
      </w:r>
      <w:r>
        <w:rPr>
          <w:rFonts w:ascii="Calibri"/>
          <w:sz w:val="20"/>
        </w:rPr>
        <w:t>on</w:t>
      </w:r>
      <w:r>
        <w:rPr>
          <w:rFonts w:ascii="Calibri"/>
          <w:spacing w:val="-2"/>
          <w:sz w:val="20"/>
        </w:rPr>
        <w:t xml:space="preserve"> </w:t>
      </w:r>
      <w:r>
        <w:rPr>
          <w:rFonts w:ascii="Calibri"/>
          <w:sz w:val="20"/>
        </w:rPr>
        <w:t>costs</w:t>
      </w:r>
      <w:r>
        <w:rPr>
          <w:rFonts w:ascii="Calibri"/>
          <w:spacing w:val="-4"/>
          <w:sz w:val="20"/>
        </w:rPr>
        <w:t xml:space="preserve"> </w:t>
      </w:r>
      <w:r>
        <w:rPr>
          <w:rFonts w:ascii="Calibri"/>
          <w:sz w:val="20"/>
        </w:rPr>
        <w:t>from</w:t>
      </w:r>
      <w:r>
        <w:rPr>
          <w:rFonts w:ascii="Calibri"/>
          <w:spacing w:val="-4"/>
          <w:sz w:val="20"/>
        </w:rPr>
        <w:t xml:space="preserve"> </w:t>
      </w:r>
      <w:r>
        <w:rPr>
          <w:rFonts w:ascii="Calibri"/>
          <w:sz w:val="20"/>
        </w:rPr>
        <w:t>within</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clear</w:t>
      </w:r>
      <w:r>
        <w:rPr>
          <w:rFonts w:ascii="Calibri"/>
          <w:spacing w:val="-3"/>
          <w:sz w:val="20"/>
        </w:rPr>
        <w:t xml:space="preserve"> </w:t>
      </w:r>
      <w:r>
        <w:rPr>
          <w:rFonts w:ascii="Calibri"/>
          <w:sz w:val="20"/>
        </w:rPr>
        <w:t>baseline</w:t>
      </w:r>
      <w:r>
        <w:rPr>
          <w:rFonts w:ascii="Calibri"/>
          <w:spacing w:val="-3"/>
          <w:sz w:val="20"/>
        </w:rPr>
        <w:t xml:space="preserve"> </w:t>
      </w:r>
      <w:r>
        <w:rPr>
          <w:rFonts w:ascii="Calibri"/>
          <w:sz w:val="20"/>
        </w:rPr>
        <w:t>framework</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system to understand the impact on providers of the move from aggregation to patient-level</w:t>
      </w:r>
      <w:r>
        <w:rPr>
          <w:rFonts w:ascii="Calibri"/>
          <w:spacing w:val="-30"/>
          <w:sz w:val="20"/>
        </w:rPr>
        <w:t xml:space="preserve"> </w:t>
      </w:r>
      <w:r>
        <w:rPr>
          <w:rFonts w:ascii="Calibri"/>
          <w:sz w:val="20"/>
        </w:rPr>
        <w:t>costing.</w:t>
      </w:r>
    </w:p>
    <w:p w:rsidR="006A18FD" w:rsidRDefault="002D29FC">
      <w:pPr>
        <w:numPr>
          <w:ilvl w:val="0"/>
          <w:numId w:val="1"/>
        </w:numPr>
        <w:tabs>
          <w:tab w:val="left" w:pos="860"/>
          <w:tab w:val="left" w:pos="861"/>
        </w:tabs>
        <w:spacing w:line="276" w:lineRule="auto"/>
        <w:ind w:right="265"/>
        <w:rPr>
          <w:rFonts w:ascii="Calibri"/>
          <w:sz w:val="20"/>
        </w:rPr>
      </w:pPr>
      <w:r>
        <w:rPr>
          <w:rFonts w:ascii="Calibri"/>
          <w:b/>
          <w:sz w:val="20"/>
        </w:rPr>
        <w:t xml:space="preserve">developing and implementing costing standards </w:t>
      </w:r>
      <w:r>
        <w:rPr>
          <w:rFonts w:ascii="Calibri"/>
          <w:sz w:val="20"/>
        </w:rPr>
        <w:t>to reduce the provider inconsistencies through producing</w:t>
      </w:r>
      <w:r>
        <w:rPr>
          <w:rFonts w:ascii="Calibri"/>
          <w:spacing w:val="-3"/>
          <w:sz w:val="20"/>
        </w:rPr>
        <w:t xml:space="preserve"> </w:t>
      </w:r>
      <w:r>
        <w:rPr>
          <w:rFonts w:ascii="Calibri"/>
          <w:sz w:val="20"/>
        </w:rPr>
        <w:t>fit</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purpose</w:t>
      </w:r>
      <w:r>
        <w:rPr>
          <w:rFonts w:ascii="Calibri"/>
          <w:spacing w:val="-4"/>
          <w:sz w:val="20"/>
        </w:rPr>
        <w:t xml:space="preserve"> </w:t>
      </w:r>
      <w:r>
        <w:rPr>
          <w:rFonts w:ascii="Calibri"/>
          <w:sz w:val="20"/>
        </w:rPr>
        <w:t>costing</w:t>
      </w:r>
      <w:r>
        <w:rPr>
          <w:rFonts w:ascii="Calibri"/>
          <w:spacing w:val="-4"/>
          <w:sz w:val="20"/>
        </w:rPr>
        <w:t xml:space="preserve"> </w:t>
      </w:r>
      <w:r>
        <w:rPr>
          <w:rFonts w:ascii="Calibri"/>
          <w:sz w:val="20"/>
        </w:rPr>
        <w:t>standards</w:t>
      </w:r>
      <w:r>
        <w:rPr>
          <w:rFonts w:ascii="Calibri"/>
          <w:spacing w:val="-5"/>
          <w:sz w:val="20"/>
        </w:rPr>
        <w:t xml:space="preserve"> </w:t>
      </w:r>
      <w:r>
        <w:rPr>
          <w:rFonts w:ascii="Calibri"/>
          <w:sz w:val="20"/>
        </w:rPr>
        <w:t>on</w:t>
      </w:r>
      <w:r>
        <w:rPr>
          <w:rFonts w:ascii="Calibri"/>
          <w:spacing w:val="-3"/>
          <w:sz w:val="20"/>
        </w:rPr>
        <w:t xml:space="preserve"> </w:t>
      </w:r>
      <w:r>
        <w:rPr>
          <w:rFonts w:ascii="Calibri"/>
          <w:sz w:val="20"/>
        </w:rPr>
        <w:t>time</w:t>
      </w:r>
      <w:r>
        <w:rPr>
          <w:rFonts w:ascii="Calibri"/>
          <w:spacing w:val="-4"/>
          <w:sz w:val="20"/>
        </w:rPr>
        <w:t xml:space="preserve"> </w:t>
      </w:r>
      <w:r>
        <w:rPr>
          <w:rFonts w:ascii="Calibri"/>
          <w:sz w:val="20"/>
        </w:rPr>
        <w:t>and to</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quality</w:t>
      </w:r>
      <w:r>
        <w:rPr>
          <w:rFonts w:ascii="Calibri"/>
          <w:spacing w:val="-3"/>
          <w:sz w:val="20"/>
        </w:rPr>
        <w:t xml:space="preserve"> </w:t>
      </w:r>
      <w:r>
        <w:rPr>
          <w:rFonts w:ascii="Calibri"/>
          <w:sz w:val="20"/>
        </w:rPr>
        <w:t>required</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therefore</w:t>
      </w:r>
      <w:r>
        <w:rPr>
          <w:rFonts w:ascii="Calibri"/>
          <w:spacing w:val="-4"/>
          <w:sz w:val="20"/>
        </w:rPr>
        <w:t xml:space="preserve"> </w:t>
      </w:r>
      <w:r>
        <w:rPr>
          <w:rFonts w:ascii="Calibri"/>
          <w:sz w:val="20"/>
        </w:rPr>
        <w:t>deliver mandatory regulatory framework for</w:t>
      </w:r>
      <w:r>
        <w:rPr>
          <w:rFonts w:ascii="Calibri"/>
          <w:spacing w:val="-18"/>
          <w:sz w:val="20"/>
        </w:rPr>
        <w:t xml:space="preserve"> </w:t>
      </w:r>
      <w:r>
        <w:rPr>
          <w:rFonts w:ascii="Calibri"/>
          <w:sz w:val="20"/>
        </w:rPr>
        <w:t>costing.</w:t>
      </w:r>
    </w:p>
    <w:p w:rsidR="006A18FD" w:rsidRDefault="002D29FC">
      <w:pPr>
        <w:numPr>
          <w:ilvl w:val="0"/>
          <w:numId w:val="1"/>
        </w:numPr>
        <w:tabs>
          <w:tab w:val="left" w:pos="860"/>
          <w:tab w:val="left" w:pos="861"/>
        </w:tabs>
        <w:spacing w:line="276" w:lineRule="auto"/>
        <w:ind w:right="155"/>
        <w:rPr>
          <w:rFonts w:ascii="Calibri"/>
          <w:sz w:val="20"/>
        </w:rPr>
      </w:pPr>
      <w:r>
        <w:rPr>
          <w:rFonts w:ascii="Calibri"/>
          <w:b/>
          <w:sz w:val="20"/>
        </w:rPr>
        <w:t xml:space="preserve">single cost collection </w:t>
      </w:r>
      <w:r>
        <w:rPr>
          <w:rFonts w:ascii="Calibri"/>
          <w:sz w:val="20"/>
        </w:rPr>
        <w:t>transitional voluntary collections to run alongside roadmap and voluntary collections to prepare for a single integrated collection by 2021. This will enable providers who deliver care</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more</w:t>
      </w:r>
      <w:r>
        <w:rPr>
          <w:rFonts w:ascii="Calibri"/>
          <w:spacing w:val="-4"/>
          <w:sz w:val="20"/>
        </w:rPr>
        <w:t xml:space="preserve"> </w:t>
      </w:r>
      <w:r>
        <w:rPr>
          <w:rFonts w:ascii="Calibri"/>
          <w:sz w:val="20"/>
        </w:rPr>
        <w:t>than</w:t>
      </w:r>
      <w:r>
        <w:rPr>
          <w:rFonts w:ascii="Calibri"/>
          <w:spacing w:val="-2"/>
          <w:sz w:val="20"/>
        </w:rPr>
        <w:t xml:space="preserve"> </w:t>
      </w:r>
      <w:r>
        <w:rPr>
          <w:rFonts w:ascii="Calibri"/>
          <w:sz w:val="20"/>
        </w:rPr>
        <w:t>one</w:t>
      </w:r>
      <w:r>
        <w:rPr>
          <w:rFonts w:ascii="Calibri"/>
          <w:spacing w:val="-4"/>
          <w:sz w:val="20"/>
        </w:rPr>
        <w:t xml:space="preserve"> </w:t>
      </w:r>
      <w:r>
        <w:rPr>
          <w:rFonts w:ascii="Calibri"/>
          <w:sz w:val="20"/>
        </w:rPr>
        <w:t>sector</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undertake</w:t>
      </w:r>
      <w:r>
        <w:rPr>
          <w:rFonts w:ascii="Calibri"/>
          <w:spacing w:val="-4"/>
          <w:sz w:val="20"/>
        </w:rPr>
        <w:t xml:space="preserve"> </w:t>
      </w:r>
      <w:r>
        <w:rPr>
          <w:rFonts w:ascii="Calibri"/>
          <w:sz w:val="20"/>
        </w:rPr>
        <w:t>one collection,</w:t>
      </w:r>
      <w:r>
        <w:rPr>
          <w:rFonts w:ascii="Calibri"/>
          <w:spacing w:val="-2"/>
          <w:sz w:val="20"/>
        </w:rPr>
        <w:t xml:space="preserve"> </w:t>
      </w:r>
      <w:r>
        <w:rPr>
          <w:rFonts w:ascii="Calibri"/>
          <w:sz w:val="20"/>
        </w:rPr>
        <w:t>regardless</w:t>
      </w:r>
      <w:r>
        <w:rPr>
          <w:rFonts w:ascii="Calibri"/>
          <w:spacing w:val="-5"/>
          <w:sz w:val="20"/>
        </w:rPr>
        <w:t xml:space="preserve"> </w:t>
      </w:r>
      <w:r>
        <w:rPr>
          <w:rFonts w:ascii="Calibri"/>
          <w:sz w:val="20"/>
        </w:rPr>
        <w:t>of</w:t>
      </w:r>
      <w:r>
        <w:rPr>
          <w:rFonts w:ascii="Calibri"/>
          <w:spacing w:val="-2"/>
          <w:sz w:val="20"/>
        </w:rPr>
        <w:t xml:space="preserve"> </w:t>
      </w:r>
      <w:r>
        <w:rPr>
          <w:rFonts w:ascii="Calibri"/>
          <w:sz w:val="20"/>
        </w:rPr>
        <w:t>services</w:t>
      </w:r>
      <w:r>
        <w:rPr>
          <w:rFonts w:ascii="Calibri"/>
          <w:spacing w:val="-5"/>
          <w:sz w:val="20"/>
        </w:rPr>
        <w:t xml:space="preserve"> </w:t>
      </w:r>
      <w:r>
        <w:rPr>
          <w:rFonts w:ascii="Calibri"/>
          <w:sz w:val="20"/>
        </w:rPr>
        <w:t>being</w:t>
      </w:r>
      <w:r>
        <w:rPr>
          <w:rFonts w:ascii="Calibri"/>
          <w:spacing w:val="-4"/>
          <w:sz w:val="20"/>
        </w:rPr>
        <w:t xml:space="preserve"> </w:t>
      </w:r>
      <w:r>
        <w:rPr>
          <w:rFonts w:ascii="Calibri"/>
          <w:sz w:val="20"/>
        </w:rPr>
        <w:t>offered.</w:t>
      </w:r>
    </w:p>
    <w:p w:rsidR="006A18FD" w:rsidRDefault="006A18FD">
      <w:pPr>
        <w:spacing w:line="276" w:lineRule="auto"/>
        <w:rPr>
          <w:rFonts w:ascii="Calibri"/>
          <w:sz w:val="20"/>
        </w:rPr>
        <w:sectPr w:rsidR="006A18FD">
          <w:pgSz w:w="11910" w:h="16840"/>
          <w:pgMar w:top="1000" w:right="1300" w:bottom="280" w:left="1300" w:header="751" w:footer="0" w:gutter="0"/>
          <w:cols w:space="720"/>
        </w:sectPr>
      </w:pPr>
    </w:p>
    <w:p w:rsidR="006A18FD" w:rsidRDefault="006A18FD">
      <w:pPr>
        <w:spacing w:before="6"/>
        <w:rPr>
          <w:rFonts w:ascii="Calibri"/>
          <w:sz w:val="27"/>
        </w:rPr>
      </w:pPr>
    </w:p>
    <w:p w:rsidR="006A18FD" w:rsidRDefault="002D29FC">
      <w:pPr>
        <w:numPr>
          <w:ilvl w:val="0"/>
          <w:numId w:val="1"/>
        </w:numPr>
        <w:tabs>
          <w:tab w:val="left" w:pos="860"/>
          <w:tab w:val="left" w:pos="861"/>
        </w:tabs>
        <w:spacing w:before="99" w:line="273" w:lineRule="auto"/>
        <w:ind w:right="695"/>
        <w:rPr>
          <w:rFonts w:ascii="Calibri"/>
          <w:sz w:val="20"/>
        </w:rPr>
      </w:pPr>
      <w:r>
        <w:rPr>
          <w:rFonts w:ascii="Calibri"/>
          <w:b/>
          <w:sz w:val="20"/>
        </w:rPr>
        <w:t xml:space="preserve">data quality and assurance </w:t>
      </w:r>
      <w:r>
        <w:rPr>
          <w:rFonts w:ascii="Calibri"/>
          <w:sz w:val="20"/>
        </w:rPr>
        <w:t>to align with the costing standards and mandation process. The programme focused on quality of costing across the sector through cost assurance</w:t>
      </w:r>
      <w:r>
        <w:rPr>
          <w:rFonts w:ascii="Calibri"/>
          <w:spacing w:val="-31"/>
          <w:sz w:val="20"/>
        </w:rPr>
        <w:t xml:space="preserve"> </w:t>
      </w:r>
      <w:r>
        <w:rPr>
          <w:rFonts w:ascii="Calibri"/>
          <w:sz w:val="20"/>
        </w:rPr>
        <w:t>programme.</w:t>
      </w:r>
    </w:p>
    <w:p w:rsidR="006A18FD" w:rsidRDefault="002D29FC">
      <w:pPr>
        <w:numPr>
          <w:ilvl w:val="0"/>
          <w:numId w:val="1"/>
        </w:numPr>
        <w:tabs>
          <w:tab w:val="left" w:pos="860"/>
          <w:tab w:val="left" w:pos="861"/>
        </w:tabs>
        <w:spacing w:line="276" w:lineRule="auto"/>
        <w:ind w:right="215"/>
        <w:rPr>
          <w:rFonts w:ascii="Calibri" w:hAnsi="Calibri"/>
          <w:sz w:val="20"/>
        </w:rPr>
      </w:pPr>
      <w:r>
        <w:rPr>
          <w:rFonts w:ascii="Calibri" w:hAnsi="Calibri"/>
          <w:b/>
          <w:sz w:val="20"/>
        </w:rPr>
        <w:t xml:space="preserve">data outputs and uses </w:t>
      </w:r>
      <w:r>
        <w:rPr>
          <w:rFonts w:ascii="Calibri" w:hAnsi="Calibri"/>
          <w:sz w:val="20"/>
        </w:rPr>
        <w:t>to produce end state products which meet the user’s needs for cost data, including NHS England and NHS Improvement statutory powers relating to pricing and the national tariff, Model Hospital, use of resources and Getting It Right First Time (GIRFT). In addition, supporting the provider sector to use PLICS to benchmark costs and drive service improvement and transformation.</w:t>
      </w:r>
    </w:p>
    <w:p w:rsidR="006A18FD" w:rsidRDefault="002D29FC">
      <w:pPr>
        <w:spacing w:before="117"/>
        <w:ind w:left="140"/>
        <w:rPr>
          <w:rFonts w:ascii="Calibri"/>
          <w:sz w:val="20"/>
        </w:rPr>
      </w:pPr>
      <w:r>
        <w:rPr>
          <w:rFonts w:ascii="Calibri"/>
          <w:sz w:val="20"/>
        </w:rPr>
        <w:t>The work streams were shaped to counter the critiques levelled at the reference cost collection and to make better use of data/digital technology.</w:t>
      </w:r>
    </w:p>
    <w:p w:rsidR="006A18FD" w:rsidRDefault="006A18FD">
      <w:pPr>
        <w:spacing w:before="3"/>
        <w:rPr>
          <w:rFonts w:ascii="Calibri"/>
          <w:sz w:val="23"/>
        </w:rPr>
      </w:pPr>
    </w:p>
    <w:p w:rsidR="006A18FD" w:rsidRDefault="002D29FC" w:rsidP="00E42AC6">
      <w:pPr>
        <w:pStyle w:val="Heading2"/>
      </w:pPr>
      <w:r>
        <w:t>Key synergies with other NHS strategies</w:t>
      </w:r>
    </w:p>
    <w:p w:rsidR="006A18FD" w:rsidRDefault="002D29FC">
      <w:pPr>
        <w:spacing w:before="156" w:line="276" w:lineRule="auto"/>
        <w:ind w:left="140" w:right="265"/>
        <w:rPr>
          <w:rFonts w:ascii="Calibri"/>
          <w:sz w:val="20"/>
        </w:rPr>
      </w:pPr>
      <w:r>
        <w:rPr>
          <w:rFonts w:ascii="Calibri"/>
          <w:sz w:val="20"/>
        </w:rPr>
        <w:t xml:space="preserve">Initially, the roll out programme for PLICS was a key enabler of </w:t>
      </w:r>
      <w:r>
        <w:rPr>
          <w:rFonts w:ascii="Calibri"/>
          <w:i/>
          <w:sz w:val="20"/>
        </w:rPr>
        <w:t>Five Year Forward View</w:t>
      </w:r>
      <w:r>
        <w:rPr>
          <w:rFonts w:ascii="Calibri"/>
          <w:sz w:val="20"/>
        </w:rPr>
        <w:t xml:space="preserve">, (NHS, 2014) enabling providers to more accurately understand their cost bases and therefore support the sustainable delivery of high-quality patient care. However, with the publication of the </w:t>
      </w:r>
      <w:r>
        <w:rPr>
          <w:rFonts w:ascii="Calibri"/>
          <w:i/>
          <w:sz w:val="20"/>
        </w:rPr>
        <w:t xml:space="preserve">NHS Long Term Plan </w:t>
      </w:r>
      <w:r>
        <w:rPr>
          <w:rFonts w:ascii="Calibri"/>
          <w:sz w:val="20"/>
        </w:rPr>
        <w:t>(NHS, 2019) it is now vital contributors address:</w:t>
      </w:r>
    </w:p>
    <w:p w:rsidR="006A18FD" w:rsidRDefault="002D29FC">
      <w:pPr>
        <w:numPr>
          <w:ilvl w:val="0"/>
          <w:numId w:val="1"/>
        </w:numPr>
        <w:tabs>
          <w:tab w:val="left" w:pos="860"/>
          <w:tab w:val="left" w:pos="861"/>
        </w:tabs>
        <w:spacing w:before="118" w:line="276" w:lineRule="auto"/>
        <w:ind w:right="764"/>
        <w:rPr>
          <w:rFonts w:ascii="Calibri"/>
          <w:sz w:val="20"/>
        </w:rPr>
      </w:pPr>
      <w:r>
        <w:rPr>
          <w:rFonts w:ascii="Calibri"/>
          <w:sz w:val="20"/>
        </w:rPr>
        <w:t>the creation of new services models through more joined up care and improvements in overall population health (Chapter</w:t>
      </w:r>
      <w:r>
        <w:rPr>
          <w:rFonts w:ascii="Calibri"/>
          <w:spacing w:val="-11"/>
          <w:sz w:val="20"/>
        </w:rPr>
        <w:t xml:space="preserve"> </w:t>
      </w:r>
      <w:r>
        <w:rPr>
          <w:rFonts w:ascii="Calibri"/>
          <w:sz w:val="20"/>
        </w:rPr>
        <w:t>1)</w:t>
      </w:r>
    </w:p>
    <w:p w:rsidR="006A18FD" w:rsidRDefault="002D29FC">
      <w:pPr>
        <w:numPr>
          <w:ilvl w:val="0"/>
          <w:numId w:val="1"/>
        </w:numPr>
        <w:tabs>
          <w:tab w:val="left" w:pos="860"/>
          <w:tab w:val="left" w:pos="861"/>
        </w:tabs>
        <w:spacing w:line="254" w:lineRule="exact"/>
        <w:rPr>
          <w:rFonts w:ascii="Calibri"/>
          <w:sz w:val="20"/>
        </w:rPr>
      </w:pPr>
      <w:r>
        <w:rPr>
          <w:rFonts w:ascii="Calibri"/>
          <w:sz w:val="20"/>
        </w:rPr>
        <w:t>the</w:t>
      </w:r>
      <w:r>
        <w:rPr>
          <w:rFonts w:ascii="Calibri"/>
          <w:spacing w:val="-5"/>
          <w:sz w:val="20"/>
        </w:rPr>
        <w:t xml:space="preserve"> </w:t>
      </w:r>
      <w:r>
        <w:rPr>
          <w:rFonts w:ascii="Calibri"/>
          <w:sz w:val="20"/>
        </w:rPr>
        <w:t>improvement</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outcomes</w:t>
      </w:r>
      <w:r>
        <w:rPr>
          <w:rFonts w:ascii="Calibri"/>
          <w:spacing w:val="-6"/>
          <w:sz w:val="20"/>
        </w:rPr>
        <w:t xml:space="preserve"> </w:t>
      </w:r>
      <w:r>
        <w:rPr>
          <w:rFonts w:ascii="Calibri"/>
          <w:sz w:val="20"/>
        </w:rPr>
        <w:t>driven</w:t>
      </w:r>
      <w:r>
        <w:rPr>
          <w:rFonts w:ascii="Calibri"/>
          <w:spacing w:val="-4"/>
          <w:sz w:val="20"/>
        </w:rPr>
        <w:t xml:space="preserve"> </w:t>
      </w:r>
      <w:r>
        <w:rPr>
          <w:rFonts w:ascii="Calibri"/>
          <w:sz w:val="20"/>
        </w:rPr>
        <w:t>through</w:t>
      </w:r>
      <w:r>
        <w:rPr>
          <w:rFonts w:ascii="Calibri"/>
          <w:spacing w:val="-4"/>
          <w:sz w:val="20"/>
        </w:rPr>
        <w:t xml:space="preserve"> </w:t>
      </w:r>
      <w:r>
        <w:rPr>
          <w:rFonts w:ascii="Calibri"/>
          <w:sz w:val="20"/>
        </w:rPr>
        <w:t>understanding</w:t>
      </w:r>
      <w:r>
        <w:rPr>
          <w:rFonts w:ascii="Calibri"/>
          <w:spacing w:val="-5"/>
          <w:sz w:val="20"/>
        </w:rPr>
        <w:t xml:space="preserve"> </w:t>
      </w:r>
      <w:r>
        <w:rPr>
          <w:rFonts w:ascii="Calibri"/>
          <w:sz w:val="20"/>
        </w:rPr>
        <w:t>unwarranted</w:t>
      </w:r>
      <w:r>
        <w:rPr>
          <w:rFonts w:ascii="Calibri"/>
          <w:spacing w:val="-4"/>
          <w:sz w:val="20"/>
        </w:rPr>
        <w:t xml:space="preserve"> </w:t>
      </w:r>
      <w:r>
        <w:rPr>
          <w:rFonts w:ascii="Calibri"/>
          <w:sz w:val="20"/>
        </w:rPr>
        <w:t>variation</w:t>
      </w:r>
      <w:r>
        <w:rPr>
          <w:rFonts w:ascii="Calibri"/>
          <w:spacing w:val="-3"/>
          <w:sz w:val="20"/>
        </w:rPr>
        <w:t xml:space="preserve"> </w:t>
      </w:r>
      <w:r>
        <w:rPr>
          <w:rFonts w:ascii="Calibri"/>
          <w:sz w:val="20"/>
        </w:rPr>
        <w:t>(Chapter</w:t>
      </w:r>
      <w:r>
        <w:rPr>
          <w:rFonts w:ascii="Calibri"/>
          <w:spacing w:val="-5"/>
          <w:sz w:val="20"/>
        </w:rPr>
        <w:t xml:space="preserve"> </w:t>
      </w:r>
      <w:r>
        <w:rPr>
          <w:rFonts w:ascii="Calibri"/>
          <w:sz w:val="20"/>
        </w:rPr>
        <w:t>3)</w:t>
      </w:r>
    </w:p>
    <w:p w:rsidR="006A18FD" w:rsidRDefault="002D29FC">
      <w:pPr>
        <w:numPr>
          <w:ilvl w:val="0"/>
          <w:numId w:val="1"/>
        </w:numPr>
        <w:tabs>
          <w:tab w:val="left" w:pos="860"/>
          <w:tab w:val="left" w:pos="861"/>
        </w:tabs>
        <w:spacing w:before="36"/>
        <w:rPr>
          <w:rFonts w:ascii="Calibri"/>
          <w:sz w:val="20"/>
        </w:rPr>
      </w:pPr>
      <w:r>
        <w:rPr>
          <w:rFonts w:ascii="Calibri"/>
          <w:sz w:val="20"/>
        </w:rPr>
        <w:t>the</w:t>
      </w:r>
      <w:r>
        <w:rPr>
          <w:rFonts w:ascii="Calibri"/>
          <w:spacing w:val="-4"/>
          <w:sz w:val="20"/>
        </w:rPr>
        <w:t xml:space="preserve"> </w:t>
      </w:r>
      <w:r>
        <w:rPr>
          <w:rFonts w:ascii="Calibri"/>
          <w:sz w:val="20"/>
        </w:rPr>
        <w:t>changes</w:t>
      </w:r>
      <w:r>
        <w:rPr>
          <w:rFonts w:ascii="Calibri"/>
          <w:spacing w:val="-5"/>
          <w:sz w:val="20"/>
        </w:rPr>
        <w:t xml:space="preserve"> </w:t>
      </w:r>
      <w:r>
        <w:rPr>
          <w:rFonts w:ascii="Calibri"/>
          <w:sz w:val="20"/>
        </w:rPr>
        <w:t>required</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workforce</w:t>
      </w:r>
      <w:r>
        <w:rPr>
          <w:rFonts w:ascii="Calibri"/>
          <w:spacing w:val="-5"/>
          <w:sz w:val="20"/>
        </w:rPr>
        <w:t xml:space="preserve"> </w:t>
      </w:r>
      <w:r>
        <w:rPr>
          <w:rFonts w:ascii="Calibri"/>
          <w:sz w:val="20"/>
        </w:rPr>
        <w:t>pressures</w:t>
      </w:r>
      <w:r>
        <w:rPr>
          <w:rFonts w:ascii="Calibri"/>
          <w:spacing w:val="-5"/>
          <w:sz w:val="20"/>
        </w:rPr>
        <w:t xml:space="preserve"> </w:t>
      </w:r>
      <w:r>
        <w:rPr>
          <w:rFonts w:ascii="Calibri"/>
          <w:sz w:val="20"/>
        </w:rPr>
        <w:t>through</w:t>
      </w:r>
      <w:r>
        <w:rPr>
          <w:rFonts w:ascii="Calibri"/>
          <w:spacing w:val="-3"/>
          <w:sz w:val="20"/>
        </w:rPr>
        <w:t xml:space="preserve"> </w:t>
      </w:r>
      <w:r>
        <w:rPr>
          <w:rFonts w:ascii="Calibri"/>
          <w:sz w:val="20"/>
        </w:rPr>
        <w:t>new</w:t>
      </w:r>
      <w:r>
        <w:rPr>
          <w:rFonts w:ascii="Calibri"/>
          <w:spacing w:val="-4"/>
          <w:sz w:val="20"/>
        </w:rPr>
        <w:t xml:space="preserve"> </w:t>
      </w:r>
      <w:r>
        <w:rPr>
          <w:rFonts w:ascii="Calibri"/>
          <w:sz w:val="20"/>
        </w:rPr>
        <w:t>staffing</w:t>
      </w:r>
      <w:r>
        <w:rPr>
          <w:rFonts w:ascii="Calibri"/>
          <w:spacing w:val="-1"/>
          <w:sz w:val="20"/>
        </w:rPr>
        <w:t xml:space="preserve"> </w:t>
      </w:r>
      <w:r>
        <w:rPr>
          <w:rFonts w:ascii="Calibri"/>
          <w:sz w:val="20"/>
        </w:rPr>
        <w:t>models</w:t>
      </w:r>
      <w:r>
        <w:rPr>
          <w:rFonts w:ascii="Calibri"/>
          <w:spacing w:val="-5"/>
          <w:sz w:val="20"/>
        </w:rPr>
        <w:t xml:space="preserve"> </w:t>
      </w:r>
      <w:r>
        <w:rPr>
          <w:rFonts w:ascii="Calibri"/>
          <w:sz w:val="20"/>
        </w:rPr>
        <w:t>(Chapter</w:t>
      </w:r>
      <w:r>
        <w:rPr>
          <w:rFonts w:ascii="Calibri"/>
          <w:spacing w:val="-4"/>
          <w:sz w:val="20"/>
        </w:rPr>
        <w:t xml:space="preserve"> </w:t>
      </w:r>
      <w:r>
        <w:rPr>
          <w:rFonts w:ascii="Calibri"/>
          <w:sz w:val="20"/>
        </w:rPr>
        <w:t>4)</w:t>
      </w:r>
    </w:p>
    <w:p w:rsidR="006A18FD" w:rsidRDefault="002D29FC">
      <w:pPr>
        <w:numPr>
          <w:ilvl w:val="0"/>
          <w:numId w:val="1"/>
        </w:numPr>
        <w:tabs>
          <w:tab w:val="left" w:pos="860"/>
          <w:tab w:val="left" w:pos="861"/>
        </w:tabs>
        <w:spacing w:before="38" w:line="273" w:lineRule="auto"/>
        <w:ind w:right="467"/>
        <w:rPr>
          <w:rFonts w:ascii="Calibri"/>
          <w:sz w:val="20"/>
        </w:rPr>
      </w:pPr>
      <w:r>
        <w:rPr>
          <w:rFonts w:ascii="Calibri"/>
          <w:sz w:val="20"/>
        </w:rPr>
        <w:t>the return to a sustainable financial balance for the NHS through getting the most out of tax payer investment in the NHS (Chapter</w:t>
      </w:r>
      <w:r>
        <w:rPr>
          <w:rFonts w:ascii="Calibri"/>
          <w:spacing w:val="-16"/>
          <w:sz w:val="20"/>
        </w:rPr>
        <w:t xml:space="preserve"> </w:t>
      </w:r>
      <w:r>
        <w:rPr>
          <w:rFonts w:ascii="Calibri"/>
          <w:sz w:val="20"/>
        </w:rPr>
        <w:t>6).</w:t>
      </w:r>
    </w:p>
    <w:p w:rsidR="006A18FD" w:rsidRDefault="002D29FC">
      <w:pPr>
        <w:spacing w:before="122"/>
        <w:ind w:left="140"/>
        <w:rPr>
          <w:rFonts w:ascii="Calibri"/>
          <w:sz w:val="20"/>
        </w:rPr>
      </w:pPr>
      <w:r>
        <w:rPr>
          <w:rFonts w:ascii="Calibri"/>
          <w:sz w:val="20"/>
        </w:rPr>
        <w:t xml:space="preserve">Importantly, the move away from aggregation supports the </w:t>
      </w:r>
      <w:r>
        <w:rPr>
          <w:rFonts w:ascii="Calibri"/>
          <w:i/>
          <w:sz w:val="20"/>
        </w:rPr>
        <w:t xml:space="preserve">NHS Long Term Plan </w:t>
      </w:r>
      <w:r>
        <w:rPr>
          <w:rFonts w:ascii="Calibri"/>
          <w:sz w:val="20"/>
        </w:rPr>
        <w:t>in the following ways:</w:t>
      </w:r>
    </w:p>
    <w:p w:rsidR="006A18FD" w:rsidRDefault="002D29FC">
      <w:pPr>
        <w:numPr>
          <w:ilvl w:val="0"/>
          <w:numId w:val="1"/>
        </w:numPr>
        <w:tabs>
          <w:tab w:val="left" w:pos="860"/>
          <w:tab w:val="left" w:pos="861"/>
        </w:tabs>
        <w:spacing w:before="155" w:line="276" w:lineRule="auto"/>
        <w:ind w:right="253"/>
        <w:rPr>
          <w:rFonts w:ascii="Calibri"/>
          <w:sz w:val="20"/>
        </w:rPr>
      </w:pPr>
      <w:r>
        <w:rPr>
          <w:rFonts w:ascii="Calibri"/>
          <w:sz w:val="20"/>
        </w:rPr>
        <w:t>PLICS allows consistent, linkable, cost data at patient-level and through that, a single view of the resources</w:t>
      </w:r>
      <w:r>
        <w:rPr>
          <w:rFonts w:ascii="Calibri"/>
          <w:spacing w:val="-5"/>
          <w:sz w:val="20"/>
        </w:rPr>
        <w:t xml:space="preserve"> </w:t>
      </w:r>
      <w:r>
        <w:rPr>
          <w:rFonts w:ascii="Calibri"/>
          <w:sz w:val="20"/>
        </w:rPr>
        <w:t>consumed</w:t>
      </w:r>
      <w:r>
        <w:rPr>
          <w:rFonts w:ascii="Calibri"/>
          <w:spacing w:val="-3"/>
          <w:sz w:val="20"/>
        </w:rPr>
        <w:t xml:space="preserve"> </w:t>
      </w:r>
      <w:r>
        <w:rPr>
          <w:rFonts w:ascii="Calibri"/>
          <w:sz w:val="20"/>
        </w:rPr>
        <w:t>in</w:t>
      </w:r>
      <w:r>
        <w:rPr>
          <w:rFonts w:ascii="Calibri"/>
          <w:spacing w:val="-2"/>
          <w:sz w:val="20"/>
        </w:rPr>
        <w:t xml:space="preserve"> </w:t>
      </w:r>
      <w:r>
        <w:rPr>
          <w:rFonts w:ascii="Calibri"/>
          <w:sz w:val="20"/>
        </w:rPr>
        <w:t>delivering</w:t>
      </w:r>
      <w:r>
        <w:rPr>
          <w:rFonts w:ascii="Calibri"/>
          <w:spacing w:val="-4"/>
          <w:sz w:val="20"/>
        </w:rPr>
        <w:t xml:space="preserve"> </w:t>
      </w:r>
      <w:r>
        <w:rPr>
          <w:rFonts w:ascii="Calibri"/>
          <w:sz w:val="20"/>
        </w:rPr>
        <w:t>secondary</w:t>
      </w:r>
      <w:r>
        <w:rPr>
          <w:rFonts w:ascii="Calibri"/>
          <w:spacing w:val="-3"/>
          <w:sz w:val="20"/>
        </w:rPr>
        <w:t xml:space="preserve"> </w:t>
      </w:r>
      <w:r>
        <w:rPr>
          <w:rFonts w:ascii="Calibri"/>
          <w:sz w:val="20"/>
        </w:rPr>
        <w:t>care,</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help</w:t>
      </w:r>
      <w:r>
        <w:rPr>
          <w:rFonts w:ascii="Calibri"/>
          <w:spacing w:val="-3"/>
          <w:sz w:val="20"/>
        </w:rPr>
        <w:t xml:space="preserve"> </w:t>
      </w:r>
      <w:r>
        <w:rPr>
          <w:rFonts w:ascii="Calibri"/>
          <w:sz w:val="20"/>
        </w:rPr>
        <w:t>design more</w:t>
      </w:r>
      <w:r>
        <w:rPr>
          <w:rFonts w:ascii="Calibri"/>
          <w:spacing w:val="-4"/>
          <w:sz w:val="20"/>
        </w:rPr>
        <w:t xml:space="preserve"> </w:t>
      </w:r>
      <w:r>
        <w:rPr>
          <w:rFonts w:ascii="Calibri"/>
          <w:sz w:val="20"/>
        </w:rPr>
        <w:t>efficient</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effective</w:t>
      </w:r>
      <w:r>
        <w:rPr>
          <w:rFonts w:ascii="Calibri"/>
          <w:spacing w:val="-2"/>
          <w:sz w:val="20"/>
        </w:rPr>
        <w:t xml:space="preserve"> </w:t>
      </w:r>
      <w:r>
        <w:rPr>
          <w:rFonts w:ascii="Calibri"/>
          <w:sz w:val="20"/>
        </w:rPr>
        <w:t>ways</w:t>
      </w:r>
      <w:r>
        <w:rPr>
          <w:rFonts w:ascii="Calibri"/>
          <w:spacing w:val="-5"/>
          <w:sz w:val="20"/>
        </w:rPr>
        <w:t xml:space="preserve"> </w:t>
      </w:r>
      <w:r>
        <w:rPr>
          <w:rFonts w:ascii="Calibri"/>
          <w:sz w:val="20"/>
        </w:rPr>
        <w:t>of meeting patient</w:t>
      </w:r>
      <w:r>
        <w:rPr>
          <w:rFonts w:ascii="Calibri"/>
          <w:spacing w:val="-7"/>
          <w:sz w:val="20"/>
        </w:rPr>
        <w:t xml:space="preserve"> </w:t>
      </w:r>
      <w:r>
        <w:rPr>
          <w:rFonts w:ascii="Calibri"/>
          <w:sz w:val="20"/>
        </w:rPr>
        <w:t>needs</w:t>
      </w:r>
    </w:p>
    <w:p w:rsidR="006A18FD" w:rsidRDefault="002D29FC">
      <w:pPr>
        <w:numPr>
          <w:ilvl w:val="0"/>
          <w:numId w:val="1"/>
        </w:numPr>
        <w:tabs>
          <w:tab w:val="left" w:pos="860"/>
          <w:tab w:val="left" w:pos="861"/>
        </w:tabs>
        <w:spacing w:line="276" w:lineRule="auto"/>
        <w:ind w:right="313"/>
        <w:rPr>
          <w:rFonts w:ascii="Calibri"/>
          <w:sz w:val="20"/>
        </w:rPr>
      </w:pPr>
      <w:r>
        <w:rPr>
          <w:rFonts w:ascii="Calibri"/>
          <w:sz w:val="20"/>
        </w:rPr>
        <w:t>PLICS is the biggest data collection in the NHS and, once fully rolled out, will provide a powerful resource</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individual</w:t>
      </w:r>
      <w:r>
        <w:rPr>
          <w:rFonts w:ascii="Calibri"/>
          <w:spacing w:val="-3"/>
          <w:sz w:val="20"/>
        </w:rPr>
        <w:t xml:space="preserve"> </w:t>
      </w:r>
      <w:r>
        <w:rPr>
          <w:rFonts w:ascii="Calibri"/>
          <w:sz w:val="20"/>
        </w:rPr>
        <w:t>trusts</w:t>
      </w:r>
      <w:r>
        <w:rPr>
          <w:rFonts w:ascii="Calibri"/>
          <w:spacing w:val="-5"/>
          <w:sz w:val="20"/>
        </w:rPr>
        <w:t xml:space="preserve"> </w:t>
      </w:r>
      <w:r>
        <w:rPr>
          <w:rFonts w:ascii="Calibri"/>
          <w:sz w:val="20"/>
        </w:rPr>
        <w:t>but</w:t>
      </w:r>
      <w:r>
        <w:rPr>
          <w:rFonts w:ascii="Calibri"/>
          <w:spacing w:val="-3"/>
          <w:sz w:val="20"/>
        </w:rPr>
        <w:t xml:space="preserve"> </w:t>
      </w:r>
      <w:r>
        <w:rPr>
          <w:rFonts w:ascii="Calibri"/>
          <w:sz w:val="20"/>
        </w:rPr>
        <w:t>more</w:t>
      </w:r>
      <w:r>
        <w:rPr>
          <w:rFonts w:ascii="Calibri"/>
          <w:spacing w:val="-4"/>
          <w:sz w:val="20"/>
        </w:rPr>
        <w:t xml:space="preserve"> </w:t>
      </w:r>
      <w:r>
        <w:rPr>
          <w:rFonts w:ascii="Calibri"/>
          <w:sz w:val="20"/>
        </w:rPr>
        <w:t>crucially</w:t>
      </w:r>
      <w:r>
        <w:rPr>
          <w:rFonts w:ascii="Calibri"/>
          <w:spacing w:val="-3"/>
          <w:sz w:val="20"/>
        </w:rPr>
        <w:t xml:space="preserve"> </w:t>
      </w:r>
      <w:r>
        <w:rPr>
          <w:rFonts w:ascii="Calibri"/>
          <w:sz w:val="20"/>
        </w:rPr>
        <w:t>across</w:t>
      </w:r>
      <w:r>
        <w:rPr>
          <w:rFonts w:ascii="Calibri"/>
          <w:spacing w:val="-5"/>
          <w:sz w:val="20"/>
        </w:rPr>
        <w:t xml:space="preserve"> </w:t>
      </w:r>
      <w:r>
        <w:rPr>
          <w:rFonts w:ascii="Calibri"/>
          <w:sz w:val="20"/>
        </w:rPr>
        <w:t>provider</w:t>
      </w:r>
      <w:r>
        <w:rPr>
          <w:rFonts w:ascii="Calibri"/>
          <w:spacing w:val="-3"/>
          <w:sz w:val="20"/>
        </w:rPr>
        <w:t xml:space="preserve"> </w:t>
      </w:r>
      <w:r>
        <w:rPr>
          <w:rFonts w:ascii="Calibri"/>
          <w:sz w:val="20"/>
        </w:rPr>
        <w:t>boundaries</w:t>
      </w:r>
      <w:r>
        <w:rPr>
          <w:rFonts w:ascii="Calibri"/>
          <w:spacing w:val="-5"/>
          <w:sz w:val="20"/>
        </w:rPr>
        <w:t xml:space="preserve"> </w:t>
      </w:r>
      <w:r>
        <w:rPr>
          <w:rFonts w:ascii="Calibri"/>
          <w:sz w:val="20"/>
        </w:rPr>
        <w:t>enabling</w:t>
      </w:r>
      <w:r>
        <w:rPr>
          <w:rFonts w:ascii="Calibri"/>
          <w:spacing w:val="-3"/>
          <w:sz w:val="20"/>
        </w:rPr>
        <w:t xml:space="preserve"> </w:t>
      </w:r>
      <w:r>
        <w:rPr>
          <w:rFonts w:ascii="Calibri"/>
          <w:sz w:val="20"/>
        </w:rPr>
        <w:t>integrated</w:t>
      </w:r>
      <w:r>
        <w:rPr>
          <w:rFonts w:ascii="Calibri"/>
          <w:spacing w:val="-3"/>
          <w:sz w:val="20"/>
        </w:rPr>
        <w:t xml:space="preserve"> </w:t>
      </w:r>
      <w:r>
        <w:rPr>
          <w:rFonts w:ascii="Calibri"/>
          <w:sz w:val="20"/>
        </w:rPr>
        <w:t>care organisations to understand the whole patient pathway within secondary</w:t>
      </w:r>
      <w:r>
        <w:rPr>
          <w:rFonts w:ascii="Calibri"/>
          <w:spacing w:val="-32"/>
          <w:sz w:val="20"/>
        </w:rPr>
        <w:t xml:space="preserve"> </w:t>
      </w:r>
      <w:r>
        <w:rPr>
          <w:rFonts w:ascii="Calibri"/>
          <w:sz w:val="20"/>
        </w:rPr>
        <w:t>care.</w:t>
      </w:r>
    </w:p>
    <w:p w:rsidR="006A18FD" w:rsidRDefault="002D29FC">
      <w:pPr>
        <w:spacing w:before="121" w:line="276" w:lineRule="auto"/>
        <w:ind w:left="140" w:right="125"/>
        <w:rPr>
          <w:rFonts w:ascii="Calibri"/>
          <w:sz w:val="20"/>
        </w:rPr>
      </w:pPr>
      <w:r>
        <w:rPr>
          <w:rFonts w:ascii="Calibri"/>
          <w:sz w:val="20"/>
        </w:rPr>
        <w:t>The programme is expected to see benefits earlier than 2021, as data collected in 2019 will support the operational productivity programme, including the Model Hospital, and its rollout to ambulance, mental health and community health services. More granular and transparent costs will support the future development of national tariff prices and currencies.</w:t>
      </w:r>
    </w:p>
    <w:p w:rsidR="006A18FD" w:rsidRDefault="002D29FC" w:rsidP="00E42AC6">
      <w:pPr>
        <w:pStyle w:val="Heading2"/>
      </w:pPr>
      <w:r>
        <w:t>The theory of patient-level costing (2019)</w:t>
      </w:r>
    </w:p>
    <w:p w:rsidR="006A18FD" w:rsidRDefault="002D29FC">
      <w:pPr>
        <w:spacing w:before="156" w:line="276" w:lineRule="auto"/>
        <w:ind w:left="140" w:right="274"/>
        <w:rPr>
          <w:rFonts w:ascii="Calibri"/>
          <w:sz w:val="20"/>
        </w:rPr>
      </w:pPr>
      <w:r>
        <w:rPr>
          <w:rFonts w:ascii="Calibri"/>
          <w:sz w:val="20"/>
        </w:rPr>
        <w:t>The important difference between reference costs and patient-level costing is the linkage to a number of key master and supporting information feeds to get a unique cost per patient, dependant on their individual experience within the care setting. Each pound within the general ledger is linked to prescribed resources (ie: drugs, specialist nursing, consultant) using defined allocation methods</w:t>
      </w:r>
      <w:r>
        <w:rPr>
          <w:rFonts w:ascii="Calibri"/>
          <w:position w:val="7"/>
          <w:sz w:val="13"/>
        </w:rPr>
        <w:t xml:space="preserve">1 </w:t>
      </w:r>
      <w:r>
        <w:rPr>
          <w:rFonts w:ascii="Calibri"/>
          <w:sz w:val="20"/>
        </w:rPr>
        <w:t>to link it to prescribed activities (ie: ward care, MRI, wheelchair issue). These costed activities are then matched to master activities (ie: unique inpatient episode) to create an individual patient level cost which can be analysed in a variety of different ways.</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42" w:line="249" w:lineRule="auto"/>
        <w:ind w:left="423" w:right="380" w:hanging="284"/>
        <w:rPr>
          <w:rFonts w:ascii="Calibri" w:hAnsi="Calibri"/>
          <w:sz w:val="14"/>
        </w:rPr>
      </w:pPr>
      <w:r>
        <w:rPr>
          <w:rFonts w:ascii="Calibri" w:hAnsi="Calibri"/>
          <w:position w:val="5"/>
          <w:sz w:val="10"/>
        </w:rPr>
        <w:t xml:space="preserve">1 </w:t>
      </w:r>
      <w:r>
        <w:rPr>
          <w:rFonts w:ascii="Calibri" w:hAnsi="Calibri"/>
          <w:sz w:val="14"/>
        </w:rPr>
        <w:t>Defined as “The process of distributing costs from a high-level pool of costs to a specific department, activity or patient, using a predetermined method.” Prescribed methods include headcount, cost, usage and time.</w:t>
      </w:r>
    </w:p>
    <w:p w:rsidR="006A18FD" w:rsidRDefault="006A18FD">
      <w:pPr>
        <w:spacing w:line="249" w:lineRule="auto"/>
        <w:rPr>
          <w:rFonts w:ascii="Calibri" w:hAnsi="Calibri"/>
          <w:sz w:val="14"/>
        </w:rPr>
        <w:sectPr w:rsidR="006A18FD">
          <w:pgSz w:w="11910" w:h="16840"/>
          <w:pgMar w:top="1000" w:right="1300" w:bottom="280" w:left="1300" w:header="751" w:footer="0" w:gutter="0"/>
          <w:cols w:space="720"/>
        </w:sectPr>
      </w:pPr>
    </w:p>
    <w:p w:rsidR="006A18FD" w:rsidRDefault="006A18FD">
      <w:pPr>
        <w:rPr>
          <w:rFonts w:ascii="Calibri"/>
          <w:sz w:val="20"/>
        </w:rPr>
      </w:pPr>
    </w:p>
    <w:p w:rsidR="006A18FD" w:rsidRDefault="006A18FD">
      <w:pPr>
        <w:spacing w:before="12"/>
        <w:rPr>
          <w:rFonts w:ascii="Calibri"/>
          <w:sz w:val="17"/>
        </w:rPr>
      </w:pPr>
    </w:p>
    <w:p w:rsidR="006A18FD" w:rsidRDefault="00E60AD2">
      <w:pPr>
        <w:spacing w:before="59"/>
        <w:ind w:left="140"/>
        <w:rPr>
          <w:rFonts w:ascii="Calibri"/>
          <w:sz w:val="20"/>
        </w:rPr>
      </w:pPr>
      <w:r>
        <w:rPr>
          <w:noProof/>
          <w:lang w:val="en-GB" w:eastAsia="en-GB"/>
        </w:rPr>
        <mc:AlternateContent>
          <mc:Choice Requires="wpg">
            <w:drawing>
              <wp:anchor distT="0" distB="0" distL="114300" distR="114300" simplePos="0" relativeHeight="251599872" behindDoc="1" locked="0" layoutInCell="1" allowOverlap="1">
                <wp:simplePos x="0" y="0"/>
                <wp:positionH relativeFrom="page">
                  <wp:posOffset>1276350</wp:posOffset>
                </wp:positionH>
                <wp:positionV relativeFrom="paragraph">
                  <wp:posOffset>623570</wp:posOffset>
                </wp:positionV>
                <wp:extent cx="3488690" cy="750570"/>
                <wp:effectExtent l="9525" t="4445" r="0" b="6985"/>
                <wp:wrapNone/>
                <wp:docPr id="39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750570"/>
                          <a:chOff x="2010" y="982"/>
                          <a:chExt cx="5494" cy="1182"/>
                        </a:xfrm>
                      </wpg:grpSpPr>
                      <wps:wsp>
                        <wps:cNvPr id="395" name="AutoShape 260"/>
                        <wps:cNvSpPr>
                          <a:spLocks/>
                        </wps:cNvSpPr>
                        <wps:spPr bwMode="auto">
                          <a:xfrm>
                            <a:off x="880" y="11177"/>
                            <a:ext cx="8286" cy="1001"/>
                          </a:xfrm>
                          <a:custGeom>
                            <a:avLst/>
                            <a:gdLst>
                              <a:gd name="T0" fmla="+- 0 2015 880"/>
                              <a:gd name="T1" fmla="*/ T0 w 8286"/>
                              <a:gd name="T2" fmla="+- 0 1945 11178"/>
                              <a:gd name="T3" fmla="*/ 1945 h 1001"/>
                              <a:gd name="T4" fmla="+- 0 2015 880"/>
                              <a:gd name="T5" fmla="*/ T4 w 8286"/>
                              <a:gd name="T6" fmla="+- 0 1331 11178"/>
                              <a:gd name="T7" fmla="*/ 1331 h 1001"/>
                              <a:gd name="T8" fmla="+- 0 4307 880"/>
                              <a:gd name="T9" fmla="*/ T8 w 8286"/>
                              <a:gd name="T10" fmla="+- 0 1331 11178"/>
                              <a:gd name="T11" fmla="*/ 1331 h 1001"/>
                              <a:gd name="T12" fmla="+- 0 4264 880"/>
                              <a:gd name="T13" fmla="*/ T12 w 8286"/>
                              <a:gd name="T14" fmla="+- 0 1374 11178"/>
                              <a:gd name="T15" fmla="*/ 1374 h 1001"/>
                              <a:gd name="T16" fmla="+- 0 4307 880"/>
                              <a:gd name="T17" fmla="*/ T16 w 8286"/>
                              <a:gd name="T18" fmla="+- 0 1331 11178"/>
                              <a:gd name="T19" fmla="*/ 1331 h 1001"/>
                              <a:gd name="T20" fmla="+- 0 4264 880"/>
                              <a:gd name="T21" fmla="*/ T20 w 8286"/>
                              <a:gd name="T22" fmla="+- 0 1288 11178"/>
                              <a:gd name="T23" fmla="*/ 1288 h 1001"/>
                              <a:gd name="T24" fmla="+- 0 5183 880"/>
                              <a:gd name="T25" fmla="*/ T24 w 8286"/>
                              <a:gd name="T26" fmla="+- 0 1331 11178"/>
                              <a:gd name="T27" fmla="*/ 1331 h 1001"/>
                              <a:gd name="T28" fmla="+- 0 7420 880"/>
                              <a:gd name="T29" fmla="*/ T28 w 8286"/>
                              <a:gd name="T30" fmla="+- 0 1331 11178"/>
                              <a:gd name="T31" fmla="*/ 1331 h 1001"/>
                              <a:gd name="T32" fmla="+- 0 7420 880"/>
                              <a:gd name="T33" fmla="*/ T32 w 8286"/>
                              <a:gd name="T34" fmla="+- 0 1945 11178"/>
                              <a:gd name="T35" fmla="*/ 1945 h 1001"/>
                              <a:gd name="T36" fmla="+- 0 7377 880"/>
                              <a:gd name="T37" fmla="*/ T36 w 8286"/>
                              <a:gd name="T38" fmla="+- 0 1902 11178"/>
                              <a:gd name="T39" fmla="*/ 1902 h 1001"/>
                              <a:gd name="T40" fmla="+- 0 7420 880"/>
                              <a:gd name="T41" fmla="*/ T40 w 8286"/>
                              <a:gd name="T42" fmla="+- 0 1945 11178"/>
                              <a:gd name="T43" fmla="*/ 1945 h 1001"/>
                              <a:gd name="T44" fmla="+- 0 7463 880"/>
                              <a:gd name="T45" fmla="*/ T44 w 8286"/>
                              <a:gd name="T46" fmla="+- 0 1902 11178"/>
                              <a:gd name="T47" fmla="*/ 1902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86" h="1001">
                                <a:moveTo>
                                  <a:pt x="1135" y="-9233"/>
                                </a:moveTo>
                                <a:lnTo>
                                  <a:pt x="1135" y="-9847"/>
                                </a:lnTo>
                                <a:lnTo>
                                  <a:pt x="3427" y="-9847"/>
                                </a:lnTo>
                                <a:moveTo>
                                  <a:pt x="3384" y="-9804"/>
                                </a:moveTo>
                                <a:lnTo>
                                  <a:pt x="3427" y="-9847"/>
                                </a:lnTo>
                                <a:lnTo>
                                  <a:pt x="3384" y="-9890"/>
                                </a:lnTo>
                                <a:moveTo>
                                  <a:pt x="4303" y="-9847"/>
                                </a:moveTo>
                                <a:lnTo>
                                  <a:pt x="6540" y="-9847"/>
                                </a:lnTo>
                                <a:lnTo>
                                  <a:pt x="6540" y="-9233"/>
                                </a:lnTo>
                                <a:moveTo>
                                  <a:pt x="6497" y="-9276"/>
                                </a:moveTo>
                                <a:lnTo>
                                  <a:pt x="6540" y="-9233"/>
                                </a:lnTo>
                                <a:lnTo>
                                  <a:pt x="6583" y="-9276"/>
                                </a:lnTo>
                              </a:path>
                            </a:pathLst>
                          </a:custGeom>
                          <a:noFill/>
                          <a:ln w="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59"/>
                        <wps:cNvSpPr>
                          <a:spLocks noChangeArrowheads="1"/>
                        </wps:cNvSpPr>
                        <wps:spPr bwMode="auto">
                          <a:xfrm>
                            <a:off x="5742" y="1268"/>
                            <a:ext cx="1735"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58"/>
                        <wps:cNvCnPr>
                          <a:cxnSpLocks noChangeShapeType="1"/>
                        </wps:cNvCnPr>
                        <wps:spPr bwMode="auto">
                          <a:xfrm>
                            <a:off x="4745" y="1675"/>
                            <a:ext cx="0" cy="179"/>
                          </a:xfrm>
                          <a:prstGeom prst="line">
                            <a:avLst/>
                          </a:prstGeom>
                          <a:noFill/>
                          <a:ln w="6263">
                            <a:solidFill>
                              <a:srgbClr val="000000"/>
                            </a:solidFill>
                            <a:round/>
                            <a:headEnd/>
                            <a:tailEnd/>
                          </a:ln>
                          <a:extLst>
                            <a:ext uri="{909E8E84-426E-40DD-AFC4-6F175D3DCCD1}">
                              <a14:hiddenFill xmlns:a14="http://schemas.microsoft.com/office/drawing/2010/main">
                                <a:noFill/>
                              </a14:hiddenFill>
                            </a:ext>
                          </a:extLst>
                        </wps:spPr>
                        <wps:bodyPr/>
                      </wps:wsp>
                      <wps:wsp>
                        <wps:cNvPr id="398" name="Freeform 257"/>
                        <wps:cNvSpPr>
                          <a:spLocks/>
                        </wps:cNvSpPr>
                        <wps:spPr bwMode="auto">
                          <a:xfrm>
                            <a:off x="4702" y="1675"/>
                            <a:ext cx="87" cy="43"/>
                          </a:xfrm>
                          <a:custGeom>
                            <a:avLst/>
                            <a:gdLst>
                              <a:gd name="T0" fmla="+- 0 4788 4702"/>
                              <a:gd name="T1" fmla="*/ T0 w 87"/>
                              <a:gd name="T2" fmla="+- 0 1718 1675"/>
                              <a:gd name="T3" fmla="*/ 1718 h 43"/>
                              <a:gd name="T4" fmla="+- 0 4745 4702"/>
                              <a:gd name="T5" fmla="*/ T4 w 87"/>
                              <a:gd name="T6" fmla="+- 0 1675 1675"/>
                              <a:gd name="T7" fmla="*/ 1675 h 43"/>
                              <a:gd name="T8" fmla="+- 0 4702 4702"/>
                              <a:gd name="T9" fmla="*/ T8 w 87"/>
                              <a:gd name="T10" fmla="+- 0 1718 1675"/>
                              <a:gd name="T11" fmla="*/ 1718 h 43"/>
                            </a:gdLst>
                            <a:ahLst/>
                            <a:cxnLst>
                              <a:cxn ang="0">
                                <a:pos x="T1" y="T3"/>
                              </a:cxn>
                              <a:cxn ang="0">
                                <a:pos x="T5" y="T7"/>
                              </a:cxn>
                              <a:cxn ang="0">
                                <a:pos x="T9" y="T11"/>
                              </a:cxn>
                            </a:cxnLst>
                            <a:rect l="0" t="0" r="r" b="b"/>
                            <a:pathLst>
                              <a:path w="87" h="43">
                                <a:moveTo>
                                  <a:pt x="86" y="43"/>
                                </a:moveTo>
                                <a:lnTo>
                                  <a:pt x="43" y="0"/>
                                </a:lnTo>
                                <a:lnTo>
                                  <a:pt x="0" y="43"/>
                                </a:lnTo>
                              </a:path>
                            </a:pathLst>
                          </a:custGeom>
                          <a:noFill/>
                          <a:ln w="62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256"/>
                        <wps:cNvCnPr>
                          <a:cxnSpLocks noChangeShapeType="1"/>
                        </wps:cNvCnPr>
                        <wps:spPr bwMode="auto">
                          <a:xfrm>
                            <a:off x="4745" y="1980"/>
                            <a:ext cx="0" cy="179"/>
                          </a:xfrm>
                          <a:prstGeom prst="line">
                            <a:avLst/>
                          </a:prstGeom>
                          <a:noFill/>
                          <a:ln w="6263">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255"/>
                        <wps:cNvSpPr>
                          <a:spLocks noChangeArrowheads="1"/>
                        </wps:cNvSpPr>
                        <wps:spPr bwMode="auto">
                          <a:xfrm>
                            <a:off x="4294" y="1854"/>
                            <a:ext cx="903"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254"/>
                        <wps:cNvSpPr txBox="1">
                          <a:spLocks noChangeArrowheads="1"/>
                        </wps:cNvSpPr>
                        <wps:spPr bwMode="auto">
                          <a:xfrm>
                            <a:off x="5746" y="1282"/>
                            <a:ext cx="1758"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109" w:lineRule="exact"/>
                                <w:rPr>
                                  <w:rFonts w:ascii="Calibri"/>
                                  <w:sz w:val="11"/>
                                </w:rPr>
                              </w:pPr>
                              <w:r>
                                <w:rPr>
                                  <w:rFonts w:ascii="Calibri"/>
                                  <w:sz w:val="11"/>
                                </w:rPr>
                                <w:t>Allocate</w:t>
                              </w:r>
                              <w:r>
                                <w:rPr>
                                  <w:rFonts w:ascii="Calibri"/>
                                  <w:spacing w:val="-9"/>
                                  <w:sz w:val="11"/>
                                </w:rPr>
                                <w:t xml:space="preserve"> </w:t>
                              </w:r>
                              <w:r>
                                <w:rPr>
                                  <w:rFonts w:ascii="Calibri"/>
                                  <w:spacing w:val="-4"/>
                                  <w:sz w:val="11"/>
                                </w:rPr>
                                <w:t>using</w:t>
                              </w:r>
                              <w:r>
                                <w:rPr>
                                  <w:rFonts w:ascii="Calibri"/>
                                  <w:spacing w:val="-7"/>
                                  <w:sz w:val="11"/>
                                </w:rPr>
                                <w:t xml:space="preserve"> </w:t>
                              </w:r>
                              <w:r>
                                <w:rPr>
                                  <w:rFonts w:ascii="Calibri"/>
                                  <w:sz w:val="11"/>
                                </w:rPr>
                                <w:t>duration</w:t>
                              </w:r>
                              <w:r>
                                <w:rPr>
                                  <w:rFonts w:ascii="Calibri"/>
                                  <w:spacing w:val="-11"/>
                                  <w:sz w:val="11"/>
                                </w:rPr>
                                <w:t xml:space="preserve"> </w:t>
                              </w:r>
                              <w:r>
                                <w:rPr>
                                  <w:rFonts w:ascii="Calibri"/>
                                  <w:spacing w:val="-5"/>
                                  <w:sz w:val="11"/>
                                </w:rPr>
                                <w:t>on</w:t>
                              </w:r>
                              <w:r>
                                <w:rPr>
                                  <w:rFonts w:ascii="Calibri"/>
                                  <w:spacing w:val="-11"/>
                                  <w:sz w:val="11"/>
                                </w:rPr>
                                <w:t xml:space="preserve"> </w:t>
                              </w:r>
                              <w:r>
                                <w:rPr>
                                  <w:rFonts w:ascii="Calibri"/>
                                  <w:sz w:val="11"/>
                                </w:rPr>
                                <w:t>ward</w:t>
                              </w:r>
                              <w:r>
                                <w:rPr>
                                  <w:rFonts w:ascii="Calibri"/>
                                  <w:spacing w:val="-11"/>
                                  <w:sz w:val="11"/>
                                </w:rPr>
                                <w:t xml:space="preserve"> </w:t>
                              </w:r>
                              <w:r>
                                <w:rPr>
                                  <w:rFonts w:ascii="Calibri"/>
                                  <w:spacing w:val="-3"/>
                                  <w:sz w:val="11"/>
                                </w:rPr>
                                <w:t>in</w:t>
                              </w:r>
                              <w:r>
                                <w:rPr>
                                  <w:rFonts w:ascii="Calibri"/>
                                  <w:spacing w:val="-11"/>
                                  <w:sz w:val="11"/>
                                </w:rPr>
                                <w:t xml:space="preserve"> </w:t>
                              </w:r>
                              <w:r>
                                <w:rPr>
                                  <w:rFonts w:ascii="Calibri"/>
                                  <w:sz w:val="11"/>
                                </w:rPr>
                                <w:t>hours</w:t>
                              </w:r>
                            </w:p>
                          </w:txbxContent>
                        </wps:txbx>
                        <wps:bodyPr rot="0" vert="horz" wrap="square" lIns="0" tIns="0" rIns="0" bIns="0" anchor="t" anchorCtr="0" upright="1">
                          <a:noAutofit/>
                        </wps:bodyPr>
                      </wps:wsp>
                      <wps:wsp>
                        <wps:cNvPr id="402" name="Text Box 253"/>
                        <wps:cNvSpPr txBox="1">
                          <a:spLocks noChangeArrowheads="1"/>
                        </wps:cNvSpPr>
                        <wps:spPr bwMode="auto">
                          <a:xfrm>
                            <a:off x="4297" y="1870"/>
                            <a:ext cx="92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109" w:lineRule="exact"/>
                                <w:rPr>
                                  <w:rFonts w:ascii="Calibri"/>
                                  <w:sz w:val="11"/>
                                </w:rPr>
                              </w:pPr>
                              <w:r>
                                <w:rPr>
                                  <w:rFonts w:ascii="Calibri"/>
                                  <w:sz w:val="11"/>
                                </w:rPr>
                                <w:t>Allocate</w:t>
                              </w:r>
                              <w:r>
                                <w:rPr>
                                  <w:rFonts w:ascii="Calibri"/>
                                  <w:spacing w:val="-15"/>
                                  <w:sz w:val="11"/>
                                </w:rPr>
                                <w:t xml:space="preserve"> </w:t>
                              </w:r>
                              <w:r>
                                <w:rPr>
                                  <w:rFonts w:ascii="Calibri"/>
                                  <w:spacing w:val="-4"/>
                                  <w:sz w:val="11"/>
                                </w:rPr>
                                <w:t>to</w:t>
                              </w:r>
                              <w:r>
                                <w:rPr>
                                  <w:rFonts w:ascii="Calibri"/>
                                  <w:spacing w:val="-16"/>
                                  <w:sz w:val="11"/>
                                </w:rPr>
                                <w:t xml:space="preserve"> </w:t>
                              </w:r>
                              <w:r>
                                <w:rPr>
                                  <w:rFonts w:ascii="Calibri"/>
                                  <w:sz w:val="11"/>
                                </w:rPr>
                                <w:t>floor</w:t>
                              </w:r>
                              <w:r>
                                <w:rPr>
                                  <w:rFonts w:ascii="Calibri"/>
                                  <w:spacing w:val="-16"/>
                                  <w:sz w:val="11"/>
                                </w:rPr>
                                <w:t xml:space="preserve"> </w:t>
                              </w:r>
                              <w:r>
                                <w:rPr>
                                  <w:rFonts w:ascii="Calibri"/>
                                  <w:sz w:val="11"/>
                                </w:rPr>
                                <w:t>area</w:t>
                              </w:r>
                            </w:p>
                          </w:txbxContent>
                        </wps:txbx>
                        <wps:bodyPr rot="0" vert="horz" wrap="square" lIns="0" tIns="0" rIns="0" bIns="0" anchor="t" anchorCtr="0" upright="1">
                          <a:noAutofit/>
                        </wps:bodyPr>
                      </wps:wsp>
                      <wps:wsp>
                        <wps:cNvPr id="403" name="Text Box 252"/>
                        <wps:cNvSpPr txBox="1">
                          <a:spLocks noChangeArrowheads="1"/>
                        </wps:cNvSpPr>
                        <wps:spPr bwMode="auto">
                          <a:xfrm>
                            <a:off x="4307" y="987"/>
                            <a:ext cx="877" cy="689"/>
                          </a:xfrm>
                          <a:prstGeom prst="rect">
                            <a:avLst/>
                          </a:prstGeom>
                          <a:noFill/>
                          <a:ln w="625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55" w:line="249" w:lineRule="auto"/>
                                <w:ind w:left="140" w:right="131"/>
                                <w:jc w:val="center"/>
                                <w:rPr>
                                  <w:rFonts w:ascii="Calibri" w:hAnsi="Calibri"/>
                                  <w:sz w:val="15"/>
                                </w:rPr>
                              </w:pPr>
                              <w:r>
                                <w:rPr>
                                  <w:rFonts w:ascii="Calibri" w:hAnsi="Calibri"/>
                                  <w:w w:val="105"/>
                                  <w:sz w:val="15"/>
                                </w:rPr>
                                <w:t>Resource Pool £ (Nursing)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32" style="position:absolute;left:0;text-align:left;margin-left:100.5pt;margin-top:49.1pt;width:274.7pt;height:59.1pt;z-index:-251716608;mso-position-horizontal-relative:page;mso-position-vertical-relative:text" coordorigin="2010,982" coordsize="5494,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">
                <v:shape id="AutoShape 260" o:spid="_x0000_s1033" style="position:absolute;left:880;top:11177;width:8286;height:1001;visibility:visible;mso-wrap-style:square;v-text-anchor:top" coordsize="8286,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lFcgA&#10;AADcAAAADwAAAGRycy9kb3ducmV2LnhtbESPQWvCQBSE74L/YXkFb7qp2lJTVykVbcEKjfaQ3h7Z&#10;1ySafRuyW43+erdQ8DjMzDfMdN6aShypcaVlBfeDCARxZnXJuYKv3bL/BMJ5ZI2VZVJwJgfzWbcz&#10;xVjbEyd03PpcBAi7GBUU3texlC4ryKAb2Jo4eD+2MeiDbHKpGzwFuKnkMIoepcGSw0KBNb0WlB22&#10;v0ZBvv9cfSTDxX68Wl/SN/2dbmySKtW7a1+eQXhq/S38337XCkaTB/g7E4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QGUVyAAAANwAAAAPAAAAAAAAAAAAAAAAAJgCAABk&#10;cnMvZG93bnJldi54bWxQSwUGAAAAAAQABAD1AAAAjQMAAAAA&#10;" path="m1135,-9233r,-614l3427,-9847t-43,43l3427,-9847r-43,-43m4303,-9847r2237,l6540,-9233t-43,-43l6540,-9233r43,-43e" filled="f" strokeweight=".17378mm">
                  <v:path arrowok="t" o:connecttype="custom" o:connectlocs="1135,1945;1135,1331;3427,1331;3384,1374;3427,1331;3384,1288;4303,1331;6540,1331;6540,1945;6497,1902;6540,1945;6583,1902" o:connectangles="0,0,0,0,0,0,0,0,0,0,0,0"/>
                </v:shape>
                <v:rect id="Rectangle 259" o:spid="_x0000_s1034" style="position:absolute;left:5742;top:1268;width:1735;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mucQA&#10;AADcAAAADwAAAGRycy9kb3ducmV2LnhtbESPT4vCMBTE7wt+h/AEb2ui7hatRhFBEHb34B/w+mie&#10;bbF5qU3U+u03guBxmJnfMLNFaytxo8aXjjUM+goEceZMybmGw379OQbhA7LByjFpeJCHxbzzMcPU&#10;uDtv6bYLuYgQ9ilqKEKoUyl9VpBF33c1cfROrrEYomxyaRq8R7it5FCpRFosOS4UWNOqoOy8u1oN&#10;mHyZy99p9Lv/uSY4yVu1/j4qrXvddjkFEagN7/CrvTEaRp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ZrnEAAAA3AAAAA8AAAAAAAAAAAAAAAAAmAIAAGRycy9k&#10;b3ducmV2LnhtbFBLBQYAAAAABAAEAPUAAACJAwAAAAA=&#10;" stroked="f"/>
                <v:line id="Line 258" o:spid="_x0000_s1035" style="position:absolute;visibility:visible;mso-wrap-style:square" from="4745,1675" to="4745,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3bcYAAADcAAAADwAAAGRycy9kb3ducmV2LnhtbESPQU8CMRSE7yb+h+aRcDHSFQjKSiGG&#10;SNCjaAzH5/axXd2+t24LrP56amLCcTIz32Rmi87X6kBtqIQN3AwyUMSF2IpLA2+vq+s7UCEiW6yF&#10;ycAPBVjMLy9mmFs58gsdNrFUCcIhRwMuxibXOhSOPIaBNMTJ20nrMSbZltq2eExwX+thlk20x4rT&#10;gsOGlo6Kr83eG5Df8Xr7bp/dhw6fy0yuZPX4PTam3+se7kFF6uI5/N9+sgZG01v4O5OOgJ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7N23GAAAA3AAAAA8AAAAAAAAA&#10;AAAAAAAAoQIAAGRycy9kb3ducmV2LnhtbFBLBQYAAAAABAAEAPkAAACUAwAAAAA=&#10;" strokeweight=".17397mm"/>
                <v:shape id="Freeform 257" o:spid="_x0000_s1036" style="position:absolute;left:4702;top:1675;width:87;height:43;visibility:visible;mso-wrap-style:square;v-text-anchor:top" coordsize="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YsAA&#10;AADcAAAADwAAAGRycy9kb3ducmV2LnhtbERP3WrCMBS+H/gO4Qi7GZo6QbQapTgG3qp9gGNzbKPN&#10;SdvEWvf0y8Vglx/f/2Y32Fr01HnjWMFsmoAgLpw2XCrIz9+TJQgfkDXWjknBizzstqO3DabaPflI&#10;/SmUIoawT1FBFUKTSumLiiz6qWuII3d1ncUQYVdK3eEzhttafibJQlo0HBsqbGhfUXE/PawCMvPb&#10;l2s5++j3mbm0x/ynneVKvY+HbA0i0BD+xX/ug1YwX8W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ZYsAAAADcAAAADwAAAAAAAAAAAAAAAACYAgAAZHJzL2Rvd25y&#10;ZXYueG1sUEsFBgAAAAAEAAQA9QAAAIUDAAAAAA==&#10;" path="m86,43l43,,,43e" filled="f" strokeweight=".17367mm">
                  <v:path arrowok="t" o:connecttype="custom" o:connectlocs="86,1718;43,1675;0,1718" o:connectangles="0,0,0"/>
                </v:shape>
                <v:line id="Line 256" o:spid="_x0000_s1037" style="position:absolute;visibility:visible;mso-wrap-style:square" from="4745,1980" to="4745,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GhMYAAADcAAAADwAAAGRycy9kb3ducmV2LnhtbESPQU8CMRSE7yb8h+aReDHSVYiRlUIM&#10;gYhH0RiPz+1zu7B9b9lWWPj1lMTE42RmvslMZp2v1Z7aUAkbuBtkoIgLsRWXBj7el7ePoEJEtlgL&#10;k4EjBZhNe1cTzK0c+I3261iqBOGQowEXY5NrHQpHHsNAGuLk/UjrMSbZltq2eEhwX+v7LHvQHitO&#10;Cw4bmjsqtutfb0BOo5evT/vqvnXYzDO5keViNzLmut89P4GK1MX/8F97ZQ0Mx2O4nElHQE/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BoTGAAAA3AAAAA8AAAAAAAAA&#10;AAAAAAAAoQIAAGRycy9kb3ducmV2LnhtbFBLBQYAAAAABAAEAPkAAACUAwAAAAA=&#10;" strokeweight=".17397mm"/>
                <v:rect id="Rectangle 255" o:spid="_x0000_s1038" style="position:absolute;left:4294;top:1854;width:90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DtMAA&#10;AADcAAAADwAAAGRycy9kb3ducmV2LnhtbERPy4rCMBTdC/5DuMLsNPFVnI5RRBAGRhdWYbaX5tqW&#10;aW5qE7Xz92YhuDyc93Ld2VrcqfWVYw3jkQJBnDtTcaHhfNoNFyB8QDZYOyYN/+Rhver3lpga9+Aj&#10;3bNQiBjCPkUNZQhNKqXPS7LoR64hjtzFtRZDhG0hTYuPGG5rOVEqkRYrjg0lNrQtKf/LblYDJjNz&#10;PVym+9PPLcHPolO7+a/S+mPQbb5ABOrCW/xyfxsNM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YDtMAAAADcAAAADwAAAAAAAAAAAAAAAACYAgAAZHJzL2Rvd25y&#10;ZXYueG1sUEsFBgAAAAAEAAQA9QAAAIUDAAAAAA==&#10;" stroked="f"/>
                <v:shape id="Text Box 254" o:spid="_x0000_s1039" type="#_x0000_t202" style="position:absolute;left:5746;top:1282;width:175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2E1E01" w:rsidRDefault="002E1E01">
                        <w:pPr>
                          <w:spacing w:line="109" w:lineRule="exact"/>
                          <w:rPr>
                            <w:rFonts w:ascii="Calibri"/>
                            <w:sz w:val="11"/>
                          </w:rPr>
                        </w:pPr>
                        <w:r>
                          <w:rPr>
                            <w:rFonts w:ascii="Calibri"/>
                            <w:sz w:val="11"/>
                          </w:rPr>
                          <w:t>Allocate</w:t>
                        </w:r>
                        <w:r>
                          <w:rPr>
                            <w:rFonts w:ascii="Calibri"/>
                            <w:spacing w:val="-9"/>
                            <w:sz w:val="11"/>
                          </w:rPr>
                          <w:t xml:space="preserve"> </w:t>
                        </w:r>
                        <w:r>
                          <w:rPr>
                            <w:rFonts w:ascii="Calibri"/>
                            <w:spacing w:val="-4"/>
                            <w:sz w:val="11"/>
                          </w:rPr>
                          <w:t>using</w:t>
                        </w:r>
                        <w:r>
                          <w:rPr>
                            <w:rFonts w:ascii="Calibri"/>
                            <w:spacing w:val="-7"/>
                            <w:sz w:val="11"/>
                          </w:rPr>
                          <w:t xml:space="preserve"> </w:t>
                        </w:r>
                        <w:r>
                          <w:rPr>
                            <w:rFonts w:ascii="Calibri"/>
                            <w:sz w:val="11"/>
                          </w:rPr>
                          <w:t>duration</w:t>
                        </w:r>
                        <w:r>
                          <w:rPr>
                            <w:rFonts w:ascii="Calibri"/>
                            <w:spacing w:val="-11"/>
                            <w:sz w:val="11"/>
                          </w:rPr>
                          <w:t xml:space="preserve"> </w:t>
                        </w:r>
                        <w:r>
                          <w:rPr>
                            <w:rFonts w:ascii="Calibri"/>
                            <w:spacing w:val="-5"/>
                            <w:sz w:val="11"/>
                          </w:rPr>
                          <w:t>on</w:t>
                        </w:r>
                        <w:r>
                          <w:rPr>
                            <w:rFonts w:ascii="Calibri"/>
                            <w:spacing w:val="-11"/>
                            <w:sz w:val="11"/>
                          </w:rPr>
                          <w:t xml:space="preserve"> </w:t>
                        </w:r>
                        <w:r>
                          <w:rPr>
                            <w:rFonts w:ascii="Calibri"/>
                            <w:sz w:val="11"/>
                          </w:rPr>
                          <w:t>ward</w:t>
                        </w:r>
                        <w:r>
                          <w:rPr>
                            <w:rFonts w:ascii="Calibri"/>
                            <w:spacing w:val="-11"/>
                            <w:sz w:val="11"/>
                          </w:rPr>
                          <w:t xml:space="preserve"> </w:t>
                        </w:r>
                        <w:r>
                          <w:rPr>
                            <w:rFonts w:ascii="Calibri"/>
                            <w:spacing w:val="-3"/>
                            <w:sz w:val="11"/>
                          </w:rPr>
                          <w:t>in</w:t>
                        </w:r>
                        <w:r>
                          <w:rPr>
                            <w:rFonts w:ascii="Calibri"/>
                            <w:spacing w:val="-11"/>
                            <w:sz w:val="11"/>
                          </w:rPr>
                          <w:t xml:space="preserve"> </w:t>
                        </w:r>
                        <w:r>
                          <w:rPr>
                            <w:rFonts w:ascii="Calibri"/>
                            <w:sz w:val="11"/>
                          </w:rPr>
                          <w:t>hours</w:t>
                        </w:r>
                      </w:p>
                    </w:txbxContent>
                  </v:textbox>
                </v:shape>
                <v:shape id="Text Box 253" o:spid="_x0000_s1040" type="#_x0000_t202" style="position:absolute;left:4297;top:1870;width:92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2E1E01" w:rsidRDefault="002E1E01">
                        <w:pPr>
                          <w:spacing w:line="109" w:lineRule="exact"/>
                          <w:rPr>
                            <w:rFonts w:ascii="Calibri"/>
                            <w:sz w:val="11"/>
                          </w:rPr>
                        </w:pPr>
                        <w:r>
                          <w:rPr>
                            <w:rFonts w:ascii="Calibri"/>
                            <w:sz w:val="11"/>
                          </w:rPr>
                          <w:t>Allocate</w:t>
                        </w:r>
                        <w:r>
                          <w:rPr>
                            <w:rFonts w:ascii="Calibri"/>
                            <w:spacing w:val="-15"/>
                            <w:sz w:val="11"/>
                          </w:rPr>
                          <w:t xml:space="preserve"> </w:t>
                        </w:r>
                        <w:r>
                          <w:rPr>
                            <w:rFonts w:ascii="Calibri"/>
                            <w:spacing w:val="-4"/>
                            <w:sz w:val="11"/>
                          </w:rPr>
                          <w:t>to</w:t>
                        </w:r>
                        <w:r>
                          <w:rPr>
                            <w:rFonts w:ascii="Calibri"/>
                            <w:spacing w:val="-16"/>
                            <w:sz w:val="11"/>
                          </w:rPr>
                          <w:t xml:space="preserve"> </w:t>
                        </w:r>
                        <w:r>
                          <w:rPr>
                            <w:rFonts w:ascii="Calibri"/>
                            <w:sz w:val="11"/>
                          </w:rPr>
                          <w:t>floor</w:t>
                        </w:r>
                        <w:r>
                          <w:rPr>
                            <w:rFonts w:ascii="Calibri"/>
                            <w:spacing w:val="-16"/>
                            <w:sz w:val="11"/>
                          </w:rPr>
                          <w:t xml:space="preserve"> </w:t>
                        </w:r>
                        <w:r>
                          <w:rPr>
                            <w:rFonts w:ascii="Calibri"/>
                            <w:sz w:val="11"/>
                          </w:rPr>
                          <w:t>area</w:t>
                        </w:r>
                      </w:p>
                    </w:txbxContent>
                  </v:textbox>
                </v:shape>
                <v:shape id="Text Box 252" o:spid="_x0000_s1041" type="#_x0000_t202" style="position:absolute;left:4307;top:987;width:87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lOMQA&#10;AADcAAAADwAAAGRycy9kb3ducmV2LnhtbESPT2uDQBTE74V8h+UFeqtrrIRiswkiGHLoJX+g1xf3&#10;VSXuW3E3Ub99N1DocZiZ3zCb3WQ68aDBtZYVrKIYBHFldcu1gsu5fPsA4Tyyxs4yKZjJwW67eNlg&#10;pu3IR3qcfC0ChF2GChrv+0xKVzVk0EW2Jw7ejx0M+iCHWuoBxwA3nUzieC0NthwWGuypaKi6ne5G&#10;QdkVU3oYr6X7zuuKv657KuZEqdfllH+C8DT5//Bf+6AVpPE7P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JTjEAAAA3AAAAA8AAAAAAAAAAAAAAAAAmAIAAGRycy9k&#10;b3ducmV2LnhtbFBLBQYAAAAABAAEAPUAAACJAwAAAAA=&#10;" filled="f" strokeweight=".17375mm">
                  <v:textbox inset="0,0,0,0">
                    <w:txbxContent>
                      <w:p w:rsidR="002E1E01" w:rsidRDefault="002E1E01">
                        <w:pPr>
                          <w:spacing w:before="55" w:line="249" w:lineRule="auto"/>
                          <w:ind w:left="140" w:right="131"/>
                          <w:jc w:val="center"/>
                          <w:rPr>
                            <w:rFonts w:ascii="Calibri" w:hAnsi="Calibri"/>
                            <w:sz w:val="15"/>
                          </w:rPr>
                        </w:pPr>
                        <w:r>
                          <w:rPr>
                            <w:rFonts w:ascii="Calibri" w:hAnsi="Calibri"/>
                            <w:w w:val="105"/>
                            <w:sz w:val="15"/>
                          </w:rPr>
                          <w:t>Resource Pool £ (Nursing)</w:t>
                        </w:r>
                      </w:p>
                    </w:txbxContent>
                  </v:textbox>
                </v:shape>
                <w10:wrap anchorx="page"/>
              </v:group>
            </w:pict>
          </mc:Fallback>
        </mc:AlternateContent>
      </w:r>
      <w:r>
        <w:rPr>
          <w:noProof/>
          <w:lang w:val="en-GB" w:eastAsia="en-GB"/>
        </w:rPr>
        <mc:AlternateContent>
          <mc:Choice Requires="wpg">
            <w:drawing>
              <wp:anchor distT="0" distB="0" distL="114300" distR="114300" simplePos="0" relativeHeight="251600896" behindDoc="1" locked="0" layoutInCell="1" allowOverlap="1">
                <wp:simplePos x="0" y="0"/>
                <wp:positionH relativeFrom="page">
                  <wp:posOffset>3288030</wp:posOffset>
                </wp:positionH>
                <wp:positionV relativeFrom="paragraph">
                  <wp:posOffset>1241425</wp:posOffset>
                </wp:positionV>
                <wp:extent cx="1781810" cy="1134745"/>
                <wp:effectExtent l="1905" t="3175" r="6985" b="0"/>
                <wp:wrapNone/>
                <wp:docPr id="38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1134745"/>
                          <a:chOff x="5178" y="1955"/>
                          <a:chExt cx="2806" cy="1787"/>
                        </a:xfrm>
                      </wpg:grpSpPr>
                      <wps:wsp>
                        <wps:cNvPr id="390" name="AutoShape 250"/>
                        <wps:cNvSpPr>
                          <a:spLocks/>
                        </wps:cNvSpPr>
                        <wps:spPr bwMode="auto">
                          <a:xfrm>
                            <a:off x="5699" y="13879"/>
                            <a:ext cx="3467" cy="936"/>
                          </a:xfrm>
                          <a:custGeom>
                            <a:avLst/>
                            <a:gdLst>
                              <a:gd name="T0" fmla="+- 0 5183 5699"/>
                              <a:gd name="T1" fmla="*/ T0 w 3467"/>
                              <a:gd name="T2" fmla="+- 0 3675 13879"/>
                              <a:gd name="T3" fmla="*/ 3675 h 936"/>
                              <a:gd name="T4" fmla="+- 0 7420 5699"/>
                              <a:gd name="T5" fmla="*/ T4 w 3467"/>
                              <a:gd name="T6" fmla="+- 0 3675 13879"/>
                              <a:gd name="T7" fmla="*/ 3675 h 936"/>
                              <a:gd name="T8" fmla="+- 0 7420 5699"/>
                              <a:gd name="T9" fmla="*/ T8 w 3467"/>
                              <a:gd name="T10" fmla="+- 0 3061 13879"/>
                              <a:gd name="T11" fmla="*/ 3061 h 936"/>
                              <a:gd name="T12" fmla="+- 0 7463 5699"/>
                              <a:gd name="T13" fmla="*/ T12 w 3467"/>
                              <a:gd name="T14" fmla="+- 0 3104 13879"/>
                              <a:gd name="T15" fmla="*/ 3104 h 936"/>
                              <a:gd name="T16" fmla="+- 0 7420 5699"/>
                              <a:gd name="T17" fmla="*/ T16 w 3467"/>
                              <a:gd name="T18" fmla="+- 0 3061 13879"/>
                              <a:gd name="T19" fmla="*/ 3061 h 936"/>
                              <a:gd name="T20" fmla="+- 0 7377 5699"/>
                              <a:gd name="T21" fmla="*/ T20 w 3467"/>
                              <a:gd name="T22" fmla="+- 0 3104 13879"/>
                              <a:gd name="T23" fmla="*/ 3104 h 936"/>
                            </a:gdLst>
                            <a:ahLst/>
                            <a:cxnLst>
                              <a:cxn ang="0">
                                <a:pos x="T1" y="T3"/>
                              </a:cxn>
                              <a:cxn ang="0">
                                <a:pos x="T5" y="T7"/>
                              </a:cxn>
                              <a:cxn ang="0">
                                <a:pos x="T9" y="T11"/>
                              </a:cxn>
                              <a:cxn ang="0">
                                <a:pos x="T13" y="T15"/>
                              </a:cxn>
                              <a:cxn ang="0">
                                <a:pos x="T17" y="T19"/>
                              </a:cxn>
                              <a:cxn ang="0">
                                <a:pos x="T21" y="T23"/>
                              </a:cxn>
                            </a:cxnLst>
                            <a:rect l="0" t="0" r="r" b="b"/>
                            <a:pathLst>
                              <a:path w="3467" h="936">
                                <a:moveTo>
                                  <a:pt x="-516" y="-10204"/>
                                </a:moveTo>
                                <a:lnTo>
                                  <a:pt x="1721" y="-10204"/>
                                </a:lnTo>
                                <a:lnTo>
                                  <a:pt x="1721" y="-10818"/>
                                </a:lnTo>
                                <a:moveTo>
                                  <a:pt x="1764" y="-10775"/>
                                </a:moveTo>
                                <a:lnTo>
                                  <a:pt x="1721" y="-10818"/>
                                </a:lnTo>
                                <a:lnTo>
                                  <a:pt x="1678" y="-10775"/>
                                </a:lnTo>
                              </a:path>
                            </a:pathLst>
                          </a:custGeom>
                          <a:noFill/>
                          <a:ln w="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49"/>
                        <wps:cNvSpPr>
                          <a:spLocks noChangeArrowheads="1"/>
                        </wps:cNvSpPr>
                        <wps:spPr bwMode="auto">
                          <a:xfrm>
                            <a:off x="5752" y="3611"/>
                            <a:ext cx="1715"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Text Box 248"/>
                        <wps:cNvSpPr txBox="1">
                          <a:spLocks noChangeArrowheads="1"/>
                        </wps:cNvSpPr>
                        <wps:spPr bwMode="auto">
                          <a:xfrm>
                            <a:off x="5178" y="3056"/>
                            <a:ext cx="229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rPr>
                                  <w:rFonts w:ascii="Calibri"/>
                                  <w:sz w:val="10"/>
                                </w:rPr>
                              </w:pPr>
                            </w:p>
                            <w:p w:rsidR="002E1E01" w:rsidRDefault="002E1E01">
                              <w:pPr>
                                <w:rPr>
                                  <w:rFonts w:ascii="Calibri"/>
                                  <w:sz w:val="10"/>
                                </w:rPr>
                              </w:pPr>
                            </w:p>
                            <w:p w:rsidR="002E1E01" w:rsidRDefault="002E1E01">
                              <w:pPr>
                                <w:rPr>
                                  <w:rFonts w:ascii="Calibri"/>
                                  <w:sz w:val="10"/>
                                </w:rPr>
                              </w:pPr>
                            </w:p>
                            <w:p w:rsidR="002E1E01" w:rsidRDefault="002E1E01">
                              <w:pPr>
                                <w:rPr>
                                  <w:rFonts w:ascii="Calibri"/>
                                  <w:sz w:val="10"/>
                                </w:rPr>
                              </w:pPr>
                            </w:p>
                            <w:p w:rsidR="002E1E01" w:rsidRDefault="002E1E01">
                              <w:pPr>
                                <w:spacing w:before="65" w:line="132" w:lineRule="exact"/>
                                <w:ind w:left="578" w:right="-6"/>
                                <w:rPr>
                                  <w:rFonts w:ascii="Calibri"/>
                                  <w:sz w:val="11"/>
                                </w:rPr>
                              </w:pPr>
                              <w:r>
                                <w:rPr>
                                  <w:rFonts w:ascii="Calibri"/>
                                  <w:sz w:val="11"/>
                                </w:rPr>
                                <w:t>Allocate</w:t>
                              </w:r>
                              <w:r>
                                <w:rPr>
                                  <w:rFonts w:ascii="Calibri"/>
                                  <w:spacing w:val="-10"/>
                                  <w:sz w:val="11"/>
                                </w:rPr>
                                <w:t xml:space="preserve"> </w:t>
                              </w:r>
                              <w:r>
                                <w:rPr>
                                  <w:rFonts w:ascii="Calibri"/>
                                  <w:spacing w:val="-4"/>
                                  <w:sz w:val="11"/>
                                </w:rPr>
                                <w:t>using</w:t>
                              </w:r>
                              <w:r>
                                <w:rPr>
                                  <w:rFonts w:ascii="Calibri"/>
                                  <w:spacing w:val="-8"/>
                                  <w:sz w:val="11"/>
                                </w:rPr>
                                <w:t xml:space="preserve"> </w:t>
                              </w:r>
                              <w:r>
                                <w:rPr>
                                  <w:rFonts w:ascii="Calibri"/>
                                  <w:sz w:val="11"/>
                                </w:rPr>
                                <w:t>actual</w:t>
                              </w:r>
                              <w:r>
                                <w:rPr>
                                  <w:rFonts w:ascii="Calibri"/>
                                  <w:spacing w:val="-10"/>
                                  <w:sz w:val="11"/>
                                </w:rPr>
                                <w:t xml:space="preserve"> </w:t>
                              </w:r>
                              <w:r>
                                <w:rPr>
                                  <w:rFonts w:ascii="Calibri"/>
                                  <w:spacing w:val="-3"/>
                                  <w:sz w:val="11"/>
                                </w:rPr>
                                <w:t>cost</w:t>
                              </w:r>
                              <w:r>
                                <w:rPr>
                                  <w:rFonts w:ascii="Calibri"/>
                                  <w:spacing w:val="-12"/>
                                  <w:sz w:val="11"/>
                                </w:rPr>
                                <w:t xml:space="preserve"> </w:t>
                              </w:r>
                              <w:r>
                                <w:rPr>
                                  <w:rFonts w:ascii="Calibri"/>
                                  <w:sz w:val="11"/>
                                </w:rPr>
                                <w:t>as</w:t>
                              </w:r>
                              <w:r>
                                <w:rPr>
                                  <w:rFonts w:ascii="Calibri"/>
                                  <w:spacing w:val="-9"/>
                                  <w:sz w:val="11"/>
                                </w:rPr>
                                <w:t xml:space="preserve"> </w:t>
                              </w:r>
                              <w:r>
                                <w:rPr>
                                  <w:rFonts w:ascii="Calibri"/>
                                  <w:sz w:val="11"/>
                                </w:rPr>
                                <w:t>a</w:t>
                              </w:r>
                              <w:r>
                                <w:rPr>
                                  <w:rFonts w:ascii="Calibri"/>
                                  <w:spacing w:val="-15"/>
                                  <w:sz w:val="11"/>
                                </w:rPr>
                                <w:t xml:space="preserve"> </w:t>
                              </w:r>
                              <w:r>
                                <w:rPr>
                                  <w:rFonts w:ascii="Calibri"/>
                                  <w:sz w:val="11"/>
                                </w:rPr>
                                <w:t>weighting</w:t>
                              </w:r>
                            </w:p>
                          </w:txbxContent>
                        </wps:txbx>
                        <wps:bodyPr rot="0" vert="horz" wrap="square" lIns="0" tIns="0" rIns="0" bIns="0" anchor="t" anchorCtr="0" upright="1">
                          <a:noAutofit/>
                        </wps:bodyPr>
                      </wps:wsp>
                      <wps:wsp>
                        <wps:cNvPr id="393" name="Text Box 247"/>
                        <wps:cNvSpPr txBox="1">
                          <a:spLocks noChangeArrowheads="1"/>
                        </wps:cNvSpPr>
                        <wps:spPr bwMode="auto">
                          <a:xfrm>
                            <a:off x="6860" y="1960"/>
                            <a:ext cx="1119" cy="1101"/>
                          </a:xfrm>
                          <a:prstGeom prst="rect">
                            <a:avLst/>
                          </a:prstGeom>
                          <a:noFill/>
                          <a:ln w="62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
                                <w:rPr>
                                  <w:rFonts w:ascii="Calibri"/>
                                  <w:sz w:val="21"/>
                                </w:rPr>
                              </w:pPr>
                            </w:p>
                            <w:p w:rsidR="002E1E01" w:rsidRDefault="002E1E01">
                              <w:pPr>
                                <w:spacing w:line="249" w:lineRule="auto"/>
                                <w:ind w:left="423" w:right="62" w:hanging="343"/>
                                <w:rPr>
                                  <w:rFonts w:ascii="Calibri"/>
                                  <w:sz w:val="15"/>
                                </w:rPr>
                              </w:pPr>
                              <w:r>
                                <w:rPr>
                                  <w:rFonts w:ascii="Calibri"/>
                                  <w:w w:val="105"/>
                                  <w:sz w:val="15"/>
                                </w:rPr>
                                <w:t>Costed Activity Unit</w:t>
                              </w:r>
                            </w:p>
                            <w:p w:rsidR="002E1E01" w:rsidRDefault="002E1E01">
                              <w:pPr>
                                <w:spacing w:line="185" w:lineRule="exact"/>
                                <w:ind w:left="179"/>
                                <w:rPr>
                                  <w:rFonts w:ascii="Calibri"/>
                                  <w:sz w:val="15"/>
                                </w:rPr>
                              </w:pPr>
                              <w:r>
                                <w:rPr>
                                  <w:rFonts w:ascii="Calibri"/>
                                  <w:sz w:val="15"/>
                                </w:rPr>
                                <w:t>(Ward 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42" style="position:absolute;left:0;text-align:left;margin-left:258.9pt;margin-top:97.75pt;width:140.3pt;height:89.35pt;z-index:-251715584;mso-position-horizontal-relative:page;mso-position-vertical-relative:text" coordorigin="5178,1955" coordsize="2806,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">
                <v:shape id="AutoShape 250" o:spid="_x0000_s1043" style="position:absolute;left:5699;top:13879;width:3467;height:936;visibility:visible;mso-wrap-style:square;v-text-anchor:top" coordsize="346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Bf8AA&#10;AADcAAAADwAAAGRycy9kb3ducmV2LnhtbERPTYvCMBC9C/6HMII3TXVBtGuURVdQEKTVwx6HZmzL&#10;NpOSRNv995uD4PHxvtfb3jTiSc7XlhXMpgkI4sLqmksFt+thsgThA7LGxjIp+CMP281wsMZU244z&#10;euahFDGEfYoKqhDaVEpfVGTQT21LHLm7dQZDhK6U2mEXw00j50mykAZrjg0VtrSrqPjNH0YBlsml&#10;dvfs1O1/Ht/ykJ2d4bNS41H/9QkiUB/e4pf7qBV8rOL8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4Bf8AAAADcAAAADwAAAAAAAAAAAAAAAACYAgAAZHJzL2Rvd25y&#10;ZXYueG1sUEsFBgAAAAAEAAQA9QAAAIUDAAAAAA==&#10;" path="m-516,-10204r2237,l1721,-10818t43,43l1721,-10818r-43,43e" filled="f" strokeweight=".17378mm">
                  <v:path arrowok="t" o:connecttype="custom" o:connectlocs="-516,3675;1721,3675;1721,3061;1764,3104;1721,3061;1678,3104" o:connectangles="0,0,0,0,0,0"/>
                </v:shape>
                <v:rect id="Rectangle 249" o:spid="_x0000_s1044" style="position:absolute;left:5752;top:3611;width:1715;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cQA&#10;AADcAAAADwAAAGRycy9kb3ducmV2LnhtbESPT4vCMBTE78J+h/AW9qaJ/8pajSILgqAe1AWvj+bZ&#10;lm1euk3U+u2NIHgcZuY3zGzR2kpcqfGlYw39ngJBnDlTcq7h97jqfoPwAdlg5Zg03MnDYv7RmWFq&#10;3I33dD2EXEQI+xQ1FCHUqZQ+K8ii77maOHpn11gMUTa5NA3eItxWcqBUIi2WHBcKrOmnoOzvcLEa&#10;MBmZ/915uD1uLglO8latxiel9ddnu5yCCNSGd/jVXhsNw0k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3EAAAA3AAAAA8AAAAAAAAAAAAAAAAAmAIAAGRycy9k&#10;b3ducmV2LnhtbFBLBQYAAAAABAAEAPUAAACJAwAAAAA=&#10;" stroked="f"/>
                <v:shape id="Text Box 248" o:spid="_x0000_s1045" type="#_x0000_t202" style="position:absolute;left:5178;top:3056;width:229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2E1E01" w:rsidRDefault="002E1E01">
                        <w:pPr>
                          <w:rPr>
                            <w:rFonts w:ascii="Calibri"/>
                            <w:sz w:val="10"/>
                          </w:rPr>
                        </w:pPr>
                      </w:p>
                      <w:p w:rsidR="002E1E01" w:rsidRDefault="002E1E01">
                        <w:pPr>
                          <w:rPr>
                            <w:rFonts w:ascii="Calibri"/>
                            <w:sz w:val="10"/>
                          </w:rPr>
                        </w:pPr>
                      </w:p>
                      <w:p w:rsidR="002E1E01" w:rsidRDefault="002E1E01">
                        <w:pPr>
                          <w:rPr>
                            <w:rFonts w:ascii="Calibri"/>
                            <w:sz w:val="10"/>
                          </w:rPr>
                        </w:pPr>
                      </w:p>
                      <w:p w:rsidR="002E1E01" w:rsidRDefault="002E1E01">
                        <w:pPr>
                          <w:rPr>
                            <w:rFonts w:ascii="Calibri"/>
                            <w:sz w:val="10"/>
                          </w:rPr>
                        </w:pPr>
                      </w:p>
                      <w:p w:rsidR="002E1E01" w:rsidRDefault="002E1E01">
                        <w:pPr>
                          <w:spacing w:before="65" w:line="132" w:lineRule="exact"/>
                          <w:ind w:left="578" w:right="-6"/>
                          <w:rPr>
                            <w:rFonts w:ascii="Calibri"/>
                            <w:sz w:val="11"/>
                          </w:rPr>
                        </w:pPr>
                        <w:r>
                          <w:rPr>
                            <w:rFonts w:ascii="Calibri"/>
                            <w:sz w:val="11"/>
                          </w:rPr>
                          <w:t>Allocate</w:t>
                        </w:r>
                        <w:r>
                          <w:rPr>
                            <w:rFonts w:ascii="Calibri"/>
                            <w:spacing w:val="-10"/>
                            <w:sz w:val="11"/>
                          </w:rPr>
                          <w:t xml:space="preserve"> </w:t>
                        </w:r>
                        <w:r>
                          <w:rPr>
                            <w:rFonts w:ascii="Calibri"/>
                            <w:spacing w:val="-4"/>
                            <w:sz w:val="11"/>
                          </w:rPr>
                          <w:t>using</w:t>
                        </w:r>
                        <w:r>
                          <w:rPr>
                            <w:rFonts w:ascii="Calibri"/>
                            <w:spacing w:val="-8"/>
                            <w:sz w:val="11"/>
                          </w:rPr>
                          <w:t xml:space="preserve"> </w:t>
                        </w:r>
                        <w:r>
                          <w:rPr>
                            <w:rFonts w:ascii="Calibri"/>
                            <w:sz w:val="11"/>
                          </w:rPr>
                          <w:t>actual</w:t>
                        </w:r>
                        <w:r>
                          <w:rPr>
                            <w:rFonts w:ascii="Calibri"/>
                            <w:spacing w:val="-10"/>
                            <w:sz w:val="11"/>
                          </w:rPr>
                          <w:t xml:space="preserve"> </w:t>
                        </w:r>
                        <w:r>
                          <w:rPr>
                            <w:rFonts w:ascii="Calibri"/>
                            <w:spacing w:val="-3"/>
                            <w:sz w:val="11"/>
                          </w:rPr>
                          <w:t>cost</w:t>
                        </w:r>
                        <w:r>
                          <w:rPr>
                            <w:rFonts w:ascii="Calibri"/>
                            <w:spacing w:val="-12"/>
                            <w:sz w:val="11"/>
                          </w:rPr>
                          <w:t xml:space="preserve"> </w:t>
                        </w:r>
                        <w:r>
                          <w:rPr>
                            <w:rFonts w:ascii="Calibri"/>
                            <w:sz w:val="11"/>
                          </w:rPr>
                          <w:t>as</w:t>
                        </w:r>
                        <w:r>
                          <w:rPr>
                            <w:rFonts w:ascii="Calibri"/>
                            <w:spacing w:val="-9"/>
                            <w:sz w:val="11"/>
                          </w:rPr>
                          <w:t xml:space="preserve"> </w:t>
                        </w:r>
                        <w:r>
                          <w:rPr>
                            <w:rFonts w:ascii="Calibri"/>
                            <w:sz w:val="11"/>
                          </w:rPr>
                          <w:t>a</w:t>
                        </w:r>
                        <w:r>
                          <w:rPr>
                            <w:rFonts w:ascii="Calibri"/>
                            <w:spacing w:val="-15"/>
                            <w:sz w:val="11"/>
                          </w:rPr>
                          <w:t xml:space="preserve"> </w:t>
                        </w:r>
                        <w:r>
                          <w:rPr>
                            <w:rFonts w:ascii="Calibri"/>
                            <w:sz w:val="11"/>
                          </w:rPr>
                          <w:t>weighting</w:t>
                        </w:r>
                      </w:p>
                    </w:txbxContent>
                  </v:textbox>
                </v:shape>
                <v:shape id="Text Box 247" o:spid="_x0000_s1046" type="#_x0000_t202" style="position:absolute;left:6860;top:1960;width:1119;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LMYA&#10;AADcAAAADwAAAGRycy9kb3ducmV2LnhtbESPT2vCQBTE7wW/w/IEb7qp2j9GV9EWwYMItbn09si+&#10;TUKzb0N21eindwtCj8PMb4ZZrDpbizO1vnKs4HmUgCDOna64UJB9b4fvIHxA1lg7JgVX8rBa9p4W&#10;mGp34S86H0MhYgn7FBWUITSplD4vyaIfuYY4esa1FkOUbSF1i5dYbms5TpJXabHiuFBiQx8l5b/H&#10;k1Uw2ezNYYe1MdPM/GSf7jZ+e7kpNeh36zmIQF34Dz/onY7cbAJ/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7/LMYAAADcAAAADwAAAAAAAAAAAAAAAACYAgAAZHJz&#10;L2Rvd25yZXYueG1sUEsFBgAAAAAEAAQA9QAAAIsDAAAAAA==&#10;" filled="f" strokeweight=".17378mm">
                  <v:textbox inset="0,0,0,0">
                    <w:txbxContent>
                      <w:p w:rsidR="002E1E01" w:rsidRDefault="002E1E01">
                        <w:pPr>
                          <w:spacing w:before="1"/>
                          <w:rPr>
                            <w:rFonts w:ascii="Calibri"/>
                            <w:sz w:val="21"/>
                          </w:rPr>
                        </w:pPr>
                      </w:p>
                      <w:p w:rsidR="002E1E01" w:rsidRDefault="002E1E01">
                        <w:pPr>
                          <w:spacing w:line="249" w:lineRule="auto"/>
                          <w:ind w:left="423" w:right="62" w:hanging="343"/>
                          <w:rPr>
                            <w:rFonts w:ascii="Calibri"/>
                            <w:sz w:val="15"/>
                          </w:rPr>
                        </w:pPr>
                        <w:r>
                          <w:rPr>
                            <w:rFonts w:ascii="Calibri"/>
                            <w:w w:val="105"/>
                            <w:sz w:val="15"/>
                          </w:rPr>
                          <w:t>Costed Activity Unit</w:t>
                        </w:r>
                      </w:p>
                      <w:p w:rsidR="002E1E01" w:rsidRDefault="002E1E01">
                        <w:pPr>
                          <w:spacing w:line="185" w:lineRule="exact"/>
                          <w:ind w:left="179"/>
                          <w:rPr>
                            <w:rFonts w:ascii="Calibri"/>
                            <w:sz w:val="15"/>
                          </w:rPr>
                        </w:pPr>
                        <w:r>
                          <w:rPr>
                            <w:rFonts w:ascii="Calibri"/>
                            <w:sz w:val="15"/>
                          </w:rPr>
                          <w:t>(Ward care)</w:t>
                        </w:r>
                      </w:p>
                    </w:txbxContent>
                  </v:textbox>
                </v:shape>
                <w10:wrap anchorx="page"/>
              </v:group>
            </w:pict>
          </mc:Fallback>
        </mc:AlternateContent>
      </w:r>
      <w:r w:rsidR="002D29FC">
        <w:rPr>
          <w:rFonts w:ascii="Calibri"/>
          <w:sz w:val="20"/>
        </w:rPr>
        <w:t>The figure below outlines a simplified version of PLICS in practice:</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E60AD2">
      <w:pPr>
        <w:spacing w:before="1"/>
        <w:rPr>
          <w:rFonts w:ascii="Calibri"/>
          <w:sz w:val="12"/>
        </w:rPr>
      </w:pPr>
      <w:r>
        <w:rPr>
          <w:noProof/>
          <w:lang w:val="en-GB" w:eastAsia="en-GB"/>
        </w:rPr>
        <mc:AlternateContent>
          <mc:Choice Requires="wpg">
            <w:drawing>
              <wp:anchor distT="0" distB="0" distL="0" distR="0" simplePos="0" relativeHeight="251594752" behindDoc="0" locked="0" layoutInCell="1" allowOverlap="1">
                <wp:simplePos x="0" y="0"/>
                <wp:positionH relativeFrom="page">
                  <wp:posOffset>921385</wp:posOffset>
                </wp:positionH>
                <wp:positionV relativeFrom="paragraph">
                  <wp:posOffset>118745</wp:posOffset>
                </wp:positionV>
                <wp:extent cx="2373630" cy="1313815"/>
                <wp:effectExtent l="6985" t="4445" r="10160" b="5715"/>
                <wp:wrapTopAndBottom/>
                <wp:docPr id="38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313815"/>
                          <a:chOff x="1451" y="187"/>
                          <a:chExt cx="3738" cy="2069"/>
                        </a:xfrm>
                      </wpg:grpSpPr>
                      <wps:wsp>
                        <wps:cNvPr id="384" name="Freeform 245"/>
                        <wps:cNvSpPr>
                          <a:spLocks/>
                        </wps:cNvSpPr>
                        <wps:spPr bwMode="auto">
                          <a:xfrm>
                            <a:off x="2014" y="1292"/>
                            <a:ext cx="2293" cy="614"/>
                          </a:xfrm>
                          <a:custGeom>
                            <a:avLst/>
                            <a:gdLst>
                              <a:gd name="T0" fmla="+- 0 2015 2015"/>
                              <a:gd name="T1" fmla="*/ T0 w 2293"/>
                              <a:gd name="T2" fmla="+- 0 1293 1293"/>
                              <a:gd name="T3" fmla="*/ 1293 h 614"/>
                              <a:gd name="T4" fmla="+- 0 2015 2015"/>
                              <a:gd name="T5" fmla="*/ T4 w 2293"/>
                              <a:gd name="T6" fmla="+- 0 1907 1293"/>
                              <a:gd name="T7" fmla="*/ 1907 h 614"/>
                              <a:gd name="T8" fmla="+- 0 4307 2015"/>
                              <a:gd name="T9" fmla="*/ T8 w 2293"/>
                              <a:gd name="T10" fmla="+- 0 1907 1293"/>
                              <a:gd name="T11" fmla="*/ 1907 h 614"/>
                            </a:gdLst>
                            <a:ahLst/>
                            <a:cxnLst>
                              <a:cxn ang="0">
                                <a:pos x="T1" y="T3"/>
                              </a:cxn>
                              <a:cxn ang="0">
                                <a:pos x="T5" y="T7"/>
                              </a:cxn>
                              <a:cxn ang="0">
                                <a:pos x="T9" y="T11"/>
                              </a:cxn>
                            </a:cxnLst>
                            <a:rect l="0" t="0" r="r" b="b"/>
                            <a:pathLst>
                              <a:path w="2293" h="614">
                                <a:moveTo>
                                  <a:pt x="0" y="0"/>
                                </a:moveTo>
                                <a:lnTo>
                                  <a:pt x="0" y="614"/>
                                </a:lnTo>
                                <a:lnTo>
                                  <a:pt x="2292" y="614"/>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44"/>
                        <wps:cNvSpPr>
                          <a:spLocks/>
                        </wps:cNvSpPr>
                        <wps:spPr bwMode="auto">
                          <a:xfrm>
                            <a:off x="4264" y="1863"/>
                            <a:ext cx="44" cy="86"/>
                          </a:xfrm>
                          <a:custGeom>
                            <a:avLst/>
                            <a:gdLst>
                              <a:gd name="T0" fmla="+- 0 4264 4264"/>
                              <a:gd name="T1" fmla="*/ T0 w 44"/>
                              <a:gd name="T2" fmla="+- 0 1950 1864"/>
                              <a:gd name="T3" fmla="*/ 1950 h 86"/>
                              <a:gd name="T4" fmla="+- 0 4307 4264"/>
                              <a:gd name="T5" fmla="*/ T4 w 44"/>
                              <a:gd name="T6" fmla="+- 0 1907 1864"/>
                              <a:gd name="T7" fmla="*/ 1907 h 86"/>
                              <a:gd name="T8" fmla="+- 0 4264 4264"/>
                              <a:gd name="T9" fmla="*/ T8 w 44"/>
                              <a:gd name="T10" fmla="+- 0 1864 1864"/>
                              <a:gd name="T11" fmla="*/ 1864 h 86"/>
                            </a:gdLst>
                            <a:ahLst/>
                            <a:cxnLst>
                              <a:cxn ang="0">
                                <a:pos x="T1" y="T3"/>
                              </a:cxn>
                              <a:cxn ang="0">
                                <a:pos x="T5" y="T7"/>
                              </a:cxn>
                              <a:cxn ang="0">
                                <a:pos x="T9" y="T11"/>
                              </a:cxn>
                            </a:cxnLst>
                            <a:rect l="0" t="0" r="r" b="b"/>
                            <a:pathLst>
                              <a:path w="44" h="86">
                                <a:moveTo>
                                  <a:pt x="0" y="86"/>
                                </a:moveTo>
                                <a:lnTo>
                                  <a:pt x="43" y="43"/>
                                </a:lnTo>
                                <a:lnTo>
                                  <a:pt x="0" y="0"/>
                                </a:lnTo>
                              </a:path>
                            </a:pathLst>
                          </a:custGeom>
                          <a:noFill/>
                          <a:ln w="62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243"/>
                        <wps:cNvSpPr txBox="1">
                          <a:spLocks noChangeArrowheads="1"/>
                        </wps:cNvSpPr>
                        <wps:spPr bwMode="auto">
                          <a:xfrm>
                            <a:off x="1455" y="191"/>
                            <a:ext cx="1119" cy="1101"/>
                          </a:xfrm>
                          <a:prstGeom prst="rect">
                            <a:avLst/>
                          </a:prstGeom>
                          <a:noFill/>
                          <a:ln w="62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1"/>
                                <w:rPr>
                                  <w:rFonts w:ascii="Calibri"/>
                                  <w:sz w:val="21"/>
                                </w:rPr>
                              </w:pPr>
                            </w:p>
                            <w:p w:rsidR="002E1E01" w:rsidRDefault="002E1E01">
                              <w:pPr>
                                <w:spacing w:line="249" w:lineRule="auto"/>
                                <w:ind w:left="165" w:right="162" w:firstLine="2"/>
                                <w:jc w:val="center"/>
                                <w:rPr>
                                  <w:rFonts w:ascii="Calibri"/>
                                  <w:sz w:val="15"/>
                                </w:rPr>
                              </w:pPr>
                              <w:r>
                                <w:rPr>
                                  <w:rFonts w:ascii="Calibri"/>
                                  <w:w w:val="105"/>
                                  <w:sz w:val="15"/>
                                </w:rPr>
                                <w:t>Operating Expenditure</w:t>
                              </w:r>
                            </w:p>
                            <w:p w:rsidR="002E1E01" w:rsidRDefault="002E1E01">
                              <w:pPr>
                                <w:spacing w:line="185" w:lineRule="exact"/>
                                <w:ind w:left="1"/>
                                <w:jc w:val="center"/>
                                <w:rPr>
                                  <w:rFonts w:ascii="Calibri" w:hAnsi="Calibri"/>
                                  <w:sz w:val="15"/>
                                </w:rPr>
                              </w:pPr>
                              <w:r>
                                <w:rPr>
                                  <w:rFonts w:ascii="Calibri" w:hAnsi="Calibri"/>
                                  <w:w w:val="99"/>
                                  <w:sz w:val="15"/>
                                </w:rPr>
                                <w:t>£</w:t>
                              </w:r>
                            </w:p>
                          </w:txbxContent>
                        </wps:txbx>
                        <wps:bodyPr rot="0" vert="horz" wrap="square" lIns="0" tIns="0" rIns="0" bIns="0" anchor="t" anchorCtr="0" upright="1">
                          <a:noAutofit/>
                        </wps:bodyPr>
                      </wps:wsp>
                      <wps:wsp>
                        <wps:cNvPr id="387" name="Text Box 242"/>
                        <wps:cNvSpPr txBox="1">
                          <a:spLocks noChangeArrowheads="1"/>
                        </wps:cNvSpPr>
                        <wps:spPr bwMode="auto">
                          <a:xfrm>
                            <a:off x="4307" y="390"/>
                            <a:ext cx="877" cy="689"/>
                          </a:xfrm>
                          <a:prstGeom prst="rect">
                            <a:avLst/>
                          </a:prstGeom>
                          <a:noFill/>
                          <a:ln w="625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59" w:line="242" w:lineRule="auto"/>
                                <w:ind w:left="73" w:right="59" w:hanging="6"/>
                                <w:jc w:val="center"/>
                                <w:rPr>
                                  <w:rFonts w:ascii="Calibri" w:hAnsi="Calibri"/>
                                  <w:sz w:val="15"/>
                                </w:rPr>
                              </w:pPr>
                              <w:r>
                                <w:rPr>
                                  <w:rFonts w:ascii="Calibri" w:hAnsi="Calibri"/>
                                  <w:w w:val="105"/>
                                  <w:sz w:val="15"/>
                                </w:rPr>
                                <w:t xml:space="preserve">Resource Pool £ </w:t>
                              </w:r>
                              <w:r>
                                <w:rPr>
                                  <w:rFonts w:ascii="Calibri" w:hAnsi="Calibri"/>
                                  <w:sz w:val="15"/>
                                </w:rPr>
                                <w:t>(Electricity)</w:t>
                              </w:r>
                            </w:p>
                          </w:txbxContent>
                        </wps:txbx>
                        <wps:bodyPr rot="0" vert="horz" wrap="square" lIns="0" tIns="0" rIns="0" bIns="0" anchor="t" anchorCtr="0" upright="1">
                          <a:noAutofit/>
                        </wps:bodyPr>
                      </wps:wsp>
                      <wps:wsp>
                        <wps:cNvPr id="388" name="Text Box 241"/>
                        <wps:cNvSpPr txBox="1">
                          <a:spLocks noChangeArrowheads="1"/>
                        </wps:cNvSpPr>
                        <wps:spPr bwMode="auto">
                          <a:xfrm>
                            <a:off x="4307" y="1562"/>
                            <a:ext cx="877" cy="689"/>
                          </a:xfrm>
                          <a:prstGeom prst="rect">
                            <a:avLst/>
                          </a:prstGeom>
                          <a:noFill/>
                          <a:ln w="625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66" w:line="235" w:lineRule="auto"/>
                                <w:ind w:left="59" w:right="47" w:hanging="4"/>
                                <w:jc w:val="center"/>
                                <w:rPr>
                                  <w:rFonts w:ascii="Calibri" w:hAnsi="Calibri"/>
                                  <w:sz w:val="15"/>
                                </w:rPr>
                              </w:pPr>
                              <w:r>
                                <w:rPr>
                                  <w:rFonts w:ascii="Calibri" w:hAnsi="Calibri"/>
                                  <w:sz w:val="15"/>
                                </w:rPr>
                                <w:t>Resource Pool £ (Medicines)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47" style="position:absolute;margin-left:72.55pt;margin-top:9.35pt;width:186.9pt;height:103.45pt;z-index:251594752;mso-wrap-distance-left:0;mso-wrap-distance-right:0;mso-position-horizontal-relative:page;mso-position-vertical-relative:text" coordorigin="1451,187" coordsize="3738,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">
                <v:shape id="Freeform 245" o:spid="_x0000_s1048" style="position:absolute;left:2014;top:1292;width:2293;height:614;visibility:visible;mso-wrap-style:square;v-text-anchor:top" coordsize="229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IVcQA&#10;AADcAAAADwAAAGRycy9kb3ducmV2LnhtbESPW4vCMBSE3wX/QziCb5p6QUo1ihcWhK2Clx9waI5t&#10;sTkpTVarv36zsODjMDPfMItVayrxoMaVlhWMhhEI4szqknMF18vXIAbhPLLGyjIpeJGD1bLbWWCi&#10;7ZNP9Dj7XAQIuwQVFN7XiZQuK8igG9qaOHg32xj0QTa51A0+A9xUchxFM2mw5LBQYE3bgrL7+cco&#10;mB6P2/aQpve3cd+xee/SEW0ypfq9dj0H4an1n/B/e68VTOIp/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UiFXEAAAA3AAAAA8AAAAAAAAAAAAAAAAAmAIAAGRycy9k&#10;b3ducmV2LnhtbFBLBQYAAAAABAAEAPUAAACJAwAAAAA=&#10;" path="m,l,614r2292,e" filled="f" strokeweight=".17364mm">
                  <v:path arrowok="t" o:connecttype="custom" o:connectlocs="0,1293;0,1907;2292,1907" o:connectangles="0,0,0"/>
                </v:shape>
                <v:shape id="Freeform 244" o:spid="_x0000_s1049" style="position:absolute;left:4264;top:1863;width:44;height:86;visibility:visible;mso-wrap-style:square;v-text-anchor:top" coordsize="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aPsUA&#10;AADcAAAADwAAAGRycy9kb3ducmV2LnhtbESPQWvCQBSE74L/YXmCN91oiUjqKlUptChFo/T8zL4m&#10;wezbkF01/ntXEHocZuYbZrZoTSWu1LjSsoLRMAJBnFldcq7gePgcTEE4j6yxskwK7uRgMe92Zpho&#10;e+M9XVOfiwBhl6CCwvs6kdJlBRl0Q1sTB+/PNgZ9kE0udYO3ADeVHEfRRBosOSwUWNOqoOycXoyC&#10;+r772Yy38XLzezjZ42kdT9bpt1L9XvvxDsJT6//Dr/aXVvA2j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No+xQAAANwAAAAPAAAAAAAAAAAAAAAAAJgCAABkcnMv&#10;ZG93bnJldi54bWxQSwUGAAAAAAQABAD1AAAAigMAAAAA&#10;" path="m,86l43,43,,e" filled="f" strokeweight=".17389mm">
                  <v:path arrowok="t" o:connecttype="custom" o:connectlocs="0,1950;43,1907;0,1864" o:connectangles="0,0,0"/>
                </v:shape>
                <v:shape id="Text Box 243" o:spid="_x0000_s1050" type="#_x0000_t202" style="position:absolute;left:1455;top:191;width:1119;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KacYA&#10;AADcAAAADwAAAGRycy9kb3ducmV2LnhtbESPQWvCQBSE74L/YXlCb7qpbVXSbERbCh5KoZpLb4/s&#10;2yQ0+zZkt5r6611B8DjMfDNMth5sK47U+8axgsdZAoK4dLrhSkFx+JiuQPiArLF1TAr+ycM6H48y&#10;TLU78Tcd96ESsYR9igrqELpUSl/WZNHPXEccPeN6iyHKvpK6x1Mst62cJ8lCWmw4LtTY0VtN5e/+&#10;zyp42n6arx22xjwX5qd4d+f58uWs1MNk2LyCCDSEe/hG73TkVgu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KacYAAADcAAAADwAAAAAAAAAAAAAAAACYAgAAZHJz&#10;L2Rvd25yZXYueG1sUEsFBgAAAAAEAAQA9QAAAIsDAAAAAA==&#10;" filled="f" strokeweight=".17378mm">
                  <v:textbox inset="0,0,0,0">
                    <w:txbxContent>
                      <w:p w:rsidR="002E1E01" w:rsidRDefault="002E1E01">
                        <w:pPr>
                          <w:spacing w:before="1"/>
                          <w:rPr>
                            <w:rFonts w:ascii="Calibri"/>
                            <w:sz w:val="21"/>
                          </w:rPr>
                        </w:pPr>
                      </w:p>
                      <w:p w:rsidR="002E1E01" w:rsidRDefault="002E1E01">
                        <w:pPr>
                          <w:spacing w:line="249" w:lineRule="auto"/>
                          <w:ind w:left="165" w:right="162" w:firstLine="2"/>
                          <w:jc w:val="center"/>
                          <w:rPr>
                            <w:rFonts w:ascii="Calibri"/>
                            <w:sz w:val="15"/>
                          </w:rPr>
                        </w:pPr>
                        <w:r>
                          <w:rPr>
                            <w:rFonts w:ascii="Calibri"/>
                            <w:w w:val="105"/>
                            <w:sz w:val="15"/>
                          </w:rPr>
                          <w:t>Operating Expenditure</w:t>
                        </w:r>
                      </w:p>
                      <w:p w:rsidR="002E1E01" w:rsidRDefault="002E1E01">
                        <w:pPr>
                          <w:spacing w:line="185" w:lineRule="exact"/>
                          <w:ind w:left="1"/>
                          <w:jc w:val="center"/>
                          <w:rPr>
                            <w:rFonts w:ascii="Calibri" w:hAnsi="Calibri"/>
                            <w:sz w:val="15"/>
                          </w:rPr>
                        </w:pPr>
                        <w:r>
                          <w:rPr>
                            <w:rFonts w:ascii="Calibri" w:hAnsi="Calibri"/>
                            <w:w w:val="99"/>
                            <w:sz w:val="15"/>
                          </w:rPr>
                          <w:t>£</w:t>
                        </w:r>
                      </w:p>
                    </w:txbxContent>
                  </v:textbox>
                </v:shape>
                <v:shape id="Text Box 242" o:spid="_x0000_s1051" type="#_x0000_t202" style="position:absolute;left:4307;top:390;width:87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tBMQA&#10;AADcAAAADwAAAGRycy9kb3ducmV2LnhtbESPT2vCQBTE70K/w/IKvelGW1qJriKBSA5eGoVen9ln&#10;Esy+Ddk1f769Wyj0OMzMb5jtfjSN6KlztWUFy0UEgriwuuZSweWcztcgnEfW2FgmBRM52O9eZluM&#10;tR34m/rclyJA2MWooPK+jaV0RUUG3cK2xMG72c6gD7Irpe5wCHDTyFUUfUqDNYeFCltKKiru+cMo&#10;SJtk/MiGa+p+DmXBp+uRkmml1NvreNiA8DT6//BfO9MK3tdf8HsmHA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7QTEAAAA3AAAAA8AAAAAAAAAAAAAAAAAmAIAAGRycy9k&#10;b3ducmV2LnhtbFBLBQYAAAAABAAEAPUAAACJAwAAAAA=&#10;" filled="f" strokeweight=".17375mm">
                  <v:textbox inset="0,0,0,0">
                    <w:txbxContent>
                      <w:p w:rsidR="002E1E01" w:rsidRDefault="002E1E01">
                        <w:pPr>
                          <w:spacing w:before="59" w:line="242" w:lineRule="auto"/>
                          <w:ind w:left="73" w:right="59" w:hanging="6"/>
                          <w:jc w:val="center"/>
                          <w:rPr>
                            <w:rFonts w:ascii="Calibri" w:hAnsi="Calibri"/>
                            <w:sz w:val="15"/>
                          </w:rPr>
                        </w:pPr>
                        <w:r>
                          <w:rPr>
                            <w:rFonts w:ascii="Calibri" w:hAnsi="Calibri"/>
                            <w:w w:val="105"/>
                            <w:sz w:val="15"/>
                          </w:rPr>
                          <w:t xml:space="preserve">Resource Pool £ </w:t>
                        </w:r>
                        <w:r>
                          <w:rPr>
                            <w:rFonts w:ascii="Calibri" w:hAnsi="Calibri"/>
                            <w:sz w:val="15"/>
                          </w:rPr>
                          <w:t>(Electricity)</w:t>
                        </w:r>
                      </w:p>
                    </w:txbxContent>
                  </v:textbox>
                </v:shape>
                <v:shape id="Text Box 241" o:spid="_x0000_s1052" type="#_x0000_t202" style="position:absolute;left:4307;top:1562;width:87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5dr0A&#10;AADcAAAADwAAAGRycy9kb3ducmV2LnhtbERPyQrCMBC9C/5DGMGbpi6IVKNIoeLBiwt4HZuxLTaT&#10;0kRb/94cBI+Pt6+3nanEmxpXWlYwGUcgiDOrS84VXC/paAnCeWSNlWVS8CEH202/t8ZY25ZP9D77&#10;XIQQdjEqKLyvYyldVpBBN7Y1ceAetjHoA2xyqRtsQ7ip5DSKFtJgyaGhwJqSgrLn+WUUpFXSzQ/t&#10;PXW3XZ7x8b6n5DNVajjodisQnjr/F//cB61gtgxr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l5dr0AAADcAAAADwAAAAAAAAAAAAAAAACYAgAAZHJzL2Rvd25yZXYu&#10;eG1sUEsFBgAAAAAEAAQA9QAAAIIDAAAAAA==&#10;" filled="f" strokeweight=".17375mm">
                  <v:textbox inset="0,0,0,0">
                    <w:txbxContent>
                      <w:p w:rsidR="002E1E01" w:rsidRDefault="002E1E01">
                        <w:pPr>
                          <w:spacing w:before="66" w:line="235" w:lineRule="auto"/>
                          <w:ind w:left="59" w:right="47" w:hanging="4"/>
                          <w:jc w:val="center"/>
                          <w:rPr>
                            <w:rFonts w:ascii="Calibri" w:hAnsi="Calibri"/>
                            <w:sz w:val="15"/>
                          </w:rPr>
                        </w:pPr>
                        <w:r>
                          <w:rPr>
                            <w:rFonts w:ascii="Calibri" w:hAnsi="Calibri"/>
                            <w:sz w:val="15"/>
                          </w:rPr>
                          <w:t>Resource Pool £ (Medicines)</w:t>
                        </w:r>
                      </w:p>
                    </w:txbxContent>
                  </v:textbox>
                </v:shape>
                <w10:wrap type="topAndBottom" anchorx="page"/>
              </v:group>
            </w:pict>
          </mc:Fallback>
        </mc:AlternateContent>
      </w:r>
      <w:r>
        <w:rPr>
          <w:noProof/>
          <w:lang w:val="en-GB" w:eastAsia="en-GB"/>
        </w:rPr>
        <mc:AlternateContent>
          <mc:Choice Requires="wps">
            <w:drawing>
              <wp:anchor distT="0" distB="0" distL="0" distR="0" simplePos="0" relativeHeight="251595776" behindDoc="0" locked="0" layoutInCell="1" allowOverlap="1">
                <wp:simplePos x="0" y="0"/>
                <wp:positionH relativeFrom="page">
                  <wp:posOffset>5895340</wp:posOffset>
                </wp:positionH>
                <wp:positionV relativeFrom="paragraph">
                  <wp:posOffset>121920</wp:posOffset>
                </wp:positionV>
                <wp:extent cx="710565" cy="699135"/>
                <wp:effectExtent l="8890" t="7620" r="13970" b="7620"/>
                <wp:wrapTopAndBottom/>
                <wp:docPr id="38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699135"/>
                        </a:xfrm>
                        <a:prstGeom prst="rect">
                          <a:avLst/>
                        </a:prstGeom>
                        <a:noFill/>
                        <a:ln w="62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1E01" w:rsidRDefault="002E1E01">
                            <w:pPr>
                              <w:spacing w:before="68" w:line="242" w:lineRule="auto"/>
                              <w:ind w:left="82" w:right="61" w:hanging="5"/>
                              <w:jc w:val="center"/>
                              <w:rPr>
                                <w:rFonts w:ascii="Calibri"/>
                                <w:sz w:val="15"/>
                              </w:rPr>
                            </w:pPr>
                            <w:r>
                              <w:rPr>
                                <w:rFonts w:ascii="Calibri"/>
                                <w:w w:val="105"/>
                                <w:sz w:val="15"/>
                              </w:rPr>
                              <w:t>Matched to patient activity feed using prescribed 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3" type="#_x0000_t202" style="position:absolute;margin-left:464.2pt;margin-top:9.6pt;width:55.95pt;height:55.0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" filled="f" strokeweight=".17378mm">
                <v:textbox inset="0,0,0,0">
                  <w:txbxContent>
                    <w:p w:rsidR="002E1E01" w:rsidRDefault="002E1E01">
                      <w:pPr>
                        <w:spacing w:before="68" w:line="242" w:lineRule="auto"/>
                        <w:ind w:left="82" w:right="61" w:hanging="5"/>
                        <w:jc w:val="center"/>
                        <w:rPr>
                          <w:rFonts w:ascii="Calibri"/>
                          <w:sz w:val="15"/>
                        </w:rPr>
                      </w:pPr>
                      <w:r>
                        <w:rPr>
                          <w:rFonts w:ascii="Calibri"/>
                          <w:w w:val="105"/>
                          <w:sz w:val="15"/>
                        </w:rPr>
                        <w:t>Matched to patient activity feed using prescribed methods</w:t>
                      </w:r>
                    </w:p>
                  </w:txbxContent>
                </v:textbox>
                <w10:wrap type="topAndBottom" anchorx="page"/>
              </v:shape>
            </w:pict>
          </mc:Fallback>
        </mc:AlternateContent>
      </w:r>
    </w:p>
    <w:p w:rsidR="006A18FD" w:rsidRDefault="006A18FD">
      <w:pPr>
        <w:rPr>
          <w:rFonts w:ascii="Calibri"/>
          <w:sz w:val="20"/>
        </w:rPr>
      </w:pPr>
    </w:p>
    <w:p w:rsidR="006A18FD" w:rsidRDefault="00E60AD2">
      <w:pPr>
        <w:spacing w:before="169" w:line="276" w:lineRule="auto"/>
        <w:ind w:left="140" w:right="136"/>
        <w:rPr>
          <w:rFonts w:ascii="Calibri"/>
          <w:sz w:val="20"/>
        </w:rPr>
      </w:pPr>
      <w:r>
        <w:rPr>
          <w:noProof/>
          <w:lang w:val="en-GB" w:eastAsia="en-GB"/>
        </w:rPr>
        <mc:AlternateContent>
          <mc:Choice Requires="wps">
            <w:drawing>
              <wp:anchor distT="0" distB="0" distL="114300" distR="114300" simplePos="0" relativeHeight="251598848" behindDoc="1" locked="0" layoutInCell="1" allowOverlap="1">
                <wp:simplePos x="0" y="0"/>
                <wp:positionH relativeFrom="page">
                  <wp:posOffset>1099185</wp:posOffset>
                </wp:positionH>
                <wp:positionV relativeFrom="paragraph">
                  <wp:posOffset>5502910</wp:posOffset>
                </wp:positionV>
                <wp:extent cx="1674495" cy="83185"/>
                <wp:effectExtent l="0" t="6674485" r="0" b="0"/>
                <wp:wrapNone/>
                <wp:docPr id="381"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4495" cy="83185"/>
                        </a:xfrm>
                        <a:custGeom>
                          <a:avLst/>
                          <a:gdLst>
                            <a:gd name="T0" fmla="+- 0 2574 1731"/>
                            <a:gd name="T1" fmla="*/ T0 w 2637"/>
                            <a:gd name="T2" fmla="+- 0 -1794 8666"/>
                            <a:gd name="T3" fmla="*/ -1794 h 131"/>
                            <a:gd name="T4" fmla="+- 0 4307 1731"/>
                            <a:gd name="T5" fmla="*/ T4 w 2637"/>
                            <a:gd name="T6" fmla="+- 0 -1794 8666"/>
                            <a:gd name="T7" fmla="*/ -1794 h 131"/>
                            <a:gd name="T8" fmla="+- 0 4264 1731"/>
                            <a:gd name="T9" fmla="*/ T8 w 2637"/>
                            <a:gd name="T10" fmla="+- 0 -1751 8666"/>
                            <a:gd name="T11" fmla="*/ -1751 h 131"/>
                            <a:gd name="T12" fmla="+- 0 4307 1731"/>
                            <a:gd name="T13" fmla="*/ T12 w 2637"/>
                            <a:gd name="T14" fmla="+- 0 -1794 8666"/>
                            <a:gd name="T15" fmla="*/ -1794 h 131"/>
                            <a:gd name="T16" fmla="+- 0 4264 1731"/>
                            <a:gd name="T17" fmla="*/ T16 w 2637"/>
                            <a:gd name="T18" fmla="+- 0 -1837 8666"/>
                            <a:gd name="T19" fmla="*/ -1837 h 131"/>
                          </a:gdLst>
                          <a:ahLst/>
                          <a:cxnLst>
                            <a:cxn ang="0">
                              <a:pos x="T1" y="T3"/>
                            </a:cxn>
                            <a:cxn ang="0">
                              <a:pos x="T5" y="T7"/>
                            </a:cxn>
                            <a:cxn ang="0">
                              <a:pos x="T9" y="T11"/>
                            </a:cxn>
                            <a:cxn ang="0">
                              <a:pos x="T13" y="T15"/>
                            </a:cxn>
                            <a:cxn ang="0">
                              <a:pos x="T17" y="T19"/>
                            </a:cxn>
                          </a:cxnLst>
                          <a:rect l="0" t="0" r="r" b="b"/>
                          <a:pathLst>
                            <a:path w="2637" h="131">
                              <a:moveTo>
                                <a:pt x="843" y="-10460"/>
                              </a:moveTo>
                              <a:lnTo>
                                <a:pt x="2576" y="-10460"/>
                              </a:lnTo>
                              <a:moveTo>
                                <a:pt x="2533" y="-10417"/>
                              </a:moveTo>
                              <a:lnTo>
                                <a:pt x="2576" y="-10460"/>
                              </a:lnTo>
                              <a:lnTo>
                                <a:pt x="2533" y="-10503"/>
                              </a:lnTo>
                            </a:path>
                          </a:pathLst>
                        </a:custGeom>
                        <a:noFill/>
                        <a:ln w="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9DEB7" id="AutoShape 238" o:spid="_x0000_s1026" style="position:absolute;margin-left:86.55pt;margin-top:433.3pt;width:131.85pt;height:6.5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3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" path="m843,-10460r1733,m2533,-10417r43,-43l2533,-10503e" filled="f" strokeweight=".17378mm">
                <v:path arrowok="t" o:connecttype="custom" o:connectlocs="535305,-1139190;1635760,-1139190;1608455,-1111885;1635760,-1139190;1608455,-1166495" o:connectangles="0,0,0,0,0"/>
                <w10:wrap anchorx="page"/>
              </v:shape>
            </w:pict>
          </mc:Fallback>
        </mc:AlternateContent>
      </w:r>
      <w:r>
        <w:rPr>
          <w:noProof/>
          <w:lang w:val="en-GB" w:eastAsia="en-GB"/>
        </w:rPr>
        <mc:AlternateContent>
          <mc:Choice Requires="wps">
            <w:drawing>
              <wp:anchor distT="0" distB="0" distL="114300" distR="114300" simplePos="0" relativeHeight="251601920" behindDoc="1" locked="0" layoutInCell="1" allowOverlap="1">
                <wp:simplePos x="0" y="0"/>
                <wp:positionH relativeFrom="page">
                  <wp:posOffset>5066665</wp:posOffset>
                </wp:positionH>
                <wp:positionV relativeFrom="paragraph">
                  <wp:posOffset>-1139190</wp:posOffset>
                </wp:positionV>
                <wp:extent cx="828675" cy="0"/>
                <wp:effectExtent l="8890" t="13335" r="10160" b="5715"/>
                <wp:wrapNone/>
                <wp:docPr id="38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62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EB1A9" id="Line 237"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95pt,-89.7pt" to="464.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" strokeweight=".17361mm">
                <w10:wrap anchorx="page"/>
              </v:line>
            </w:pict>
          </mc:Fallback>
        </mc:AlternateContent>
      </w:r>
      <w:r w:rsidR="002D29FC">
        <w:rPr>
          <w:rFonts w:ascii="Calibri"/>
          <w:sz w:val="20"/>
        </w:rPr>
        <w:t>On a simplified level, PLICS breakdown a providers operating expenditure into resource pools where the costs are similar in nature for example, nursing.This is then linked to the activity unit which drives the expenditure of this resource. In this example of ward care, it would be allocated across all the occupied bed hours on the ward. This hourly cost would then be linked to the patient on the ward for each day of their length of stay.</w:t>
      </w:r>
    </w:p>
    <w:p w:rsidR="006A18FD" w:rsidRDefault="002D29FC">
      <w:pPr>
        <w:spacing w:before="120" w:line="276" w:lineRule="auto"/>
        <w:ind w:left="140"/>
        <w:rPr>
          <w:rFonts w:ascii="Calibri"/>
          <w:sz w:val="20"/>
        </w:rPr>
      </w:pPr>
      <w:r>
        <w:rPr>
          <w:rFonts w:ascii="Calibri"/>
          <w:sz w:val="20"/>
        </w:rPr>
        <w:t>There is an expectation that by year 3 of the transition plan all activities in provider organisations will have patient level feeds available to enable a cost model fully costed using Costing Transformation Programme methodology. Information on patient level feeds, allocation methods and transition paths can be found on the NHS England and NHS Improvement website (NHS Improvement, 2019).</w:t>
      </w:r>
    </w:p>
    <w:p w:rsidR="006A18FD" w:rsidRDefault="006A18FD">
      <w:pPr>
        <w:spacing w:before="8"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7449"/>
      </w:tblGrid>
      <w:tr w:rsidR="006A18FD" w:rsidTr="0053166C">
        <w:trPr>
          <w:trHeight w:val="240"/>
          <w:tblHeader/>
        </w:trPr>
        <w:tc>
          <w:tcPr>
            <w:tcW w:w="1553" w:type="dxa"/>
          </w:tcPr>
          <w:p w:rsidR="006A18FD" w:rsidRDefault="002D29FC">
            <w:pPr>
              <w:spacing w:before="1" w:line="235" w:lineRule="exact"/>
              <w:ind w:left="102"/>
              <w:rPr>
                <w:rFonts w:ascii="Calibri"/>
                <w:sz w:val="20"/>
              </w:rPr>
            </w:pPr>
            <w:r>
              <w:rPr>
                <w:rFonts w:ascii="Calibri"/>
                <w:sz w:val="20"/>
              </w:rPr>
              <w:t>Term</w:t>
            </w:r>
          </w:p>
        </w:tc>
        <w:tc>
          <w:tcPr>
            <w:tcW w:w="7449" w:type="dxa"/>
          </w:tcPr>
          <w:p w:rsidR="006A18FD" w:rsidRDefault="002D29FC">
            <w:pPr>
              <w:spacing w:before="1" w:line="235" w:lineRule="exact"/>
              <w:ind w:left="103"/>
              <w:rPr>
                <w:rFonts w:ascii="Calibri"/>
                <w:sz w:val="20"/>
              </w:rPr>
            </w:pPr>
            <w:r>
              <w:rPr>
                <w:rFonts w:ascii="Calibri"/>
                <w:sz w:val="20"/>
              </w:rPr>
              <w:t>Definition</w:t>
            </w:r>
          </w:p>
        </w:tc>
      </w:tr>
      <w:tr w:rsidR="006A18FD" w:rsidTr="00F61E87">
        <w:trPr>
          <w:trHeight w:val="760"/>
        </w:trPr>
        <w:tc>
          <w:tcPr>
            <w:tcW w:w="1553" w:type="dxa"/>
          </w:tcPr>
          <w:p w:rsidR="006A18FD" w:rsidRDefault="002D29FC">
            <w:pPr>
              <w:spacing w:before="1"/>
              <w:ind w:left="102"/>
              <w:rPr>
                <w:rFonts w:ascii="Calibri"/>
                <w:sz w:val="20"/>
              </w:rPr>
            </w:pPr>
            <w:r>
              <w:rPr>
                <w:rFonts w:ascii="Calibri"/>
                <w:sz w:val="20"/>
              </w:rPr>
              <w:t>Activity</w:t>
            </w:r>
          </w:p>
        </w:tc>
        <w:tc>
          <w:tcPr>
            <w:tcW w:w="7449" w:type="dxa"/>
          </w:tcPr>
          <w:p w:rsidR="006A18FD" w:rsidRDefault="002D29FC">
            <w:pPr>
              <w:spacing w:before="1"/>
              <w:ind w:left="103" w:right="115"/>
              <w:rPr>
                <w:rFonts w:ascii="Calibri"/>
                <w:sz w:val="20"/>
              </w:rPr>
            </w:pPr>
            <w:r>
              <w:rPr>
                <w:rFonts w:ascii="Calibri"/>
                <w:sz w:val="20"/>
              </w:rPr>
              <w:t>A measurable amount of work performed using resources to deliver the services required by patients to achieve desired outcomes; e.g. a procedure in theatre, pathology test or therapy contact.</w:t>
            </w:r>
          </w:p>
        </w:tc>
      </w:tr>
      <w:tr w:rsidR="006A18FD" w:rsidTr="00F61E87">
        <w:trPr>
          <w:trHeight w:val="780"/>
        </w:trPr>
        <w:tc>
          <w:tcPr>
            <w:tcW w:w="1553" w:type="dxa"/>
          </w:tcPr>
          <w:p w:rsidR="006A18FD" w:rsidRDefault="002D29FC">
            <w:pPr>
              <w:spacing w:before="1"/>
              <w:ind w:left="102"/>
              <w:rPr>
                <w:rFonts w:ascii="Calibri"/>
                <w:sz w:val="20"/>
              </w:rPr>
            </w:pPr>
            <w:r>
              <w:rPr>
                <w:rFonts w:ascii="Calibri"/>
                <w:sz w:val="20"/>
              </w:rPr>
              <w:t>Resources</w:t>
            </w:r>
          </w:p>
        </w:tc>
        <w:tc>
          <w:tcPr>
            <w:tcW w:w="7449" w:type="dxa"/>
          </w:tcPr>
          <w:p w:rsidR="006A18FD" w:rsidRDefault="002D29FC">
            <w:pPr>
              <w:spacing w:before="1"/>
              <w:ind w:left="103" w:right="176"/>
              <w:jc w:val="both"/>
              <w:rPr>
                <w:rFonts w:ascii="Calibri"/>
                <w:sz w:val="20"/>
              </w:rPr>
            </w:pPr>
            <w:r>
              <w:rPr>
                <w:rFonts w:ascii="Calibri"/>
                <w:sz w:val="20"/>
              </w:rPr>
              <w:t>Components</w:t>
            </w:r>
            <w:r>
              <w:rPr>
                <w:rFonts w:ascii="Calibri"/>
                <w:spacing w:val="-5"/>
                <w:sz w:val="20"/>
              </w:rPr>
              <w:t xml:space="preserve"> </w:t>
            </w:r>
            <w:r>
              <w:rPr>
                <w:rFonts w:ascii="Calibri"/>
                <w:sz w:val="20"/>
              </w:rPr>
              <w:t>used</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deliver</w:t>
            </w:r>
            <w:r>
              <w:rPr>
                <w:rFonts w:ascii="Calibri"/>
                <w:spacing w:val="-4"/>
                <w:sz w:val="20"/>
              </w:rPr>
              <w:t xml:space="preserve"> </w:t>
            </w:r>
            <w:r>
              <w:rPr>
                <w:rFonts w:ascii="Calibri"/>
                <w:sz w:val="20"/>
              </w:rPr>
              <w:t>activities,</w:t>
            </w:r>
            <w:r>
              <w:rPr>
                <w:rFonts w:ascii="Calibri"/>
                <w:spacing w:val="-4"/>
                <w:sz w:val="20"/>
              </w:rPr>
              <w:t xml:space="preserve"> </w:t>
            </w:r>
            <w:r>
              <w:rPr>
                <w:rFonts w:ascii="Calibri"/>
                <w:sz w:val="20"/>
              </w:rPr>
              <w:t>such</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staff,</w:t>
            </w:r>
            <w:r>
              <w:rPr>
                <w:rFonts w:ascii="Calibri"/>
                <w:spacing w:val="-4"/>
                <w:sz w:val="20"/>
              </w:rPr>
              <w:t xml:space="preserve"> </w:t>
            </w:r>
            <w:r>
              <w:rPr>
                <w:rFonts w:ascii="Calibri"/>
                <w:sz w:val="20"/>
              </w:rPr>
              <w:t>equipment</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consumable.</w:t>
            </w:r>
            <w:r>
              <w:rPr>
                <w:rFonts w:ascii="Calibri"/>
                <w:spacing w:val="-2"/>
                <w:sz w:val="20"/>
              </w:rPr>
              <w:t xml:space="preserve"> </w:t>
            </w:r>
            <w:r>
              <w:rPr>
                <w:rFonts w:ascii="Calibri"/>
                <w:sz w:val="20"/>
              </w:rPr>
              <w:t>The</w:t>
            </w:r>
            <w:r>
              <w:rPr>
                <w:rFonts w:ascii="Calibri"/>
                <w:spacing w:val="-5"/>
                <w:sz w:val="20"/>
              </w:rPr>
              <w:t xml:space="preserve"> </w:t>
            </w:r>
            <w:r>
              <w:rPr>
                <w:rFonts w:ascii="Calibri"/>
                <w:sz w:val="20"/>
              </w:rPr>
              <w:t>cost ledger</w:t>
            </w:r>
            <w:r>
              <w:rPr>
                <w:rFonts w:ascii="Calibri"/>
                <w:spacing w:val="-3"/>
                <w:sz w:val="20"/>
              </w:rPr>
              <w:t xml:space="preserve"> </w:t>
            </w:r>
            <w:r>
              <w:rPr>
                <w:rFonts w:ascii="Calibri"/>
                <w:sz w:val="20"/>
              </w:rPr>
              <w:t>is</w:t>
            </w:r>
            <w:r>
              <w:rPr>
                <w:rFonts w:ascii="Calibri"/>
                <w:spacing w:val="-5"/>
                <w:sz w:val="20"/>
              </w:rPr>
              <w:t xml:space="preserve"> </w:t>
            </w:r>
            <w:r>
              <w:rPr>
                <w:rFonts w:ascii="Calibri"/>
                <w:sz w:val="20"/>
              </w:rPr>
              <w:t>mapped</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prescriptive</w:t>
            </w:r>
            <w:r>
              <w:rPr>
                <w:rFonts w:ascii="Calibri"/>
                <w:spacing w:val="-4"/>
                <w:sz w:val="20"/>
              </w:rPr>
              <w:t xml:space="preserve"> </w:t>
            </w:r>
            <w:r>
              <w:rPr>
                <w:rFonts w:ascii="Calibri"/>
                <w:sz w:val="20"/>
              </w:rPr>
              <w:t>list</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resources</w:t>
            </w:r>
            <w:r>
              <w:rPr>
                <w:rFonts w:ascii="Calibri"/>
                <w:spacing w:val="-5"/>
                <w:sz w:val="20"/>
              </w:rPr>
              <w:t xml:space="preserve"> </w:t>
            </w:r>
            <w:r>
              <w:rPr>
                <w:rFonts w:ascii="Calibri"/>
                <w:sz w:val="20"/>
              </w:rPr>
              <w:t>provided</w:t>
            </w:r>
            <w:r>
              <w:rPr>
                <w:rFonts w:ascii="Calibri"/>
                <w:spacing w:val="-3"/>
                <w:sz w:val="20"/>
              </w:rPr>
              <w:t xml:space="preserve"> </w:t>
            </w:r>
            <w:r>
              <w:rPr>
                <w:rFonts w:ascii="Calibri"/>
                <w:sz w:val="20"/>
              </w:rPr>
              <w:t>by</w:t>
            </w:r>
            <w:r>
              <w:rPr>
                <w:rFonts w:ascii="Calibri"/>
                <w:spacing w:val="-3"/>
                <w:sz w:val="20"/>
              </w:rPr>
              <w:t xml:space="preserve"> </w:t>
            </w:r>
            <w:r>
              <w:rPr>
                <w:rFonts w:ascii="Calibri"/>
                <w:sz w:val="20"/>
              </w:rPr>
              <w:t>NHS</w:t>
            </w:r>
            <w:r>
              <w:rPr>
                <w:rFonts w:ascii="Calibri"/>
                <w:spacing w:val="-4"/>
                <w:sz w:val="20"/>
              </w:rPr>
              <w:t xml:space="preserve"> </w:t>
            </w:r>
            <w:r>
              <w:rPr>
                <w:rFonts w:ascii="Calibri"/>
                <w:sz w:val="20"/>
              </w:rPr>
              <w:t>Improvement</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the costing standards technical</w:t>
            </w:r>
            <w:r>
              <w:rPr>
                <w:rFonts w:ascii="Calibri"/>
                <w:spacing w:val="-16"/>
                <w:sz w:val="20"/>
              </w:rPr>
              <w:t xml:space="preserve"> </w:t>
            </w:r>
            <w:r>
              <w:rPr>
                <w:rFonts w:ascii="Calibri"/>
                <w:sz w:val="20"/>
              </w:rPr>
              <w:t>document.</w:t>
            </w:r>
          </w:p>
        </w:tc>
      </w:tr>
    </w:tbl>
    <w:p w:rsidR="006A18FD" w:rsidRDefault="002D29FC">
      <w:pPr>
        <w:spacing w:before="121" w:line="276" w:lineRule="auto"/>
        <w:ind w:left="140" w:right="182"/>
        <w:rPr>
          <w:rFonts w:ascii="Calibri"/>
          <w:sz w:val="20"/>
        </w:rPr>
      </w:pPr>
      <w:r>
        <w:rPr>
          <w:rFonts w:ascii="Calibri"/>
          <w:sz w:val="20"/>
        </w:rPr>
        <w:t>The programme is managing a significant volume of data to produce granularity in the final product. In 2017/18, there were 6 million records for the collection of reference costs across the secondary care sector. In comparison, for the 80 acute trusts submitting voluntary patient-level cost data, there were approximately 3 billion records.</w:t>
      </w:r>
    </w:p>
    <w:p w:rsidR="006A18FD" w:rsidRDefault="002D29FC">
      <w:pPr>
        <w:spacing w:before="120" w:line="276" w:lineRule="auto"/>
        <w:ind w:left="140" w:right="147"/>
        <w:rPr>
          <w:rFonts w:ascii="Calibri"/>
          <w:sz w:val="20"/>
        </w:rPr>
      </w:pPr>
      <w:r>
        <w:rPr>
          <w:rFonts w:ascii="Calibri"/>
          <w:sz w:val="20"/>
        </w:rPr>
        <w:t>As a result, the programme is looking to use technological improvements to enable providers to access a much more granular level of data through an online portal. This is in addition to aggregated data being available on the NHS England and NHS Improvement website. This will empower the end users of the data to produce stronger benchmarking, enabling them to mould the datasets to meet individual unique criteria.</w:t>
      </w:r>
    </w:p>
    <w:p w:rsidR="006A18FD" w:rsidRDefault="002D29FC">
      <w:pPr>
        <w:spacing w:before="120" w:line="273" w:lineRule="auto"/>
        <w:ind w:left="140" w:right="776"/>
        <w:rPr>
          <w:rFonts w:ascii="Calibri"/>
          <w:sz w:val="20"/>
        </w:rPr>
      </w:pPr>
      <w:r>
        <w:rPr>
          <w:rFonts w:ascii="Calibri"/>
          <w:sz w:val="20"/>
        </w:rPr>
        <w:t>For 2019, the programme is running its first mandated patient-level collection with the acute sector for attendances in accident and emergency, outpatients and for episodes within admitted patient care.</w:t>
      </w:r>
    </w:p>
    <w:p w:rsidR="006A18FD" w:rsidRDefault="002D29FC">
      <w:pPr>
        <w:spacing w:before="122" w:line="276" w:lineRule="auto"/>
        <w:ind w:left="140" w:right="180"/>
        <w:rPr>
          <w:rFonts w:ascii="Calibri" w:hAnsi="Calibri"/>
          <w:sz w:val="20"/>
        </w:rPr>
      </w:pPr>
      <w:r>
        <w:rPr>
          <w:rFonts w:ascii="Calibri" w:hAnsi="Calibri"/>
          <w:sz w:val="20"/>
        </w:rPr>
        <w:t>It does however remain a mixed methodology for the acute trusts’ collection, with several key areas outside of the scope of PLICS collection. The primary areas outside of the scope are high cost drugs, blood and devices, critical care and unbundled outpatient imaging. The programme envisages this to be collected from 2020 at patient-level as part of the overall transition plan to achieve a single national cost collection in 2021.</w:t>
      </w:r>
    </w:p>
    <w:p w:rsidR="006A18FD" w:rsidRDefault="006A18FD">
      <w:pPr>
        <w:spacing w:line="276" w:lineRule="auto"/>
        <w:rPr>
          <w:rFonts w:ascii="Calibri" w:hAnsi="Calibri"/>
          <w:sz w:val="20"/>
        </w:rPr>
        <w:sectPr w:rsidR="006A18FD">
          <w:headerReference w:type="even" r:id="rId41"/>
          <w:headerReference w:type="default" r:id="rId42"/>
          <w:pgSz w:w="11910" w:h="16840"/>
          <w:pgMar w:top="1000" w:right="1300" w:bottom="280" w:left="1300" w:header="751" w:footer="0" w:gutter="0"/>
          <w:cols w:space="720"/>
        </w:sectPr>
      </w:pPr>
    </w:p>
    <w:p w:rsidR="006A18FD" w:rsidRDefault="006A18FD">
      <w:pPr>
        <w:spacing w:before="6"/>
        <w:rPr>
          <w:rFonts w:ascii="Calibri"/>
          <w:sz w:val="27"/>
        </w:rPr>
      </w:pPr>
    </w:p>
    <w:p w:rsidR="006A18FD" w:rsidRDefault="002D29FC" w:rsidP="00E42AC6">
      <w:pPr>
        <w:pStyle w:val="Heading2"/>
      </w:pPr>
      <w:r>
        <w:t>Patient-level costing in practice (2019)</w:t>
      </w:r>
    </w:p>
    <w:p w:rsidR="006A18FD" w:rsidRDefault="002D29FC">
      <w:pPr>
        <w:spacing w:before="158" w:line="276" w:lineRule="auto"/>
        <w:ind w:left="140" w:right="1031"/>
        <w:rPr>
          <w:rFonts w:ascii="Calibri"/>
          <w:sz w:val="20"/>
        </w:rPr>
      </w:pPr>
      <w:r>
        <w:rPr>
          <w:rFonts w:ascii="Calibri"/>
          <w:sz w:val="20"/>
        </w:rPr>
        <w:t>NHS England and NHS Improvement have worked with providers to generate a series of case studies. These highlight ways that the new rich patient-level cost data can be used to identify unwarranted variation in patient care leading to improved patient care which is also more cost-effective.</w:t>
      </w:r>
    </w:p>
    <w:p w:rsidR="006A18FD" w:rsidRDefault="002D29FC">
      <w:pPr>
        <w:spacing w:before="119" w:line="276" w:lineRule="auto"/>
        <w:ind w:left="140" w:right="654"/>
        <w:rPr>
          <w:rFonts w:ascii="Calibri"/>
          <w:sz w:val="20"/>
        </w:rPr>
      </w:pPr>
      <w:r>
        <w:rPr>
          <w:rFonts w:ascii="Calibri"/>
          <w:sz w:val="20"/>
        </w:rPr>
        <w:t>These case studies are expected to be published on the NHS England and NHS Improvement website and will aim to give providers a framework to use when benchmarking against and working with each other to improve consistency of care across the country. It expected that the use of these case studies as frameworks will deliver improved patient care and national cost efficiencies.</w:t>
      </w:r>
    </w:p>
    <w:p w:rsidR="006A18FD" w:rsidRDefault="002D29FC">
      <w:pPr>
        <w:spacing w:before="119" w:line="276" w:lineRule="auto"/>
        <w:ind w:left="140" w:right="994"/>
        <w:rPr>
          <w:rFonts w:ascii="Calibri"/>
          <w:sz w:val="20"/>
        </w:rPr>
      </w:pPr>
      <w:r>
        <w:rPr>
          <w:rFonts w:ascii="Calibri"/>
          <w:sz w:val="20"/>
        </w:rPr>
        <w:t>An example of where patient-level data has been used to deliver improved patient care and a reduction in costs is spinal injections. A trust in the South East (Provider A) were concerned that they were making significant losses when delivering spinal injections under admitted patient care in Trauma and Orthopaedics (T&amp;O).</w:t>
      </w:r>
    </w:p>
    <w:p w:rsidR="006A18FD" w:rsidRDefault="002D29FC">
      <w:pPr>
        <w:spacing w:before="119" w:line="276" w:lineRule="auto"/>
        <w:ind w:left="140" w:right="1047"/>
        <w:rPr>
          <w:rFonts w:ascii="Calibri"/>
          <w:sz w:val="20"/>
        </w:rPr>
      </w:pPr>
      <w:r>
        <w:rPr>
          <w:rFonts w:ascii="Calibri"/>
          <w:sz w:val="20"/>
        </w:rPr>
        <w:t>Nationally, a greater proportion of spinal injections are delivered in Pain Management (PM) and PLICS demonstrated that spinal injections administered in PM are more cost-effective than those administered in T&amp;O.</w:t>
      </w:r>
    </w:p>
    <w:p w:rsidR="006A18FD" w:rsidRDefault="002D29FC">
      <w:pPr>
        <w:spacing w:before="119"/>
        <w:ind w:left="140"/>
        <w:rPr>
          <w:rFonts w:ascii="Calibri"/>
          <w:b/>
          <w:sz w:val="20"/>
        </w:rPr>
      </w:pPr>
      <w:r>
        <w:rPr>
          <w:rFonts w:ascii="Calibri"/>
          <w:b/>
          <w:sz w:val="20"/>
        </w:rPr>
        <w:t>Provider A delivered most of the service in T&amp;O:</w:t>
      </w:r>
    </w:p>
    <w:p w:rsidR="006A18FD" w:rsidRDefault="006A18FD">
      <w:pPr>
        <w:spacing w:before="8"/>
        <w:rPr>
          <w:rFonts w:ascii="Calibri"/>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126"/>
        <w:gridCol w:w="924"/>
        <w:gridCol w:w="869"/>
        <w:gridCol w:w="1152"/>
        <w:gridCol w:w="1231"/>
        <w:gridCol w:w="932"/>
        <w:gridCol w:w="883"/>
        <w:gridCol w:w="1229"/>
      </w:tblGrid>
      <w:tr w:rsidR="006A18FD" w:rsidTr="0053166C">
        <w:trPr>
          <w:trHeight w:val="240"/>
          <w:tblHeader/>
        </w:trPr>
        <w:tc>
          <w:tcPr>
            <w:tcW w:w="1289" w:type="dxa"/>
          </w:tcPr>
          <w:p w:rsidR="006A18FD" w:rsidRDefault="006A18FD">
            <w:pPr>
              <w:rPr>
                <w:rFonts w:ascii="Times New Roman"/>
                <w:sz w:val="16"/>
              </w:rPr>
            </w:pPr>
          </w:p>
        </w:tc>
        <w:tc>
          <w:tcPr>
            <w:tcW w:w="4071" w:type="dxa"/>
            <w:gridSpan w:val="4"/>
          </w:tcPr>
          <w:p w:rsidR="006A18FD" w:rsidRDefault="002D29FC">
            <w:pPr>
              <w:spacing w:before="1" w:line="223" w:lineRule="exact"/>
              <w:ind w:left="103"/>
              <w:rPr>
                <w:rFonts w:ascii="Calibri"/>
                <w:b/>
                <w:sz w:val="20"/>
              </w:rPr>
            </w:pPr>
            <w:r>
              <w:rPr>
                <w:rFonts w:ascii="Calibri"/>
                <w:b/>
                <w:sz w:val="20"/>
              </w:rPr>
              <w:t>T&amp;O</w:t>
            </w:r>
          </w:p>
        </w:tc>
        <w:tc>
          <w:tcPr>
            <w:tcW w:w="4275" w:type="dxa"/>
            <w:gridSpan w:val="4"/>
          </w:tcPr>
          <w:p w:rsidR="006A18FD" w:rsidRDefault="002D29FC">
            <w:pPr>
              <w:spacing w:before="1" w:line="223" w:lineRule="exact"/>
              <w:ind w:left="103"/>
              <w:rPr>
                <w:rFonts w:ascii="Calibri"/>
                <w:b/>
                <w:sz w:val="20"/>
              </w:rPr>
            </w:pPr>
            <w:r>
              <w:rPr>
                <w:rFonts w:ascii="Calibri"/>
                <w:b/>
                <w:sz w:val="20"/>
              </w:rPr>
              <w:t>PM</w:t>
            </w:r>
          </w:p>
        </w:tc>
      </w:tr>
      <w:tr w:rsidR="006A18FD" w:rsidTr="0053166C">
        <w:trPr>
          <w:trHeight w:val="480"/>
          <w:tblHeader/>
        </w:trPr>
        <w:tc>
          <w:tcPr>
            <w:tcW w:w="1289" w:type="dxa"/>
          </w:tcPr>
          <w:p w:rsidR="006A18FD" w:rsidRDefault="006A18FD">
            <w:pPr>
              <w:rPr>
                <w:rFonts w:ascii="Times New Roman"/>
                <w:sz w:val="18"/>
              </w:rPr>
            </w:pPr>
          </w:p>
        </w:tc>
        <w:tc>
          <w:tcPr>
            <w:tcW w:w="1126" w:type="dxa"/>
          </w:tcPr>
          <w:p w:rsidR="006A18FD" w:rsidRDefault="002D29FC">
            <w:pPr>
              <w:spacing w:before="1"/>
              <w:ind w:left="103"/>
              <w:rPr>
                <w:rFonts w:ascii="Calibri"/>
                <w:sz w:val="20"/>
              </w:rPr>
            </w:pPr>
            <w:r>
              <w:rPr>
                <w:rFonts w:ascii="Calibri"/>
                <w:sz w:val="20"/>
              </w:rPr>
              <w:t>Total cost</w:t>
            </w:r>
          </w:p>
        </w:tc>
        <w:tc>
          <w:tcPr>
            <w:tcW w:w="924" w:type="dxa"/>
          </w:tcPr>
          <w:p w:rsidR="006A18FD" w:rsidRDefault="002D29FC">
            <w:pPr>
              <w:spacing w:before="1" w:line="240" w:lineRule="atLeast"/>
              <w:ind w:left="103"/>
              <w:rPr>
                <w:rFonts w:ascii="Calibri"/>
                <w:b/>
                <w:sz w:val="20"/>
              </w:rPr>
            </w:pPr>
            <w:r>
              <w:rPr>
                <w:rFonts w:ascii="Calibri"/>
                <w:b/>
                <w:w w:val="95"/>
                <w:sz w:val="20"/>
              </w:rPr>
              <w:t xml:space="preserve">Average </w:t>
            </w:r>
            <w:r>
              <w:rPr>
                <w:rFonts w:ascii="Calibri"/>
                <w:b/>
                <w:sz w:val="20"/>
              </w:rPr>
              <w:t>cost</w:t>
            </w:r>
          </w:p>
        </w:tc>
        <w:tc>
          <w:tcPr>
            <w:tcW w:w="869" w:type="dxa"/>
          </w:tcPr>
          <w:p w:rsidR="006A18FD" w:rsidRDefault="002D29FC">
            <w:pPr>
              <w:spacing w:before="1"/>
              <w:ind w:left="103"/>
              <w:rPr>
                <w:rFonts w:ascii="Calibri"/>
                <w:b/>
                <w:sz w:val="20"/>
              </w:rPr>
            </w:pPr>
            <w:r>
              <w:rPr>
                <w:rFonts w:ascii="Calibri"/>
                <w:b/>
                <w:sz w:val="20"/>
              </w:rPr>
              <w:t>Activity</w:t>
            </w:r>
          </w:p>
        </w:tc>
        <w:tc>
          <w:tcPr>
            <w:tcW w:w="1152" w:type="dxa"/>
          </w:tcPr>
          <w:p w:rsidR="006A18FD" w:rsidRDefault="002D29FC">
            <w:pPr>
              <w:spacing w:before="1" w:line="240" w:lineRule="atLeast"/>
              <w:ind w:left="102" w:right="116"/>
              <w:rPr>
                <w:rFonts w:ascii="Calibri"/>
                <w:b/>
                <w:sz w:val="20"/>
              </w:rPr>
            </w:pPr>
            <w:r>
              <w:rPr>
                <w:rFonts w:ascii="Calibri"/>
                <w:b/>
                <w:sz w:val="20"/>
              </w:rPr>
              <w:t>Proportion of total</w:t>
            </w:r>
          </w:p>
        </w:tc>
        <w:tc>
          <w:tcPr>
            <w:tcW w:w="1231" w:type="dxa"/>
          </w:tcPr>
          <w:p w:rsidR="006A18FD" w:rsidRDefault="002D29FC">
            <w:pPr>
              <w:spacing w:before="1"/>
              <w:ind w:left="103"/>
              <w:rPr>
                <w:rFonts w:ascii="Calibri"/>
                <w:b/>
                <w:sz w:val="20"/>
              </w:rPr>
            </w:pPr>
            <w:r>
              <w:rPr>
                <w:rFonts w:ascii="Calibri"/>
                <w:b/>
                <w:sz w:val="20"/>
              </w:rPr>
              <w:t>Total cost</w:t>
            </w:r>
          </w:p>
        </w:tc>
        <w:tc>
          <w:tcPr>
            <w:tcW w:w="932" w:type="dxa"/>
          </w:tcPr>
          <w:p w:rsidR="006A18FD" w:rsidRDefault="002D29FC">
            <w:pPr>
              <w:spacing w:before="1" w:line="240" w:lineRule="atLeast"/>
              <w:ind w:left="100"/>
              <w:rPr>
                <w:rFonts w:ascii="Calibri"/>
                <w:b/>
                <w:sz w:val="20"/>
              </w:rPr>
            </w:pPr>
            <w:r>
              <w:rPr>
                <w:rFonts w:ascii="Calibri"/>
                <w:b/>
                <w:w w:val="95"/>
                <w:sz w:val="20"/>
              </w:rPr>
              <w:t xml:space="preserve">Average </w:t>
            </w:r>
            <w:r>
              <w:rPr>
                <w:rFonts w:ascii="Calibri"/>
                <w:b/>
                <w:sz w:val="20"/>
              </w:rPr>
              <w:t>cost</w:t>
            </w:r>
          </w:p>
        </w:tc>
        <w:tc>
          <w:tcPr>
            <w:tcW w:w="883" w:type="dxa"/>
          </w:tcPr>
          <w:p w:rsidR="006A18FD" w:rsidRDefault="002D29FC">
            <w:pPr>
              <w:spacing w:before="1"/>
              <w:ind w:left="102"/>
              <w:rPr>
                <w:rFonts w:ascii="Calibri"/>
                <w:b/>
                <w:sz w:val="20"/>
              </w:rPr>
            </w:pPr>
            <w:r>
              <w:rPr>
                <w:rFonts w:ascii="Calibri"/>
                <w:b/>
                <w:sz w:val="20"/>
              </w:rPr>
              <w:t>Activity</w:t>
            </w:r>
          </w:p>
        </w:tc>
        <w:tc>
          <w:tcPr>
            <w:tcW w:w="1229" w:type="dxa"/>
          </w:tcPr>
          <w:p w:rsidR="006A18FD" w:rsidRDefault="002D29FC">
            <w:pPr>
              <w:spacing w:before="1" w:line="240" w:lineRule="atLeast"/>
              <w:ind w:left="102" w:right="192"/>
              <w:rPr>
                <w:rFonts w:ascii="Calibri"/>
                <w:b/>
                <w:sz w:val="20"/>
              </w:rPr>
            </w:pPr>
            <w:r>
              <w:rPr>
                <w:rFonts w:ascii="Calibri"/>
                <w:b/>
                <w:sz w:val="20"/>
              </w:rPr>
              <w:t>Proportion of total</w:t>
            </w:r>
          </w:p>
        </w:tc>
      </w:tr>
      <w:tr w:rsidR="006A18FD" w:rsidTr="0053166C">
        <w:trPr>
          <w:trHeight w:val="239"/>
          <w:tblHeader/>
        </w:trPr>
        <w:tc>
          <w:tcPr>
            <w:tcW w:w="1289" w:type="dxa"/>
          </w:tcPr>
          <w:p w:rsidR="006A18FD" w:rsidRDefault="002D29FC">
            <w:pPr>
              <w:spacing w:line="221" w:lineRule="exact"/>
              <w:ind w:left="102"/>
              <w:rPr>
                <w:rFonts w:ascii="Calibri"/>
                <w:b/>
                <w:sz w:val="20"/>
              </w:rPr>
            </w:pPr>
            <w:r>
              <w:rPr>
                <w:rFonts w:ascii="Calibri"/>
                <w:b/>
                <w:sz w:val="20"/>
              </w:rPr>
              <w:t>Provider A</w:t>
            </w:r>
          </w:p>
        </w:tc>
        <w:tc>
          <w:tcPr>
            <w:tcW w:w="1126" w:type="dxa"/>
          </w:tcPr>
          <w:p w:rsidR="006A18FD" w:rsidRDefault="002D29FC">
            <w:pPr>
              <w:spacing w:line="221" w:lineRule="exact"/>
              <w:ind w:left="103"/>
              <w:rPr>
                <w:rFonts w:ascii="Calibri" w:hAnsi="Calibri"/>
                <w:sz w:val="20"/>
              </w:rPr>
            </w:pPr>
            <w:r>
              <w:rPr>
                <w:rFonts w:ascii="Calibri" w:hAnsi="Calibri"/>
                <w:sz w:val="20"/>
              </w:rPr>
              <w:t>£1,158,047</w:t>
            </w:r>
          </w:p>
        </w:tc>
        <w:tc>
          <w:tcPr>
            <w:tcW w:w="924" w:type="dxa"/>
          </w:tcPr>
          <w:p w:rsidR="006A18FD" w:rsidRDefault="002D29FC">
            <w:pPr>
              <w:spacing w:line="221" w:lineRule="exact"/>
              <w:ind w:left="103"/>
              <w:rPr>
                <w:rFonts w:ascii="Calibri" w:hAnsi="Calibri"/>
                <w:sz w:val="20"/>
              </w:rPr>
            </w:pPr>
            <w:r>
              <w:rPr>
                <w:rFonts w:ascii="Calibri" w:hAnsi="Calibri"/>
                <w:sz w:val="20"/>
              </w:rPr>
              <w:t>£624</w:t>
            </w:r>
          </w:p>
        </w:tc>
        <w:tc>
          <w:tcPr>
            <w:tcW w:w="869" w:type="dxa"/>
          </w:tcPr>
          <w:p w:rsidR="006A18FD" w:rsidRDefault="002D29FC">
            <w:pPr>
              <w:spacing w:line="221" w:lineRule="exact"/>
              <w:ind w:left="103"/>
              <w:rPr>
                <w:rFonts w:ascii="Calibri"/>
                <w:sz w:val="20"/>
              </w:rPr>
            </w:pPr>
            <w:r>
              <w:rPr>
                <w:rFonts w:ascii="Calibri"/>
                <w:sz w:val="20"/>
              </w:rPr>
              <w:t>1,856</w:t>
            </w:r>
          </w:p>
        </w:tc>
        <w:tc>
          <w:tcPr>
            <w:tcW w:w="1152" w:type="dxa"/>
          </w:tcPr>
          <w:p w:rsidR="006A18FD" w:rsidRDefault="002D29FC">
            <w:pPr>
              <w:spacing w:line="221" w:lineRule="exact"/>
              <w:ind w:left="102"/>
              <w:rPr>
                <w:rFonts w:ascii="Calibri"/>
                <w:sz w:val="20"/>
              </w:rPr>
            </w:pPr>
            <w:r>
              <w:rPr>
                <w:rFonts w:ascii="Calibri"/>
                <w:sz w:val="20"/>
              </w:rPr>
              <w:t>71%</w:t>
            </w:r>
          </w:p>
        </w:tc>
        <w:tc>
          <w:tcPr>
            <w:tcW w:w="1231" w:type="dxa"/>
          </w:tcPr>
          <w:p w:rsidR="006A18FD" w:rsidRDefault="002D29FC">
            <w:pPr>
              <w:spacing w:line="221" w:lineRule="exact"/>
              <w:ind w:left="103"/>
              <w:rPr>
                <w:rFonts w:ascii="Calibri" w:hAnsi="Calibri"/>
                <w:sz w:val="20"/>
              </w:rPr>
            </w:pPr>
            <w:r>
              <w:rPr>
                <w:rFonts w:ascii="Calibri" w:hAnsi="Calibri"/>
                <w:sz w:val="20"/>
              </w:rPr>
              <w:t>£417,274</w:t>
            </w:r>
          </w:p>
        </w:tc>
        <w:tc>
          <w:tcPr>
            <w:tcW w:w="932" w:type="dxa"/>
          </w:tcPr>
          <w:p w:rsidR="006A18FD" w:rsidRDefault="002D29FC">
            <w:pPr>
              <w:spacing w:line="221" w:lineRule="exact"/>
              <w:ind w:left="100"/>
              <w:rPr>
                <w:rFonts w:ascii="Calibri" w:hAnsi="Calibri"/>
                <w:sz w:val="20"/>
              </w:rPr>
            </w:pPr>
            <w:r>
              <w:rPr>
                <w:rFonts w:ascii="Calibri" w:hAnsi="Calibri"/>
                <w:sz w:val="20"/>
              </w:rPr>
              <w:t>£550</w:t>
            </w:r>
          </w:p>
        </w:tc>
        <w:tc>
          <w:tcPr>
            <w:tcW w:w="883" w:type="dxa"/>
          </w:tcPr>
          <w:p w:rsidR="006A18FD" w:rsidRDefault="002D29FC">
            <w:pPr>
              <w:spacing w:line="221" w:lineRule="exact"/>
              <w:ind w:left="102"/>
              <w:rPr>
                <w:rFonts w:ascii="Calibri"/>
                <w:sz w:val="20"/>
              </w:rPr>
            </w:pPr>
            <w:r>
              <w:rPr>
                <w:rFonts w:ascii="Calibri"/>
                <w:sz w:val="20"/>
              </w:rPr>
              <w:t>758</w:t>
            </w:r>
          </w:p>
        </w:tc>
        <w:tc>
          <w:tcPr>
            <w:tcW w:w="1229" w:type="dxa"/>
          </w:tcPr>
          <w:p w:rsidR="006A18FD" w:rsidRDefault="002D29FC">
            <w:pPr>
              <w:spacing w:line="221" w:lineRule="exact"/>
              <w:ind w:left="102"/>
              <w:rPr>
                <w:rFonts w:ascii="Calibri"/>
                <w:sz w:val="20"/>
              </w:rPr>
            </w:pPr>
            <w:r>
              <w:rPr>
                <w:rFonts w:ascii="Calibri"/>
                <w:sz w:val="20"/>
              </w:rPr>
              <w:t>29%</w:t>
            </w:r>
          </w:p>
        </w:tc>
      </w:tr>
      <w:tr w:rsidR="006A18FD" w:rsidTr="0053166C">
        <w:trPr>
          <w:trHeight w:val="480"/>
          <w:tblHeader/>
        </w:trPr>
        <w:tc>
          <w:tcPr>
            <w:tcW w:w="1289" w:type="dxa"/>
          </w:tcPr>
          <w:p w:rsidR="006A18FD" w:rsidRDefault="002D29FC">
            <w:pPr>
              <w:spacing w:before="1" w:line="240" w:lineRule="atLeast"/>
              <w:ind w:left="102" w:right="436"/>
              <w:rPr>
                <w:rFonts w:ascii="Calibri"/>
                <w:b/>
                <w:sz w:val="20"/>
              </w:rPr>
            </w:pPr>
            <w:r>
              <w:rPr>
                <w:rFonts w:ascii="Calibri"/>
                <w:b/>
                <w:sz w:val="20"/>
              </w:rPr>
              <w:t>All other trusts</w:t>
            </w:r>
          </w:p>
        </w:tc>
        <w:tc>
          <w:tcPr>
            <w:tcW w:w="1126" w:type="dxa"/>
          </w:tcPr>
          <w:p w:rsidR="006A18FD" w:rsidRDefault="002D29FC">
            <w:pPr>
              <w:spacing w:before="123"/>
              <w:ind w:left="103"/>
              <w:rPr>
                <w:rFonts w:ascii="Calibri" w:hAnsi="Calibri"/>
                <w:sz w:val="20"/>
              </w:rPr>
            </w:pPr>
            <w:r>
              <w:rPr>
                <w:rFonts w:ascii="Calibri" w:hAnsi="Calibri"/>
                <w:sz w:val="20"/>
              </w:rPr>
              <w:t>£6,371,912</w:t>
            </w:r>
          </w:p>
        </w:tc>
        <w:tc>
          <w:tcPr>
            <w:tcW w:w="924" w:type="dxa"/>
          </w:tcPr>
          <w:p w:rsidR="006A18FD" w:rsidRDefault="002D29FC">
            <w:pPr>
              <w:spacing w:before="123"/>
              <w:ind w:left="103"/>
              <w:rPr>
                <w:rFonts w:ascii="Calibri" w:hAnsi="Calibri"/>
                <w:sz w:val="20"/>
              </w:rPr>
            </w:pPr>
            <w:r>
              <w:rPr>
                <w:rFonts w:ascii="Calibri" w:hAnsi="Calibri"/>
                <w:sz w:val="20"/>
              </w:rPr>
              <w:t>£888</w:t>
            </w:r>
          </w:p>
        </w:tc>
        <w:tc>
          <w:tcPr>
            <w:tcW w:w="869" w:type="dxa"/>
          </w:tcPr>
          <w:p w:rsidR="006A18FD" w:rsidRDefault="002D29FC">
            <w:pPr>
              <w:spacing w:before="123"/>
              <w:ind w:left="103"/>
              <w:rPr>
                <w:rFonts w:ascii="Calibri"/>
                <w:sz w:val="20"/>
              </w:rPr>
            </w:pPr>
            <w:r>
              <w:rPr>
                <w:rFonts w:ascii="Calibri"/>
                <w:sz w:val="20"/>
              </w:rPr>
              <w:t>7,177</w:t>
            </w:r>
          </w:p>
        </w:tc>
        <w:tc>
          <w:tcPr>
            <w:tcW w:w="1152" w:type="dxa"/>
          </w:tcPr>
          <w:p w:rsidR="006A18FD" w:rsidRDefault="002D29FC">
            <w:pPr>
              <w:spacing w:before="123"/>
              <w:ind w:left="102"/>
              <w:rPr>
                <w:rFonts w:ascii="Calibri"/>
                <w:sz w:val="20"/>
              </w:rPr>
            </w:pPr>
            <w:r>
              <w:rPr>
                <w:rFonts w:ascii="Calibri"/>
                <w:sz w:val="20"/>
              </w:rPr>
              <w:t>21%</w:t>
            </w:r>
          </w:p>
        </w:tc>
        <w:tc>
          <w:tcPr>
            <w:tcW w:w="1231" w:type="dxa"/>
          </w:tcPr>
          <w:p w:rsidR="006A18FD" w:rsidRDefault="002D29FC">
            <w:pPr>
              <w:spacing w:before="123"/>
              <w:ind w:left="103"/>
              <w:rPr>
                <w:rFonts w:ascii="Calibri" w:hAnsi="Calibri"/>
                <w:sz w:val="20"/>
              </w:rPr>
            </w:pPr>
            <w:r>
              <w:rPr>
                <w:rFonts w:ascii="Calibri" w:hAnsi="Calibri"/>
                <w:sz w:val="20"/>
              </w:rPr>
              <w:t>£19,140,645</w:t>
            </w:r>
          </w:p>
        </w:tc>
        <w:tc>
          <w:tcPr>
            <w:tcW w:w="932" w:type="dxa"/>
          </w:tcPr>
          <w:p w:rsidR="006A18FD" w:rsidRDefault="002D29FC">
            <w:pPr>
              <w:spacing w:before="123"/>
              <w:ind w:left="100"/>
              <w:rPr>
                <w:rFonts w:ascii="Calibri" w:hAnsi="Calibri"/>
                <w:sz w:val="20"/>
              </w:rPr>
            </w:pPr>
            <w:r>
              <w:rPr>
                <w:rFonts w:ascii="Calibri" w:hAnsi="Calibri"/>
                <w:sz w:val="20"/>
              </w:rPr>
              <w:t>£725</w:t>
            </w:r>
          </w:p>
        </w:tc>
        <w:tc>
          <w:tcPr>
            <w:tcW w:w="883" w:type="dxa"/>
          </w:tcPr>
          <w:p w:rsidR="006A18FD" w:rsidRDefault="002D29FC">
            <w:pPr>
              <w:spacing w:before="123"/>
              <w:ind w:left="102"/>
              <w:rPr>
                <w:rFonts w:ascii="Calibri"/>
                <w:sz w:val="20"/>
              </w:rPr>
            </w:pPr>
            <w:r>
              <w:rPr>
                <w:rFonts w:ascii="Calibri"/>
                <w:sz w:val="20"/>
              </w:rPr>
              <w:t>26411</w:t>
            </w:r>
          </w:p>
        </w:tc>
        <w:tc>
          <w:tcPr>
            <w:tcW w:w="1229" w:type="dxa"/>
          </w:tcPr>
          <w:p w:rsidR="006A18FD" w:rsidRDefault="002D29FC">
            <w:pPr>
              <w:spacing w:before="123"/>
              <w:ind w:left="102"/>
              <w:rPr>
                <w:rFonts w:ascii="Calibri"/>
                <w:sz w:val="20"/>
              </w:rPr>
            </w:pPr>
            <w:r>
              <w:rPr>
                <w:rFonts w:ascii="Calibri"/>
                <w:sz w:val="20"/>
              </w:rPr>
              <w:t>79%</w:t>
            </w:r>
          </w:p>
        </w:tc>
      </w:tr>
    </w:tbl>
    <w:p w:rsidR="006A18FD" w:rsidRDefault="002D29FC">
      <w:pPr>
        <w:spacing w:before="122" w:line="276" w:lineRule="auto"/>
        <w:ind w:left="140" w:right="808"/>
        <w:rPr>
          <w:rFonts w:ascii="Calibri" w:hAnsi="Calibri"/>
          <w:sz w:val="20"/>
        </w:rPr>
      </w:pPr>
      <w:r>
        <w:rPr>
          <w:rFonts w:ascii="Calibri" w:hAnsi="Calibri"/>
          <w:sz w:val="20"/>
        </w:rPr>
        <w:t>By revising the service location to be more aligned to the national delivery picture; Provider A found a realistic saving opportunity of c£95,000.</w:t>
      </w:r>
    </w:p>
    <w:p w:rsidR="006A18FD" w:rsidRDefault="006A18FD">
      <w:pPr>
        <w:spacing w:before="8"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1985"/>
        <w:gridCol w:w="1844"/>
        <w:gridCol w:w="1841"/>
      </w:tblGrid>
      <w:tr w:rsidR="006A18FD" w:rsidTr="0053166C">
        <w:trPr>
          <w:trHeight w:val="240"/>
          <w:tblHeader/>
        </w:trPr>
        <w:tc>
          <w:tcPr>
            <w:tcW w:w="3965" w:type="dxa"/>
          </w:tcPr>
          <w:p w:rsidR="006A18FD" w:rsidRDefault="006A18FD">
            <w:pPr>
              <w:rPr>
                <w:rFonts w:ascii="Times New Roman"/>
                <w:sz w:val="16"/>
              </w:rPr>
            </w:pPr>
          </w:p>
        </w:tc>
        <w:tc>
          <w:tcPr>
            <w:tcW w:w="1985" w:type="dxa"/>
          </w:tcPr>
          <w:p w:rsidR="006A18FD" w:rsidRDefault="002D29FC">
            <w:pPr>
              <w:spacing w:before="1" w:line="223" w:lineRule="exact"/>
              <w:ind w:left="102"/>
              <w:rPr>
                <w:rFonts w:ascii="Calibri"/>
                <w:b/>
                <w:sz w:val="20"/>
              </w:rPr>
            </w:pPr>
            <w:r>
              <w:rPr>
                <w:rFonts w:ascii="Calibri"/>
                <w:b/>
                <w:sz w:val="20"/>
              </w:rPr>
              <w:t>Total cost</w:t>
            </w:r>
          </w:p>
        </w:tc>
        <w:tc>
          <w:tcPr>
            <w:tcW w:w="1844" w:type="dxa"/>
          </w:tcPr>
          <w:p w:rsidR="006A18FD" w:rsidRDefault="002D29FC">
            <w:pPr>
              <w:spacing w:before="1" w:line="223" w:lineRule="exact"/>
              <w:ind w:left="102"/>
              <w:rPr>
                <w:rFonts w:ascii="Calibri"/>
                <w:b/>
                <w:sz w:val="20"/>
              </w:rPr>
            </w:pPr>
            <w:r>
              <w:rPr>
                <w:rFonts w:ascii="Calibri"/>
                <w:b/>
                <w:sz w:val="20"/>
              </w:rPr>
              <w:t>Average cost</w:t>
            </w:r>
          </w:p>
        </w:tc>
        <w:tc>
          <w:tcPr>
            <w:tcW w:w="1841" w:type="dxa"/>
          </w:tcPr>
          <w:p w:rsidR="006A18FD" w:rsidRDefault="002D29FC">
            <w:pPr>
              <w:spacing w:before="1" w:line="223" w:lineRule="exact"/>
              <w:ind w:left="102"/>
              <w:rPr>
                <w:rFonts w:ascii="Calibri"/>
                <w:b/>
                <w:sz w:val="20"/>
              </w:rPr>
            </w:pPr>
            <w:r>
              <w:rPr>
                <w:rFonts w:ascii="Calibri"/>
                <w:b/>
                <w:sz w:val="20"/>
              </w:rPr>
              <w:t>TC Variance</w:t>
            </w:r>
          </w:p>
        </w:tc>
      </w:tr>
      <w:tr w:rsidR="006A18FD">
        <w:trPr>
          <w:trHeight w:val="240"/>
        </w:trPr>
        <w:tc>
          <w:tcPr>
            <w:tcW w:w="3965" w:type="dxa"/>
          </w:tcPr>
          <w:p w:rsidR="006A18FD" w:rsidRDefault="002D29FC">
            <w:pPr>
              <w:spacing w:before="1" w:line="223" w:lineRule="exact"/>
              <w:ind w:left="102"/>
              <w:rPr>
                <w:rFonts w:ascii="Calibri"/>
                <w:b/>
                <w:sz w:val="20"/>
              </w:rPr>
            </w:pPr>
            <w:r>
              <w:rPr>
                <w:rFonts w:ascii="Calibri"/>
                <w:b/>
                <w:sz w:val="20"/>
              </w:rPr>
              <w:t>Current position</w:t>
            </w:r>
          </w:p>
        </w:tc>
        <w:tc>
          <w:tcPr>
            <w:tcW w:w="1985" w:type="dxa"/>
          </w:tcPr>
          <w:p w:rsidR="006A18FD" w:rsidRDefault="002D29FC">
            <w:pPr>
              <w:spacing w:before="1" w:line="223" w:lineRule="exact"/>
              <w:ind w:left="102"/>
              <w:rPr>
                <w:rFonts w:ascii="Calibri" w:hAnsi="Calibri"/>
                <w:sz w:val="20"/>
              </w:rPr>
            </w:pPr>
            <w:r>
              <w:rPr>
                <w:rFonts w:ascii="Calibri" w:hAnsi="Calibri"/>
                <w:sz w:val="20"/>
              </w:rPr>
              <w:t>£1,575,321</w:t>
            </w:r>
          </w:p>
        </w:tc>
        <w:tc>
          <w:tcPr>
            <w:tcW w:w="1844" w:type="dxa"/>
          </w:tcPr>
          <w:p w:rsidR="006A18FD" w:rsidRDefault="002D29FC">
            <w:pPr>
              <w:spacing w:before="1" w:line="223" w:lineRule="exact"/>
              <w:ind w:left="102"/>
              <w:rPr>
                <w:rFonts w:ascii="Calibri" w:hAnsi="Calibri"/>
                <w:sz w:val="20"/>
              </w:rPr>
            </w:pPr>
            <w:r>
              <w:rPr>
                <w:rFonts w:ascii="Calibri" w:hAnsi="Calibri"/>
                <w:sz w:val="20"/>
              </w:rPr>
              <w:t>£603</w:t>
            </w:r>
          </w:p>
        </w:tc>
        <w:tc>
          <w:tcPr>
            <w:tcW w:w="1841" w:type="dxa"/>
          </w:tcPr>
          <w:p w:rsidR="006A18FD" w:rsidRDefault="006A18FD">
            <w:pPr>
              <w:rPr>
                <w:rFonts w:ascii="Times New Roman"/>
                <w:sz w:val="16"/>
              </w:rPr>
            </w:pPr>
          </w:p>
        </w:tc>
      </w:tr>
      <w:tr w:rsidR="006A18FD">
        <w:trPr>
          <w:trHeight w:val="240"/>
        </w:trPr>
        <w:tc>
          <w:tcPr>
            <w:tcW w:w="3965" w:type="dxa"/>
          </w:tcPr>
          <w:p w:rsidR="006A18FD" w:rsidRDefault="002D29FC">
            <w:pPr>
              <w:spacing w:before="1" w:line="223" w:lineRule="exact"/>
              <w:ind w:left="102"/>
              <w:rPr>
                <w:rFonts w:ascii="Calibri"/>
                <w:b/>
                <w:sz w:val="20"/>
              </w:rPr>
            </w:pPr>
            <w:r>
              <w:rPr>
                <w:rFonts w:ascii="Calibri"/>
                <w:b/>
                <w:sz w:val="20"/>
              </w:rPr>
              <w:t>All in T&amp;O</w:t>
            </w:r>
          </w:p>
        </w:tc>
        <w:tc>
          <w:tcPr>
            <w:tcW w:w="1985" w:type="dxa"/>
          </w:tcPr>
          <w:p w:rsidR="006A18FD" w:rsidRDefault="002D29FC">
            <w:pPr>
              <w:spacing w:before="1" w:line="223" w:lineRule="exact"/>
              <w:ind w:left="102"/>
              <w:rPr>
                <w:rFonts w:ascii="Calibri" w:hAnsi="Calibri"/>
                <w:sz w:val="20"/>
              </w:rPr>
            </w:pPr>
            <w:r>
              <w:rPr>
                <w:rFonts w:ascii="Calibri" w:hAnsi="Calibri"/>
                <w:sz w:val="20"/>
              </w:rPr>
              <w:t>£1,630,999</w:t>
            </w:r>
          </w:p>
        </w:tc>
        <w:tc>
          <w:tcPr>
            <w:tcW w:w="1844" w:type="dxa"/>
          </w:tcPr>
          <w:p w:rsidR="006A18FD" w:rsidRDefault="002D29FC">
            <w:pPr>
              <w:spacing w:before="1" w:line="223" w:lineRule="exact"/>
              <w:ind w:left="102"/>
              <w:rPr>
                <w:rFonts w:ascii="Calibri" w:hAnsi="Calibri"/>
                <w:sz w:val="20"/>
              </w:rPr>
            </w:pPr>
            <w:r>
              <w:rPr>
                <w:rFonts w:ascii="Calibri" w:hAnsi="Calibri"/>
                <w:sz w:val="20"/>
              </w:rPr>
              <w:t>£624</w:t>
            </w:r>
          </w:p>
        </w:tc>
        <w:tc>
          <w:tcPr>
            <w:tcW w:w="1841" w:type="dxa"/>
          </w:tcPr>
          <w:p w:rsidR="006A18FD" w:rsidRDefault="002D29FC">
            <w:pPr>
              <w:spacing w:before="1" w:line="223" w:lineRule="exact"/>
              <w:ind w:left="102"/>
              <w:rPr>
                <w:rFonts w:ascii="Calibri" w:hAnsi="Calibri"/>
                <w:sz w:val="20"/>
              </w:rPr>
            </w:pPr>
            <w:r>
              <w:rPr>
                <w:rFonts w:ascii="Calibri" w:hAnsi="Calibri"/>
                <w:sz w:val="20"/>
              </w:rPr>
              <w:t>£55,678</w:t>
            </w:r>
          </w:p>
        </w:tc>
      </w:tr>
      <w:tr w:rsidR="006A18FD">
        <w:trPr>
          <w:trHeight w:val="240"/>
        </w:trPr>
        <w:tc>
          <w:tcPr>
            <w:tcW w:w="3965" w:type="dxa"/>
          </w:tcPr>
          <w:p w:rsidR="006A18FD" w:rsidRDefault="002D29FC">
            <w:pPr>
              <w:spacing w:before="1" w:line="223" w:lineRule="exact"/>
              <w:ind w:left="102"/>
              <w:rPr>
                <w:rFonts w:ascii="Calibri"/>
                <w:b/>
                <w:sz w:val="20"/>
              </w:rPr>
            </w:pPr>
            <w:r>
              <w:rPr>
                <w:rFonts w:ascii="Calibri"/>
                <w:b/>
                <w:sz w:val="20"/>
              </w:rPr>
              <w:t>All in PM</w:t>
            </w:r>
          </w:p>
        </w:tc>
        <w:tc>
          <w:tcPr>
            <w:tcW w:w="1985" w:type="dxa"/>
          </w:tcPr>
          <w:p w:rsidR="006A18FD" w:rsidRDefault="002D29FC">
            <w:pPr>
              <w:spacing w:before="1" w:line="223" w:lineRule="exact"/>
              <w:ind w:left="102"/>
              <w:rPr>
                <w:rFonts w:ascii="Calibri" w:hAnsi="Calibri"/>
                <w:sz w:val="20"/>
              </w:rPr>
            </w:pPr>
            <w:r>
              <w:rPr>
                <w:rFonts w:ascii="Calibri" w:hAnsi="Calibri"/>
                <w:sz w:val="20"/>
              </w:rPr>
              <w:t>£1,438,991</w:t>
            </w:r>
          </w:p>
        </w:tc>
        <w:tc>
          <w:tcPr>
            <w:tcW w:w="1844" w:type="dxa"/>
          </w:tcPr>
          <w:p w:rsidR="006A18FD" w:rsidRDefault="002D29FC">
            <w:pPr>
              <w:spacing w:before="1" w:line="223" w:lineRule="exact"/>
              <w:ind w:left="102"/>
              <w:rPr>
                <w:rFonts w:ascii="Calibri" w:hAnsi="Calibri"/>
                <w:sz w:val="20"/>
              </w:rPr>
            </w:pPr>
            <w:r>
              <w:rPr>
                <w:rFonts w:ascii="Calibri" w:hAnsi="Calibri"/>
                <w:sz w:val="20"/>
              </w:rPr>
              <w:t>£624</w:t>
            </w:r>
          </w:p>
        </w:tc>
        <w:tc>
          <w:tcPr>
            <w:tcW w:w="1841" w:type="dxa"/>
          </w:tcPr>
          <w:p w:rsidR="006A18FD" w:rsidRDefault="002D29FC">
            <w:pPr>
              <w:spacing w:before="1" w:line="223" w:lineRule="exact"/>
              <w:ind w:left="102"/>
              <w:rPr>
                <w:rFonts w:ascii="Calibri" w:hAnsi="Calibri"/>
                <w:sz w:val="20"/>
              </w:rPr>
            </w:pPr>
            <w:r>
              <w:rPr>
                <w:rFonts w:ascii="Calibri" w:hAnsi="Calibri"/>
                <w:sz w:val="20"/>
              </w:rPr>
              <w:t>(£136,330)</w:t>
            </w:r>
          </w:p>
        </w:tc>
      </w:tr>
      <w:tr w:rsidR="006A18FD">
        <w:trPr>
          <w:trHeight w:val="240"/>
        </w:trPr>
        <w:tc>
          <w:tcPr>
            <w:tcW w:w="3965" w:type="dxa"/>
          </w:tcPr>
          <w:p w:rsidR="006A18FD" w:rsidRDefault="002D29FC">
            <w:pPr>
              <w:spacing w:before="1" w:line="223" w:lineRule="exact"/>
              <w:ind w:left="102"/>
              <w:rPr>
                <w:rFonts w:ascii="Calibri"/>
                <w:b/>
                <w:sz w:val="20"/>
              </w:rPr>
            </w:pPr>
            <w:r>
              <w:rPr>
                <w:rFonts w:ascii="Calibri"/>
                <w:b/>
                <w:sz w:val="20"/>
              </w:rPr>
              <w:t>Provider A using national deliver picture</w:t>
            </w:r>
          </w:p>
        </w:tc>
        <w:tc>
          <w:tcPr>
            <w:tcW w:w="1985" w:type="dxa"/>
          </w:tcPr>
          <w:p w:rsidR="006A18FD" w:rsidRDefault="002D29FC">
            <w:pPr>
              <w:spacing w:before="1" w:line="223" w:lineRule="exact"/>
              <w:ind w:left="102"/>
              <w:rPr>
                <w:rFonts w:ascii="Calibri" w:hAnsi="Calibri"/>
                <w:sz w:val="20"/>
              </w:rPr>
            </w:pPr>
            <w:r>
              <w:rPr>
                <w:rFonts w:ascii="Calibri" w:hAnsi="Calibri"/>
                <w:sz w:val="20"/>
              </w:rPr>
              <w:t>£1,480,019</w:t>
            </w:r>
          </w:p>
        </w:tc>
        <w:tc>
          <w:tcPr>
            <w:tcW w:w="1844" w:type="dxa"/>
          </w:tcPr>
          <w:p w:rsidR="006A18FD" w:rsidRDefault="002D29FC">
            <w:pPr>
              <w:spacing w:before="1" w:line="223" w:lineRule="exact"/>
              <w:ind w:left="102"/>
              <w:rPr>
                <w:rFonts w:ascii="Calibri" w:hAnsi="Calibri"/>
                <w:sz w:val="20"/>
              </w:rPr>
            </w:pPr>
            <w:r>
              <w:rPr>
                <w:rFonts w:ascii="Calibri" w:hAnsi="Calibri"/>
                <w:sz w:val="20"/>
              </w:rPr>
              <w:t>£566</w:t>
            </w:r>
          </w:p>
        </w:tc>
        <w:tc>
          <w:tcPr>
            <w:tcW w:w="1841" w:type="dxa"/>
          </w:tcPr>
          <w:p w:rsidR="006A18FD" w:rsidRDefault="002D29FC">
            <w:pPr>
              <w:spacing w:before="1" w:line="223" w:lineRule="exact"/>
              <w:ind w:left="102"/>
              <w:rPr>
                <w:rFonts w:ascii="Calibri" w:hAnsi="Calibri"/>
                <w:sz w:val="20"/>
              </w:rPr>
            </w:pPr>
            <w:r>
              <w:rPr>
                <w:rFonts w:ascii="Calibri" w:hAnsi="Calibri"/>
                <w:sz w:val="20"/>
              </w:rPr>
              <w:t>(£95,302)</w:t>
            </w:r>
          </w:p>
        </w:tc>
      </w:tr>
    </w:tbl>
    <w:p w:rsidR="006A18FD" w:rsidRDefault="002D29FC">
      <w:pPr>
        <w:spacing w:before="121" w:line="276" w:lineRule="auto"/>
        <w:ind w:left="140" w:right="808"/>
        <w:rPr>
          <w:rFonts w:ascii="Calibri"/>
          <w:sz w:val="20"/>
        </w:rPr>
      </w:pPr>
      <w:r>
        <w:rPr>
          <w:rFonts w:ascii="Calibri"/>
          <w:sz w:val="20"/>
        </w:rPr>
        <w:t>Further opportunities can also be identified by using the new activities and resources to scope the underlying costs of clinical variation. Providers can therefore consider the difference in costs depending on when the episode occurred. For example, the table below shows that the cost of delivering spinal injections in T&amp;O in Provider A is lower per episode when carried out at the weekend. Combining this information with the activities and resources means the provider can understand which elements of the service are carried out during the week.</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6"/>
        <w:gridCol w:w="2872"/>
      </w:tblGrid>
      <w:tr w:rsidR="006A18FD" w:rsidTr="0053166C">
        <w:trPr>
          <w:trHeight w:val="240"/>
          <w:tblHeader/>
        </w:trPr>
        <w:tc>
          <w:tcPr>
            <w:tcW w:w="2254" w:type="dxa"/>
          </w:tcPr>
          <w:p w:rsidR="006A18FD" w:rsidRDefault="006A18FD">
            <w:pPr>
              <w:rPr>
                <w:rFonts w:ascii="Times New Roman"/>
                <w:sz w:val="16"/>
              </w:rPr>
            </w:pPr>
          </w:p>
        </w:tc>
        <w:tc>
          <w:tcPr>
            <w:tcW w:w="7382" w:type="dxa"/>
            <w:gridSpan w:val="3"/>
          </w:tcPr>
          <w:p w:rsidR="006A18FD" w:rsidRDefault="002D29FC">
            <w:pPr>
              <w:spacing w:before="1" w:line="223" w:lineRule="exact"/>
              <w:ind w:left="103"/>
              <w:rPr>
                <w:rFonts w:ascii="Calibri" w:hAnsi="Calibri"/>
                <w:b/>
                <w:sz w:val="20"/>
              </w:rPr>
            </w:pPr>
            <w:r>
              <w:rPr>
                <w:rFonts w:ascii="Calibri" w:hAnsi="Calibri"/>
                <w:b/>
                <w:sz w:val="20"/>
              </w:rPr>
              <w:t>Provider A – T&amp;O</w:t>
            </w:r>
          </w:p>
        </w:tc>
      </w:tr>
      <w:tr w:rsidR="006A18FD">
        <w:trPr>
          <w:trHeight w:val="240"/>
        </w:trPr>
        <w:tc>
          <w:tcPr>
            <w:tcW w:w="2254" w:type="dxa"/>
          </w:tcPr>
          <w:p w:rsidR="006A18FD" w:rsidRDefault="006A18FD">
            <w:pPr>
              <w:rPr>
                <w:rFonts w:ascii="Times New Roman"/>
                <w:sz w:val="16"/>
              </w:rPr>
            </w:pPr>
          </w:p>
        </w:tc>
        <w:tc>
          <w:tcPr>
            <w:tcW w:w="2254" w:type="dxa"/>
          </w:tcPr>
          <w:p w:rsidR="006A18FD" w:rsidRDefault="002D29FC">
            <w:pPr>
              <w:spacing w:before="1" w:line="223" w:lineRule="exact"/>
              <w:ind w:left="103"/>
              <w:rPr>
                <w:rFonts w:ascii="Calibri"/>
                <w:b/>
                <w:sz w:val="20"/>
              </w:rPr>
            </w:pPr>
            <w:r>
              <w:rPr>
                <w:rFonts w:ascii="Calibri"/>
                <w:b/>
                <w:sz w:val="20"/>
              </w:rPr>
              <w:t>Cost</w:t>
            </w:r>
          </w:p>
        </w:tc>
        <w:tc>
          <w:tcPr>
            <w:tcW w:w="2256" w:type="dxa"/>
          </w:tcPr>
          <w:p w:rsidR="006A18FD" w:rsidRDefault="002D29FC">
            <w:pPr>
              <w:spacing w:before="1" w:line="223" w:lineRule="exact"/>
              <w:ind w:left="102"/>
              <w:rPr>
                <w:rFonts w:ascii="Calibri"/>
                <w:b/>
                <w:sz w:val="20"/>
              </w:rPr>
            </w:pPr>
            <w:r>
              <w:rPr>
                <w:rFonts w:ascii="Calibri"/>
                <w:b/>
                <w:sz w:val="20"/>
              </w:rPr>
              <w:t>Average Cost</w:t>
            </w:r>
          </w:p>
        </w:tc>
        <w:tc>
          <w:tcPr>
            <w:tcW w:w="2871" w:type="dxa"/>
          </w:tcPr>
          <w:p w:rsidR="006A18FD" w:rsidRDefault="002D29FC">
            <w:pPr>
              <w:spacing w:before="1" w:line="223" w:lineRule="exact"/>
              <w:ind w:left="102"/>
              <w:rPr>
                <w:rFonts w:ascii="Calibri"/>
                <w:b/>
                <w:sz w:val="20"/>
              </w:rPr>
            </w:pPr>
            <w:r>
              <w:rPr>
                <w:rFonts w:ascii="Calibri"/>
                <w:b/>
                <w:sz w:val="20"/>
              </w:rPr>
              <w:t>Activity</w:t>
            </w:r>
          </w:p>
        </w:tc>
      </w:tr>
      <w:tr w:rsidR="006A18FD">
        <w:trPr>
          <w:trHeight w:val="240"/>
        </w:trPr>
        <w:tc>
          <w:tcPr>
            <w:tcW w:w="2254" w:type="dxa"/>
          </w:tcPr>
          <w:p w:rsidR="006A18FD" w:rsidRDefault="002D29FC">
            <w:pPr>
              <w:spacing w:line="222" w:lineRule="exact"/>
              <w:ind w:left="102"/>
              <w:rPr>
                <w:rFonts w:ascii="Calibri"/>
                <w:b/>
                <w:sz w:val="20"/>
              </w:rPr>
            </w:pPr>
            <w:r>
              <w:rPr>
                <w:rFonts w:ascii="Calibri"/>
                <w:b/>
                <w:sz w:val="20"/>
              </w:rPr>
              <w:t>Midweek</w:t>
            </w:r>
          </w:p>
        </w:tc>
        <w:tc>
          <w:tcPr>
            <w:tcW w:w="2254" w:type="dxa"/>
          </w:tcPr>
          <w:p w:rsidR="006A18FD" w:rsidRDefault="002D29FC">
            <w:pPr>
              <w:spacing w:line="222" w:lineRule="exact"/>
              <w:ind w:left="103"/>
              <w:rPr>
                <w:rFonts w:ascii="Calibri" w:hAnsi="Calibri"/>
                <w:sz w:val="20"/>
              </w:rPr>
            </w:pPr>
            <w:r>
              <w:rPr>
                <w:rFonts w:ascii="Calibri" w:hAnsi="Calibri"/>
                <w:sz w:val="20"/>
              </w:rPr>
              <w:t>£903,334</w:t>
            </w:r>
          </w:p>
        </w:tc>
        <w:tc>
          <w:tcPr>
            <w:tcW w:w="2256" w:type="dxa"/>
          </w:tcPr>
          <w:p w:rsidR="006A18FD" w:rsidRDefault="002D29FC">
            <w:pPr>
              <w:spacing w:line="222" w:lineRule="exact"/>
              <w:ind w:left="102"/>
              <w:rPr>
                <w:rFonts w:ascii="Calibri" w:hAnsi="Calibri"/>
                <w:sz w:val="20"/>
              </w:rPr>
            </w:pPr>
            <w:r>
              <w:rPr>
                <w:rFonts w:ascii="Calibri" w:hAnsi="Calibri"/>
                <w:sz w:val="20"/>
              </w:rPr>
              <w:t>£652</w:t>
            </w:r>
          </w:p>
        </w:tc>
        <w:tc>
          <w:tcPr>
            <w:tcW w:w="2871" w:type="dxa"/>
          </w:tcPr>
          <w:p w:rsidR="006A18FD" w:rsidRDefault="002D29FC">
            <w:pPr>
              <w:spacing w:line="222" w:lineRule="exact"/>
              <w:ind w:left="102"/>
              <w:rPr>
                <w:rFonts w:ascii="Calibri"/>
                <w:sz w:val="20"/>
              </w:rPr>
            </w:pPr>
            <w:r>
              <w:rPr>
                <w:rFonts w:ascii="Calibri"/>
                <w:sz w:val="20"/>
              </w:rPr>
              <w:t>1,386</w:t>
            </w:r>
          </w:p>
        </w:tc>
      </w:tr>
      <w:tr w:rsidR="006A18FD">
        <w:trPr>
          <w:trHeight w:val="240"/>
        </w:trPr>
        <w:tc>
          <w:tcPr>
            <w:tcW w:w="2254" w:type="dxa"/>
          </w:tcPr>
          <w:p w:rsidR="006A18FD" w:rsidRDefault="002D29FC">
            <w:pPr>
              <w:spacing w:before="1" w:line="225" w:lineRule="exact"/>
              <w:ind w:left="102"/>
              <w:rPr>
                <w:rFonts w:ascii="Calibri"/>
                <w:b/>
                <w:sz w:val="20"/>
              </w:rPr>
            </w:pPr>
            <w:r>
              <w:rPr>
                <w:rFonts w:ascii="Calibri"/>
                <w:b/>
                <w:sz w:val="20"/>
              </w:rPr>
              <w:t>Weekend</w:t>
            </w:r>
          </w:p>
        </w:tc>
        <w:tc>
          <w:tcPr>
            <w:tcW w:w="2254" w:type="dxa"/>
          </w:tcPr>
          <w:p w:rsidR="006A18FD" w:rsidRDefault="002D29FC">
            <w:pPr>
              <w:spacing w:before="1" w:line="225" w:lineRule="exact"/>
              <w:ind w:left="103"/>
              <w:rPr>
                <w:rFonts w:ascii="Calibri" w:hAnsi="Calibri"/>
                <w:sz w:val="20"/>
              </w:rPr>
            </w:pPr>
            <w:r>
              <w:rPr>
                <w:rFonts w:ascii="Calibri" w:hAnsi="Calibri"/>
                <w:sz w:val="20"/>
              </w:rPr>
              <w:t>£261,461</w:t>
            </w:r>
          </w:p>
        </w:tc>
        <w:tc>
          <w:tcPr>
            <w:tcW w:w="2256" w:type="dxa"/>
          </w:tcPr>
          <w:p w:rsidR="006A18FD" w:rsidRDefault="002D29FC">
            <w:pPr>
              <w:spacing w:before="1" w:line="225" w:lineRule="exact"/>
              <w:ind w:left="102"/>
              <w:rPr>
                <w:rFonts w:ascii="Calibri" w:hAnsi="Calibri"/>
                <w:sz w:val="20"/>
              </w:rPr>
            </w:pPr>
            <w:r>
              <w:rPr>
                <w:rFonts w:ascii="Calibri" w:hAnsi="Calibri"/>
                <w:sz w:val="20"/>
              </w:rPr>
              <w:t>£547</w:t>
            </w:r>
          </w:p>
        </w:tc>
        <w:tc>
          <w:tcPr>
            <w:tcW w:w="2871" w:type="dxa"/>
          </w:tcPr>
          <w:p w:rsidR="006A18FD" w:rsidRDefault="002D29FC">
            <w:pPr>
              <w:spacing w:before="1" w:line="225" w:lineRule="exact"/>
              <w:ind w:left="102"/>
              <w:rPr>
                <w:rFonts w:ascii="Calibri"/>
                <w:sz w:val="20"/>
              </w:rPr>
            </w:pPr>
            <w:r>
              <w:rPr>
                <w:rFonts w:ascii="Calibri"/>
                <w:sz w:val="20"/>
              </w:rPr>
              <w:t>478</w:t>
            </w:r>
          </w:p>
        </w:tc>
      </w:tr>
    </w:tbl>
    <w:p w:rsidR="006A18FD" w:rsidRDefault="006A18FD">
      <w:pPr>
        <w:spacing w:line="225" w:lineRule="exact"/>
        <w:rPr>
          <w:rFonts w:ascii="Calibri"/>
          <w:sz w:val="20"/>
        </w:rPr>
        <w:sectPr w:rsidR="006A18FD">
          <w:pgSz w:w="11910" w:h="16840"/>
          <w:pgMar w:top="1000" w:right="700" w:bottom="280" w:left="1300" w:header="751" w:footer="0" w:gutter="0"/>
          <w:cols w:space="720"/>
        </w:sectPr>
      </w:pPr>
    </w:p>
    <w:p w:rsidR="006A18FD" w:rsidRDefault="006A18FD">
      <w:pPr>
        <w:rPr>
          <w:rFonts w:ascii="Calibri"/>
          <w:sz w:val="20"/>
        </w:rPr>
      </w:pPr>
    </w:p>
    <w:p w:rsidR="006A18FD" w:rsidRDefault="006A18FD">
      <w:pPr>
        <w:spacing w:before="12"/>
        <w:rPr>
          <w:rFonts w:ascii="Calibri"/>
          <w:sz w:val="17"/>
        </w:rPr>
      </w:pPr>
    </w:p>
    <w:p w:rsidR="006A18FD" w:rsidRDefault="002D29FC">
      <w:pPr>
        <w:spacing w:before="59" w:line="276" w:lineRule="auto"/>
        <w:ind w:left="140" w:right="747"/>
        <w:rPr>
          <w:rFonts w:ascii="Calibri"/>
          <w:sz w:val="20"/>
        </w:rPr>
      </w:pPr>
      <w:r>
        <w:rPr>
          <w:rFonts w:ascii="Calibri"/>
          <w:sz w:val="20"/>
        </w:rPr>
        <w:t>Another provider (Provider B) in the same region as Provider A carried out around half of their spinal injections as an outpatient procedure at 20 per cent of the cost of the same procedure in day case. As part of the case study process, NHS England and NHS Improvement have connected costing and clinical colleagues at the two providers to work together to understand whether Provider A could move their services away from admitted patient care, leading to additional potential savings opportunities.</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2410"/>
        <w:gridCol w:w="1843"/>
        <w:gridCol w:w="2552"/>
      </w:tblGrid>
      <w:tr w:rsidR="006A18FD" w:rsidTr="0053166C">
        <w:trPr>
          <w:trHeight w:val="240"/>
          <w:tblHeader/>
        </w:trPr>
        <w:tc>
          <w:tcPr>
            <w:tcW w:w="2830" w:type="dxa"/>
          </w:tcPr>
          <w:p w:rsidR="006A18FD" w:rsidRDefault="006A18FD">
            <w:pPr>
              <w:rPr>
                <w:rFonts w:ascii="Times New Roman"/>
                <w:sz w:val="16"/>
              </w:rPr>
            </w:pPr>
          </w:p>
        </w:tc>
        <w:tc>
          <w:tcPr>
            <w:tcW w:w="6805" w:type="dxa"/>
            <w:gridSpan w:val="3"/>
          </w:tcPr>
          <w:p w:rsidR="006A18FD" w:rsidRDefault="002D29FC">
            <w:pPr>
              <w:spacing w:before="1" w:line="223" w:lineRule="exact"/>
              <w:ind w:left="103"/>
              <w:rPr>
                <w:rFonts w:ascii="Calibri"/>
                <w:b/>
                <w:sz w:val="20"/>
              </w:rPr>
            </w:pPr>
            <w:r>
              <w:rPr>
                <w:rFonts w:ascii="Calibri"/>
                <w:b/>
                <w:sz w:val="20"/>
              </w:rPr>
              <w:t>Provider B</w:t>
            </w:r>
          </w:p>
        </w:tc>
      </w:tr>
      <w:tr w:rsidR="006A18FD">
        <w:trPr>
          <w:trHeight w:val="240"/>
        </w:trPr>
        <w:tc>
          <w:tcPr>
            <w:tcW w:w="2830" w:type="dxa"/>
          </w:tcPr>
          <w:p w:rsidR="006A18FD" w:rsidRDefault="006A18FD">
            <w:pPr>
              <w:rPr>
                <w:rFonts w:ascii="Times New Roman"/>
                <w:sz w:val="16"/>
              </w:rPr>
            </w:pPr>
          </w:p>
        </w:tc>
        <w:tc>
          <w:tcPr>
            <w:tcW w:w="2410" w:type="dxa"/>
          </w:tcPr>
          <w:p w:rsidR="006A18FD" w:rsidRDefault="002D29FC">
            <w:pPr>
              <w:spacing w:before="1" w:line="223" w:lineRule="exact"/>
              <w:ind w:left="103"/>
              <w:rPr>
                <w:rFonts w:ascii="Calibri"/>
                <w:b/>
                <w:sz w:val="20"/>
              </w:rPr>
            </w:pPr>
            <w:r>
              <w:rPr>
                <w:rFonts w:ascii="Calibri"/>
                <w:b/>
                <w:sz w:val="20"/>
              </w:rPr>
              <w:t>Total cost</w:t>
            </w:r>
          </w:p>
        </w:tc>
        <w:tc>
          <w:tcPr>
            <w:tcW w:w="1843" w:type="dxa"/>
          </w:tcPr>
          <w:p w:rsidR="006A18FD" w:rsidRDefault="002D29FC">
            <w:pPr>
              <w:spacing w:before="1" w:line="223" w:lineRule="exact"/>
              <w:ind w:left="103"/>
              <w:rPr>
                <w:rFonts w:ascii="Calibri"/>
                <w:b/>
                <w:sz w:val="20"/>
              </w:rPr>
            </w:pPr>
            <w:r>
              <w:rPr>
                <w:rFonts w:ascii="Calibri"/>
                <w:b/>
                <w:sz w:val="20"/>
              </w:rPr>
              <w:t>Average cost</w:t>
            </w:r>
          </w:p>
        </w:tc>
        <w:tc>
          <w:tcPr>
            <w:tcW w:w="2552" w:type="dxa"/>
          </w:tcPr>
          <w:p w:rsidR="006A18FD" w:rsidRDefault="002D29FC">
            <w:pPr>
              <w:spacing w:before="1" w:line="223" w:lineRule="exact"/>
              <w:ind w:left="103"/>
              <w:rPr>
                <w:rFonts w:ascii="Calibri"/>
                <w:b/>
                <w:sz w:val="20"/>
              </w:rPr>
            </w:pPr>
            <w:r>
              <w:rPr>
                <w:rFonts w:ascii="Calibri"/>
                <w:b/>
                <w:sz w:val="20"/>
              </w:rPr>
              <w:t>Total activity</w:t>
            </w:r>
          </w:p>
        </w:tc>
      </w:tr>
      <w:tr w:rsidR="006A18FD">
        <w:trPr>
          <w:trHeight w:val="240"/>
        </w:trPr>
        <w:tc>
          <w:tcPr>
            <w:tcW w:w="2830" w:type="dxa"/>
          </w:tcPr>
          <w:p w:rsidR="006A18FD" w:rsidRDefault="002D29FC">
            <w:pPr>
              <w:spacing w:before="1" w:line="223" w:lineRule="exact"/>
              <w:ind w:left="102"/>
              <w:rPr>
                <w:rFonts w:ascii="Calibri"/>
                <w:b/>
                <w:sz w:val="20"/>
              </w:rPr>
            </w:pPr>
            <w:r>
              <w:rPr>
                <w:rFonts w:ascii="Calibri"/>
                <w:b/>
                <w:sz w:val="20"/>
              </w:rPr>
              <w:t>Day case</w:t>
            </w:r>
          </w:p>
        </w:tc>
        <w:tc>
          <w:tcPr>
            <w:tcW w:w="2410" w:type="dxa"/>
          </w:tcPr>
          <w:p w:rsidR="006A18FD" w:rsidRDefault="002D29FC">
            <w:pPr>
              <w:spacing w:before="1" w:line="223" w:lineRule="exact"/>
              <w:ind w:left="103"/>
              <w:rPr>
                <w:rFonts w:ascii="Calibri" w:hAnsi="Calibri"/>
                <w:sz w:val="20"/>
              </w:rPr>
            </w:pPr>
            <w:r>
              <w:rPr>
                <w:rFonts w:ascii="Calibri" w:hAnsi="Calibri"/>
                <w:sz w:val="20"/>
              </w:rPr>
              <w:t>£395,828</w:t>
            </w:r>
          </w:p>
        </w:tc>
        <w:tc>
          <w:tcPr>
            <w:tcW w:w="1843" w:type="dxa"/>
          </w:tcPr>
          <w:p w:rsidR="006A18FD" w:rsidRDefault="002D29FC">
            <w:pPr>
              <w:spacing w:before="1" w:line="223" w:lineRule="exact"/>
              <w:ind w:left="103"/>
              <w:rPr>
                <w:rFonts w:ascii="Calibri" w:hAnsi="Calibri"/>
                <w:sz w:val="20"/>
              </w:rPr>
            </w:pPr>
            <w:r>
              <w:rPr>
                <w:rFonts w:ascii="Calibri" w:hAnsi="Calibri"/>
                <w:sz w:val="20"/>
              </w:rPr>
              <w:t>£636</w:t>
            </w:r>
          </w:p>
        </w:tc>
        <w:tc>
          <w:tcPr>
            <w:tcW w:w="2552" w:type="dxa"/>
          </w:tcPr>
          <w:p w:rsidR="006A18FD" w:rsidRDefault="002D29FC">
            <w:pPr>
              <w:spacing w:before="1" w:line="223" w:lineRule="exact"/>
              <w:ind w:left="103"/>
              <w:rPr>
                <w:rFonts w:ascii="Calibri" w:hAnsi="Calibri"/>
                <w:sz w:val="20"/>
              </w:rPr>
            </w:pPr>
            <w:r>
              <w:rPr>
                <w:rFonts w:ascii="Calibri" w:hAnsi="Calibri"/>
                <w:sz w:val="20"/>
              </w:rPr>
              <w:t>£622</w:t>
            </w:r>
          </w:p>
        </w:tc>
      </w:tr>
      <w:tr w:rsidR="006A18FD">
        <w:trPr>
          <w:trHeight w:val="240"/>
        </w:trPr>
        <w:tc>
          <w:tcPr>
            <w:tcW w:w="2830" w:type="dxa"/>
          </w:tcPr>
          <w:p w:rsidR="006A18FD" w:rsidRDefault="002D29FC">
            <w:pPr>
              <w:spacing w:before="1" w:line="223" w:lineRule="exact"/>
              <w:ind w:left="102"/>
              <w:rPr>
                <w:rFonts w:ascii="Calibri"/>
                <w:b/>
                <w:sz w:val="20"/>
              </w:rPr>
            </w:pPr>
            <w:r>
              <w:rPr>
                <w:rFonts w:ascii="Calibri"/>
                <w:b/>
                <w:sz w:val="20"/>
              </w:rPr>
              <w:t>Outpatient procedure</w:t>
            </w:r>
          </w:p>
        </w:tc>
        <w:tc>
          <w:tcPr>
            <w:tcW w:w="2410" w:type="dxa"/>
          </w:tcPr>
          <w:p w:rsidR="006A18FD" w:rsidRDefault="002D29FC">
            <w:pPr>
              <w:spacing w:before="1" w:line="223" w:lineRule="exact"/>
              <w:ind w:left="103"/>
              <w:rPr>
                <w:rFonts w:ascii="Calibri" w:hAnsi="Calibri"/>
                <w:sz w:val="20"/>
              </w:rPr>
            </w:pPr>
            <w:r>
              <w:rPr>
                <w:rFonts w:ascii="Calibri" w:hAnsi="Calibri"/>
                <w:sz w:val="20"/>
              </w:rPr>
              <w:t>£79,575</w:t>
            </w:r>
          </w:p>
        </w:tc>
        <w:tc>
          <w:tcPr>
            <w:tcW w:w="1843" w:type="dxa"/>
          </w:tcPr>
          <w:p w:rsidR="006A18FD" w:rsidRDefault="002D29FC">
            <w:pPr>
              <w:spacing w:before="1" w:line="223" w:lineRule="exact"/>
              <w:ind w:left="103"/>
              <w:rPr>
                <w:rFonts w:ascii="Calibri" w:hAnsi="Calibri"/>
                <w:sz w:val="20"/>
              </w:rPr>
            </w:pPr>
            <w:r>
              <w:rPr>
                <w:rFonts w:ascii="Calibri" w:hAnsi="Calibri"/>
                <w:sz w:val="20"/>
              </w:rPr>
              <w:t>£122</w:t>
            </w:r>
          </w:p>
        </w:tc>
        <w:tc>
          <w:tcPr>
            <w:tcW w:w="2552" w:type="dxa"/>
          </w:tcPr>
          <w:p w:rsidR="006A18FD" w:rsidRDefault="002D29FC">
            <w:pPr>
              <w:spacing w:before="1" w:line="223" w:lineRule="exact"/>
              <w:ind w:left="103"/>
              <w:rPr>
                <w:rFonts w:ascii="Calibri" w:hAnsi="Calibri"/>
                <w:sz w:val="20"/>
              </w:rPr>
            </w:pPr>
            <w:r>
              <w:rPr>
                <w:rFonts w:ascii="Calibri" w:hAnsi="Calibri"/>
                <w:sz w:val="20"/>
              </w:rPr>
              <w:t>£653</w:t>
            </w:r>
          </w:p>
        </w:tc>
      </w:tr>
    </w:tbl>
    <w:p w:rsidR="006A18FD" w:rsidRDefault="002D29FC">
      <w:pPr>
        <w:spacing w:before="121" w:line="276" w:lineRule="auto"/>
        <w:ind w:left="140" w:right="810"/>
        <w:rPr>
          <w:rFonts w:ascii="Calibri" w:hAnsi="Calibri"/>
          <w:sz w:val="20"/>
        </w:rPr>
      </w:pPr>
      <w:r>
        <w:rPr>
          <w:rFonts w:ascii="Calibri" w:hAnsi="Calibri"/>
          <w:sz w:val="20"/>
        </w:rPr>
        <w:t xml:space="preserve">Using patient-level cost data, Provider A (supported by the case study analysis prepared by NHS England and NHS Improvement) has re-organised its spinal injections service and is working with Provider B to understand if it can be further improved by moving the appropriate workload into outpatient procedures. The change driven by patient-level costing data has been communicated across the organisation, with the Deputy Medical Director stating </w:t>
      </w:r>
      <w:r>
        <w:rPr>
          <w:rFonts w:ascii="Calibri" w:hAnsi="Calibri"/>
          <w:i/>
          <w:sz w:val="20"/>
        </w:rPr>
        <w:t>“The spinal service has engaged with the results of your work and are changing their service. Many thanks again for your work on this – it will make a big difference to overall patient care &amp; quality”</w:t>
      </w:r>
      <w:r>
        <w:rPr>
          <w:rFonts w:ascii="Calibri" w:hAnsi="Calibri"/>
          <w:sz w:val="20"/>
        </w:rPr>
        <w:t>.</w:t>
      </w:r>
    </w:p>
    <w:p w:rsidR="006A18FD" w:rsidRDefault="002D29FC">
      <w:pPr>
        <w:spacing w:before="119" w:line="276" w:lineRule="auto"/>
        <w:ind w:left="140" w:right="1304"/>
        <w:rPr>
          <w:rFonts w:ascii="Calibri"/>
          <w:b/>
          <w:sz w:val="20"/>
        </w:rPr>
      </w:pPr>
      <w:r>
        <w:rPr>
          <w:rFonts w:ascii="Calibri"/>
          <w:b/>
          <w:sz w:val="20"/>
        </w:rPr>
        <w:t xml:space="preserve">Full details of this and the other case studies can be found on the NHS England and NHS Improvement website </w:t>
      </w:r>
      <w:hyperlink r:id="rId43">
        <w:r>
          <w:rPr>
            <w:rFonts w:ascii="Calibri"/>
            <w:b/>
            <w:sz w:val="20"/>
          </w:rPr>
          <w:t>(https://www.england.nhs.uk/publication/</w:t>
        </w:r>
      </w:hyperlink>
      <w:r>
        <w:rPr>
          <w:rFonts w:ascii="Calibri"/>
          <w:b/>
          <w:sz w:val="20"/>
        </w:rPr>
        <w:t>).</w:t>
      </w:r>
    </w:p>
    <w:p w:rsidR="006A18FD" w:rsidRDefault="006A18FD">
      <w:pPr>
        <w:rPr>
          <w:rFonts w:ascii="Calibri"/>
          <w:b/>
          <w:sz w:val="20"/>
        </w:rPr>
      </w:pPr>
    </w:p>
    <w:p w:rsidR="006A18FD" w:rsidRDefault="006A18FD">
      <w:pPr>
        <w:spacing w:before="7"/>
        <w:rPr>
          <w:rFonts w:ascii="Calibri"/>
          <w:b/>
        </w:rPr>
      </w:pPr>
    </w:p>
    <w:p w:rsidR="006A18FD" w:rsidRDefault="002D29FC">
      <w:pPr>
        <w:spacing w:line="276" w:lineRule="auto"/>
        <w:ind w:left="140" w:right="1418"/>
        <w:rPr>
          <w:rFonts w:ascii="Calibri"/>
          <w:sz w:val="20"/>
        </w:rPr>
      </w:pPr>
      <w:r>
        <w:rPr>
          <w:rFonts w:ascii="Calibri"/>
          <w:sz w:val="20"/>
        </w:rPr>
        <w:t xml:space="preserve">Department of Health (2016) </w:t>
      </w:r>
      <w:r>
        <w:rPr>
          <w:rFonts w:ascii="Calibri"/>
          <w:i/>
          <w:sz w:val="20"/>
        </w:rPr>
        <w:t xml:space="preserve">Operational productivity and performance in English NHS acute hospitals: unwarranted variations, </w:t>
      </w:r>
      <w:r>
        <w:rPr>
          <w:rFonts w:ascii="Calibri"/>
          <w:sz w:val="20"/>
        </w:rPr>
        <w:t>Department of Health, London</w:t>
      </w:r>
      <w:r>
        <w:rPr>
          <w:rFonts w:ascii="Calibri"/>
          <w:i/>
          <w:sz w:val="20"/>
        </w:rPr>
        <w:t xml:space="preserve">. </w:t>
      </w:r>
      <w:hyperlink r:id="rId44">
        <w:r>
          <w:rPr>
            <w:rFonts w:ascii="Calibri"/>
            <w:sz w:val="20"/>
            <w:u w:val="single"/>
          </w:rPr>
          <w:t>https://www.gov.uk/government/publications/productivity-in-nhs-hospitals</w:t>
        </w:r>
      </w:hyperlink>
    </w:p>
    <w:p w:rsidR="006A18FD" w:rsidRDefault="002D29FC">
      <w:pPr>
        <w:spacing w:before="119" w:line="276" w:lineRule="auto"/>
        <w:ind w:left="140" w:right="1387"/>
        <w:rPr>
          <w:rFonts w:ascii="Calibri"/>
          <w:sz w:val="20"/>
        </w:rPr>
      </w:pPr>
      <w:r>
        <w:rPr>
          <w:rFonts w:ascii="Calibri"/>
          <w:sz w:val="20"/>
        </w:rPr>
        <w:t xml:space="preserve">GOV.UK (2014) </w:t>
      </w:r>
      <w:hyperlink r:id="rId45">
        <w:r>
          <w:rPr>
            <w:rFonts w:ascii="Calibri"/>
            <w:sz w:val="20"/>
            <w:u w:val="single"/>
          </w:rPr>
          <w:t>https://www.gov.uk/government/consultations/improving-the-costing-of-nhs-services-</w:t>
        </w:r>
      </w:hyperlink>
      <w:r>
        <w:rPr>
          <w:rFonts w:ascii="Calibri"/>
          <w:sz w:val="20"/>
        </w:rPr>
        <w:t xml:space="preserve"> </w:t>
      </w:r>
      <w:hyperlink r:id="rId46">
        <w:r>
          <w:rPr>
            <w:rFonts w:ascii="Calibri"/>
            <w:sz w:val="20"/>
            <w:u w:val="single"/>
          </w:rPr>
          <w:t>proposals-for-2015-to-2021</w:t>
        </w:r>
      </w:hyperlink>
    </w:p>
    <w:p w:rsidR="006A18FD" w:rsidRDefault="002D29FC">
      <w:pPr>
        <w:spacing w:before="119"/>
        <w:ind w:left="140"/>
        <w:rPr>
          <w:rFonts w:ascii="Calibri"/>
          <w:sz w:val="20"/>
        </w:rPr>
      </w:pPr>
      <w:r>
        <w:rPr>
          <w:rFonts w:ascii="Calibri"/>
          <w:sz w:val="20"/>
        </w:rPr>
        <w:t xml:space="preserve">Monitor (2014) </w:t>
      </w:r>
      <w:r>
        <w:rPr>
          <w:rFonts w:ascii="Calibri"/>
          <w:i/>
          <w:sz w:val="20"/>
        </w:rPr>
        <w:t>Reference cost assurance programme: Findings from the 2013/14 audit</w:t>
      </w:r>
      <w:r>
        <w:rPr>
          <w:rFonts w:ascii="Calibri"/>
          <w:sz w:val="20"/>
        </w:rPr>
        <w:t>, Monitor London.</w:t>
      </w:r>
    </w:p>
    <w:p w:rsidR="006A18FD" w:rsidRDefault="002D29FC">
      <w:pPr>
        <w:spacing w:before="156" w:line="276" w:lineRule="auto"/>
        <w:ind w:left="140"/>
        <w:rPr>
          <w:rFonts w:ascii="Calibri"/>
          <w:sz w:val="20"/>
        </w:rPr>
      </w:pPr>
      <w:r>
        <w:rPr>
          <w:rFonts w:ascii="Calibri"/>
          <w:sz w:val="20"/>
        </w:rPr>
        <w:t xml:space="preserve">Monitor (2015) </w:t>
      </w:r>
      <w:r>
        <w:rPr>
          <w:rFonts w:ascii="Calibri"/>
          <w:i/>
          <w:sz w:val="20"/>
        </w:rPr>
        <w:t>Reference cost assurance programme: Findings from the 2014/15 audit</w:t>
      </w:r>
      <w:r>
        <w:rPr>
          <w:rFonts w:ascii="Calibri"/>
          <w:sz w:val="20"/>
        </w:rPr>
        <w:t xml:space="preserve">, Monitor London. </w:t>
      </w:r>
      <w:hyperlink r:id="rId47">
        <w:r>
          <w:rPr>
            <w:rFonts w:ascii="Calibri"/>
            <w:w w:val="95"/>
            <w:sz w:val="20"/>
            <w:u w:val="single"/>
          </w:rPr>
          <w:t>https://assets.publishing.service.gov.uk/government/uploads/system/uploads/attachment_data/file/466112/</w:t>
        </w:r>
      </w:hyperlink>
      <w:r>
        <w:rPr>
          <w:rFonts w:ascii="Calibri"/>
          <w:w w:val="95"/>
          <w:sz w:val="20"/>
        </w:rPr>
        <w:t xml:space="preserve"> </w:t>
      </w:r>
      <w:hyperlink r:id="rId48">
        <w:r>
          <w:rPr>
            <w:rFonts w:ascii="Calibri"/>
            <w:sz w:val="20"/>
            <w:u w:val="single"/>
          </w:rPr>
          <w:t>Reference_cost_audit_report_final_v2.pdf</w:t>
        </w:r>
      </w:hyperlink>
    </w:p>
    <w:p w:rsidR="006A18FD" w:rsidRDefault="002D29FC">
      <w:pPr>
        <w:spacing w:before="119" w:line="276" w:lineRule="auto"/>
        <w:ind w:left="140" w:right="1574"/>
        <w:rPr>
          <w:rFonts w:ascii="Calibri"/>
          <w:sz w:val="20"/>
        </w:rPr>
      </w:pPr>
      <w:r>
        <w:rPr>
          <w:rFonts w:ascii="Calibri"/>
          <w:sz w:val="20"/>
        </w:rPr>
        <w:t xml:space="preserve">NHS Improvement (2018) </w:t>
      </w:r>
      <w:r>
        <w:rPr>
          <w:rFonts w:ascii="Calibri"/>
          <w:i/>
          <w:sz w:val="20"/>
        </w:rPr>
        <w:t>National Schedule of Reference Costs 2017-18</w:t>
      </w:r>
      <w:r>
        <w:rPr>
          <w:rFonts w:ascii="Calibri"/>
          <w:sz w:val="20"/>
        </w:rPr>
        <w:t xml:space="preserve">, NHS Improvement, London. </w:t>
      </w:r>
      <w:hyperlink r:id="rId49">
        <w:r>
          <w:rPr>
            <w:rFonts w:ascii="Calibri"/>
            <w:sz w:val="20"/>
            <w:u w:val="single"/>
          </w:rPr>
          <w:t>https://improvement.nhs.uk/resources/reference-costs/</w:t>
        </w:r>
        <w:r>
          <w:rPr>
            <w:rFonts w:ascii="Calibri"/>
            <w:sz w:val="20"/>
          </w:rPr>
          <w:t xml:space="preserve"> </w:t>
        </w:r>
      </w:hyperlink>
      <w:r>
        <w:rPr>
          <w:rFonts w:ascii="Calibri"/>
          <w:sz w:val="20"/>
        </w:rPr>
        <w:t>[accessed 1 November 2019].</w:t>
      </w:r>
    </w:p>
    <w:p w:rsidR="006A18FD" w:rsidRDefault="002D29FC">
      <w:pPr>
        <w:spacing w:before="119" w:line="276" w:lineRule="auto"/>
        <w:ind w:left="140" w:right="1577"/>
        <w:rPr>
          <w:rFonts w:ascii="Calibri"/>
          <w:sz w:val="20"/>
        </w:rPr>
      </w:pPr>
      <w:r>
        <w:rPr>
          <w:rFonts w:ascii="Calibri"/>
          <w:sz w:val="20"/>
        </w:rPr>
        <w:t xml:space="preserve">NHS Improvement (2018) </w:t>
      </w:r>
      <w:r>
        <w:rPr>
          <w:rFonts w:ascii="Calibri"/>
          <w:i/>
          <w:sz w:val="20"/>
        </w:rPr>
        <w:t>National Schedule of Reference Costs 2017-18</w:t>
      </w:r>
      <w:r>
        <w:rPr>
          <w:rFonts w:ascii="Calibri"/>
          <w:sz w:val="20"/>
        </w:rPr>
        <w:t xml:space="preserve">, NHS Improvement, London. </w:t>
      </w:r>
      <w:hyperlink r:id="rId50">
        <w:r>
          <w:rPr>
            <w:rFonts w:ascii="Calibri"/>
            <w:sz w:val="20"/>
            <w:u w:val="single"/>
          </w:rPr>
          <w:t>https://improvement.nhs.uk/resources/reference-costs/</w:t>
        </w:r>
        <w:r>
          <w:rPr>
            <w:rFonts w:ascii="Calibri"/>
            <w:sz w:val="20"/>
          </w:rPr>
          <w:t xml:space="preserve"> </w:t>
        </w:r>
      </w:hyperlink>
      <w:r>
        <w:rPr>
          <w:rFonts w:ascii="Calibri"/>
          <w:sz w:val="20"/>
        </w:rPr>
        <w:t>[accessed 1 November 2019].</w:t>
      </w:r>
    </w:p>
    <w:p w:rsidR="006A18FD" w:rsidRDefault="002D29FC">
      <w:pPr>
        <w:spacing w:before="120"/>
        <w:ind w:left="140"/>
        <w:rPr>
          <w:rFonts w:ascii="Calibri"/>
          <w:sz w:val="20"/>
        </w:rPr>
      </w:pPr>
      <w:r>
        <w:rPr>
          <w:rFonts w:ascii="Calibri"/>
          <w:sz w:val="20"/>
        </w:rPr>
        <w:t xml:space="preserve">NHS (2014) </w:t>
      </w:r>
      <w:r>
        <w:rPr>
          <w:rFonts w:ascii="Calibri"/>
          <w:i/>
          <w:sz w:val="20"/>
        </w:rPr>
        <w:t>Five Year Forward View</w:t>
      </w:r>
      <w:r>
        <w:rPr>
          <w:rFonts w:ascii="Calibri"/>
          <w:sz w:val="20"/>
        </w:rPr>
        <w:t xml:space="preserve">, NHS, London. </w:t>
      </w:r>
      <w:hyperlink r:id="rId51">
        <w:r>
          <w:rPr>
            <w:rFonts w:ascii="Calibri"/>
            <w:sz w:val="20"/>
            <w:u w:val="single"/>
          </w:rPr>
          <w:t>https://www.england.nhs.uk/five-year-forward-view/</w:t>
        </w:r>
      </w:hyperlink>
    </w:p>
    <w:p w:rsidR="006A18FD" w:rsidRDefault="002D29FC">
      <w:pPr>
        <w:spacing w:before="156"/>
        <w:ind w:left="140"/>
        <w:rPr>
          <w:rFonts w:ascii="Calibri"/>
          <w:sz w:val="20"/>
        </w:rPr>
      </w:pPr>
      <w:r>
        <w:rPr>
          <w:rFonts w:ascii="Calibri"/>
          <w:sz w:val="20"/>
        </w:rPr>
        <w:t xml:space="preserve">NHS Digital (2019) </w:t>
      </w:r>
      <w:r>
        <w:rPr>
          <w:rFonts w:ascii="Calibri"/>
          <w:i/>
          <w:sz w:val="20"/>
        </w:rPr>
        <w:t>The NHS Long Term Plan</w:t>
      </w:r>
      <w:r>
        <w:rPr>
          <w:rFonts w:ascii="Calibri"/>
          <w:sz w:val="20"/>
        </w:rPr>
        <w:t xml:space="preserve">, NHS Digital, Leeds. </w:t>
      </w:r>
      <w:hyperlink r:id="rId52">
        <w:r>
          <w:rPr>
            <w:rFonts w:ascii="Calibri"/>
            <w:sz w:val="20"/>
            <w:u w:val="single"/>
          </w:rPr>
          <w:t>https://www.longtermplan.nhs.uk/</w:t>
        </w:r>
      </w:hyperlink>
    </w:p>
    <w:p w:rsidR="006A18FD" w:rsidRDefault="006A18FD">
      <w:pPr>
        <w:rPr>
          <w:rFonts w:ascii="Calibri"/>
          <w:sz w:val="20"/>
        </w:rPr>
        <w:sectPr w:rsidR="006A18FD">
          <w:headerReference w:type="even" r:id="rId53"/>
          <w:headerReference w:type="default" r:id="rId54"/>
          <w:pgSz w:w="11910" w:h="16840"/>
          <w:pgMar w:top="1000" w:right="700" w:bottom="280" w:left="1300" w:header="751" w:footer="0" w:gutter="0"/>
          <w:pgNumType w:start="12"/>
          <w:cols w:space="720"/>
        </w:sectPr>
      </w:pPr>
    </w:p>
    <w:p w:rsidR="006A18FD" w:rsidRDefault="006A18FD">
      <w:pPr>
        <w:spacing w:before="2"/>
        <w:rPr>
          <w:rFonts w:ascii="Calibri"/>
          <w:sz w:val="27"/>
        </w:rPr>
      </w:pPr>
    </w:p>
    <w:p w:rsidR="006A18FD" w:rsidRDefault="002D29FC" w:rsidP="00E42AC6">
      <w:pPr>
        <w:pStyle w:val="Heading1"/>
      </w:pPr>
      <w:r>
        <w:t>Understanding the cost of quality within an online sexual health service</w:t>
      </w:r>
    </w:p>
    <w:p w:rsidR="006A18FD" w:rsidRDefault="002D29FC">
      <w:pPr>
        <w:spacing w:before="125" w:line="386" w:lineRule="auto"/>
        <w:ind w:left="140" w:right="6173"/>
        <w:rPr>
          <w:rFonts w:ascii="Cambria"/>
          <w:b/>
        </w:rPr>
      </w:pPr>
      <w:r>
        <w:rPr>
          <w:rFonts w:ascii="Cambria"/>
          <w:b/>
        </w:rPr>
        <w:t xml:space="preserve">James Moore, Paula Baraitser </w:t>
      </w:r>
      <w:r w:rsidRPr="00E42AC6">
        <w:rPr>
          <w:rStyle w:val="Heading2Char"/>
        </w:rPr>
        <w:t>Introduction</w:t>
      </w:r>
    </w:p>
    <w:p w:rsidR="006A18FD" w:rsidRDefault="002D29FC">
      <w:pPr>
        <w:spacing w:before="1" w:line="276" w:lineRule="auto"/>
        <w:ind w:left="140" w:right="279"/>
        <w:jc w:val="both"/>
        <w:rPr>
          <w:rFonts w:ascii="Calibri"/>
          <w:sz w:val="20"/>
        </w:rPr>
      </w:pPr>
      <w:r>
        <w:rPr>
          <w:rFonts w:ascii="Calibri"/>
          <w:sz w:val="20"/>
        </w:rPr>
        <w:t>Online services are increasingly part of the health economy (NHS Digital, 2014). It is anticipated that they will increase convenience and choice and reduce cost in public health services (NHS, 2019). Sexual health services have been an important area of online service innovation and growth (Wilson et al., 2017; Escourt, 2017).</w:t>
      </w:r>
    </w:p>
    <w:p w:rsidR="006A18FD" w:rsidRDefault="002D29FC">
      <w:pPr>
        <w:spacing w:line="276" w:lineRule="auto"/>
        <w:ind w:left="140" w:right="334"/>
        <w:rPr>
          <w:rFonts w:ascii="Calibri"/>
          <w:sz w:val="20"/>
        </w:rPr>
      </w:pPr>
      <w:r>
        <w:rPr>
          <w:rFonts w:ascii="Calibri"/>
          <w:sz w:val="20"/>
        </w:rPr>
        <w:t>Most areas of the UK now have an online offer for testing for sexually transmitted infections and there is an emerging evidence base to support the acceptability and effectiveness of this approach (Wilson et al., 2017).</w:t>
      </w:r>
    </w:p>
    <w:p w:rsidR="006A18FD" w:rsidRDefault="002D29FC">
      <w:pPr>
        <w:spacing w:before="120" w:line="276" w:lineRule="auto"/>
        <w:ind w:left="140"/>
        <w:rPr>
          <w:rFonts w:ascii="Calibri"/>
          <w:sz w:val="20"/>
        </w:rPr>
      </w:pPr>
      <w:r>
        <w:rPr>
          <w:rFonts w:ascii="Calibri"/>
          <w:sz w:val="20"/>
        </w:rPr>
        <w:t>A recent House of Commons Health and Social Care Committee enquiry into sexual health services identified geographical variation in access to high quality services and recommended the development of a national strategy for sexual health that sets out clear national quality standards for those commissioning sexual health services (House of Commons, 2019)</w:t>
      </w:r>
    </w:p>
    <w:p w:rsidR="006A18FD" w:rsidRDefault="002D29FC">
      <w:pPr>
        <w:spacing w:before="120" w:line="276" w:lineRule="auto"/>
        <w:ind w:left="140" w:right="131"/>
        <w:rPr>
          <w:rFonts w:ascii="Calibri"/>
          <w:sz w:val="20"/>
        </w:rPr>
      </w:pPr>
      <w:r>
        <w:rPr>
          <w:rFonts w:ascii="Calibri"/>
          <w:sz w:val="20"/>
        </w:rPr>
        <w:t>Economic evaluation of online sexual health services is limited. Where this does exist, it focuses on comparisons of the cost of online and face-to-face services assuming that these services operate separately (see for example, Smith et al., 2007; Blake, 2015) rather than as a system where users move between modalities of care (see for example, Turner, 2018). None of the economic evaluations of online services to date consider quality of care within online sexual health services. The recent publication of joint standards from the Faculty of Sexual and Reproductive Health Care and the British Association for Sexual Health and HIV offers new opportunities to do this (FSRH/BASHH, 2019). These standards provide a quality benchmark for online sexual health services and an opportunity to identify the core elements of high quality service provision that would require costing in any future economic evaluation and should be considered when commissioning services. We completed an analysis of those elements of the quality standards that have significant cost implications for online service development and provision. We note that many of these quality indicators are not routinely considered when developing standard costs for clinic-based services and this paper is intended as a resource for those planning to cost or commission such services.</w:t>
      </w:r>
    </w:p>
    <w:p w:rsidR="006A18FD" w:rsidRDefault="002D29FC" w:rsidP="00E42AC6">
      <w:pPr>
        <w:pStyle w:val="Heading2"/>
      </w:pPr>
      <w:r>
        <w:t>Methods</w:t>
      </w:r>
    </w:p>
    <w:p w:rsidR="006A18FD" w:rsidRDefault="002D29FC">
      <w:pPr>
        <w:spacing w:before="158" w:line="276" w:lineRule="auto"/>
        <w:ind w:left="140" w:right="199"/>
        <w:rPr>
          <w:rFonts w:ascii="Calibri" w:hAnsi="Calibri"/>
          <w:sz w:val="20"/>
        </w:rPr>
      </w:pPr>
      <w:r>
        <w:rPr>
          <w:rFonts w:ascii="Calibri" w:hAnsi="Calibri"/>
          <w:sz w:val="20"/>
        </w:rPr>
        <w:t>Our analysis is based on an online test for genital chlamydia, gonorrhea, HIV and syphilis (T4). This is the standard offer recommended by the British Association for Sexual Health and HIV (BASHH) for individuals with a ‘sexual health need’ (BASHH, 2019). We mapped the pathway for delivery of T4 combining the pathways from a number of different online services to generate a simple composite pathway and then applied the national standards specified by BASHH and the Faculty of Sexual and Reproductive Health Care (FSRH) to each element of this user journey (FSRH, 2019). This process enabled us to generate a list of cost areas that should be considered in developing standard costs for online sexual health services. We focused specifically on costs that we thought would not be present within standard NHS cost analyses. Throughout this analysis we assumed basic standards, for example service registration with appropriate regulator.</w:t>
      </w:r>
    </w:p>
    <w:p w:rsidR="006A18FD" w:rsidRDefault="002D29FC" w:rsidP="00E42AC6">
      <w:pPr>
        <w:pStyle w:val="Heading2"/>
      </w:pPr>
      <w:r>
        <w:t>Results</w:t>
      </w:r>
    </w:p>
    <w:p w:rsidR="006A18FD" w:rsidRDefault="002D29FC">
      <w:pPr>
        <w:spacing w:before="156" w:line="276" w:lineRule="auto"/>
        <w:ind w:left="140"/>
        <w:rPr>
          <w:rFonts w:ascii="Calibri"/>
          <w:sz w:val="20"/>
        </w:rPr>
      </w:pPr>
      <w:r>
        <w:rPr>
          <w:rFonts w:ascii="Calibri"/>
          <w:sz w:val="20"/>
        </w:rPr>
        <w:t>Figures 1a and 1b show the T4 testing pathway and the quality standards mapped to this. On this basis, we identified key areas of the journey where quality is particularly important and which should be a focus for appropriate costing of online services. These are: user completes risk assessment and ordering; clinical management of concerns identified through initial assessment process (including safeguarding concerns); support for sample collection by users; provision of HIV reactive results.</w:t>
      </w:r>
    </w:p>
    <w:p w:rsidR="006A18FD" w:rsidRDefault="006A18FD">
      <w:pPr>
        <w:spacing w:line="276" w:lineRule="auto"/>
        <w:rPr>
          <w:rFonts w:ascii="Calibri"/>
          <w:sz w:val="20"/>
        </w:rPr>
        <w:sectPr w:rsidR="006A18FD">
          <w:pgSz w:w="11910" w:h="16840"/>
          <w:pgMar w:top="1000" w:right="1300" w:bottom="280" w:left="1300" w:header="751" w:footer="0" w:gutter="0"/>
          <w:cols w:space="720"/>
        </w:sectPr>
      </w:pPr>
    </w:p>
    <w:p w:rsidR="006A18FD" w:rsidRDefault="006A18FD">
      <w:pPr>
        <w:rPr>
          <w:rFonts w:ascii="Calibri"/>
          <w:sz w:val="20"/>
        </w:rPr>
      </w:pPr>
    </w:p>
    <w:p w:rsidR="006A18FD" w:rsidRDefault="006A18FD">
      <w:pPr>
        <w:spacing w:before="12"/>
        <w:rPr>
          <w:rFonts w:ascii="Calibri"/>
          <w:sz w:val="17"/>
        </w:rPr>
      </w:pPr>
    </w:p>
    <w:p w:rsidR="006A18FD" w:rsidRDefault="002D29FC">
      <w:pPr>
        <w:spacing w:before="59"/>
        <w:ind w:left="140"/>
        <w:rPr>
          <w:rFonts w:ascii="Calibri"/>
          <w:b/>
          <w:sz w:val="20"/>
        </w:rPr>
      </w:pPr>
      <w:r>
        <w:rPr>
          <w:noProof/>
          <w:lang w:val="en-GB" w:eastAsia="en-GB"/>
        </w:rPr>
        <w:drawing>
          <wp:anchor distT="0" distB="0" distL="0" distR="0" simplePos="0" relativeHeight="251586560" behindDoc="0" locked="0" layoutInCell="1" allowOverlap="1">
            <wp:simplePos x="0" y="0"/>
            <wp:positionH relativeFrom="page">
              <wp:posOffset>914400</wp:posOffset>
            </wp:positionH>
            <wp:positionV relativeFrom="paragraph">
              <wp:posOffset>267988</wp:posOffset>
            </wp:positionV>
            <wp:extent cx="5890676" cy="3529584"/>
            <wp:effectExtent l="0" t="0" r="0" b="0"/>
            <wp:wrapTopAndBottom/>
            <wp:docPr id="5" name="image3.png" descr="A flowchart diagram showing the process for simplified cost profile SH:24" title="Digram showing simplified cost profile S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5" cstate="print"/>
                    <a:stretch>
                      <a:fillRect/>
                    </a:stretch>
                  </pic:blipFill>
                  <pic:spPr>
                    <a:xfrm>
                      <a:off x="0" y="0"/>
                      <a:ext cx="5890676" cy="3529584"/>
                    </a:xfrm>
                    <a:prstGeom prst="rect">
                      <a:avLst/>
                    </a:prstGeom>
                  </pic:spPr>
                </pic:pic>
              </a:graphicData>
            </a:graphic>
          </wp:anchor>
        </w:drawing>
      </w:r>
      <w:r>
        <w:rPr>
          <w:rFonts w:ascii="Calibri"/>
          <w:b/>
          <w:sz w:val="20"/>
        </w:rPr>
        <w:t>Figure 1a</w:t>
      </w:r>
    </w:p>
    <w:p w:rsidR="006A18FD" w:rsidRDefault="006A18FD">
      <w:pPr>
        <w:rPr>
          <w:rFonts w:ascii="Calibri"/>
          <w:b/>
          <w:sz w:val="20"/>
        </w:rPr>
      </w:pPr>
    </w:p>
    <w:p w:rsidR="006A18FD" w:rsidRDefault="006A18FD">
      <w:pPr>
        <w:spacing w:before="2"/>
        <w:rPr>
          <w:rFonts w:ascii="Calibri"/>
          <w:b/>
          <w:sz w:val="25"/>
        </w:rPr>
      </w:pPr>
    </w:p>
    <w:p w:rsidR="006A18FD" w:rsidRDefault="002D29FC">
      <w:pPr>
        <w:spacing w:before="1"/>
        <w:ind w:left="140"/>
        <w:rPr>
          <w:rFonts w:ascii="Calibri"/>
          <w:b/>
          <w:sz w:val="20"/>
        </w:rPr>
      </w:pPr>
      <w:r>
        <w:rPr>
          <w:rFonts w:ascii="Calibri"/>
          <w:b/>
          <w:sz w:val="20"/>
        </w:rPr>
        <w:t>Figure 1b</w:t>
      </w:r>
    </w:p>
    <w:p w:rsidR="006A18FD" w:rsidRDefault="006A18FD">
      <w:pPr>
        <w:rPr>
          <w:rFonts w:ascii="Calibri"/>
          <w:b/>
          <w:sz w:val="20"/>
        </w:rPr>
      </w:pPr>
    </w:p>
    <w:p w:rsidR="006A18FD" w:rsidRDefault="002D29FC">
      <w:pPr>
        <w:spacing w:before="3"/>
        <w:rPr>
          <w:rFonts w:ascii="Calibri"/>
          <w:b/>
          <w:sz w:val="19"/>
        </w:rPr>
      </w:pPr>
      <w:r>
        <w:rPr>
          <w:noProof/>
          <w:lang w:val="en-GB" w:eastAsia="en-GB"/>
        </w:rPr>
        <w:drawing>
          <wp:anchor distT="0" distB="0" distL="0" distR="0" simplePos="0" relativeHeight="251587584" behindDoc="0" locked="0" layoutInCell="1" allowOverlap="1">
            <wp:simplePos x="0" y="0"/>
            <wp:positionH relativeFrom="page">
              <wp:posOffset>914400</wp:posOffset>
            </wp:positionH>
            <wp:positionV relativeFrom="paragraph">
              <wp:posOffset>174431</wp:posOffset>
            </wp:positionV>
            <wp:extent cx="6229880" cy="3072384"/>
            <wp:effectExtent l="0" t="0" r="0" b="0"/>
            <wp:wrapTopAndBottom/>
            <wp:docPr id="7" name="image4.png" descr="A flowchart diagram showing the process for simplified cost profile SH:24 1b" title="Simplified Cost profile SH:24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6" cstate="print"/>
                    <a:stretch>
                      <a:fillRect/>
                    </a:stretch>
                  </pic:blipFill>
                  <pic:spPr>
                    <a:xfrm>
                      <a:off x="0" y="0"/>
                      <a:ext cx="6229880" cy="3072384"/>
                    </a:xfrm>
                    <a:prstGeom prst="rect">
                      <a:avLst/>
                    </a:prstGeom>
                  </pic:spPr>
                </pic:pic>
              </a:graphicData>
            </a:graphic>
          </wp:anchor>
        </w:drawing>
      </w:r>
    </w:p>
    <w:p w:rsidR="006A18FD" w:rsidRDefault="006A18FD">
      <w:pPr>
        <w:rPr>
          <w:rFonts w:ascii="Calibri"/>
          <w:b/>
          <w:sz w:val="20"/>
        </w:rPr>
      </w:pPr>
    </w:p>
    <w:p w:rsidR="006A18FD" w:rsidRDefault="006A18FD">
      <w:pPr>
        <w:spacing w:before="6"/>
        <w:rPr>
          <w:rFonts w:ascii="Calibri"/>
          <w:b/>
          <w:sz w:val="20"/>
        </w:rPr>
      </w:pPr>
    </w:p>
    <w:p w:rsidR="006A18FD" w:rsidRDefault="002D29FC">
      <w:pPr>
        <w:spacing w:before="1" w:line="276" w:lineRule="auto"/>
        <w:ind w:left="140" w:right="1032"/>
        <w:rPr>
          <w:rFonts w:ascii="Calibri"/>
          <w:sz w:val="20"/>
        </w:rPr>
      </w:pPr>
      <w:r>
        <w:rPr>
          <w:rFonts w:ascii="Calibri"/>
          <w:sz w:val="20"/>
        </w:rPr>
        <w:t>This is further illustrated by Table 2 below which links each stage of the journey to the specific standards relevant to that stage which might have cost implications, with a focus particularly on those costs that might not be present within standard NHS pathways.</w:t>
      </w:r>
    </w:p>
    <w:p w:rsidR="006A18FD" w:rsidRDefault="006A18FD">
      <w:pPr>
        <w:spacing w:line="276" w:lineRule="auto"/>
        <w:rPr>
          <w:rFonts w:ascii="Calibri"/>
          <w:sz w:val="20"/>
        </w:rPr>
        <w:sectPr w:rsidR="006A18FD">
          <w:pgSz w:w="11910" w:h="16840"/>
          <w:pgMar w:top="1000" w:right="620" w:bottom="280" w:left="1300" w:header="751" w:footer="0" w:gutter="0"/>
          <w:cols w:space="720"/>
        </w:sectPr>
      </w:pPr>
    </w:p>
    <w:p w:rsidR="006A18FD" w:rsidRDefault="006A18FD">
      <w:pPr>
        <w:spacing w:before="8"/>
        <w:rPr>
          <w:rFonts w:ascii="Calibri"/>
        </w:rPr>
      </w:pPr>
    </w:p>
    <w:p w:rsidR="006A18FD" w:rsidRDefault="002D29FC">
      <w:pPr>
        <w:spacing w:before="59"/>
        <w:ind w:left="100"/>
        <w:rPr>
          <w:rFonts w:ascii="Calibri"/>
          <w:b/>
          <w:sz w:val="20"/>
        </w:rPr>
      </w:pPr>
      <w:r>
        <w:rPr>
          <w:rFonts w:ascii="Calibri"/>
          <w:b/>
          <w:sz w:val="20"/>
        </w:rPr>
        <w:t>Table 2: Quality standards relevant to each stage of the online testing journey linked to cost implications</w:t>
      </w:r>
    </w:p>
    <w:p w:rsidR="006A18FD" w:rsidRDefault="006A18FD">
      <w:pPr>
        <w:spacing w:before="9"/>
        <w:rPr>
          <w:rFonts w:ascii="Calibri"/>
          <w:b/>
          <w:sz w:val="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4493"/>
        <w:gridCol w:w="1416"/>
        <w:gridCol w:w="5672"/>
        <w:gridCol w:w="1985"/>
      </w:tblGrid>
      <w:tr w:rsidR="006A18FD" w:rsidTr="0053166C">
        <w:trPr>
          <w:trHeight w:val="420"/>
          <w:tblHeader/>
        </w:trPr>
        <w:tc>
          <w:tcPr>
            <w:tcW w:w="1174" w:type="dxa"/>
          </w:tcPr>
          <w:p w:rsidR="006A18FD" w:rsidRDefault="002D29FC">
            <w:pPr>
              <w:spacing w:line="219" w:lineRule="exact"/>
              <w:ind w:left="102"/>
              <w:rPr>
                <w:rFonts w:ascii="Calibri"/>
                <w:sz w:val="18"/>
              </w:rPr>
            </w:pPr>
            <w:r>
              <w:rPr>
                <w:rFonts w:ascii="Calibri"/>
                <w:sz w:val="18"/>
              </w:rPr>
              <w:t>Pathway</w:t>
            </w:r>
          </w:p>
          <w:p w:rsidR="006A18FD" w:rsidRDefault="002D29FC">
            <w:pPr>
              <w:spacing w:before="1" w:line="199" w:lineRule="exact"/>
              <w:ind w:left="102"/>
              <w:rPr>
                <w:rFonts w:ascii="Calibri"/>
                <w:sz w:val="18"/>
              </w:rPr>
            </w:pPr>
            <w:r>
              <w:rPr>
                <w:rFonts w:ascii="Calibri"/>
                <w:sz w:val="18"/>
              </w:rPr>
              <w:t>stage</w:t>
            </w:r>
          </w:p>
        </w:tc>
        <w:tc>
          <w:tcPr>
            <w:tcW w:w="4493" w:type="dxa"/>
          </w:tcPr>
          <w:p w:rsidR="006A18FD" w:rsidRDefault="002D29FC">
            <w:pPr>
              <w:spacing w:line="219" w:lineRule="exact"/>
              <w:ind w:left="102"/>
              <w:rPr>
                <w:rFonts w:ascii="Calibri"/>
                <w:sz w:val="18"/>
              </w:rPr>
            </w:pPr>
            <w:r>
              <w:rPr>
                <w:rFonts w:ascii="Calibri"/>
                <w:sz w:val="18"/>
              </w:rPr>
              <w:t>Quality standard</w:t>
            </w:r>
          </w:p>
        </w:tc>
        <w:tc>
          <w:tcPr>
            <w:tcW w:w="1416" w:type="dxa"/>
          </w:tcPr>
          <w:p w:rsidR="006A18FD" w:rsidRDefault="002D29FC">
            <w:pPr>
              <w:spacing w:line="219" w:lineRule="exact"/>
              <w:ind w:left="100"/>
              <w:rPr>
                <w:rFonts w:ascii="Calibri"/>
                <w:sz w:val="18"/>
              </w:rPr>
            </w:pPr>
            <w:r>
              <w:rPr>
                <w:rFonts w:ascii="Calibri"/>
                <w:sz w:val="18"/>
              </w:rPr>
              <w:t>BASSH (2019)</w:t>
            </w:r>
          </w:p>
          <w:p w:rsidR="006A18FD" w:rsidRDefault="002D29FC">
            <w:pPr>
              <w:spacing w:before="1" w:line="199" w:lineRule="exact"/>
              <w:ind w:left="100"/>
              <w:rPr>
                <w:rFonts w:ascii="Calibri"/>
                <w:sz w:val="18"/>
              </w:rPr>
            </w:pPr>
            <w:r>
              <w:rPr>
                <w:rFonts w:ascii="Calibri"/>
                <w:sz w:val="18"/>
              </w:rPr>
              <w:t>Standard</w:t>
            </w:r>
          </w:p>
        </w:tc>
        <w:tc>
          <w:tcPr>
            <w:tcW w:w="5672" w:type="dxa"/>
          </w:tcPr>
          <w:p w:rsidR="006A18FD" w:rsidRDefault="002D29FC">
            <w:pPr>
              <w:spacing w:line="219" w:lineRule="exact"/>
              <w:ind w:left="103"/>
              <w:rPr>
                <w:rFonts w:ascii="Calibri"/>
                <w:sz w:val="18"/>
              </w:rPr>
            </w:pPr>
            <w:r>
              <w:rPr>
                <w:rFonts w:ascii="Calibri"/>
                <w:sz w:val="18"/>
              </w:rPr>
              <w:t>Cost implications</w:t>
            </w:r>
          </w:p>
        </w:tc>
        <w:tc>
          <w:tcPr>
            <w:tcW w:w="1985" w:type="dxa"/>
          </w:tcPr>
          <w:p w:rsidR="006A18FD" w:rsidRDefault="002D29FC">
            <w:pPr>
              <w:spacing w:line="219" w:lineRule="exact"/>
              <w:ind w:left="103"/>
              <w:rPr>
                <w:rFonts w:ascii="Calibri"/>
                <w:sz w:val="18"/>
              </w:rPr>
            </w:pPr>
            <w:r>
              <w:rPr>
                <w:rFonts w:ascii="Calibri"/>
                <w:sz w:val="18"/>
              </w:rPr>
              <w:t>Type of cost</w:t>
            </w:r>
          </w:p>
        </w:tc>
      </w:tr>
      <w:tr w:rsidR="006A18FD">
        <w:trPr>
          <w:trHeight w:val="220"/>
        </w:trPr>
        <w:tc>
          <w:tcPr>
            <w:tcW w:w="1174" w:type="dxa"/>
            <w:tcBorders>
              <w:bottom w:val="nil"/>
            </w:tcBorders>
          </w:tcPr>
          <w:p w:rsidR="006A18FD" w:rsidRDefault="002D29FC">
            <w:pPr>
              <w:spacing w:before="1" w:line="216" w:lineRule="exact"/>
              <w:ind w:left="102"/>
              <w:rPr>
                <w:rFonts w:ascii="Calibri"/>
                <w:sz w:val="18"/>
              </w:rPr>
            </w:pPr>
            <w:r>
              <w:rPr>
                <w:rFonts w:ascii="Calibri"/>
                <w:sz w:val="18"/>
              </w:rPr>
              <w:t>User aware</w:t>
            </w:r>
          </w:p>
        </w:tc>
        <w:tc>
          <w:tcPr>
            <w:tcW w:w="4493" w:type="dxa"/>
            <w:tcBorders>
              <w:bottom w:val="nil"/>
            </w:tcBorders>
          </w:tcPr>
          <w:p w:rsidR="006A18FD" w:rsidRDefault="002D29FC">
            <w:pPr>
              <w:spacing w:before="1" w:line="216" w:lineRule="exact"/>
              <w:ind w:left="102"/>
              <w:rPr>
                <w:rFonts w:ascii="Calibri"/>
                <w:sz w:val="18"/>
              </w:rPr>
            </w:pPr>
            <w:r>
              <w:rPr>
                <w:rFonts w:ascii="Calibri"/>
                <w:sz w:val="18"/>
              </w:rPr>
              <w:t>Adherence to the UK Code of Non-broadcast Advertising</w:t>
            </w:r>
          </w:p>
        </w:tc>
        <w:tc>
          <w:tcPr>
            <w:tcW w:w="1416" w:type="dxa"/>
            <w:tcBorders>
              <w:bottom w:val="nil"/>
            </w:tcBorders>
          </w:tcPr>
          <w:p w:rsidR="006A18FD" w:rsidRDefault="002D29FC">
            <w:pPr>
              <w:spacing w:before="1" w:line="216" w:lineRule="exact"/>
              <w:ind w:left="100"/>
              <w:rPr>
                <w:rFonts w:ascii="Calibri"/>
                <w:sz w:val="18"/>
              </w:rPr>
            </w:pPr>
            <w:r>
              <w:rPr>
                <w:rFonts w:ascii="Calibri"/>
                <w:sz w:val="18"/>
              </w:rPr>
              <w:t>2.5</w:t>
            </w:r>
          </w:p>
        </w:tc>
        <w:tc>
          <w:tcPr>
            <w:tcW w:w="5672" w:type="dxa"/>
            <w:tcBorders>
              <w:bottom w:val="nil"/>
            </w:tcBorders>
          </w:tcPr>
          <w:p w:rsidR="006A18FD" w:rsidRDefault="002D29FC">
            <w:pPr>
              <w:spacing w:before="1" w:line="216" w:lineRule="exact"/>
              <w:ind w:left="103"/>
              <w:rPr>
                <w:rFonts w:ascii="Calibri"/>
                <w:sz w:val="18"/>
              </w:rPr>
            </w:pPr>
            <w:r>
              <w:rPr>
                <w:rFonts w:ascii="Calibri"/>
                <w:sz w:val="18"/>
              </w:rPr>
              <w:t>Effective online communication about the service will require investment</w:t>
            </w:r>
          </w:p>
        </w:tc>
        <w:tc>
          <w:tcPr>
            <w:tcW w:w="1985" w:type="dxa"/>
            <w:tcBorders>
              <w:bottom w:val="nil"/>
            </w:tcBorders>
          </w:tcPr>
          <w:p w:rsidR="006A18FD" w:rsidRDefault="002D29FC">
            <w:pPr>
              <w:spacing w:before="1" w:line="216" w:lineRule="exact"/>
              <w:ind w:left="103"/>
              <w:rPr>
                <w:rFonts w:ascii="Calibri"/>
                <w:sz w:val="18"/>
              </w:rPr>
            </w:pPr>
            <w:r>
              <w:rPr>
                <w:rFonts w:ascii="Calibri"/>
                <w:sz w:val="18"/>
              </w:rPr>
              <w:t>Overheads</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of the</w:t>
            </w: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and Direct &amp; Promotional Marketing code (CAP code),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in high quality website development for clear communication of the range</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Variable.</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service</w:t>
            </w: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with regard to relationships with pharmaceutical</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of services on offer, who should use these services and where to go for</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Development cost with</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companies and advertising of their products.</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alternatives.  It will also require investment in the development of clear</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maintenance.</w:t>
            </w: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6A18FD">
            <w:pPr>
              <w:rPr>
                <w:rFonts w:ascii="Times New Roman"/>
                <w:sz w:val="18"/>
              </w:rPr>
            </w:pPr>
          </w:p>
        </w:tc>
        <w:tc>
          <w:tcPr>
            <w:tcW w:w="1416" w:type="dxa"/>
            <w:tcBorders>
              <w:top w:val="nil"/>
              <w:bottom w:val="nil"/>
            </w:tcBorders>
          </w:tcPr>
          <w:p w:rsidR="006A18FD" w:rsidRDefault="006A18FD">
            <w:pPr>
              <w:rPr>
                <w:rFonts w:ascii="Times New Roman"/>
                <w:sz w:val="18"/>
              </w:rPr>
            </w:pPr>
          </w:p>
        </w:tc>
        <w:tc>
          <w:tcPr>
            <w:tcW w:w="5672" w:type="dxa"/>
            <w:tcBorders>
              <w:top w:val="nil"/>
              <w:bottom w:val="nil"/>
            </w:tcBorders>
          </w:tcPr>
          <w:p w:rsidR="006A18FD" w:rsidRDefault="002D29FC">
            <w:pPr>
              <w:spacing w:line="204" w:lineRule="exact"/>
              <w:ind w:left="103"/>
              <w:rPr>
                <w:rFonts w:ascii="Calibri"/>
                <w:sz w:val="18"/>
              </w:rPr>
            </w:pPr>
            <w:r>
              <w:rPr>
                <w:rFonts w:ascii="Calibri"/>
                <w:sz w:val="18"/>
              </w:rPr>
              <w:t>pathways between the online and face to face service.</w:t>
            </w: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before="93" w:line="217" w:lineRule="exact"/>
              <w:ind w:left="102"/>
              <w:rPr>
                <w:rFonts w:ascii="Calibri"/>
                <w:sz w:val="18"/>
              </w:rPr>
            </w:pPr>
            <w:r>
              <w:rPr>
                <w:rFonts w:ascii="Calibri"/>
                <w:sz w:val="18"/>
              </w:rPr>
              <w:t>Online service providers should make it clear what</w:t>
            </w:r>
          </w:p>
        </w:tc>
        <w:tc>
          <w:tcPr>
            <w:tcW w:w="1416" w:type="dxa"/>
            <w:tcBorders>
              <w:top w:val="nil"/>
              <w:bottom w:val="nil"/>
            </w:tcBorders>
          </w:tcPr>
          <w:p w:rsidR="006A18FD" w:rsidRDefault="002D29FC">
            <w:pPr>
              <w:spacing w:before="93" w:line="217" w:lineRule="exact"/>
              <w:ind w:left="100"/>
              <w:rPr>
                <w:rFonts w:ascii="Calibri"/>
                <w:sz w:val="18"/>
              </w:rPr>
            </w:pPr>
            <w:r>
              <w:rPr>
                <w:rFonts w:ascii="Calibri"/>
                <w:sz w:val="18"/>
              </w:rPr>
              <w:t>3.1.2</w:t>
            </w:r>
          </w:p>
        </w:tc>
        <w:tc>
          <w:tcPr>
            <w:tcW w:w="5672" w:type="dxa"/>
            <w:tcBorders>
              <w:top w:val="nil"/>
              <w:bottom w:val="nil"/>
            </w:tcBorders>
          </w:tcPr>
          <w:p w:rsidR="006A18FD" w:rsidRDefault="002D29FC">
            <w:pPr>
              <w:spacing w:before="93" w:line="217" w:lineRule="exact"/>
              <w:ind w:left="103"/>
              <w:rPr>
                <w:rFonts w:ascii="Calibri"/>
                <w:sz w:val="18"/>
              </w:rPr>
            </w:pPr>
            <w:r>
              <w:rPr>
                <w:rFonts w:ascii="Calibri"/>
                <w:sz w:val="18"/>
              </w:rPr>
              <w:t>Ensuring that this communication is available in formats that promote</w:t>
            </w:r>
          </w:p>
        </w:tc>
        <w:tc>
          <w:tcPr>
            <w:tcW w:w="1985" w:type="dxa"/>
            <w:tcBorders>
              <w:top w:val="nil"/>
              <w:bottom w:val="nil"/>
            </w:tcBorders>
          </w:tcPr>
          <w:p w:rsidR="006A18FD" w:rsidRDefault="006A18FD">
            <w:pPr>
              <w:rPr>
                <w:rFonts w:ascii="Times New Roman"/>
                <w:sz w:val="18"/>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treatment/care is available via the online service and</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diversity, maximize access for those who speak different languages and</w:t>
            </w: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what is not available with appropriate signposting to</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for people living with disabilities will require investment.</w:t>
            </w: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other services, particularly for rapid access to emergency</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line="203" w:lineRule="exact"/>
              <w:ind w:left="102"/>
              <w:rPr>
                <w:rFonts w:ascii="Calibri"/>
                <w:sz w:val="18"/>
              </w:rPr>
            </w:pPr>
            <w:r>
              <w:rPr>
                <w:rFonts w:ascii="Calibri"/>
                <w:sz w:val="18"/>
              </w:rPr>
              <w:t>contraception and post-exposure prophylaxis.</w:t>
            </w:r>
          </w:p>
        </w:tc>
        <w:tc>
          <w:tcPr>
            <w:tcW w:w="1416" w:type="dxa"/>
            <w:tcBorders>
              <w:top w:val="nil"/>
              <w:bottom w:val="nil"/>
            </w:tcBorders>
          </w:tcPr>
          <w:p w:rsidR="006A18FD" w:rsidRDefault="006A18FD">
            <w:pPr>
              <w:rPr>
                <w:rFonts w:ascii="Times New Roman"/>
                <w:sz w:val="18"/>
              </w:rPr>
            </w:pP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before="93" w:line="217" w:lineRule="exact"/>
              <w:ind w:left="102"/>
              <w:rPr>
                <w:rFonts w:ascii="Calibri"/>
                <w:sz w:val="18"/>
              </w:rPr>
            </w:pPr>
            <w:r>
              <w:rPr>
                <w:rFonts w:ascii="Calibri"/>
                <w:sz w:val="18"/>
              </w:rPr>
              <w:t>Online services should conform to the World Wide Web</w:t>
            </w:r>
          </w:p>
        </w:tc>
        <w:tc>
          <w:tcPr>
            <w:tcW w:w="1416" w:type="dxa"/>
            <w:tcBorders>
              <w:top w:val="nil"/>
              <w:bottom w:val="nil"/>
            </w:tcBorders>
          </w:tcPr>
          <w:p w:rsidR="006A18FD" w:rsidRDefault="002D29FC">
            <w:pPr>
              <w:spacing w:before="93" w:line="217" w:lineRule="exact"/>
              <w:ind w:left="100"/>
              <w:rPr>
                <w:rFonts w:ascii="Calibri"/>
                <w:sz w:val="18"/>
              </w:rPr>
            </w:pPr>
            <w:r>
              <w:rPr>
                <w:rFonts w:ascii="Calibri"/>
                <w:sz w:val="18"/>
              </w:rPr>
              <w:t>3.1.1</w:t>
            </w: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line="204" w:lineRule="exact"/>
              <w:ind w:left="102"/>
              <w:rPr>
                <w:rFonts w:ascii="Calibri"/>
                <w:sz w:val="18"/>
              </w:rPr>
            </w:pPr>
            <w:r>
              <w:rPr>
                <w:rFonts w:ascii="Calibri"/>
                <w:sz w:val="18"/>
              </w:rPr>
              <w:t>Consortium on access for people with disabilities.</w:t>
            </w:r>
          </w:p>
        </w:tc>
        <w:tc>
          <w:tcPr>
            <w:tcW w:w="1416" w:type="dxa"/>
            <w:tcBorders>
              <w:top w:val="nil"/>
              <w:bottom w:val="nil"/>
            </w:tcBorders>
          </w:tcPr>
          <w:p w:rsidR="006A18FD" w:rsidRDefault="006A18FD">
            <w:pPr>
              <w:rPr>
                <w:rFonts w:ascii="Times New Roman"/>
                <w:sz w:val="18"/>
              </w:rPr>
            </w:pP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before="93" w:line="217" w:lineRule="exact"/>
              <w:ind w:left="102"/>
              <w:rPr>
                <w:rFonts w:ascii="Calibri"/>
                <w:sz w:val="18"/>
              </w:rPr>
            </w:pPr>
            <w:r>
              <w:rPr>
                <w:rFonts w:ascii="Calibri"/>
                <w:sz w:val="18"/>
              </w:rPr>
              <w:t>The content and layout of the user interface should</w:t>
            </w:r>
          </w:p>
        </w:tc>
        <w:tc>
          <w:tcPr>
            <w:tcW w:w="1416" w:type="dxa"/>
            <w:tcBorders>
              <w:top w:val="nil"/>
              <w:bottom w:val="nil"/>
            </w:tcBorders>
          </w:tcPr>
          <w:p w:rsidR="006A18FD" w:rsidRDefault="002D29FC">
            <w:pPr>
              <w:spacing w:before="93" w:line="217" w:lineRule="exact"/>
              <w:ind w:left="100"/>
              <w:rPr>
                <w:rFonts w:ascii="Calibri"/>
                <w:sz w:val="18"/>
              </w:rPr>
            </w:pPr>
            <w:r>
              <w:rPr>
                <w:rFonts w:ascii="Calibri"/>
                <w:sz w:val="18"/>
              </w:rPr>
              <w:t>4.1.3</w:t>
            </w: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promote diversity and not discriminates against any</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protected characteristic. This includes recognition of</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line="204" w:lineRule="exact"/>
              <w:ind w:left="102"/>
              <w:rPr>
                <w:rFonts w:ascii="Calibri"/>
                <w:sz w:val="18"/>
              </w:rPr>
            </w:pPr>
            <w:r>
              <w:rPr>
                <w:rFonts w:ascii="Calibri"/>
                <w:sz w:val="18"/>
              </w:rPr>
              <w:t>diverse sexual orientation and gender identities.</w:t>
            </w:r>
          </w:p>
        </w:tc>
        <w:tc>
          <w:tcPr>
            <w:tcW w:w="1416" w:type="dxa"/>
            <w:tcBorders>
              <w:top w:val="nil"/>
              <w:bottom w:val="nil"/>
            </w:tcBorders>
          </w:tcPr>
          <w:p w:rsidR="006A18FD" w:rsidRDefault="006A18FD">
            <w:pPr>
              <w:rPr>
                <w:rFonts w:ascii="Times New Roman"/>
                <w:sz w:val="18"/>
              </w:rPr>
            </w:pP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before="93" w:line="216" w:lineRule="exact"/>
              <w:ind w:left="102"/>
              <w:rPr>
                <w:rFonts w:ascii="Calibri"/>
                <w:sz w:val="18"/>
              </w:rPr>
            </w:pPr>
            <w:r>
              <w:rPr>
                <w:rFonts w:ascii="Calibri"/>
                <w:sz w:val="18"/>
              </w:rPr>
              <w:t>Websites and applications should be easy to use and</w:t>
            </w:r>
          </w:p>
        </w:tc>
        <w:tc>
          <w:tcPr>
            <w:tcW w:w="1416" w:type="dxa"/>
            <w:tcBorders>
              <w:top w:val="nil"/>
              <w:bottom w:val="nil"/>
            </w:tcBorders>
          </w:tcPr>
          <w:p w:rsidR="006A18FD" w:rsidRDefault="002D29FC">
            <w:pPr>
              <w:spacing w:before="93" w:line="216" w:lineRule="exact"/>
              <w:ind w:left="100"/>
              <w:rPr>
                <w:rFonts w:ascii="Calibri"/>
                <w:sz w:val="18"/>
              </w:rPr>
            </w:pPr>
            <w:r>
              <w:rPr>
                <w:rFonts w:ascii="Calibri"/>
                <w:sz w:val="18"/>
              </w:rPr>
              <w:t>4.1.4</w:t>
            </w: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neither directly or indirectly discriminates against those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with poor digital literacy; safeguards include the use of</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clear English, clear site structure and unambiguous site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line="204" w:lineRule="exact"/>
              <w:ind w:left="102"/>
              <w:rPr>
                <w:rFonts w:ascii="Calibri"/>
                <w:sz w:val="18"/>
              </w:rPr>
            </w:pPr>
            <w:r>
              <w:rPr>
                <w:rFonts w:ascii="Calibri"/>
                <w:sz w:val="18"/>
              </w:rPr>
              <w:t>navigation.</w:t>
            </w:r>
          </w:p>
        </w:tc>
        <w:tc>
          <w:tcPr>
            <w:tcW w:w="1416" w:type="dxa"/>
            <w:tcBorders>
              <w:top w:val="nil"/>
              <w:bottom w:val="nil"/>
            </w:tcBorders>
          </w:tcPr>
          <w:p w:rsidR="006A18FD" w:rsidRDefault="006A18FD">
            <w:pPr>
              <w:rPr>
                <w:rFonts w:ascii="Times New Roman"/>
                <w:sz w:val="18"/>
              </w:rPr>
            </w:pP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320"/>
        </w:trPr>
        <w:tc>
          <w:tcPr>
            <w:tcW w:w="1174" w:type="dxa"/>
            <w:tcBorders>
              <w:top w:val="nil"/>
              <w:bottom w:val="nil"/>
            </w:tcBorders>
          </w:tcPr>
          <w:p w:rsidR="006A18FD" w:rsidRDefault="006A18FD">
            <w:pPr>
              <w:rPr>
                <w:rFonts w:ascii="Times New Roman"/>
                <w:sz w:val="18"/>
              </w:rPr>
            </w:pPr>
          </w:p>
        </w:tc>
        <w:tc>
          <w:tcPr>
            <w:tcW w:w="4493" w:type="dxa"/>
            <w:tcBorders>
              <w:top w:val="nil"/>
              <w:bottom w:val="nil"/>
            </w:tcBorders>
          </w:tcPr>
          <w:p w:rsidR="006A18FD" w:rsidRDefault="002D29FC">
            <w:pPr>
              <w:spacing w:before="93" w:line="217" w:lineRule="exact"/>
              <w:ind w:left="102"/>
              <w:rPr>
                <w:rFonts w:ascii="Calibri"/>
                <w:sz w:val="18"/>
              </w:rPr>
            </w:pPr>
            <w:r>
              <w:rPr>
                <w:rFonts w:ascii="Calibri"/>
                <w:sz w:val="18"/>
              </w:rPr>
              <w:t>Digital support must be available on the website for</w:t>
            </w:r>
          </w:p>
        </w:tc>
        <w:tc>
          <w:tcPr>
            <w:tcW w:w="1416" w:type="dxa"/>
            <w:tcBorders>
              <w:top w:val="nil"/>
              <w:bottom w:val="nil"/>
            </w:tcBorders>
          </w:tcPr>
          <w:p w:rsidR="006A18FD" w:rsidRDefault="002D29FC">
            <w:pPr>
              <w:spacing w:before="93" w:line="217" w:lineRule="exact"/>
              <w:ind w:left="100"/>
              <w:rPr>
                <w:rFonts w:ascii="Calibri"/>
                <w:sz w:val="18"/>
              </w:rPr>
            </w:pPr>
            <w:r>
              <w:rPr>
                <w:rFonts w:ascii="Calibri"/>
                <w:sz w:val="18"/>
              </w:rPr>
              <w:t>3.4.1</w:t>
            </w:r>
          </w:p>
        </w:tc>
        <w:tc>
          <w:tcPr>
            <w:tcW w:w="5672" w:type="dxa"/>
            <w:tcBorders>
              <w:top w:val="nil"/>
              <w:bottom w:val="nil"/>
            </w:tcBorders>
          </w:tcPr>
          <w:p w:rsidR="006A18FD" w:rsidRDefault="006A18FD">
            <w:pPr>
              <w:rPr>
                <w:rFonts w:ascii="Times New Roman"/>
                <w:sz w:val="18"/>
              </w:rPr>
            </w:pPr>
          </w:p>
        </w:tc>
        <w:tc>
          <w:tcPr>
            <w:tcW w:w="1985" w:type="dxa"/>
            <w:tcBorders>
              <w:top w:val="nil"/>
              <w:bottom w:val="nil"/>
            </w:tcBorders>
          </w:tcPr>
          <w:p w:rsidR="006A18FD" w:rsidRDefault="006A18FD">
            <w:pPr>
              <w:rPr>
                <w:rFonts w:ascii="Times New Roman"/>
                <w:sz w:val="18"/>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service users to obtain additional explanation or</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tcBorders>
          </w:tcPr>
          <w:p w:rsidR="006A18FD" w:rsidRDefault="006A18FD">
            <w:pPr>
              <w:rPr>
                <w:rFonts w:ascii="Times New Roman"/>
                <w:sz w:val="14"/>
              </w:rPr>
            </w:pPr>
          </w:p>
        </w:tc>
        <w:tc>
          <w:tcPr>
            <w:tcW w:w="4493" w:type="dxa"/>
            <w:tcBorders>
              <w:top w:val="nil"/>
            </w:tcBorders>
          </w:tcPr>
          <w:p w:rsidR="006A18FD" w:rsidRDefault="002D29FC">
            <w:pPr>
              <w:spacing w:line="182" w:lineRule="exact"/>
              <w:ind w:left="102"/>
              <w:rPr>
                <w:rFonts w:ascii="Calibri"/>
                <w:sz w:val="18"/>
              </w:rPr>
            </w:pPr>
            <w:r>
              <w:rPr>
                <w:rFonts w:ascii="Calibri"/>
                <w:sz w:val="18"/>
              </w:rPr>
              <w:t>information.</w:t>
            </w:r>
          </w:p>
        </w:tc>
        <w:tc>
          <w:tcPr>
            <w:tcW w:w="1416" w:type="dxa"/>
            <w:tcBorders>
              <w:top w:val="nil"/>
            </w:tcBorders>
          </w:tcPr>
          <w:p w:rsidR="006A18FD" w:rsidRDefault="006A18FD">
            <w:pPr>
              <w:rPr>
                <w:rFonts w:ascii="Times New Roman"/>
                <w:sz w:val="14"/>
              </w:rPr>
            </w:pPr>
          </w:p>
        </w:tc>
        <w:tc>
          <w:tcPr>
            <w:tcW w:w="5672" w:type="dxa"/>
            <w:tcBorders>
              <w:top w:val="nil"/>
            </w:tcBorders>
          </w:tcPr>
          <w:p w:rsidR="006A18FD" w:rsidRDefault="006A18FD">
            <w:pPr>
              <w:rPr>
                <w:rFonts w:ascii="Times New Roman"/>
                <w:sz w:val="14"/>
              </w:rPr>
            </w:pPr>
          </w:p>
        </w:tc>
        <w:tc>
          <w:tcPr>
            <w:tcW w:w="1985" w:type="dxa"/>
            <w:tcBorders>
              <w:top w:val="nil"/>
            </w:tcBorders>
          </w:tcPr>
          <w:p w:rsidR="006A18FD" w:rsidRDefault="006A18FD">
            <w:pPr>
              <w:rPr>
                <w:rFonts w:ascii="Times New Roman"/>
                <w:sz w:val="14"/>
              </w:rPr>
            </w:pPr>
          </w:p>
        </w:tc>
      </w:tr>
      <w:tr w:rsidR="006A18FD">
        <w:trPr>
          <w:trHeight w:val="220"/>
        </w:trPr>
        <w:tc>
          <w:tcPr>
            <w:tcW w:w="1174" w:type="dxa"/>
            <w:tcBorders>
              <w:bottom w:val="nil"/>
            </w:tcBorders>
          </w:tcPr>
          <w:p w:rsidR="006A18FD" w:rsidRDefault="002D29FC">
            <w:pPr>
              <w:spacing w:before="1" w:line="216" w:lineRule="exact"/>
              <w:ind w:left="102"/>
              <w:rPr>
                <w:rFonts w:ascii="Calibri"/>
                <w:sz w:val="18"/>
              </w:rPr>
            </w:pPr>
            <w:r>
              <w:rPr>
                <w:rFonts w:ascii="Calibri"/>
                <w:sz w:val="18"/>
              </w:rPr>
              <w:t>Patient</w:t>
            </w:r>
          </w:p>
        </w:tc>
        <w:tc>
          <w:tcPr>
            <w:tcW w:w="4493" w:type="dxa"/>
            <w:tcBorders>
              <w:bottom w:val="nil"/>
            </w:tcBorders>
          </w:tcPr>
          <w:p w:rsidR="006A18FD" w:rsidRDefault="002D29FC">
            <w:pPr>
              <w:spacing w:before="1" w:line="216" w:lineRule="exact"/>
              <w:ind w:left="102"/>
              <w:rPr>
                <w:rFonts w:ascii="Calibri"/>
                <w:sz w:val="18"/>
              </w:rPr>
            </w:pPr>
            <w:r>
              <w:rPr>
                <w:rFonts w:ascii="Calibri"/>
                <w:sz w:val="18"/>
              </w:rPr>
              <w:t>Limit and manage risk associated with remote</w:t>
            </w:r>
          </w:p>
        </w:tc>
        <w:tc>
          <w:tcPr>
            <w:tcW w:w="1416" w:type="dxa"/>
            <w:tcBorders>
              <w:bottom w:val="nil"/>
            </w:tcBorders>
          </w:tcPr>
          <w:p w:rsidR="006A18FD" w:rsidRDefault="002D29FC">
            <w:pPr>
              <w:spacing w:before="1" w:line="216" w:lineRule="exact"/>
              <w:ind w:left="100"/>
              <w:rPr>
                <w:rFonts w:ascii="Calibri"/>
                <w:sz w:val="18"/>
              </w:rPr>
            </w:pPr>
            <w:r>
              <w:rPr>
                <w:rFonts w:ascii="Calibri"/>
                <w:sz w:val="18"/>
              </w:rPr>
              <w:t>1.2</w:t>
            </w:r>
          </w:p>
        </w:tc>
        <w:tc>
          <w:tcPr>
            <w:tcW w:w="5672" w:type="dxa"/>
            <w:tcBorders>
              <w:bottom w:val="nil"/>
            </w:tcBorders>
          </w:tcPr>
          <w:p w:rsidR="006A18FD" w:rsidRDefault="002D29FC">
            <w:pPr>
              <w:spacing w:before="1" w:line="216" w:lineRule="exact"/>
              <w:ind w:left="103"/>
              <w:rPr>
                <w:rFonts w:ascii="Calibri"/>
                <w:sz w:val="18"/>
              </w:rPr>
            </w:pPr>
            <w:r>
              <w:rPr>
                <w:rFonts w:ascii="Calibri"/>
                <w:sz w:val="18"/>
              </w:rPr>
              <w:t>Development of appropriate digital interfaces to obtain valid consent and</w:t>
            </w:r>
          </w:p>
        </w:tc>
        <w:tc>
          <w:tcPr>
            <w:tcW w:w="1985" w:type="dxa"/>
            <w:tcBorders>
              <w:bottom w:val="nil"/>
            </w:tcBorders>
          </w:tcPr>
          <w:p w:rsidR="006A18FD" w:rsidRDefault="002D29FC">
            <w:pPr>
              <w:spacing w:before="1" w:line="216" w:lineRule="exact"/>
              <w:ind w:left="103"/>
              <w:rPr>
                <w:rFonts w:ascii="Calibri"/>
                <w:sz w:val="18"/>
              </w:rPr>
            </w:pPr>
            <w:r>
              <w:rPr>
                <w:rFonts w:ascii="Calibri"/>
                <w:sz w:val="18"/>
              </w:rPr>
              <w:t>Overheads</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completes</w:t>
            </w: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consultations.</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assess capacity.</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Variable.</w:t>
            </w:r>
          </w:p>
        </w:tc>
      </w:tr>
      <w:tr w:rsidR="006A18FD">
        <w:trPr>
          <w:trHeight w:val="220"/>
        </w:trPr>
        <w:tc>
          <w:tcPr>
            <w:tcW w:w="1174" w:type="dxa"/>
            <w:tcBorders>
              <w:top w:val="nil"/>
              <w:bottom w:val="nil"/>
            </w:tcBorders>
          </w:tcPr>
          <w:p w:rsidR="006A18FD" w:rsidRDefault="002D29FC">
            <w:pPr>
              <w:spacing w:line="201" w:lineRule="exact"/>
              <w:ind w:left="102"/>
              <w:rPr>
                <w:rFonts w:ascii="Calibri"/>
                <w:sz w:val="18"/>
              </w:rPr>
            </w:pPr>
            <w:r>
              <w:rPr>
                <w:rFonts w:ascii="Calibri"/>
                <w:sz w:val="18"/>
              </w:rPr>
              <w:t>risk</w:t>
            </w: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1" w:lineRule="exact"/>
              <w:ind w:left="103"/>
              <w:rPr>
                <w:rFonts w:ascii="Calibri"/>
                <w:sz w:val="18"/>
              </w:rPr>
            </w:pPr>
            <w:r>
              <w:rPr>
                <w:rFonts w:ascii="Calibri"/>
                <w:sz w:val="18"/>
              </w:rPr>
              <w:t>Development cost with</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assessment</w:t>
            </w: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maintenance.</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and ordering</w:t>
            </w: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Safeguarding assessment with follow up and transition to</w:t>
            </w:r>
          </w:p>
        </w:tc>
        <w:tc>
          <w:tcPr>
            <w:tcW w:w="1416" w:type="dxa"/>
            <w:tcBorders>
              <w:top w:val="nil"/>
              <w:bottom w:val="nil"/>
            </w:tcBorders>
          </w:tcPr>
          <w:p w:rsidR="006A18FD" w:rsidRDefault="002D29FC">
            <w:pPr>
              <w:spacing w:line="200" w:lineRule="exact"/>
              <w:ind w:left="100"/>
              <w:rPr>
                <w:rFonts w:ascii="Calibri"/>
                <w:sz w:val="18"/>
              </w:rPr>
            </w:pPr>
            <w:r>
              <w:rPr>
                <w:rFonts w:ascii="Calibri"/>
                <w:sz w:val="18"/>
              </w:rPr>
              <w:t>1.2</w:t>
            </w: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Clinical resource to manage assessment of safeguarding risk and</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Clinical staff costs.</w:t>
            </w:r>
          </w:p>
        </w:tc>
      </w:tr>
      <w:tr w:rsidR="006A18FD">
        <w:trPr>
          <w:trHeight w:val="420"/>
        </w:trPr>
        <w:tc>
          <w:tcPr>
            <w:tcW w:w="1174" w:type="dxa"/>
            <w:tcBorders>
              <w:top w:val="nil"/>
            </w:tcBorders>
          </w:tcPr>
          <w:p w:rsidR="006A18FD" w:rsidRDefault="006A18FD">
            <w:pPr>
              <w:rPr>
                <w:rFonts w:ascii="Times New Roman"/>
                <w:sz w:val="18"/>
              </w:rPr>
            </w:pPr>
          </w:p>
        </w:tc>
        <w:tc>
          <w:tcPr>
            <w:tcW w:w="4493" w:type="dxa"/>
            <w:tcBorders>
              <w:top w:val="nil"/>
            </w:tcBorders>
          </w:tcPr>
          <w:p w:rsidR="006A18FD" w:rsidRDefault="002D29FC">
            <w:pPr>
              <w:spacing w:line="203" w:lineRule="exact"/>
              <w:ind w:left="102"/>
              <w:rPr>
                <w:rFonts w:ascii="Calibri"/>
                <w:sz w:val="18"/>
              </w:rPr>
            </w:pPr>
            <w:r>
              <w:rPr>
                <w:rFonts w:ascii="Calibri"/>
                <w:sz w:val="18"/>
              </w:rPr>
              <w:t>face to face care as appropriate</w:t>
            </w:r>
          </w:p>
        </w:tc>
        <w:tc>
          <w:tcPr>
            <w:tcW w:w="1416" w:type="dxa"/>
            <w:tcBorders>
              <w:top w:val="nil"/>
            </w:tcBorders>
          </w:tcPr>
          <w:p w:rsidR="006A18FD" w:rsidRDefault="006A18FD">
            <w:pPr>
              <w:rPr>
                <w:rFonts w:ascii="Times New Roman"/>
                <w:sz w:val="18"/>
              </w:rPr>
            </w:pPr>
          </w:p>
        </w:tc>
        <w:tc>
          <w:tcPr>
            <w:tcW w:w="5672" w:type="dxa"/>
            <w:tcBorders>
              <w:top w:val="nil"/>
            </w:tcBorders>
          </w:tcPr>
          <w:p w:rsidR="006A18FD" w:rsidRDefault="002D29FC">
            <w:pPr>
              <w:spacing w:line="203" w:lineRule="exact"/>
              <w:ind w:left="103"/>
              <w:rPr>
                <w:rFonts w:ascii="Calibri"/>
                <w:sz w:val="18"/>
              </w:rPr>
            </w:pPr>
            <w:r>
              <w:rPr>
                <w:rFonts w:ascii="Calibri"/>
                <w:sz w:val="18"/>
              </w:rPr>
              <w:t>appropriate referral and follow up.</w:t>
            </w:r>
          </w:p>
        </w:tc>
        <w:tc>
          <w:tcPr>
            <w:tcW w:w="1985" w:type="dxa"/>
            <w:tcBorders>
              <w:top w:val="nil"/>
            </w:tcBorders>
          </w:tcPr>
          <w:p w:rsidR="006A18FD" w:rsidRDefault="006A18FD">
            <w:pPr>
              <w:rPr>
                <w:rFonts w:ascii="Times New Roman"/>
                <w:sz w:val="18"/>
              </w:rPr>
            </w:pPr>
          </w:p>
        </w:tc>
      </w:tr>
      <w:tr w:rsidR="006A18FD">
        <w:trPr>
          <w:trHeight w:val="220"/>
        </w:trPr>
        <w:tc>
          <w:tcPr>
            <w:tcW w:w="1174" w:type="dxa"/>
            <w:vMerge w:val="restart"/>
          </w:tcPr>
          <w:p w:rsidR="006A18FD" w:rsidRDefault="006A18FD">
            <w:pPr>
              <w:rPr>
                <w:rFonts w:ascii="Times New Roman"/>
                <w:sz w:val="16"/>
              </w:rPr>
            </w:pPr>
          </w:p>
        </w:tc>
        <w:tc>
          <w:tcPr>
            <w:tcW w:w="4493" w:type="dxa"/>
            <w:tcBorders>
              <w:bottom w:val="nil"/>
            </w:tcBorders>
          </w:tcPr>
          <w:p w:rsidR="006A18FD" w:rsidRDefault="002D29FC">
            <w:pPr>
              <w:spacing w:before="1" w:line="211" w:lineRule="exact"/>
              <w:ind w:left="102"/>
              <w:rPr>
                <w:rFonts w:ascii="Calibri"/>
                <w:sz w:val="18"/>
              </w:rPr>
            </w:pPr>
            <w:r>
              <w:rPr>
                <w:rFonts w:ascii="Calibri"/>
                <w:sz w:val="18"/>
              </w:rPr>
              <w:t>Obtain valid consent and assessing capacity</w:t>
            </w:r>
          </w:p>
        </w:tc>
        <w:tc>
          <w:tcPr>
            <w:tcW w:w="1416" w:type="dxa"/>
            <w:tcBorders>
              <w:bottom w:val="nil"/>
            </w:tcBorders>
          </w:tcPr>
          <w:p w:rsidR="006A18FD" w:rsidRDefault="002D29FC">
            <w:pPr>
              <w:spacing w:before="1" w:line="211" w:lineRule="exact"/>
              <w:ind w:left="100"/>
              <w:rPr>
                <w:rFonts w:ascii="Calibri"/>
                <w:sz w:val="18"/>
              </w:rPr>
            </w:pPr>
            <w:r>
              <w:rPr>
                <w:rFonts w:ascii="Calibri"/>
                <w:sz w:val="18"/>
              </w:rPr>
              <w:t>2.1/2.2</w:t>
            </w:r>
          </w:p>
        </w:tc>
        <w:tc>
          <w:tcPr>
            <w:tcW w:w="5672" w:type="dxa"/>
            <w:tcBorders>
              <w:bottom w:val="nil"/>
            </w:tcBorders>
          </w:tcPr>
          <w:p w:rsidR="006A18FD" w:rsidRDefault="002D29FC">
            <w:pPr>
              <w:spacing w:before="1" w:line="211" w:lineRule="exact"/>
              <w:ind w:left="103"/>
              <w:rPr>
                <w:rFonts w:ascii="Calibri"/>
                <w:sz w:val="18"/>
              </w:rPr>
            </w:pPr>
            <w:r>
              <w:rPr>
                <w:rFonts w:ascii="Calibri"/>
                <w:sz w:val="18"/>
              </w:rPr>
              <w:t>Staff training to understand and manage risk associated with remote</w:t>
            </w:r>
          </w:p>
        </w:tc>
        <w:tc>
          <w:tcPr>
            <w:tcW w:w="1985" w:type="dxa"/>
            <w:tcBorders>
              <w:bottom w:val="nil"/>
            </w:tcBorders>
          </w:tcPr>
          <w:p w:rsidR="006A18FD" w:rsidRDefault="002D29FC">
            <w:pPr>
              <w:spacing w:before="1" w:line="211" w:lineRule="exact"/>
              <w:ind w:left="103"/>
              <w:rPr>
                <w:rFonts w:ascii="Calibri"/>
                <w:sz w:val="18"/>
              </w:rPr>
            </w:pPr>
            <w:r>
              <w:rPr>
                <w:rFonts w:ascii="Calibri"/>
                <w:sz w:val="18"/>
              </w:rPr>
              <w:t>Staff training to take on</w:t>
            </w:r>
          </w:p>
        </w:tc>
      </w:tr>
      <w:tr w:rsidR="006A18FD">
        <w:trPr>
          <w:trHeight w:val="20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190" w:lineRule="exact"/>
              <w:ind w:left="103"/>
              <w:rPr>
                <w:rFonts w:ascii="Calibri"/>
                <w:sz w:val="18"/>
              </w:rPr>
            </w:pPr>
            <w:r>
              <w:rPr>
                <w:rFonts w:ascii="Calibri"/>
                <w:sz w:val="18"/>
              </w:rPr>
              <w:t>consultations.</w:t>
            </w: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new roles e.g. remote</w:t>
            </w:r>
          </w:p>
        </w:tc>
      </w:tr>
      <w:tr w:rsidR="006A18FD">
        <w:trPr>
          <w:trHeight w:val="20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clinical care that are not</w:t>
            </w:r>
          </w:p>
        </w:tc>
      </w:tr>
      <w:tr w:rsidR="006A18FD">
        <w:trPr>
          <w:trHeight w:val="20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2D29FC">
            <w:pPr>
              <w:spacing w:line="190" w:lineRule="exact"/>
              <w:ind w:left="102"/>
              <w:rPr>
                <w:rFonts w:ascii="Calibri"/>
                <w:sz w:val="18"/>
              </w:rPr>
            </w:pPr>
            <w:r>
              <w:rPr>
                <w:rFonts w:ascii="Calibri"/>
                <w:sz w:val="18"/>
              </w:rPr>
              <w:t>Management of risk and performance</w:t>
            </w:r>
          </w:p>
        </w:tc>
        <w:tc>
          <w:tcPr>
            <w:tcW w:w="1416" w:type="dxa"/>
            <w:tcBorders>
              <w:top w:val="nil"/>
              <w:bottom w:val="nil"/>
            </w:tcBorders>
          </w:tcPr>
          <w:p w:rsidR="006A18FD" w:rsidRDefault="002D29FC">
            <w:pPr>
              <w:spacing w:line="190" w:lineRule="exact"/>
              <w:ind w:left="100"/>
              <w:rPr>
                <w:rFonts w:ascii="Calibri"/>
                <w:sz w:val="18"/>
              </w:rPr>
            </w:pPr>
            <w:r>
              <w:rPr>
                <w:rFonts w:ascii="Calibri"/>
                <w:sz w:val="18"/>
              </w:rPr>
              <w:t>1.4</w:t>
            </w:r>
          </w:p>
        </w:tc>
        <w:tc>
          <w:tcPr>
            <w:tcW w:w="5672" w:type="dxa"/>
            <w:tcBorders>
              <w:top w:val="nil"/>
              <w:bottom w:val="nil"/>
            </w:tcBorders>
          </w:tcPr>
          <w:p w:rsidR="006A18FD" w:rsidRDefault="002D29FC">
            <w:pPr>
              <w:spacing w:line="190" w:lineRule="exact"/>
              <w:ind w:left="103"/>
              <w:rPr>
                <w:rFonts w:ascii="Calibri"/>
                <w:sz w:val="18"/>
              </w:rPr>
            </w:pPr>
            <w:r>
              <w:rPr>
                <w:rFonts w:ascii="Calibri"/>
                <w:sz w:val="18"/>
              </w:rPr>
              <w:t>Maintenance of appropriate digital security certification and testing</w:t>
            </w: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included in standard</w:t>
            </w:r>
          </w:p>
        </w:tc>
      </w:tr>
      <w:tr w:rsidR="006A18FD">
        <w:trPr>
          <w:trHeight w:val="20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NHS training</w:t>
            </w:r>
          </w:p>
        </w:tc>
      </w:tr>
      <w:tr w:rsidR="006A18FD">
        <w:trPr>
          <w:trHeight w:val="32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2D29FC">
            <w:pPr>
              <w:spacing w:line="198" w:lineRule="exact"/>
              <w:ind w:left="102"/>
              <w:rPr>
                <w:rFonts w:ascii="Calibri"/>
                <w:sz w:val="18"/>
              </w:rPr>
            </w:pPr>
            <w:r>
              <w:rPr>
                <w:rFonts w:ascii="Calibri"/>
                <w:sz w:val="18"/>
              </w:rPr>
              <w:t>Safety checking of digital tools/symptom checkers</w:t>
            </w:r>
          </w:p>
        </w:tc>
        <w:tc>
          <w:tcPr>
            <w:tcW w:w="1416" w:type="dxa"/>
            <w:tcBorders>
              <w:top w:val="nil"/>
              <w:bottom w:val="nil"/>
            </w:tcBorders>
          </w:tcPr>
          <w:p w:rsidR="006A18FD" w:rsidRDefault="002D29FC">
            <w:pPr>
              <w:spacing w:line="198" w:lineRule="exact"/>
              <w:ind w:left="100"/>
              <w:rPr>
                <w:rFonts w:ascii="Calibri"/>
                <w:sz w:val="18"/>
              </w:rPr>
            </w:pPr>
            <w:r>
              <w:rPr>
                <w:rFonts w:ascii="Calibri"/>
                <w:sz w:val="18"/>
              </w:rPr>
              <w:t>1.4.3</w:t>
            </w:r>
          </w:p>
        </w:tc>
        <w:tc>
          <w:tcPr>
            <w:tcW w:w="5672" w:type="dxa"/>
            <w:tcBorders>
              <w:top w:val="nil"/>
              <w:bottom w:val="nil"/>
            </w:tcBorders>
          </w:tcPr>
          <w:p w:rsidR="006A18FD" w:rsidRDefault="006A18FD">
            <w:pPr>
              <w:rPr>
                <w:rFonts w:ascii="Times New Roman"/>
                <w:sz w:val="16"/>
              </w:rPr>
            </w:pPr>
          </w:p>
        </w:tc>
        <w:tc>
          <w:tcPr>
            <w:tcW w:w="1985" w:type="dxa"/>
            <w:tcBorders>
              <w:top w:val="nil"/>
              <w:bottom w:val="nil"/>
            </w:tcBorders>
          </w:tcPr>
          <w:p w:rsidR="006A18FD" w:rsidRDefault="002D29FC">
            <w:pPr>
              <w:spacing w:line="198" w:lineRule="exact"/>
              <w:ind w:left="103"/>
              <w:rPr>
                <w:rFonts w:ascii="Calibri"/>
                <w:sz w:val="18"/>
              </w:rPr>
            </w:pPr>
            <w:r>
              <w:rPr>
                <w:rFonts w:ascii="Calibri"/>
                <w:sz w:val="18"/>
              </w:rPr>
              <w:t>programmes.</w:t>
            </w:r>
          </w:p>
        </w:tc>
      </w:tr>
      <w:tr w:rsidR="006A18FD">
        <w:trPr>
          <w:trHeight w:val="420"/>
        </w:trPr>
        <w:tc>
          <w:tcPr>
            <w:tcW w:w="1174" w:type="dxa"/>
            <w:vMerge/>
            <w:tcBorders>
              <w:top w:val="nil"/>
            </w:tcBorders>
          </w:tcPr>
          <w:p w:rsidR="006A18FD" w:rsidRDefault="006A18FD">
            <w:pPr>
              <w:rPr>
                <w:sz w:val="2"/>
                <w:szCs w:val="2"/>
              </w:rPr>
            </w:pPr>
          </w:p>
        </w:tc>
        <w:tc>
          <w:tcPr>
            <w:tcW w:w="4493" w:type="dxa"/>
            <w:tcBorders>
              <w:top w:val="nil"/>
              <w:bottom w:val="nil"/>
            </w:tcBorders>
          </w:tcPr>
          <w:p w:rsidR="006A18FD" w:rsidRDefault="002D29FC">
            <w:pPr>
              <w:spacing w:before="89"/>
              <w:ind w:left="102"/>
              <w:rPr>
                <w:rFonts w:ascii="Calibri"/>
                <w:sz w:val="18"/>
              </w:rPr>
            </w:pPr>
            <w:r>
              <w:rPr>
                <w:rFonts w:ascii="Calibri"/>
                <w:sz w:val="18"/>
              </w:rPr>
              <w:t>Digital security certification and testing</w:t>
            </w:r>
          </w:p>
        </w:tc>
        <w:tc>
          <w:tcPr>
            <w:tcW w:w="1416" w:type="dxa"/>
            <w:tcBorders>
              <w:top w:val="nil"/>
              <w:bottom w:val="nil"/>
            </w:tcBorders>
          </w:tcPr>
          <w:p w:rsidR="006A18FD" w:rsidRDefault="002D29FC">
            <w:pPr>
              <w:spacing w:before="89"/>
              <w:ind w:left="100"/>
              <w:rPr>
                <w:rFonts w:ascii="Calibri"/>
                <w:sz w:val="18"/>
              </w:rPr>
            </w:pPr>
            <w:r>
              <w:rPr>
                <w:rFonts w:ascii="Calibri"/>
                <w:sz w:val="18"/>
              </w:rPr>
              <w:t>1.4.14</w:t>
            </w:r>
          </w:p>
        </w:tc>
        <w:tc>
          <w:tcPr>
            <w:tcW w:w="5672" w:type="dxa"/>
            <w:tcBorders>
              <w:top w:val="nil"/>
              <w:bottom w:val="nil"/>
            </w:tcBorders>
          </w:tcPr>
          <w:p w:rsidR="006A18FD" w:rsidRDefault="006A18FD">
            <w:pPr>
              <w:rPr>
                <w:rFonts w:ascii="Times New Roman"/>
                <w:sz w:val="16"/>
              </w:rPr>
            </w:pPr>
          </w:p>
        </w:tc>
        <w:tc>
          <w:tcPr>
            <w:tcW w:w="1985" w:type="dxa"/>
            <w:tcBorders>
              <w:top w:val="nil"/>
              <w:bottom w:val="nil"/>
            </w:tcBorders>
          </w:tcPr>
          <w:p w:rsidR="006A18FD" w:rsidRDefault="006A18FD">
            <w:pPr>
              <w:rPr>
                <w:rFonts w:ascii="Times New Roman"/>
                <w:sz w:val="16"/>
              </w:rPr>
            </w:pPr>
          </w:p>
        </w:tc>
      </w:tr>
      <w:tr w:rsidR="006A18FD">
        <w:trPr>
          <w:trHeight w:val="520"/>
        </w:trPr>
        <w:tc>
          <w:tcPr>
            <w:tcW w:w="1174" w:type="dxa"/>
            <w:vMerge/>
            <w:tcBorders>
              <w:top w:val="nil"/>
            </w:tcBorders>
          </w:tcPr>
          <w:p w:rsidR="006A18FD" w:rsidRDefault="006A18FD">
            <w:pPr>
              <w:rPr>
                <w:sz w:val="2"/>
                <w:szCs w:val="2"/>
              </w:rPr>
            </w:pPr>
          </w:p>
        </w:tc>
        <w:tc>
          <w:tcPr>
            <w:tcW w:w="4493" w:type="dxa"/>
            <w:tcBorders>
              <w:top w:val="nil"/>
            </w:tcBorders>
          </w:tcPr>
          <w:p w:rsidR="006A18FD" w:rsidRDefault="002D29FC">
            <w:pPr>
              <w:spacing w:before="88"/>
              <w:ind w:left="102"/>
              <w:rPr>
                <w:rFonts w:ascii="Calibri"/>
                <w:sz w:val="18"/>
              </w:rPr>
            </w:pPr>
            <w:r>
              <w:rPr>
                <w:rFonts w:ascii="Calibri"/>
                <w:sz w:val="18"/>
              </w:rPr>
              <w:t>Obtaining informed consent in a remote service.</w:t>
            </w:r>
          </w:p>
        </w:tc>
        <w:tc>
          <w:tcPr>
            <w:tcW w:w="1416" w:type="dxa"/>
            <w:tcBorders>
              <w:top w:val="nil"/>
            </w:tcBorders>
          </w:tcPr>
          <w:p w:rsidR="006A18FD" w:rsidRDefault="002D29FC">
            <w:pPr>
              <w:spacing w:before="88"/>
              <w:ind w:left="100"/>
              <w:rPr>
                <w:rFonts w:ascii="Calibri"/>
                <w:sz w:val="18"/>
              </w:rPr>
            </w:pPr>
            <w:r>
              <w:rPr>
                <w:rFonts w:ascii="Calibri"/>
                <w:sz w:val="18"/>
              </w:rPr>
              <w:t>2.1</w:t>
            </w:r>
          </w:p>
        </w:tc>
        <w:tc>
          <w:tcPr>
            <w:tcW w:w="5672" w:type="dxa"/>
            <w:tcBorders>
              <w:top w:val="nil"/>
            </w:tcBorders>
          </w:tcPr>
          <w:p w:rsidR="006A18FD" w:rsidRDefault="006A18FD">
            <w:pPr>
              <w:rPr>
                <w:rFonts w:ascii="Times New Roman"/>
                <w:sz w:val="16"/>
              </w:rPr>
            </w:pPr>
          </w:p>
        </w:tc>
        <w:tc>
          <w:tcPr>
            <w:tcW w:w="1985" w:type="dxa"/>
            <w:tcBorders>
              <w:top w:val="nil"/>
            </w:tcBorders>
          </w:tcPr>
          <w:p w:rsidR="006A18FD" w:rsidRDefault="006A18FD">
            <w:pPr>
              <w:rPr>
                <w:rFonts w:ascii="Times New Roman"/>
                <w:sz w:val="16"/>
              </w:rPr>
            </w:pPr>
          </w:p>
        </w:tc>
      </w:tr>
      <w:tr w:rsidR="006A18FD">
        <w:trPr>
          <w:trHeight w:val="220"/>
        </w:trPr>
        <w:tc>
          <w:tcPr>
            <w:tcW w:w="1174" w:type="dxa"/>
            <w:tcBorders>
              <w:bottom w:val="nil"/>
            </w:tcBorders>
          </w:tcPr>
          <w:p w:rsidR="006A18FD" w:rsidRDefault="002D29FC">
            <w:pPr>
              <w:spacing w:before="1" w:line="217" w:lineRule="exact"/>
              <w:ind w:left="102"/>
              <w:rPr>
                <w:rFonts w:ascii="Calibri"/>
                <w:sz w:val="18"/>
              </w:rPr>
            </w:pPr>
            <w:r>
              <w:rPr>
                <w:rFonts w:ascii="Calibri"/>
                <w:sz w:val="18"/>
              </w:rPr>
              <w:t>Testing kit</w:t>
            </w:r>
          </w:p>
        </w:tc>
        <w:tc>
          <w:tcPr>
            <w:tcW w:w="4493" w:type="dxa"/>
            <w:tcBorders>
              <w:bottom w:val="nil"/>
            </w:tcBorders>
          </w:tcPr>
          <w:p w:rsidR="006A18FD" w:rsidRDefault="002D29FC">
            <w:pPr>
              <w:spacing w:before="1" w:line="217" w:lineRule="exact"/>
              <w:ind w:left="102"/>
              <w:rPr>
                <w:rFonts w:ascii="Calibri"/>
                <w:sz w:val="18"/>
              </w:rPr>
            </w:pPr>
            <w:r>
              <w:rPr>
                <w:rFonts w:ascii="Calibri"/>
                <w:sz w:val="18"/>
              </w:rPr>
              <w:t>Products sent by post must be sent in a discreet, non-</w:t>
            </w:r>
          </w:p>
        </w:tc>
        <w:tc>
          <w:tcPr>
            <w:tcW w:w="1416" w:type="dxa"/>
            <w:tcBorders>
              <w:bottom w:val="nil"/>
            </w:tcBorders>
          </w:tcPr>
          <w:p w:rsidR="006A18FD" w:rsidRDefault="002D29FC">
            <w:pPr>
              <w:spacing w:before="1" w:line="217" w:lineRule="exact"/>
              <w:ind w:left="100"/>
              <w:rPr>
                <w:rFonts w:ascii="Calibri"/>
                <w:sz w:val="18"/>
              </w:rPr>
            </w:pPr>
            <w:r>
              <w:rPr>
                <w:rFonts w:ascii="Calibri"/>
                <w:sz w:val="18"/>
              </w:rPr>
              <w:t>3.5.4</w:t>
            </w:r>
          </w:p>
        </w:tc>
        <w:tc>
          <w:tcPr>
            <w:tcW w:w="5672" w:type="dxa"/>
            <w:tcBorders>
              <w:bottom w:val="nil"/>
            </w:tcBorders>
          </w:tcPr>
          <w:p w:rsidR="006A18FD" w:rsidRDefault="002D29FC">
            <w:pPr>
              <w:spacing w:before="1" w:line="217" w:lineRule="exact"/>
              <w:ind w:left="103"/>
              <w:rPr>
                <w:rFonts w:ascii="Calibri"/>
                <w:sz w:val="18"/>
              </w:rPr>
            </w:pPr>
            <w:r>
              <w:rPr>
                <w:rFonts w:ascii="Calibri"/>
                <w:sz w:val="18"/>
              </w:rPr>
              <w:t>Cost of sourcing appropriate packaging. Additional considerations that are</w:t>
            </w:r>
          </w:p>
        </w:tc>
        <w:tc>
          <w:tcPr>
            <w:tcW w:w="1985" w:type="dxa"/>
            <w:tcBorders>
              <w:bottom w:val="nil"/>
            </w:tcBorders>
          </w:tcPr>
          <w:p w:rsidR="006A18FD" w:rsidRDefault="002D29FC">
            <w:pPr>
              <w:spacing w:before="1" w:line="217" w:lineRule="exact"/>
              <w:ind w:left="103"/>
              <w:rPr>
                <w:rFonts w:ascii="Calibri"/>
                <w:sz w:val="18"/>
              </w:rPr>
            </w:pPr>
            <w:r>
              <w:rPr>
                <w:rFonts w:ascii="Calibri"/>
                <w:sz w:val="18"/>
              </w:rPr>
              <w:t>Variable and ongoing</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and</w:t>
            </w: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identifiable package so that no one but the recipient will</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not mentioned in the guidance are biodegradability of packaging or size of</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cost of appropriate</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instructions</w:t>
            </w: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know what the package contains.</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package for ease of delivery.</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packaging.</w:t>
            </w:r>
          </w:p>
        </w:tc>
      </w:tr>
      <w:tr w:rsidR="006A18FD">
        <w:trPr>
          <w:trHeight w:val="200"/>
        </w:trPr>
        <w:tc>
          <w:tcPr>
            <w:tcW w:w="1174" w:type="dxa"/>
            <w:tcBorders>
              <w:top w:val="nil"/>
              <w:bottom w:val="nil"/>
            </w:tcBorders>
          </w:tcPr>
          <w:p w:rsidR="006A18FD" w:rsidRDefault="002D29FC">
            <w:pPr>
              <w:spacing w:line="200" w:lineRule="exact"/>
              <w:ind w:left="102"/>
              <w:rPr>
                <w:rFonts w:ascii="Calibri"/>
                <w:sz w:val="18"/>
              </w:rPr>
            </w:pPr>
            <w:r>
              <w:rPr>
                <w:rFonts w:ascii="Calibri"/>
                <w:sz w:val="18"/>
              </w:rPr>
              <w:t>packaged</w:t>
            </w:r>
          </w:p>
        </w:tc>
        <w:tc>
          <w:tcPr>
            <w:tcW w:w="4493" w:type="dxa"/>
            <w:tcBorders>
              <w:top w:val="nil"/>
              <w:bottom w:val="nil"/>
            </w:tcBorders>
          </w:tcPr>
          <w:p w:rsidR="006A18FD" w:rsidRDefault="006A18FD">
            <w:pPr>
              <w:rPr>
                <w:rFonts w:ascii="Times New Roman"/>
                <w:sz w:val="14"/>
              </w:rPr>
            </w:pP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6A18FD">
            <w:pPr>
              <w:rPr>
                <w:rFonts w:ascii="Times New Roman"/>
                <w:sz w:val="14"/>
              </w:rPr>
            </w:pPr>
          </w:p>
        </w:tc>
      </w:tr>
      <w:tr w:rsidR="006A18FD">
        <w:trPr>
          <w:trHeight w:val="200"/>
        </w:trPr>
        <w:tc>
          <w:tcPr>
            <w:tcW w:w="1174" w:type="dxa"/>
            <w:tcBorders>
              <w:top w:val="nil"/>
            </w:tcBorders>
          </w:tcPr>
          <w:p w:rsidR="006A18FD" w:rsidRDefault="002D29FC">
            <w:pPr>
              <w:spacing w:line="182" w:lineRule="exact"/>
              <w:ind w:left="102"/>
              <w:rPr>
                <w:rFonts w:ascii="Calibri"/>
                <w:sz w:val="18"/>
              </w:rPr>
            </w:pPr>
            <w:r>
              <w:rPr>
                <w:rFonts w:ascii="Calibri"/>
                <w:sz w:val="18"/>
              </w:rPr>
              <w:t>and sent</w:t>
            </w:r>
          </w:p>
        </w:tc>
        <w:tc>
          <w:tcPr>
            <w:tcW w:w="4493" w:type="dxa"/>
            <w:tcBorders>
              <w:top w:val="nil"/>
            </w:tcBorders>
          </w:tcPr>
          <w:p w:rsidR="006A18FD" w:rsidRDefault="006A18FD">
            <w:pPr>
              <w:rPr>
                <w:rFonts w:ascii="Times New Roman"/>
                <w:sz w:val="14"/>
              </w:rPr>
            </w:pPr>
          </w:p>
        </w:tc>
        <w:tc>
          <w:tcPr>
            <w:tcW w:w="1416" w:type="dxa"/>
            <w:tcBorders>
              <w:top w:val="nil"/>
            </w:tcBorders>
          </w:tcPr>
          <w:p w:rsidR="006A18FD" w:rsidRDefault="006A18FD">
            <w:pPr>
              <w:rPr>
                <w:rFonts w:ascii="Times New Roman"/>
                <w:sz w:val="14"/>
              </w:rPr>
            </w:pPr>
          </w:p>
        </w:tc>
        <w:tc>
          <w:tcPr>
            <w:tcW w:w="5672" w:type="dxa"/>
            <w:tcBorders>
              <w:top w:val="nil"/>
            </w:tcBorders>
          </w:tcPr>
          <w:p w:rsidR="006A18FD" w:rsidRDefault="006A18FD">
            <w:pPr>
              <w:rPr>
                <w:rFonts w:ascii="Times New Roman"/>
                <w:sz w:val="14"/>
              </w:rPr>
            </w:pPr>
          </w:p>
        </w:tc>
        <w:tc>
          <w:tcPr>
            <w:tcW w:w="1985" w:type="dxa"/>
            <w:tcBorders>
              <w:top w:val="nil"/>
            </w:tcBorders>
          </w:tcPr>
          <w:p w:rsidR="006A18FD" w:rsidRDefault="006A18FD">
            <w:pPr>
              <w:rPr>
                <w:rFonts w:ascii="Times New Roman"/>
                <w:sz w:val="14"/>
              </w:rPr>
            </w:pPr>
          </w:p>
        </w:tc>
      </w:tr>
      <w:tr w:rsidR="006A18FD">
        <w:trPr>
          <w:trHeight w:val="220"/>
        </w:trPr>
        <w:tc>
          <w:tcPr>
            <w:tcW w:w="1174" w:type="dxa"/>
            <w:tcBorders>
              <w:bottom w:val="nil"/>
            </w:tcBorders>
          </w:tcPr>
          <w:p w:rsidR="006A18FD" w:rsidRDefault="002D29FC">
            <w:pPr>
              <w:spacing w:before="1" w:line="211" w:lineRule="exact"/>
              <w:ind w:left="102"/>
              <w:rPr>
                <w:rFonts w:ascii="Calibri"/>
                <w:sz w:val="18"/>
              </w:rPr>
            </w:pPr>
            <w:r>
              <w:rPr>
                <w:rFonts w:ascii="Calibri"/>
                <w:sz w:val="18"/>
              </w:rPr>
              <w:t>User self-</w:t>
            </w:r>
          </w:p>
        </w:tc>
        <w:tc>
          <w:tcPr>
            <w:tcW w:w="4493" w:type="dxa"/>
            <w:tcBorders>
              <w:bottom w:val="nil"/>
            </w:tcBorders>
          </w:tcPr>
          <w:p w:rsidR="006A18FD" w:rsidRDefault="002D29FC">
            <w:pPr>
              <w:spacing w:before="1" w:line="211" w:lineRule="exact"/>
              <w:ind w:left="102"/>
              <w:rPr>
                <w:rFonts w:ascii="Calibri"/>
                <w:sz w:val="18"/>
              </w:rPr>
            </w:pPr>
            <w:r>
              <w:rPr>
                <w:rFonts w:ascii="Calibri"/>
                <w:sz w:val="18"/>
              </w:rPr>
              <w:t>No specific standards relating to this step.</w:t>
            </w:r>
          </w:p>
        </w:tc>
        <w:tc>
          <w:tcPr>
            <w:tcW w:w="1416" w:type="dxa"/>
            <w:vMerge w:val="restart"/>
          </w:tcPr>
          <w:p w:rsidR="006A18FD" w:rsidRDefault="006A18FD">
            <w:pPr>
              <w:rPr>
                <w:rFonts w:ascii="Times New Roman"/>
                <w:sz w:val="16"/>
              </w:rPr>
            </w:pPr>
          </w:p>
        </w:tc>
        <w:tc>
          <w:tcPr>
            <w:tcW w:w="5672" w:type="dxa"/>
            <w:tcBorders>
              <w:bottom w:val="nil"/>
            </w:tcBorders>
          </w:tcPr>
          <w:p w:rsidR="006A18FD" w:rsidRDefault="002D29FC">
            <w:pPr>
              <w:spacing w:before="1" w:line="211" w:lineRule="exact"/>
              <w:ind w:left="103"/>
              <w:rPr>
                <w:rFonts w:ascii="Calibri"/>
                <w:sz w:val="18"/>
              </w:rPr>
            </w:pPr>
            <w:r>
              <w:rPr>
                <w:rFonts w:ascii="Calibri"/>
                <w:sz w:val="18"/>
              </w:rPr>
              <w:t>The standards do not comment on quality in this area but modelling of</w:t>
            </w:r>
          </w:p>
        </w:tc>
        <w:tc>
          <w:tcPr>
            <w:tcW w:w="1985" w:type="dxa"/>
            <w:tcBorders>
              <w:bottom w:val="nil"/>
            </w:tcBorders>
          </w:tcPr>
          <w:p w:rsidR="006A18FD" w:rsidRDefault="002D29FC">
            <w:pPr>
              <w:spacing w:before="1" w:line="211" w:lineRule="exact"/>
              <w:ind w:left="103"/>
              <w:rPr>
                <w:rFonts w:ascii="Calibri"/>
                <w:sz w:val="18"/>
              </w:rPr>
            </w:pPr>
            <w:r>
              <w:rPr>
                <w:rFonts w:ascii="Calibri"/>
                <w:sz w:val="18"/>
              </w:rPr>
              <w:t>Overheads</w:t>
            </w:r>
          </w:p>
        </w:tc>
      </w:tr>
      <w:tr w:rsidR="006A18FD">
        <w:trPr>
          <w:trHeight w:val="200"/>
        </w:trPr>
        <w:tc>
          <w:tcPr>
            <w:tcW w:w="1174" w:type="dxa"/>
            <w:tcBorders>
              <w:top w:val="nil"/>
              <w:bottom w:val="nil"/>
            </w:tcBorders>
          </w:tcPr>
          <w:p w:rsidR="006A18FD" w:rsidRDefault="002D29FC">
            <w:pPr>
              <w:spacing w:line="190" w:lineRule="exact"/>
              <w:ind w:left="102"/>
              <w:rPr>
                <w:rFonts w:ascii="Calibri"/>
                <w:sz w:val="18"/>
              </w:rPr>
            </w:pPr>
            <w:r>
              <w:rPr>
                <w:rFonts w:ascii="Calibri"/>
                <w:sz w:val="18"/>
              </w:rPr>
              <w:t>samples and</w:t>
            </w:r>
          </w:p>
        </w:tc>
        <w:tc>
          <w:tcPr>
            <w:tcW w:w="4493" w:type="dxa"/>
            <w:tcBorders>
              <w:top w:val="nil"/>
              <w:bottom w:val="nil"/>
            </w:tcBorders>
          </w:tcPr>
          <w:p w:rsidR="006A18FD" w:rsidRDefault="006A18FD">
            <w:pPr>
              <w:rPr>
                <w:rFonts w:ascii="Times New Roman"/>
                <w:sz w:val="14"/>
              </w:rPr>
            </w:pPr>
          </w:p>
        </w:tc>
        <w:tc>
          <w:tcPr>
            <w:tcW w:w="1416" w:type="dxa"/>
            <w:vMerge/>
            <w:tcBorders>
              <w:top w:val="nil"/>
            </w:tcBorders>
          </w:tcPr>
          <w:p w:rsidR="006A18FD" w:rsidRDefault="006A18FD">
            <w:pPr>
              <w:rPr>
                <w:sz w:val="2"/>
                <w:szCs w:val="2"/>
              </w:rPr>
            </w:pPr>
          </w:p>
        </w:tc>
        <w:tc>
          <w:tcPr>
            <w:tcW w:w="5672" w:type="dxa"/>
            <w:tcBorders>
              <w:top w:val="nil"/>
              <w:bottom w:val="nil"/>
            </w:tcBorders>
          </w:tcPr>
          <w:p w:rsidR="006A18FD" w:rsidRDefault="002D29FC">
            <w:pPr>
              <w:spacing w:line="190" w:lineRule="exact"/>
              <w:ind w:left="103"/>
              <w:rPr>
                <w:rFonts w:ascii="Calibri"/>
                <w:sz w:val="18"/>
              </w:rPr>
            </w:pPr>
            <w:r>
              <w:rPr>
                <w:rFonts w:ascii="Calibri"/>
                <w:sz w:val="18"/>
              </w:rPr>
              <w:t>services shows that kit return rates have a small but important impact on</w:t>
            </w: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Variable.</w:t>
            </w:r>
          </w:p>
        </w:tc>
      </w:tr>
      <w:tr w:rsidR="006A18FD">
        <w:trPr>
          <w:trHeight w:val="200"/>
        </w:trPr>
        <w:tc>
          <w:tcPr>
            <w:tcW w:w="1174" w:type="dxa"/>
            <w:tcBorders>
              <w:top w:val="nil"/>
              <w:bottom w:val="nil"/>
            </w:tcBorders>
          </w:tcPr>
          <w:p w:rsidR="006A18FD" w:rsidRDefault="002D29FC">
            <w:pPr>
              <w:spacing w:line="191" w:lineRule="exact"/>
              <w:ind w:left="102"/>
              <w:rPr>
                <w:rFonts w:ascii="Calibri"/>
                <w:sz w:val="18"/>
              </w:rPr>
            </w:pPr>
            <w:r>
              <w:rPr>
                <w:rFonts w:ascii="Calibri"/>
                <w:sz w:val="18"/>
              </w:rPr>
              <w:t>sends to</w:t>
            </w:r>
          </w:p>
        </w:tc>
        <w:tc>
          <w:tcPr>
            <w:tcW w:w="4493" w:type="dxa"/>
            <w:tcBorders>
              <w:top w:val="nil"/>
              <w:bottom w:val="nil"/>
            </w:tcBorders>
          </w:tcPr>
          <w:p w:rsidR="006A18FD" w:rsidRDefault="006A18FD">
            <w:pPr>
              <w:rPr>
                <w:rFonts w:ascii="Times New Roman"/>
                <w:sz w:val="14"/>
              </w:rPr>
            </w:pPr>
          </w:p>
        </w:tc>
        <w:tc>
          <w:tcPr>
            <w:tcW w:w="1416" w:type="dxa"/>
            <w:vMerge/>
            <w:tcBorders>
              <w:top w:val="nil"/>
            </w:tcBorders>
          </w:tcPr>
          <w:p w:rsidR="006A18FD" w:rsidRDefault="006A18FD">
            <w:pPr>
              <w:rPr>
                <w:sz w:val="2"/>
                <w:szCs w:val="2"/>
              </w:rPr>
            </w:pPr>
          </w:p>
        </w:tc>
        <w:tc>
          <w:tcPr>
            <w:tcW w:w="5672" w:type="dxa"/>
            <w:tcBorders>
              <w:top w:val="nil"/>
              <w:bottom w:val="nil"/>
            </w:tcBorders>
          </w:tcPr>
          <w:p w:rsidR="006A18FD" w:rsidRDefault="002D29FC">
            <w:pPr>
              <w:spacing w:line="191" w:lineRule="exact"/>
              <w:ind w:left="103"/>
              <w:rPr>
                <w:rFonts w:ascii="Calibri"/>
                <w:sz w:val="18"/>
              </w:rPr>
            </w:pPr>
            <w:r>
              <w:rPr>
                <w:rFonts w:ascii="Calibri"/>
                <w:sz w:val="18"/>
              </w:rPr>
              <w:t>the cost effectiveness of online services (Turner et al., 2018). Kit return</w:t>
            </w:r>
          </w:p>
        </w:tc>
        <w:tc>
          <w:tcPr>
            <w:tcW w:w="1985" w:type="dxa"/>
            <w:tcBorders>
              <w:top w:val="nil"/>
              <w:bottom w:val="nil"/>
            </w:tcBorders>
          </w:tcPr>
          <w:p w:rsidR="006A18FD" w:rsidRDefault="002D29FC">
            <w:pPr>
              <w:spacing w:line="191" w:lineRule="exact"/>
              <w:ind w:left="103"/>
              <w:rPr>
                <w:rFonts w:ascii="Calibri"/>
                <w:sz w:val="18"/>
              </w:rPr>
            </w:pPr>
            <w:r>
              <w:rPr>
                <w:rFonts w:ascii="Calibri"/>
                <w:sz w:val="18"/>
              </w:rPr>
              <w:t>Development cost with</w:t>
            </w:r>
          </w:p>
        </w:tc>
      </w:tr>
      <w:tr w:rsidR="006A18FD">
        <w:trPr>
          <w:trHeight w:val="200"/>
        </w:trPr>
        <w:tc>
          <w:tcPr>
            <w:tcW w:w="1174" w:type="dxa"/>
            <w:tcBorders>
              <w:top w:val="nil"/>
              <w:bottom w:val="nil"/>
            </w:tcBorders>
          </w:tcPr>
          <w:p w:rsidR="006A18FD" w:rsidRDefault="002D29FC">
            <w:pPr>
              <w:spacing w:line="190" w:lineRule="exact"/>
              <w:ind w:left="102"/>
              <w:rPr>
                <w:rFonts w:ascii="Calibri"/>
                <w:sz w:val="18"/>
              </w:rPr>
            </w:pPr>
            <w:r>
              <w:rPr>
                <w:rFonts w:ascii="Calibri"/>
                <w:sz w:val="18"/>
              </w:rPr>
              <w:t>laboratory</w:t>
            </w:r>
          </w:p>
        </w:tc>
        <w:tc>
          <w:tcPr>
            <w:tcW w:w="4493" w:type="dxa"/>
            <w:tcBorders>
              <w:top w:val="nil"/>
              <w:bottom w:val="nil"/>
            </w:tcBorders>
          </w:tcPr>
          <w:p w:rsidR="006A18FD" w:rsidRDefault="006A18FD">
            <w:pPr>
              <w:rPr>
                <w:rFonts w:ascii="Times New Roman"/>
                <w:sz w:val="14"/>
              </w:rPr>
            </w:pPr>
          </w:p>
        </w:tc>
        <w:tc>
          <w:tcPr>
            <w:tcW w:w="1416" w:type="dxa"/>
            <w:vMerge/>
            <w:tcBorders>
              <w:top w:val="nil"/>
            </w:tcBorders>
          </w:tcPr>
          <w:p w:rsidR="006A18FD" w:rsidRDefault="006A18FD">
            <w:pPr>
              <w:rPr>
                <w:sz w:val="2"/>
                <w:szCs w:val="2"/>
              </w:rPr>
            </w:pPr>
          </w:p>
        </w:tc>
        <w:tc>
          <w:tcPr>
            <w:tcW w:w="5672" w:type="dxa"/>
            <w:tcBorders>
              <w:top w:val="nil"/>
              <w:bottom w:val="nil"/>
            </w:tcBorders>
          </w:tcPr>
          <w:p w:rsidR="006A18FD" w:rsidRDefault="002D29FC">
            <w:pPr>
              <w:spacing w:line="190" w:lineRule="exact"/>
              <w:ind w:left="103"/>
              <w:rPr>
                <w:rFonts w:ascii="Calibri"/>
                <w:sz w:val="18"/>
              </w:rPr>
            </w:pPr>
            <w:r>
              <w:rPr>
                <w:rFonts w:ascii="Calibri"/>
                <w:sz w:val="18"/>
              </w:rPr>
              <w:t>rates are thought to be influenced by usability of the test kits and the</w:t>
            </w:r>
          </w:p>
        </w:tc>
        <w:tc>
          <w:tcPr>
            <w:tcW w:w="1985" w:type="dxa"/>
            <w:tcBorders>
              <w:top w:val="nil"/>
              <w:bottom w:val="nil"/>
            </w:tcBorders>
          </w:tcPr>
          <w:p w:rsidR="006A18FD" w:rsidRDefault="002D29FC">
            <w:pPr>
              <w:spacing w:line="190" w:lineRule="exact"/>
              <w:ind w:left="103"/>
              <w:rPr>
                <w:rFonts w:ascii="Calibri"/>
                <w:sz w:val="18"/>
              </w:rPr>
            </w:pPr>
            <w:r>
              <w:rPr>
                <w:rFonts w:ascii="Calibri"/>
                <w:sz w:val="18"/>
              </w:rPr>
              <w:t>maintenance.</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6A18FD">
            <w:pPr>
              <w:rPr>
                <w:rFonts w:ascii="Times New Roman"/>
                <w:sz w:val="14"/>
              </w:rPr>
            </w:pPr>
          </w:p>
        </w:tc>
        <w:tc>
          <w:tcPr>
            <w:tcW w:w="1416" w:type="dxa"/>
            <w:vMerge/>
            <w:tcBorders>
              <w:top w:val="nil"/>
            </w:tcBorders>
          </w:tcPr>
          <w:p w:rsidR="006A18FD" w:rsidRDefault="006A18FD">
            <w:pPr>
              <w:rPr>
                <w:sz w:val="2"/>
                <w:szCs w:val="2"/>
              </w:rPr>
            </w:pPr>
          </w:p>
        </w:tc>
        <w:tc>
          <w:tcPr>
            <w:tcW w:w="5672" w:type="dxa"/>
            <w:tcBorders>
              <w:top w:val="nil"/>
              <w:bottom w:val="nil"/>
            </w:tcBorders>
          </w:tcPr>
          <w:p w:rsidR="006A18FD" w:rsidRDefault="002D29FC">
            <w:pPr>
              <w:spacing w:line="190" w:lineRule="exact"/>
              <w:ind w:left="103"/>
              <w:rPr>
                <w:rFonts w:ascii="Calibri"/>
                <w:sz w:val="18"/>
              </w:rPr>
            </w:pPr>
            <w:r>
              <w:rPr>
                <w:rFonts w:ascii="Calibri"/>
                <w:sz w:val="18"/>
              </w:rPr>
              <w:t>quality of the instructions and support. This suggests that investment in</w:t>
            </w:r>
          </w:p>
        </w:tc>
        <w:tc>
          <w:tcPr>
            <w:tcW w:w="1985" w:type="dxa"/>
            <w:tcBorders>
              <w:top w:val="nil"/>
              <w:bottom w:val="nil"/>
            </w:tcBorders>
          </w:tcPr>
          <w:p w:rsidR="006A18FD" w:rsidRDefault="006A18FD">
            <w:pPr>
              <w:rPr>
                <w:rFonts w:ascii="Times New Roman"/>
                <w:sz w:val="14"/>
              </w:rPr>
            </w:pPr>
          </w:p>
        </w:tc>
      </w:tr>
      <w:tr w:rsidR="006A18FD">
        <w:trPr>
          <w:trHeight w:val="180"/>
        </w:trPr>
        <w:tc>
          <w:tcPr>
            <w:tcW w:w="1174" w:type="dxa"/>
            <w:tcBorders>
              <w:top w:val="nil"/>
            </w:tcBorders>
          </w:tcPr>
          <w:p w:rsidR="006A18FD" w:rsidRDefault="006A18FD">
            <w:pPr>
              <w:rPr>
                <w:rFonts w:ascii="Times New Roman"/>
                <w:sz w:val="12"/>
              </w:rPr>
            </w:pPr>
          </w:p>
        </w:tc>
        <w:tc>
          <w:tcPr>
            <w:tcW w:w="4493" w:type="dxa"/>
            <w:tcBorders>
              <w:top w:val="nil"/>
            </w:tcBorders>
          </w:tcPr>
          <w:p w:rsidR="006A18FD" w:rsidRDefault="006A18FD">
            <w:pPr>
              <w:rPr>
                <w:rFonts w:ascii="Times New Roman"/>
                <w:sz w:val="12"/>
              </w:rPr>
            </w:pPr>
          </w:p>
        </w:tc>
        <w:tc>
          <w:tcPr>
            <w:tcW w:w="1416" w:type="dxa"/>
            <w:vMerge/>
            <w:tcBorders>
              <w:top w:val="nil"/>
            </w:tcBorders>
          </w:tcPr>
          <w:p w:rsidR="006A18FD" w:rsidRDefault="006A18FD">
            <w:pPr>
              <w:rPr>
                <w:sz w:val="2"/>
                <w:szCs w:val="2"/>
              </w:rPr>
            </w:pPr>
          </w:p>
        </w:tc>
        <w:tc>
          <w:tcPr>
            <w:tcW w:w="5672" w:type="dxa"/>
            <w:tcBorders>
              <w:top w:val="nil"/>
            </w:tcBorders>
          </w:tcPr>
          <w:p w:rsidR="006A18FD" w:rsidRDefault="002D29FC">
            <w:pPr>
              <w:spacing w:line="178" w:lineRule="exact"/>
              <w:ind w:left="103"/>
              <w:rPr>
                <w:rFonts w:ascii="Calibri"/>
                <w:sz w:val="18"/>
              </w:rPr>
            </w:pPr>
            <w:r>
              <w:rPr>
                <w:rFonts w:ascii="Calibri"/>
                <w:sz w:val="18"/>
              </w:rPr>
              <w:t>these areas could be important.</w:t>
            </w:r>
          </w:p>
        </w:tc>
        <w:tc>
          <w:tcPr>
            <w:tcW w:w="1985" w:type="dxa"/>
            <w:tcBorders>
              <w:top w:val="nil"/>
            </w:tcBorders>
          </w:tcPr>
          <w:p w:rsidR="006A18FD" w:rsidRDefault="006A18FD">
            <w:pPr>
              <w:rPr>
                <w:rFonts w:ascii="Times New Roman"/>
                <w:sz w:val="12"/>
              </w:rPr>
            </w:pPr>
          </w:p>
        </w:tc>
      </w:tr>
      <w:tr w:rsidR="006A18FD">
        <w:trPr>
          <w:trHeight w:val="220"/>
        </w:trPr>
        <w:tc>
          <w:tcPr>
            <w:tcW w:w="1174" w:type="dxa"/>
            <w:tcBorders>
              <w:bottom w:val="nil"/>
            </w:tcBorders>
          </w:tcPr>
          <w:p w:rsidR="006A18FD" w:rsidRDefault="002D29FC">
            <w:pPr>
              <w:spacing w:line="216" w:lineRule="exact"/>
              <w:ind w:left="102"/>
              <w:rPr>
                <w:rFonts w:ascii="Calibri"/>
                <w:sz w:val="18"/>
              </w:rPr>
            </w:pPr>
            <w:r>
              <w:rPr>
                <w:rFonts w:ascii="Calibri"/>
                <w:sz w:val="18"/>
              </w:rPr>
              <w:t>Results</w:t>
            </w:r>
          </w:p>
        </w:tc>
        <w:tc>
          <w:tcPr>
            <w:tcW w:w="4493" w:type="dxa"/>
            <w:tcBorders>
              <w:bottom w:val="nil"/>
            </w:tcBorders>
          </w:tcPr>
          <w:p w:rsidR="006A18FD" w:rsidRDefault="002D29FC">
            <w:pPr>
              <w:spacing w:line="216" w:lineRule="exact"/>
              <w:ind w:left="102"/>
              <w:rPr>
                <w:rFonts w:ascii="Calibri"/>
                <w:sz w:val="18"/>
              </w:rPr>
            </w:pPr>
            <w:r>
              <w:rPr>
                <w:rFonts w:ascii="Calibri"/>
                <w:sz w:val="18"/>
              </w:rPr>
              <w:t>Providers of online or remote SH/ SRH</w:t>
            </w:r>
            <w:r>
              <w:rPr>
                <w:rFonts w:ascii="Calibri"/>
                <w:position w:val="5"/>
                <w:sz w:val="12"/>
              </w:rPr>
              <w:t xml:space="preserve">1  </w:t>
            </w:r>
            <w:r>
              <w:rPr>
                <w:rFonts w:ascii="Calibri"/>
                <w:sz w:val="18"/>
              </w:rPr>
              <w:t>services may or</w:t>
            </w:r>
          </w:p>
        </w:tc>
        <w:tc>
          <w:tcPr>
            <w:tcW w:w="1416" w:type="dxa"/>
            <w:tcBorders>
              <w:bottom w:val="nil"/>
            </w:tcBorders>
          </w:tcPr>
          <w:p w:rsidR="006A18FD" w:rsidRDefault="002D29FC">
            <w:pPr>
              <w:spacing w:line="216" w:lineRule="exact"/>
              <w:ind w:left="100"/>
              <w:rPr>
                <w:rFonts w:ascii="Calibri"/>
                <w:sz w:val="18"/>
              </w:rPr>
            </w:pPr>
            <w:r>
              <w:rPr>
                <w:rFonts w:ascii="Calibri"/>
                <w:sz w:val="18"/>
              </w:rPr>
              <w:t>4.1.1</w:t>
            </w:r>
          </w:p>
        </w:tc>
        <w:tc>
          <w:tcPr>
            <w:tcW w:w="5672" w:type="dxa"/>
            <w:tcBorders>
              <w:bottom w:val="nil"/>
            </w:tcBorders>
          </w:tcPr>
          <w:p w:rsidR="006A18FD" w:rsidRDefault="002D29FC">
            <w:pPr>
              <w:spacing w:line="216" w:lineRule="exact"/>
              <w:ind w:left="103"/>
              <w:rPr>
                <w:rFonts w:ascii="Calibri"/>
                <w:sz w:val="18"/>
              </w:rPr>
            </w:pPr>
            <w:r>
              <w:rPr>
                <w:rFonts w:ascii="Calibri"/>
                <w:sz w:val="18"/>
              </w:rPr>
              <w:t>Clinical staff to give reactive HIV results by telephone, to provide clinical</w:t>
            </w:r>
          </w:p>
        </w:tc>
        <w:tc>
          <w:tcPr>
            <w:tcW w:w="1985" w:type="dxa"/>
            <w:tcBorders>
              <w:bottom w:val="nil"/>
            </w:tcBorders>
          </w:tcPr>
          <w:p w:rsidR="006A18FD" w:rsidRDefault="002D29FC">
            <w:pPr>
              <w:spacing w:line="216" w:lineRule="exact"/>
              <w:ind w:left="103"/>
              <w:rPr>
                <w:rFonts w:ascii="Calibri"/>
                <w:sz w:val="18"/>
              </w:rPr>
            </w:pPr>
            <w:r>
              <w:rPr>
                <w:rFonts w:ascii="Calibri"/>
                <w:sz w:val="18"/>
              </w:rPr>
              <w:t>Clinical staff costs.</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may not be the same organisation which provides the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advice and signposting for those who are symptomatic, to offer partner</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Staff training to take on</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face-to-face SH/ SRH service for any specific location. It is</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2D29FC">
            <w:pPr>
              <w:spacing w:line="200" w:lineRule="exact"/>
              <w:ind w:left="103"/>
              <w:rPr>
                <w:rFonts w:ascii="Calibri"/>
                <w:sz w:val="18"/>
              </w:rPr>
            </w:pPr>
            <w:r>
              <w:rPr>
                <w:rFonts w:ascii="Calibri"/>
                <w:sz w:val="18"/>
              </w:rPr>
              <w:t>notification and to support transition to sexual health services as required.</w:t>
            </w: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new roles e.g. remote</w:t>
            </w:r>
          </w:p>
        </w:tc>
      </w:tr>
      <w:tr w:rsidR="006A18FD">
        <w:trPr>
          <w:trHeight w:val="22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1" w:lineRule="exact"/>
              <w:ind w:left="102"/>
              <w:rPr>
                <w:rFonts w:ascii="Calibri" w:hAnsi="Calibri"/>
                <w:sz w:val="18"/>
              </w:rPr>
            </w:pPr>
            <w:r>
              <w:rPr>
                <w:rFonts w:ascii="Calibri" w:hAnsi="Calibri"/>
                <w:sz w:val="18"/>
              </w:rPr>
              <w:t>the online service provider’s responsibility to ensure that</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1" w:lineRule="exact"/>
              <w:ind w:left="103"/>
              <w:rPr>
                <w:rFonts w:ascii="Calibri"/>
                <w:sz w:val="18"/>
              </w:rPr>
            </w:pPr>
            <w:r>
              <w:rPr>
                <w:rFonts w:ascii="Calibri"/>
                <w:sz w:val="18"/>
              </w:rPr>
              <w:t>clinical care that are not</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the pathway between the face-to-face and online and</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included in standard</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remote services is well supported and does not put the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NHS training</w:t>
            </w:r>
          </w:p>
        </w:tc>
      </w:tr>
      <w:tr w:rsidR="006A18FD">
        <w:trPr>
          <w:trHeight w:val="200"/>
        </w:trPr>
        <w:tc>
          <w:tcPr>
            <w:tcW w:w="1174" w:type="dxa"/>
            <w:tcBorders>
              <w:top w:val="nil"/>
              <w:bottom w:val="nil"/>
            </w:tcBorders>
          </w:tcPr>
          <w:p w:rsidR="006A18FD" w:rsidRDefault="006A18FD">
            <w:pPr>
              <w:rPr>
                <w:rFonts w:ascii="Times New Roman"/>
                <w:sz w:val="14"/>
              </w:rPr>
            </w:pPr>
          </w:p>
        </w:tc>
        <w:tc>
          <w:tcPr>
            <w:tcW w:w="4493" w:type="dxa"/>
            <w:tcBorders>
              <w:top w:val="nil"/>
              <w:bottom w:val="nil"/>
            </w:tcBorders>
          </w:tcPr>
          <w:p w:rsidR="006A18FD" w:rsidRDefault="002D29FC">
            <w:pPr>
              <w:spacing w:line="200" w:lineRule="exact"/>
              <w:ind w:left="102"/>
              <w:rPr>
                <w:rFonts w:ascii="Calibri"/>
                <w:sz w:val="18"/>
              </w:rPr>
            </w:pPr>
            <w:r>
              <w:rPr>
                <w:rFonts w:ascii="Calibri"/>
                <w:sz w:val="18"/>
              </w:rPr>
              <w:t>service user at a disadvantage if they need to move</w:t>
            </w:r>
          </w:p>
        </w:tc>
        <w:tc>
          <w:tcPr>
            <w:tcW w:w="1416" w:type="dxa"/>
            <w:tcBorders>
              <w:top w:val="nil"/>
              <w:bottom w:val="nil"/>
            </w:tcBorders>
          </w:tcPr>
          <w:p w:rsidR="006A18FD" w:rsidRDefault="006A18FD">
            <w:pPr>
              <w:rPr>
                <w:rFonts w:ascii="Times New Roman"/>
                <w:sz w:val="14"/>
              </w:rPr>
            </w:pPr>
          </w:p>
        </w:tc>
        <w:tc>
          <w:tcPr>
            <w:tcW w:w="5672" w:type="dxa"/>
            <w:tcBorders>
              <w:top w:val="nil"/>
              <w:bottom w:val="nil"/>
            </w:tcBorders>
          </w:tcPr>
          <w:p w:rsidR="006A18FD" w:rsidRDefault="006A18FD">
            <w:pPr>
              <w:rPr>
                <w:rFonts w:ascii="Times New Roman"/>
                <w:sz w:val="14"/>
              </w:rPr>
            </w:pPr>
          </w:p>
        </w:tc>
        <w:tc>
          <w:tcPr>
            <w:tcW w:w="1985" w:type="dxa"/>
            <w:tcBorders>
              <w:top w:val="nil"/>
              <w:bottom w:val="nil"/>
            </w:tcBorders>
          </w:tcPr>
          <w:p w:rsidR="006A18FD" w:rsidRDefault="002D29FC">
            <w:pPr>
              <w:spacing w:line="200" w:lineRule="exact"/>
              <w:ind w:left="103"/>
              <w:rPr>
                <w:rFonts w:ascii="Calibri"/>
                <w:sz w:val="18"/>
              </w:rPr>
            </w:pPr>
            <w:r>
              <w:rPr>
                <w:rFonts w:ascii="Calibri"/>
                <w:sz w:val="18"/>
              </w:rPr>
              <w:t>programmes.</w:t>
            </w:r>
          </w:p>
        </w:tc>
      </w:tr>
      <w:tr w:rsidR="006A18FD">
        <w:trPr>
          <w:trHeight w:val="420"/>
        </w:trPr>
        <w:tc>
          <w:tcPr>
            <w:tcW w:w="1174" w:type="dxa"/>
            <w:tcBorders>
              <w:top w:val="nil"/>
            </w:tcBorders>
          </w:tcPr>
          <w:p w:rsidR="006A18FD" w:rsidRDefault="006A18FD">
            <w:pPr>
              <w:rPr>
                <w:rFonts w:ascii="Times New Roman"/>
                <w:sz w:val="16"/>
              </w:rPr>
            </w:pPr>
          </w:p>
        </w:tc>
        <w:tc>
          <w:tcPr>
            <w:tcW w:w="4493" w:type="dxa"/>
            <w:tcBorders>
              <w:top w:val="nil"/>
            </w:tcBorders>
          </w:tcPr>
          <w:p w:rsidR="006A18FD" w:rsidRDefault="002D29FC">
            <w:pPr>
              <w:spacing w:line="203" w:lineRule="exact"/>
              <w:ind w:left="102"/>
              <w:rPr>
                <w:rFonts w:ascii="Calibri"/>
                <w:sz w:val="18"/>
              </w:rPr>
            </w:pPr>
            <w:r>
              <w:rPr>
                <w:rFonts w:ascii="Calibri"/>
                <w:sz w:val="18"/>
              </w:rPr>
              <w:t>between the two types of service.</w:t>
            </w:r>
          </w:p>
        </w:tc>
        <w:tc>
          <w:tcPr>
            <w:tcW w:w="1416" w:type="dxa"/>
            <w:tcBorders>
              <w:top w:val="nil"/>
            </w:tcBorders>
          </w:tcPr>
          <w:p w:rsidR="006A18FD" w:rsidRDefault="006A18FD">
            <w:pPr>
              <w:rPr>
                <w:rFonts w:ascii="Times New Roman"/>
                <w:sz w:val="16"/>
              </w:rPr>
            </w:pPr>
          </w:p>
        </w:tc>
        <w:tc>
          <w:tcPr>
            <w:tcW w:w="5672" w:type="dxa"/>
            <w:tcBorders>
              <w:top w:val="nil"/>
            </w:tcBorders>
          </w:tcPr>
          <w:p w:rsidR="006A18FD" w:rsidRDefault="006A18FD">
            <w:pPr>
              <w:rPr>
                <w:rFonts w:ascii="Times New Roman"/>
                <w:sz w:val="16"/>
              </w:rPr>
            </w:pPr>
          </w:p>
        </w:tc>
        <w:tc>
          <w:tcPr>
            <w:tcW w:w="1985" w:type="dxa"/>
            <w:tcBorders>
              <w:top w:val="nil"/>
            </w:tcBorders>
          </w:tcPr>
          <w:p w:rsidR="006A18FD" w:rsidRDefault="006A18FD">
            <w:pPr>
              <w:rPr>
                <w:rFonts w:ascii="Times New Roman"/>
                <w:sz w:val="16"/>
              </w:rPr>
            </w:pPr>
          </w:p>
        </w:tc>
      </w:tr>
    </w:tbl>
    <w:p w:rsidR="006A18FD" w:rsidRDefault="002D29FC">
      <w:pPr>
        <w:spacing w:before="121"/>
        <w:ind w:left="100"/>
        <w:rPr>
          <w:rFonts w:ascii="Calibri"/>
          <w:sz w:val="16"/>
        </w:rPr>
      </w:pPr>
      <w:r>
        <w:rPr>
          <w:rFonts w:ascii="Calibri"/>
          <w:position w:val="5"/>
          <w:sz w:val="10"/>
        </w:rPr>
        <w:t xml:space="preserve">1 </w:t>
      </w:r>
      <w:r>
        <w:rPr>
          <w:rFonts w:ascii="Calibri"/>
          <w:sz w:val="16"/>
        </w:rPr>
        <w:t>Sexual health/sexual reproductive health</w:t>
      </w:r>
    </w:p>
    <w:p w:rsidR="006A18FD" w:rsidRDefault="006A18FD">
      <w:pPr>
        <w:rPr>
          <w:rFonts w:ascii="Calibri"/>
          <w:sz w:val="16"/>
        </w:rPr>
        <w:sectPr w:rsidR="006A18FD">
          <w:headerReference w:type="even" r:id="rId57"/>
          <w:pgSz w:w="16840" w:h="11910" w:orient="landscape"/>
          <w:pgMar w:top="1100" w:right="540" w:bottom="280" w:left="1340" w:header="0" w:footer="0" w:gutter="0"/>
          <w:cols w:space="720"/>
        </w:sectPr>
      </w:pPr>
    </w:p>
    <w:p w:rsidR="006A18FD" w:rsidRDefault="006A18FD">
      <w:pPr>
        <w:spacing w:before="6"/>
        <w:rPr>
          <w:rFonts w:ascii="Calibri"/>
          <w:sz w:val="27"/>
        </w:rPr>
      </w:pPr>
    </w:p>
    <w:p w:rsidR="006A18FD" w:rsidRDefault="002D29FC" w:rsidP="00E42AC6">
      <w:pPr>
        <w:pStyle w:val="Heading2"/>
      </w:pPr>
      <w:r>
        <w:t>Discussion</w:t>
      </w:r>
    </w:p>
    <w:p w:rsidR="006A18FD" w:rsidRDefault="002D29FC">
      <w:pPr>
        <w:spacing w:before="158" w:line="276" w:lineRule="auto"/>
        <w:ind w:left="140" w:right="123"/>
        <w:rPr>
          <w:rFonts w:ascii="Calibri"/>
          <w:sz w:val="20"/>
        </w:rPr>
      </w:pPr>
      <w:r>
        <w:rPr>
          <w:rFonts w:ascii="Calibri"/>
          <w:sz w:val="20"/>
        </w:rPr>
        <w:t>By mapping the user journey for an online T4 sexual health test to the quality standards specified by the professional bodies within sexual health, we have identified priorities for further work on costing online services. As far as we know this is the first attempt to map the possible cost of quality standards within online sexual health service provision.</w:t>
      </w:r>
    </w:p>
    <w:p w:rsidR="006A18FD" w:rsidRDefault="002D29FC">
      <w:pPr>
        <w:spacing w:before="119" w:line="276" w:lineRule="auto"/>
        <w:ind w:left="140" w:right="147"/>
        <w:rPr>
          <w:rFonts w:ascii="Calibri"/>
          <w:sz w:val="20"/>
        </w:rPr>
      </w:pPr>
      <w:r>
        <w:rPr>
          <w:rFonts w:ascii="Calibri"/>
          <w:sz w:val="20"/>
        </w:rPr>
        <w:t xml:space="preserve">The results highlight the key cost areas of the online service and could contribute to sensitivity analyses for future costing work in this type of service. In-person NHS services can be potentially costed using the </w:t>
      </w:r>
      <w:r>
        <w:rPr>
          <w:rFonts w:ascii="Calibri"/>
          <w:i/>
          <w:sz w:val="20"/>
        </w:rPr>
        <w:t xml:space="preserve">Unit Costs of Health and Social Care </w:t>
      </w:r>
      <w:r>
        <w:rPr>
          <w:rFonts w:ascii="Calibri"/>
          <w:sz w:val="20"/>
        </w:rPr>
        <w:t>(Curtis, 2018), and NHS reference costs (NHSI, 2018), however the emergence of</w:t>
      </w:r>
      <w:r>
        <w:rPr>
          <w:rFonts w:ascii="Calibri"/>
          <w:spacing w:val="-5"/>
          <w:sz w:val="20"/>
        </w:rPr>
        <w:t xml:space="preserve"> </w:t>
      </w:r>
      <w:r>
        <w:rPr>
          <w:rFonts w:ascii="Calibri"/>
          <w:sz w:val="20"/>
        </w:rPr>
        <w:t>online</w:t>
      </w:r>
      <w:r>
        <w:rPr>
          <w:rFonts w:ascii="Calibri"/>
          <w:spacing w:val="-3"/>
          <w:sz w:val="20"/>
        </w:rPr>
        <w:t xml:space="preserve"> </w:t>
      </w:r>
      <w:r>
        <w:rPr>
          <w:rFonts w:ascii="Calibri"/>
          <w:sz w:val="20"/>
        </w:rPr>
        <w:t>services</w:t>
      </w:r>
      <w:r>
        <w:rPr>
          <w:rFonts w:ascii="Calibri"/>
          <w:spacing w:val="-2"/>
          <w:sz w:val="20"/>
        </w:rPr>
        <w:t xml:space="preserve"> </w:t>
      </w:r>
      <w:r>
        <w:rPr>
          <w:rFonts w:ascii="Calibri"/>
          <w:sz w:val="20"/>
        </w:rPr>
        <w:t>creates</w:t>
      </w:r>
      <w:r>
        <w:rPr>
          <w:rFonts w:ascii="Calibri"/>
          <w:spacing w:val="-5"/>
          <w:sz w:val="20"/>
        </w:rPr>
        <w:t xml:space="preserve"> </w:t>
      </w:r>
      <w:r>
        <w:rPr>
          <w:rFonts w:ascii="Calibri"/>
          <w:sz w:val="20"/>
        </w:rPr>
        <w:t>new</w:t>
      </w:r>
      <w:r>
        <w:rPr>
          <w:rFonts w:ascii="Calibri"/>
          <w:spacing w:val="-2"/>
          <w:sz w:val="20"/>
        </w:rPr>
        <w:t xml:space="preserve"> </w:t>
      </w:r>
      <w:r>
        <w:rPr>
          <w:rFonts w:ascii="Calibri"/>
          <w:sz w:val="20"/>
        </w:rPr>
        <w:t>types</w:t>
      </w:r>
      <w:r>
        <w:rPr>
          <w:rFonts w:ascii="Calibri"/>
          <w:spacing w:val="-5"/>
          <w:sz w:val="20"/>
        </w:rPr>
        <w:t xml:space="preserve"> </w:t>
      </w:r>
      <w:r>
        <w:rPr>
          <w:rFonts w:ascii="Calibri"/>
          <w:sz w:val="20"/>
        </w:rPr>
        <w:t>of</w:t>
      </w:r>
      <w:r>
        <w:rPr>
          <w:rFonts w:ascii="Calibri"/>
          <w:spacing w:val="-1"/>
          <w:sz w:val="20"/>
        </w:rPr>
        <w:t xml:space="preserve"> </w:t>
      </w:r>
      <w:r>
        <w:rPr>
          <w:rFonts w:ascii="Calibri"/>
          <w:sz w:val="20"/>
        </w:rPr>
        <w:t>cost</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costing</w:t>
      </w:r>
      <w:r>
        <w:rPr>
          <w:rFonts w:ascii="Calibri"/>
          <w:spacing w:val="-4"/>
          <w:sz w:val="20"/>
        </w:rPr>
        <w:t xml:space="preserve"> </w:t>
      </w:r>
      <w:r>
        <w:rPr>
          <w:rFonts w:ascii="Calibri"/>
          <w:sz w:val="20"/>
        </w:rPr>
        <w:t>profiles. Both</w:t>
      </w:r>
      <w:r>
        <w:rPr>
          <w:rFonts w:ascii="Calibri"/>
          <w:spacing w:val="-2"/>
          <w:sz w:val="20"/>
        </w:rPr>
        <w:t xml:space="preserve"> </w:t>
      </w:r>
      <w:r>
        <w:rPr>
          <w:rFonts w:ascii="Calibri"/>
          <w:sz w:val="20"/>
        </w:rPr>
        <w:t>running</w:t>
      </w:r>
      <w:r>
        <w:rPr>
          <w:rFonts w:ascii="Calibri"/>
          <w:spacing w:val="-4"/>
          <w:sz w:val="20"/>
        </w:rPr>
        <w:t xml:space="preserve"> </w:t>
      </w:r>
      <w:r>
        <w:rPr>
          <w:rFonts w:ascii="Calibri"/>
          <w:sz w:val="20"/>
        </w:rPr>
        <w:t>costs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capital</w:t>
      </w:r>
      <w:r>
        <w:rPr>
          <w:rFonts w:ascii="Calibri"/>
          <w:spacing w:val="-3"/>
          <w:sz w:val="20"/>
        </w:rPr>
        <w:t xml:space="preserve"> </w:t>
      </w:r>
      <w:r>
        <w:rPr>
          <w:rFonts w:ascii="Calibri"/>
          <w:sz w:val="20"/>
        </w:rPr>
        <w:t>expenditure</w:t>
      </w:r>
      <w:r>
        <w:rPr>
          <w:rFonts w:ascii="Calibri"/>
          <w:spacing w:val="-3"/>
          <w:sz w:val="20"/>
        </w:rPr>
        <w:t xml:space="preserve"> </w:t>
      </w:r>
      <w:r>
        <w:rPr>
          <w:rFonts w:ascii="Calibri"/>
          <w:sz w:val="20"/>
        </w:rPr>
        <w:t>are</w:t>
      </w:r>
      <w:r>
        <w:rPr>
          <w:rFonts w:ascii="Calibri"/>
          <w:spacing w:val="-1"/>
          <w:sz w:val="20"/>
        </w:rPr>
        <w:t xml:space="preserve"> </w:t>
      </w:r>
      <w:r>
        <w:rPr>
          <w:rFonts w:ascii="Calibri"/>
          <w:sz w:val="20"/>
        </w:rPr>
        <w:t>less well characterised for online services than face-to-face care. Much of the development of these services has taken place outside the NHS and much of the data on costs is commercially sensitive making it more challenging to understand their components and prices. Whilst online services share many of the same responsibilities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requirements</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a</w:t>
      </w:r>
      <w:r>
        <w:rPr>
          <w:rFonts w:ascii="Calibri"/>
          <w:spacing w:val="-3"/>
          <w:sz w:val="20"/>
        </w:rPr>
        <w:t xml:space="preserve"> </w:t>
      </w:r>
      <w:r>
        <w:rPr>
          <w:rFonts w:ascii="Calibri"/>
          <w:sz w:val="20"/>
        </w:rPr>
        <w:t>physical service</w:t>
      </w:r>
      <w:r>
        <w:rPr>
          <w:rFonts w:ascii="Calibri"/>
          <w:spacing w:val="-3"/>
          <w:sz w:val="20"/>
        </w:rPr>
        <w:t xml:space="preserve"> </w:t>
      </w:r>
      <w:r>
        <w:rPr>
          <w:rFonts w:ascii="Calibri"/>
          <w:sz w:val="20"/>
        </w:rPr>
        <w:t>our</w:t>
      </w:r>
      <w:r>
        <w:rPr>
          <w:rFonts w:ascii="Calibri"/>
          <w:spacing w:val="-1"/>
          <w:sz w:val="20"/>
        </w:rPr>
        <w:t xml:space="preserve"> </w:t>
      </w:r>
      <w:r>
        <w:rPr>
          <w:rFonts w:ascii="Calibri"/>
          <w:sz w:val="20"/>
        </w:rPr>
        <w:t>analysis</w:t>
      </w:r>
      <w:r>
        <w:rPr>
          <w:rFonts w:ascii="Calibri"/>
          <w:spacing w:val="-4"/>
          <w:sz w:val="20"/>
        </w:rPr>
        <w:t xml:space="preserve"> </w:t>
      </w:r>
      <w:r>
        <w:rPr>
          <w:rFonts w:ascii="Calibri"/>
          <w:sz w:val="20"/>
        </w:rPr>
        <w:t>shows</w:t>
      </w:r>
      <w:r>
        <w:rPr>
          <w:rFonts w:ascii="Calibri"/>
          <w:spacing w:val="-2"/>
          <w:sz w:val="20"/>
        </w:rPr>
        <w:t xml:space="preserve"> </w:t>
      </w:r>
      <w:r>
        <w:rPr>
          <w:rFonts w:ascii="Calibri"/>
          <w:sz w:val="20"/>
        </w:rPr>
        <w:t>where</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costs</w:t>
      </w:r>
      <w:r>
        <w:rPr>
          <w:rFonts w:ascii="Calibri"/>
          <w:spacing w:val="-4"/>
          <w:sz w:val="20"/>
        </w:rPr>
        <w:t xml:space="preserve"> </w:t>
      </w:r>
      <w:r>
        <w:rPr>
          <w:rFonts w:ascii="Calibri"/>
          <w:sz w:val="20"/>
        </w:rPr>
        <w:t>differ</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lack</w:t>
      </w:r>
      <w:r>
        <w:rPr>
          <w:rFonts w:ascii="Calibri"/>
          <w:spacing w:val="-3"/>
          <w:sz w:val="20"/>
        </w:rPr>
        <w:t xml:space="preserve"> </w:t>
      </w:r>
      <w:r>
        <w:rPr>
          <w:rFonts w:ascii="Calibri"/>
          <w:sz w:val="20"/>
        </w:rPr>
        <w:t>of published resources to estimate the costs in this</w:t>
      </w:r>
      <w:r>
        <w:rPr>
          <w:rFonts w:ascii="Calibri"/>
          <w:spacing w:val="-24"/>
          <w:sz w:val="20"/>
        </w:rPr>
        <w:t xml:space="preserve"> </w:t>
      </w:r>
      <w:r>
        <w:rPr>
          <w:rFonts w:ascii="Calibri"/>
          <w:sz w:val="20"/>
        </w:rPr>
        <w:t>sector.</w:t>
      </w:r>
    </w:p>
    <w:p w:rsidR="006A18FD" w:rsidRDefault="002D29FC">
      <w:pPr>
        <w:spacing w:before="119" w:line="276" w:lineRule="auto"/>
        <w:ind w:left="140" w:right="238"/>
        <w:jc w:val="both"/>
        <w:rPr>
          <w:rFonts w:ascii="Calibri"/>
          <w:sz w:val="20"/>
        </w:rPr>
      </w:pPr>
      <w:r>
        <w:rPr>
          <w:rFonts w:ascii="Calibri"/>
          <w:sz w:val="20"/>
        </w:rPr>
        <w:t>The development of online services within the NHS requires a different skill mix and there is limited guidance from the NHS on the banding or costing of many of the unique roles required, with current salaries influenced by local market factors given the value placed on them in the UK and international private sectors.</w:t>
      </w:r>
    </w:p>
    <w:p w:rsidR="006A18FD" w:rsidRDefault="002D29FC">
      <w:pPr>
        <w:spacing w:before="119" w:line="276" w:lineRule="auto"/>
        <w:ind w:left="140" w:right="301"/>
        <w:rPr>
          <w:rFonts w:ascii="Calibri"/>
          <w:sz w:val="20"/>
        </w:rPr>
      </w:pPr>
      <w:r>
        <w:rPr>
          <w:rFonts w:ascii="Calibri"/>
          <w:sz w:val="20"/>
        </w:rPr>
        <w:t>Finally, online services offer new challenges for managing volumes of activity. Traditional services are limited by the number of appointments available whereas demand management in online services requires new strategies. The commonest approach currently adopted is capping the number of tests available each day. At present we do not know the implications of this strategy for equity of access, particularly for vulnerable groups. Further work is required to understand these implications.</w:t>
      </w:r>
    </w:p>
    <w:p w:rsidR="006A18FD" w:rsidRDefault="002D29FC" w:rsidP="00E42AC6">
      <w:pPr>
        <w:pStyle w:val="Heading2"/>
      </w:pPr>
      <w:r>
        <w:t>Conclusion</w:t>
      </w:r>
    </w:p>
    <w:p w:rsidR="006A18FD" w:rsidRDefault="002D29FC">
      <w:pPr>
        <w:spacing w:before="158" w:line="276" w:lineRule="auto"/>
        <w:ind w:left="140" w:right="272"/>
        <w:rPr>
          <w:rFonts w:ascii="Calibri"/>
          <w:sz w:val="20"/>
        </w:rPr>
      </w:pPr>
      <w:r>
        <w:rPr>
          <w:rFonts w:ascii="Calibri"/>
          <w:sz w:val="20"/>
        </w:rPr>
        <w:t>There is a lack of evidence around the costs of a high quality online service. The published evidence to date suggests that it is important to consider the cost-effectiveness of online services in terms of their impact on the costs and outcomes of whole systems of sexual health care (Turner, 2018). Our work highlights key areas where sensitivity analysis of quality standards on costs of online services should be undertaken. As digital services are increasingly part of NHS care we need to specify the cost of new staff roles (e.g. designers and developers) and new staff training (e.g. the management of remote consultations) in order to understand the cost-effectiveness of these new service modalities.</w:t>
      </w:r>
    </w:p>
    <w:p w:rsidR="006A18FD" w:rsidRDefault="002D29FC" w:rsidP="00E42AC6">
      <w:pPr>
        <w:pStyle w:val="Heading2"/>
      </w:pPr>
      <w:r>
        <w:t>References</w:t>
      </w:r>
    </w:p>
    <w:p w:rsidR="006A18FD" w:rsidRDefault="002D29FC">
      <w:pPr>
        <w:spacing w:before="156" w:line="276" w:lineRule="auto"/>
        <w:ind w:left="140" w:right="123"/>
        <w:rPr>
          <w:rFonts w:ascii="Calibri" w:hAnsi="Calibri"/>
          <w:sz w:val="20"/>
        </w:rPr>
      </w:pPr>
      <w:r>
        <w:rPr>
          <w:rFonts w:ascii="Calibri" w:hAnsi="Calibri"/>
          <w:sz w:val="20"/>
        </w:rPr>
        <w:t xml:space="preserve">Blake, D., Spielberg, F., Levy, V., Lensing, S., Wolff, P., Venkatasubramanian, L., Acevedo, N., Padian, N., Chattopadhyay, I. &amp; Gaydos, C. (2015) Could home sexually transmitted infection specimen collection with e- prescription be a cost-effective strategy for clinical trials and clinical care? </w:t>
      </w:r>
      <w:r>
        <w:rPr>
          <w:rFonts w:ascii="Calibri" w:hAnsi="Calibri"/>
          <w:i/>
          <w:sz w:val="20"/>
        </w:rPr>
        <w:t>Sexually Transmitted Diseases</w:t>
      </w:r>
      <w:r>
        <w:rPr>
          <w:rFonts w:ascii="Calibri" w:hAnsi="Calibri"/>
          <w:sz w:val="20"/>
        </w:rPr>
        <w:t>, 42, 1, 13–9.</w:t>
      </w:r>
    </w:p>
    <w:p w:rsidR="006A18FD" w:rsidRDefault="002D29FC">
      <w:pPr>
        <w:spacing w:before="119" w:line="276" w:lineRule="auto"/>
        <w:ind w:left="140" w:right="711"/>
        <w:rPr>
          <w:rFonts w:ascii="Calibri"/>
          <w:sz w:val="20"/>
        </w:rPr>
      </w:pPr>
      <w:r>
        <w:rPr>
          <w:rFonts w:ascii="Calibri"/>
          <w:sz w:val="20"/>
        </w:rPr>
        <w:t xml:space="preserve">British Association for Sexual Health and HIV (BASHH) (2019) </w:t>
      </w:r>
      <w:r>
        <w:rPr>
          <w:rFonts w:ascii="Calibri"/>
          <w:i/>
          <w:sz w:val="20"/>
        </w:rPr>
        <w:t>Standards for the Management of Sexually Transmitted Infections (STIs)</w:t>
      </w:r>
      <w:r>
        <w:rPr>
          <w:rFonts w:ascii="Calibri"/>
          <w:sz w:val="20"/>
        </w:rPr>
        <w:t>, BASHH, Macclesfield.</w:t>
      </w:r>
    </w:p>
    <w:p w:rsidR="006A18FD" w:rsidRDefault="002D29FC">
      <w:pPr>
        <w:spacing w:before="119" w:line="276" w:lineRule="auto"/>
        <w:ind w:left="140"/>
        <w:rPr>
          <w:rFonts w:ascii="Calibri"/>
          <w:sz w:val="20"/>
        </w:rPr>
      </w:pPr>
      <w:r>
        <w:rPr>
          <w:rFonts w:ascii="Calibri"/>
          <w:sz w:val="20"/>
        </w:rPr>
        <w:t xml:space="preserve">Curtis, L. &amp; Burns, A. (2018) </w:t>
      </w:r>
      <w:r>
        <w:rPr>
          <w:rFonts w:ascii="Calibri"/>
          <w:i/>
          <w:sz w:val="20"/>
        </w:rPr>
        <w:t>Unit Costs of Health and Social Care 2018</w:t>
      </w:r>
      <w:r>
        <w:rPr>
          <w:rFonts w:ascii="Calibri"/>
          <w:sz w:val="20"/>
        </w:rPr>
        <w:t>, Personal Social Services Research Unit, University of Kent, Canterbury.</w:t>
      </w:r>
    </w:p>
    <w:p w:rsidR="006A18FD" w:rsidRDefault="002D29FC">
      <w:pPr>
        <w:spacing w:before="120" w:line="276" w:lineRule="auto"/>
        <w:ind w:left="140" w:right="123"/>
        <w:rPr>
          <w:rFonts w:ascii="Calibri"/>
          <w:sz w:val="20"/>
        </w:rPr>
      </w:pPr>
      <w:r>
        <w:rPr>
          <w:rFonts w:ascii="Calibri"/>
          <w:sz w:val="20"/>
        </w:rPr>
        <w:t xml:space="preserve">Estcourt, C., Gibbs, J., Sutcliffe L., Gkatzidou, V., Tickle L. &amp; Hone K. (2017) The e-sexual health clinic system for management, prevention and control of sexually transmitted infections: Exploratory studies in people testing for chlamydia trachomatis, </w:t>
      </w:r>
      <w:r>
        <w:rPr>
          <w:rFonts w:ascii="Calibri"/>
          <w:i/>
          <w:sz w:val="20"/>
        </w:rPr>
        <w:t>The Lancet</w:t>
      </w:r>
      <w:r>
        <w:rPr>
          <w:rFonts w:ascii="Calibri"/>
          <w:sz w:val="20"/>
        </w:rPr>
        <w:t>, 2, PE182-E190</w:t>
      </w:r>
    </w:p>
    <w:p w:rsidR="006A18FD" w:rsidRDefault="002D29FC">
      <w:pPr>
        <w:spacing w:before="120"/>
        <w:ind w:left="140"/>
        <w:rPr>
          <w:rFonts w:ascii="Calibri"/>
          <w:sz w:val="20"/>
        </w:rPr>
      </w:pPr>
      <w:r>
        <w:rPr>
          <w:rFonts w:ascii="Calibri"/>
          <w:sz w:val="20"/>
        </w:rPr>
        <w:t xml:space="preserve">NHS Digital (2019) </w:t>
      </w:r>
      <w:r>
        <w:rPr>
          <w:rFonts w:ascii="Calibri"/>
          <w:i/>
          <w:sz w:val="20"/>
        </w:rPr>
        <w:t>The NHS Long Term Plan</w:t>
      </w:r>
      <w:r>
        <w:rPr>
          <w:rFonts w:ascii="Calibri"/>
          <w:sz w:val="20"/>
        </w:rPr>
        <w:t xml:space="preserve">, NHS Digital, Leeds. </w:t>
      </w:r>
      <w:hyperlink r:id="rId58">
        <w:r>
          <w:rPr>
            <w:rFonts w:ascii="Calibri"/>
            <w:sz w:val="20"/>
            <w:u w:val="single"/>
          </w:rPr>
          <w:t>https://www.longtermplan.nhs.uk/</w:t>
        </w:r>
      </w:hyperlink>
    </w:p>
    <w:p w:rsidR="006A18FD" w:rsidRDefault="006A18FD">
      <w:pPr>
        <w:rPr>
          <w:rFonts w:ascii="Calibri"/>
          <w:sz w:val="20"/>
        </w:rPr>
        <w:sectPr w:rsidR="006A18FD">
          <w:headerReference w:type="even" r:id="rId59"/>
          <w:headerReference w:type="default" r:id="rId60"/>
          <w:pgSz w:w="11900" w:h="16850"/>
          <w:pgMar w:top="1000" w:right="1300" w:bottom="280" w:left="1300" w:header="751" w:footer="0" w:gutter="0"/>
          <w:pgNumType w:start="17"/>
          <w:cols w:space="720"/>
        </w:sectPr>
      </w:pPr>
    </w:p>
    <w:p w:rsidR="006A18FD" w:rsidRDefault="006A18FD">
      <w:pPr>
        <w:rPr>
          <w:rFonts w:ascii="Calibri"/>
          <w:sz w:val="20"/>
        </w:rPr>
      </w:pPr>
    </w:p>
    <w:p w:rsidR="006A18FD" w:rsidRDefault="006A18FD">
      <w:pPr>
        <w:spacing w:before="9"/>
        <w:rPr>
          <w:rFonts w:ascii="Calibri"/>
          <w:sz w:val="15"/>
        </w:rPr>
      </w:pPr>
    </w:p>
    <w:p w:rsidR="006A18FD" w:rsidRDefault="002D29FC">
      <w:pPr>
        <w:spacing w:line="276" w:lineRule="auto"/>
        <w:ind w:left="140" w:right="289"/>
        <w:rPr>
          <w:rFonts w:ascii="Calibri"/>
          <w:sz w:val="20"/>
        </w:rPr>
      </w:pPr>
      <w:r>
        <w:rPr>
          <w:rFonts w:ascii="Calibri"/>
          <w:sz w:val="20"/>
        </w:rPr>
        <w:t xml:space="preserve">NHS Digital (2014) </w:t>
      </w:r>
      <w:r>
        <w:rPr>
          <w:rFonts w:ascii="Calibri"/>
          <w:i/>
          <w:sz w:val="20"/>
        </w:rPr>
        <w:t>Personalised Health and Care 2020</w:t>
      </w:r>
      <w:r>
        <w:rPr>
          <w:rFonts w:ascii="Calibri"/>
          <w:sz w:val="20"/>
        </w:rPr>
        <w:t xml:space="preserve">. National Information Board and Department of Health and Social Care, NHS Digital, Leeds. </w:t>
      </w:r>
      <w:hyperlink r:id="rId61">
        <w:r>
          <w:rPr>
            <w:rFonts w:ascii="Calibri"/>
            <w:sz w:val="20"/>
            <w:u w:val="single"/>
          </w:rPr>
          <w:t>https://www.gov.uk/government/publications/personalised-health-and-</w:t>
        </w:r>
      </w:hyperlink>
      <w:r>
        <w:rPr>
          <w:rFonts w:ascii="Calibri"/>
          <w:sz w:val="20"/>
        </w:rPr>
        <w:t xml:space="preserve"> </w:t>
      </w:r>
      <w:hyperlink r:id="rId62">
        <w:r>
          <w:rPr>
            <w:rFonts w:ascii="Calibri"/>
            <w:sz w:val="20"/>
            <w:u w:val="single"/>
          </w:rPr>
          <w:t>care-2020</w:t>
        </w:r>
        <w:r>
          <w:rPr>
            <w:rFonts w:ascii="Calibri"/>
            <w:sz w:val="20"/>
          </w:rPr>
          <w:t xml:space="preserve"> </w:t>
        </w:r>
      </w:hyperlink>
      <w:r>
        <w:rPr>
          <w:rFonts w:ascii="Calibri"/>
          <w:sz w:val="20"/>
        </w:rPr>
        <w:t>[accessed 12 July 2019]</w:t>
      </w:r>
    </w:p>
    <w:p w:rsidR="006A18FD" w:rsidRDefault="002D29FC">
      <w:pPr>
        <w:spacing w:before="120" w:line="276" w:lineRule="auto"/>
        <w:ind w:left="140" w:right="539"/>
        <w:rPr>
          <w:rFonts w:ascii="Calibri"/>
          <w:sz w:val="20"/>
        </w:rPr>
      </w:pPr>
      <w:r>
        <w:rPr>
          <w:rFonts w:ascii="Calibri"/>
          <w:sz w:val="20"/>
        </w:rPr>
        <w:t xml:space="preserve">NHS Improvement. (2018) </w:t>
      </w:r>
      <w:r>
        <w:rPr>
          <w:rFonts w:ascii="Calibri"/>
          <w:i/>
          <w:sz w:val="20"/>
        </w:rPr>
        <w:t xml:space="preserve">Reference costs, </w:t>
      </w:r>
      <w:r>
        <w:rPr>
          <w:rFonts w:ascii="Calibri"/>
          <w:sz w:val="20"/>
        </w:rPr>
        <w:t xml:space="preserve">NHS Improvement. </w:t>
      </w:r>
      <w:r>
        <w:rPr>
          <w:rFonts w:ascii="Calibri"/>
          <w:i/>
          <w:sz w:val="20"/>
        </w:rPr>
        <w:t>Highlights, analysis and introduction to the data November 2018</w:t>
      </w:r>
      <w:r>
        <w:rPr>
          <w:rFonts w:ascii="Calibri"/>
          <w:sz w:val="20"/>
        </w:rPr>
        <w:t xml:space="preserve">, NHS Improvement, London. </w:t>
      </w:r>
      <w:hyperlink r:id="rId63">
        <w:r>
          <w:rPr>
            <w:rFonts w:ascii="Calibri"/>
            <w:sz w:val="20"/>
            <w:u w:val="single"/>
          </w:rPr>
          <w:t>https://improvement.nhs.uk/documents/1972/1_-</w:t>
        </w:r>
      </w:hyperlink>
    </w:p>
    <w:p w:rsidR="006A18FD" w:rsidRDefault="00E60AD2">
      <w:pPr>
        <w:ind w:left="140"/>
        <w:rPr>
          <w:rFonts w:ascii="Calibri"/>
          <w:sz w:val="20"/>
        </w:rPr>
      </w:pPr>
      <w:hyperlink r:id="rId64">
        <w:r w:rsidR="002D29FC">
          <w:rPr>
            <w:rFonts w:ascii="Calibri"/>
            <w:sz w:val="20"/>
            <w:u w:val="single"/>
          </w:rPr>
          <w:t>_Reference_costs_201718.pdf</w:t>
        </w:r>
        <w:r w:rsidR="002D29FC">
          <w:rPr>
            <w:rFonts w:ascii="Calibri"/>
            <w:sz w:val="20"/>
          </w:rPr>
          <w:t xml:space="preserve"> </w:t>
        </w:r>
      </w:hyperlink>
      <w:r w:rsidR="002D29FC">
        <w:rPr>
          <w:rFonts w:ascii="Calibri"/>
          <w:sz w:val="20"/>
        </w:rPr>
        <w:t>[accessed 12 July 2019]</w:t>
      </w:r>
    </w:p>
    <w:p w:rsidR="006A18FD" w:rsidRDefault="002D29FC">
      <w:pPr>
        <w:spacing w:before="156" w:line="276" w:lineRule="auto"/>
        <w:ind w:left="140"/>
        <w:rPr>
          <w:rFonts w:ascii="Calibri"/>
          <w:sz w:val="20"/>
        </w:rPr>
      </w:pPr>
      <w:r>
        <w:rPr>
          <w:rFonts w:ascii="Calibri"/>
          <w:sz w:val="20"/>
        </w:rPr>
        <w:t xml:space="preserve">Pathway Analytics, </w:t>
      </w:r>
      <w:r>
        <w:rPr>
          <w:rFonts w:ascii="Calibri"/>
          <w:i/>
          <w:sz w:val="20"/>
        </w:rPr>
        <w:t>Integrated Sexual Health Tariff</w:t>
      </w:r>
      <w:r>
        <w:rPr>
          <w:rFonts w:ascii="Calibri"/>
          <w:sz w:val="20"/>
        </w:rPr>
        <w:t xml:space="preserve">, [Online] </w:t>
      </w:r>
      <w:hyperlink r:id="rId65">
        <w:r>
          <w:rPr>
            <w:rFonts w:ascii="Calibri"/>
            <w:sz w:val="20"/>
            <w:u w:val="single"/>
          </w:rPr>
          <w:t>http://sexualhealthtariff.pathwayanalytics.com</w:t>
        </w:r>
      </w:hyperlink>
      <w:r>
        <w:rPr>
          <w:rFonts w:ascii="Calibri"/>
          <w:sz w:val="20"/>
        </w:rPr>
        <w:t xml:space="preserve"> [accessed 12 July 2019]</w:t>
      </w:r>
    </w:p>
    <w:p w:rsidR="006A18FD" w:rsidRDefault="002D29FC">
      <w:pPr>
        <w:spacing w:before="119" w:line="276" w:lineRule="auto"/>
        <w:ind w:left="140" w:right="365"/>
        <w:rPr>
          <w:rFonts w:ascii="Calibri"/>
          <w:sz w:val="20"/>
        </w:rPr>
      </w:pPr>
      <w:r>
        <w:rPr>
          <w:rFonts w:ascii="Calibri"/>
          <w:sz w:val="20"/>
        </w:rPr>
        <w:t xml:space="preserve">The Faculty of Sexual and Reproductive Healthcare of the Royal College of Obstetricians and Gynecologists, British Association for Sexual Health and HIV (2019) </w:t>
      </w:r>
      <w:r>
        <w:rPr>
          <w:rFonts w:ascii="Calibri"/>
          <w:i/>
          <w:sz w:val="20"/>
        </w:rPr>
        <w:t xml:space="preserve">Standards for Online and Remote Provider of Sexual and Reproductive Health Services Joint BASHH/FSRH Standard, </w:t>
      </w:r>
      <w:r>
        <w:rPr>
          <w:rFonts w:ascii="Calibri"/>
          <w:sz w:val="20"/>
        </w:rPr>
        <w:t>BASHH, Macclesfield.</w:t>
      </w:r>
    </w:p>
    <w:p w:rsidR="006A18FD" w:rsidRDefault="002D29FC">
      <w:pPr>
        <w:spacing w:before="119" w:line="276" w:lineRule="auto"/>
        <w:ind w:left="140" w:right="474"/>
        <w:rPr>
          <w:rFonts w:ascii="Calibri"/>
          <w:sz w:val="20"/>
        </w:rPr>
      </w:pPr>
      <w:r>
        <w:rPr>
          <w:rFonts w:ascii="Calibri"/>
          <w:color w:val="1F1F1F"/>
          <w:sz w:val="20"/>
        </w:rPr>
        <w:t xml:space="preserve">Smith, K., Cook, R. &amp; Ness, R. (2007) Cost comparisons between home- and clinic-based testing for sexually transmitted diseases in high-risk young women, </w:t>
      </w:r>
      <w:r>
        <w:rPr>
          <w:rFonts w:ascii="Calibri"/>
          <w:i/>
          <w:color w:val="1F1F1F"/>
          <w:sz w:val="20"/>
        </w:rPr>
        <w:t>Infectious Diseases in Obstetric Gynecology</w:t>
      </w:r>
      <w:r>
        <w:rPr>
          <w:rFonts w:ascii="Calibri"/>
          <w:color w:val="1F1F1F"/>
          <w:sz w:val="20"/>
        </w:rPr>
        <w:t>, ,62467, pmid:18273404.</w:t>
      </w:r>
    </w:p>
    <w:p w:rsidR="006A18FD" w:rsidRDefault="002D29FC">
      <w:pPr>
        <w:spacing w:before="119" w:line="276" w:lineRule="auto"/>
        <w:ind w:left="140" w:right="377"/>
        <w:rPr>
          <w:rFonts w:ascii="Calibri"/>
          <w:sz w:val="20"/>
        </w:rPr>
      </w:pPr>
      <w:r>
        <w:rPr>
          <w:rFonts w:ascii="Calibri"/>
          <w:sz w:val="20"/>
        </w:rPr>
        <w:t>Turner, K., Zienkiewicz, A., Syred, J., Looker, K., de Sa, J., Brady, M., Free, C., Holdsworth, G. &amp; Baraitser, P. (2018) Web-based activity within a sexual health economy, Observational Study</w:t>
      </w:r>
      <w:r>
        <w:rPr>
          <w:rFonts w:ascii="Calibri"/>
          <w:i/>
          <w:sz w:val="20"/>
        </w:rPr>
        <w:t>. Journal of Medical Internet Research</w:t>
      </w:r>
      <w:r>
        <w:rPr>
          <w:rFonts w:ascii="Calibri"/>
          <w:sz w:val="20"/>
        </w:rPr>
        <w:t>, 20 , 3, e74. ISSN 1439-4456 DOI.</w:t>
      </w:r>
    </w:p>
    <w:p w:rsidR="006A18FD" w:rsidRDefault="002D29FC">
      <w:pPr>
        <w:spacing w:before="119" w:line="276" w:lineRule="auto"/>
        <w:ind w:left="140" w:right="251"/>
        <w:rPr>
          <w:rFonts w:ascii="Calibri"/>
          <w:sz w:val="20"/>
        </w:rPr>
      </w:pPr>
      <w:r>
        <w:rPr>
          <w:rFonts w:ascii="Calibri"/>
          <w:sz w:val="20"/>
        </w:rPr>
        <w:t xml:space="preserve">Wilson, E., Free, C., Morris, T., Syred, J., Ahamed, I., Menon-Johansson, A., Palmer, M., Barnard, S., Rezel, E. &amp; Baraitser, P. (2017) Internet-accessed sexually transmitted infection (e-STI) testing and results service: A randomised, single-blind, controlled trial, </w:t>
      </w:r>
      <w:r>
        <w:rPr>
          <w:rFonts w:ascii="Calibri"/>
          <w:i/>
          <w:sz w:val="20"/>
        </w:rPr>
        <w:t>PLoS Med</w:t>
      </w:r>
      <w:r>
        <w:rPr>
          <w:rFonts w:ascii="Calibri"/>
          <w:sz w:val="20"/>
        </w:rPr>
        <w:t>icine, 14, 12, e1002479. doi:10.1371/journal.pmed.1002479</w:t>
      </w:r>
    </w:p>
    <w:p w:rsidR="006A18FD" w:rsidRDefault="006A18FD">
      <w:pPr>
        <w:spacing w:line="276" w:lineRule="auto"/>
        <w:rPr>
          <w:rFonts w:ascii="Calibri"/>
          <w:sz w:val="20"/>
        </w:rPr>
        <w:sectPr w:rsidR="006A18FD">
          <w:pgSz w:w="11900" w:h="16850"/>
          <w:pgMar w:top="1000" w:right="1300" w:bottom="280" w:left="1300" w:header="751" w:footer="0" w:gutter="0"/>
          <w:cols w:space="720"/>
        </w:sectPr>
      </w:pPr>
    </w:p>
    <w:p w:rsidR="006A18FD" w:rsidRDefault="006A18FD">
      <w:pPr>
        <w:spacing w:before="2"/>
        <w:rPr>
          <w:rFonts w:ascii="Calibri"/>
          <w:sz w:val="27"/>
        </w:rPr>
      </w:pPr>
    </w:p>
    <w:p w:rsidR="006A18FD" w:rsidRDefault="002D29FC" w:rsidP="00E42AC6">
      <w:pPr>
        <w:pStyle w:val="Heading1"/>
      </w:pPr>
      <w:r>
        <w:t>The costs of obesity prevention and treatment</w:t>
      </w:r>
    </w:p>
    <w:p w:rsidR="006A18FD" w:rsidRDefault="002D29FC">
      <w:pPr>
        <w:spacing w:before="172" w:line="388" w:lineRule="auto"/>
        <w:ind w:left="140" w:right="180"/>
        <w:rPr>
          <w:rFonts w:ascii="Cambria"/>
          <w:b/>
        </w:rPr>
      </w:pPr>
      <w:r>
        <w:rPr>
          <w:rFonts w:ascii="Cambria"/>
          <w:b/>
        </w:rPr>
        <w:t xml:space="preserve">Emma Frew, Alastair Canaway, Louise Jackson, Peymane Adab, Kate Jolly, Miranda Pallan </w:t>
      </w:r>
      <w:r w:rsidRPr="00E42AC6">
        <w:rPr>
          <w:rStyle w:val="Heading2Char"/>
        </w:rPr>
        <w:t>Introduction</w:t>
      </w:r>
    </w:p>
    <w:p w:rsidR="006A18FD" w:rsidRDefault="002D29FC">
      <w:pPr>
        <w:spacing w:line="276" w:lineRule="auto"/>
        <w:ind w:left="140" w:right="417"/>
        <w:rPr>
          <w:rFonts w:ascii="Calibri"/>
          <w:sz w:val="20"/>
        </w:rPr>
      </w:pPr>
      <w:r>
        <w:rPr>
          <w:rFonts w:ascii="Calibri"/>
          <w:sz w:val="20"/>
        </w:rPr>
        <w:t>It is well known that childhood and adult obesity impose significant costs to the health service and wider society (Serdula et al., 1993) and there is growing recognition that targeted treatment and prevention programmes should be from a wide-system perspective and therefore include delivery in non-health care settings such as schools, community venues and workplace settings. However, it is not clear how economic evaluations should be designed to evaluate these interventions, in particular how the non-health care costs should be captured. A recent review identified that there have been few economic evaluations of obesity interventions reported and a wide range of methods applied for collecting and reporting cost information (Zanganeh et al., 2019). Furthermore, only four out of 39 evaluations were conducted in a UK setting.</w:t>
      </w:r>
    </w:p>
    <w:p w:rsidR="006A18FD" w:rsidRDefault="002D29FC" w:rsidP="00E42AC6">
      <w:pPr>
        <w:pStyle w:val="Heading2"/>
      </w:pPr>
      <w:r>
        <w:t>Methods</w:t>
      </w:r>
    </w:p>
    <w:p w:rsidR="006A18FD" w:rsidRDefault="002D29FC">
      <w:pPr>
        <w:spacing w:before="159" w:line="276" w:lineRule="auto"/>
        <w:ind w:left="140" w:right="248"/>
        <w:rPr>
          <w:rFonts w:ascii="Calibri" w:hAnsi="Calibri"/>
          <w:sz w:val="20"/>
        </w:rPr>
      </w:pPr>
      <w:r>
        <w:rPr>
          <w:rFonts w:ascii="Calibri" w:hAnsi="Calibri"/>
          <w:sz w:val="20"/>
        </w:rPr>
        <w:t>In this short paper we synthesize cost information from three recent evaluations of interventions designed to either treat or prevent obesity in non-health care settings. The purpose is to describe the methods used to capture the cost information associated with complex interventions using a ‘bottom-up’ methodology, and to highlight the proportional contribution of each element of cost across the three case studies.</w:t>
      </w:r>
    </w:p>
    <w:p w:rsidR="006A18FD" w:rsidRDefault="002D29FC">
      <w:pPr>
        <w:spacing w:before="120" w:line="276" w:lineRule="auto"/>
        <w:ind w:left="140" w:right="182"/>
        <w:rPr>
          <w:rFonts w:ascii="Calibri" w:hAnsi="Calibri"/>
          <w:sz w:val="20"/>
        </w:rPr>
      </w:pPr>
      <w:r>
        <w:rPr>
          <w:rFonts w:ascii="Calibri" w:hAnsi="Calibri"/>
          <w:sz w:val="20"/>
        </w:rPr>
        <w:t>Case study 1 is the WAVES study. This was a multi-centre cluster randomized controlled trial (RCT) conducted to estimate the effect of an obesity prevention intervention in which primary schools were either randomised to the intervention arm (n=24 schools; 622 children) or to continue with ongoing health-related activities (the control arm, n=26 schools; 735 children). Full details of the trial design, intervention development and the RCT results (Adab et al., 2015; Adab et al., 2018), and full cost-effectiveness analysis (Canaway et al., 2019) are reported elsewhere. Briefly the intervention comprised four components focused on changing dietary and physical activity behaviours: cooking workshops; signposting to local opportunities to be physically active; ‘Villa Vitality’ (an external package provided by a sporting institution to promote physical activity and healthy eating); and daily structured physical activity sessions delivered within the school day.</w:t>
      </w:r>
    </w:p>
    <w:p w:rsidR="006A18FD" w:rsidRDefault="002D29FC">
      <w:pPr>
        <w:spacing w:before="120" w:line="276" w:lineRule="auto"/>
        <w:ind w:left="140" w:right="156"/>
        <w:rPr>
          <w:rFonts w:ascii="Calibri" w:hAnsi="Calibri"/>
          <w:sz w:val="20"/>
        </w:rPr>
      </w:pPr>
      <w:r>
        <w:rPr>
          <w:rFonts w:ascii="Calibri" w:hAnsi="Calibri"/>
          <w:sz w:val="20"/>
        </w:rPr>
        <w:t>Case study 2 is the CHANGE study. A feasibility study was conducted to adapt an existing children’s weight management programme to meet the needs of culturally diverse populations in which families were allocated to either the ‘intervention’ programme (375 families) or the comparator programme (161 families). Full details of the study design and results are available (Pallan et al., 2018). The intervention was an enhanced culturally adapted programme delivered to families in a community setting over six weeks. The comparator was the standard weight management programme delivered over the same time period.</w:t>
      </w:r>
    </w:p>
    <w:p w:rsidR="006A18FD" w:rsidRDefault="002D29FC">
      <w:pPr>
        <w:spacing w:before="120" w:line="276" w:lineRule="auto"/>
        <w:ind w:left="140" w:right="197"/>
        <w:rPr>
          <w:rFonts w:ascii="Calibri" w:hAnsi="Calibri"/>
          <w:sz w:val="20"/>
        </w:rPr>
      </w:pPr>
      <w:r>
        <w:rPr>
          <w:rFonts w:ascii="Calibri" w:hAnsi="Calibri"/>
          <w:sz w:val="20"/>
        </w:rPr>
        <w:t>Case study 3 is the HDHK study - Healthy Dads, Healthy Kids UK. This was a feasibility RCT in which fathers of primary school aged children identified as having a BMI ≥25kg/m</w:t>
      </w:r>
      <w:r>
        <w:rPr>
          <w:rFonts w:ascii="Calibri" w:hAnsi="Calibri"/>
          <w:position w:val="7"/>
          <w:sz w:val="13"/>
        </w:rPr>
        <w:t xml:space="preserve">2 </w:t>
      </w:r>
      <w:r>
        <w:rPr>
          <w:rFonts w:ascii="Calibri" w:hAnsi="Calibri"/>
          <w:sz w:val="20"/>
        </w:rPr>
        <w:t>were randomly allocated to either the intervention arm which comprised nine weekly healthy lifestyle group sessions involving the father and child or the control arm in which each family received a voucher for one visit to a local leisure centre. Within the study, three different modes of delivery for the intervention were explored: 1. Local Authority-delivered; 2. Private Coaching Organization-delivered; 3. Leisure Centre-delivered. Further details of the study are reported (Jolly et al., waiting to publish).</w:t>
      </w:r>
    </w:p>
    <w:p w:rsidR="006A18FD" w:rsidRDefault="002D29FC">
      <w:pPr>
        <w:spacing w:before="120" w:line="276" w:lineRule="auto"/>
        <w:ind w:left="140" w:right="166"/>
        <w:rPr>
          <w:rFonts w:ascii="Calibri" w:hAnsi="Calibri"/>
          <w:sz w:val="20"/>
        </w:rPr>
      </w:pPr>
      <w:r>
        <w:rPr>
          <w:rFonts w:ascii="Calibri" w:hAnsi="Calibri"/>
          <w:sz w:val="20"/>
        </w:rPr>
        <w:t>For all three studies, data on resource use were identified and measured by the trial team. All resource use capture tools were embedded within the trial data collection forms. Each study adopted a ‘bottom-up’ costing approach whereby the intervention components were ‘itemised’ and resource use collected alongside. For the WAVES study, this was a multi-component intervention comprising workshops delivered at school at which all materials and food items were recorded, and staff time logged using school self-completion logbooks.</w:t>
      </w:r>
    </w:p>
    <w:p w:rsidR="006A18FD" w:rsidRDefault="002D29FC">
      <w:pPr>
        <w:spacing w:line="276" w:lineRule="auto"/>
        <w:ind w:left="140" w:right="123"/>
        <w:rPr>
          <w:rFonts w:ascii="Calibri"/>
          <w:sz w:val="20"/>
        </w:rPr>
      </w:pPr>
      <w:r>
        <w:rPr>
          <w:rFonts w:ascii="Calibri"/>
          <w:sz w:val="20"/>
        </w:rPr>
        <w:t>Similarly, time and materials relating to the daily physical activity sessions in school were recorded by the staff in logbooks. One component was provided by an external sporting institution and therefore purchased at a</w:t>
      </w:r>
    </w:p>
    <w:p w:rsidR="006A18FD" w:rsidRDefault="006A18FD">
      <w:pPr>
        <w:spacing w:line="276" w:lineRule="auto"/>
        <w:rPr>
          <w:rFonts w:ascii="Calibri"/>
          <w:sz w:val="20"/>
        </w:rPr>
        <w:sectPr w:rsidR="006A18FD">
          <w:pgSz w:w="11900" w:h="16850"/>
          <w:pgMar w:top="1000" w:right="1300" w:bottom="280" w:left="1300" w:header="751" w:footer="0" w:gutter="0"/>
          <w:cols w:space="720"/>
        </w:sectPr>
      </w:pPr>
    </w:p>
    <w:p w:rsidR="006A18FD" w:rsidRDefault="006A18FD">
      <w:pPr>
        <w:rPr>
          <w:rFonts w:ascii="Calibri"/>
          <w:sz w:val="20"/>
        </w:rPr>
      </w:pPr>
    </w:p>
    <w:p w:rsidR="006A18FD" w:rsidRDefault="006A18FD">
      <w:pPr>
        <w:spacing w:before="9"/>
        <w:rPr>
          <w:rFonts w:ascii="Calibri"/>
          <w:sz w:val="15"/>
        </w:rPr>
      </w:pPr>
    </w:p>
    <w:p w:rsidR="006A18FD" w:rsidRDefault="002D29FC">
      <w:pPr>
        <w:spacing w:line="276" w:lineRule="auto"/>
        <w:ind w:left="140" w:right="123"/>
        <w:rPr>
          <w:rFonts w:ascii="Calibri"/>
          <w:sz w:val="20"/>
        </w:rPr>
      </w:pPr>
      <w:r>
        <w:rPr>
          <w:rFonts w:ascii="Calibri"/>
          <w:sz w:val="20"/>
        </w:rPr>
        <w:t>fixed cost, and the time spent by research staff updating information sheets to signpost families to local physical activity opportunities was recorded using an electronic log.</w:t>
      </w:r>
    </w:p>
    <w:p w:rsidR="006A18FD" w:rsidRDefault="002D29FC">
      <w:pPr>
        <w:spacing w:before="120" w:line="276" w:lineRule="auto"/>
        <w:ind w:left="140" w:right="180"/>
        <w:rPr>
          <w:rFonts w:ascii="Calibri" w:hAnsi="Calibri"/>
          <w:sz w:val="20"/>
        </w:rPr>
      </w:pPr>
      <w:r>
        <w:rPr>
          <w:rFonts w:ascii="Calibri" w:hAnsi="Calibri"/>
          <w:sz w:val="20"/>
        </w:rPr>
        <w:t>The HDHK and the CHANGE studies were both feasibility trials and the economic evaluation therefore focused on the feasibility of cost data collection. For both interventions, the resource use captured included the costs of the intervention materials (handbooks and logbooks), room hire, intervention promotion, travel costs and staff time for delivery and training. All studies focused on measuring only the costs that differed between the ‘usual care’ and the intervention, therefore capturing only the incremental cost differences.</w:t>
      </w:r>
    </w:p>
    <w:p w:rsidR="006A18FD" w:rsidRDefault="002D29FC">
      <w:pPr>
        <w:spacing w:before="120" w:line="276" w:lineRule="auto"/>
        <w:ind w:left="140" w:right="149"/>
        <w:rPr>
          <w:rFonts w:ascii="Calibri"/>
          <w:sz w:val="20"/>
        </w:rPr>
      </w:pPr>
      <w:r>
        <w:rPr>
          <w:rFonts w:ascii="Calibri"/>
          <w:sz w:val="20"/>
        </w:rPr>
        <w:t>Unit costs for staff time were then applied to the resource use using external sources. For all studies, a societal perspective was adopted and costs were summed and averaged for each participant or family unit and the mean difference in costs between the two arms of the study estimated.</w:t>
      </w:r>
    </w:p>
    <w:p w:rsidR="006A18FD" w:rsidRDefault="002D29FC" w:rsidP="00E42AC6">
      <w:pPr>
        <w:pStyle w:val="Heading2"/>
      </w:pPr>
      <w:r>
        <w:t>Results and discussion</w:t>
      </w:r>
    </w:p>
    <w:p w:rsidR="006A18FD" w:rsidRDefault="002D29FC">
      <w:pPr>
        <w:spacing w:before="156"/>
        <w:ind w:left="140"/>
        <w:rPr>
          <w:rFonts w:ascii="Calibri"/>
          <w:sz w:val="20"/>
        </w:rPr>
      </w:pPr>
      <w:r>
        <w:rPr>
          <w:rFonts w:ascii="Calibri"/>
          <w:sz w:val="20"/>
        </w:rPr>
        <w:t>The resources identified for each of the obesity interventions and their costs are outlined in the table overleaf.</w:t>
      </w:r>
    </w:p>
    <w:p w:rsidR="006A18FD" w:rsidRDefault="002D29FC">
      <w:pPr>
        <w:spacing w:before="157" w:line="276" w:lineRule="auto"/>
        <w:ind w:left="140" w:right="430"/>
        <w:rPr>
          <w:rFonts w:ascii="Calibri"/>
          <w:sz w:val="20"/>
        </w:rPr>
      </w:pPr>
      <w:r>
        <w:rPr>
          <w:rFonts w:ascii="Calibri"/>
          <w:sz w:val="20"/>
        </w:rPr>
        <w:t>The costs presented here are the average costs per participant for a range of obesity prevention and treatment interventions. They are constructed from findings from three research studies based in the West Midlands, England. The costs provide an indication of the resource use requirements to deliver weight prevention and management activities in different settings.</w:t>
      </w:r>
    </w:p>
    <w:p w:rsidR="006A18FD" w:rsidRDefault="002D29FC">
      <w:pPr>
        <w:spacing w:before="120" w:line="276" w:lineRule="auto"/>
        <w:ind w:left="140" w:right="149"/>
        <w:rPr>
          <w:rFonts w:ascii="Calibri" w:hAnsi="Calibri"/>
          <w:sz w:val="20"/>
        </w:rPr>
      </w:pPr>
      <w:r>
        <w:rPr>
          <w:rFonts w:ascii="Calibri" w:hAnsi="Calibri"/>
          <w:sz w:val="20"/>
        </w:rPr>
        <w:t>Looking at the per participant costs, these do not appear to be expensive interventions. The six week CHANGE programme cost around £40 per participant, and WAVES cost £165 per child. HDHK costs are between £125 and £300 per family. In times of very limited budgets it can be difficult to find the resources to implement new services, or to put in place services that cost more than the existing one. However, if such interventions are more effective (that is, participants can make sufficient and lasting changes to their weight and lifestyle) than the comparator, this could have an impact on costs to the health service and wider society both today and in the future (Serdula et al., 1993). To set these costs into perspective, for the same year (2017/18) we know that just one GP appointment costs £37.40, an elective in patient stay costs around £3,756 and a paediatric outpatient appointment costs £185.</w:t>
      </w:r>
    </w:p>
    <w:p w:rsidR="006A18FD" w:rsidRDefault="002D29FC">
      <w:pPr>
        <w:spacing w:before="120" w:line="276" w:lineRule="auto"/>
        <w:ind w:left="140" w:right="176"/>
        <w:jc w:val="both"/>
        <w:rPr>
          <w:rFonts w:ascii="Calibri" w:hAnsi="Calibri"/>
          <w:sz w:val="20"/>
        </w:rPr>
      </w:pPr>
      <w:r>
        <w:rPr>
          <w:rFonts w:ascii="Calibri" w:hAnsi="Calibri"/>
          <w:sz w:val="20"/>
        </w:rPr>
        <w:t>Intervention fidelity is, of course, important: to obtain the same effect were the interventions to be rolled-out, they should be delivered adhering to the same methods as within the trial. However, our detailed ‘bottom-up’ estimates</w:t>
      </w:r>
      <w:r>
        <w:rPr>
          <w:rFonts w:ascii="Calibri" w:hAnsi="Calibri"/>
          <w:spacing w:val="-5"/>
          <w:sz w:val="20"/>
        </w:rPr>
        <w:t xml:space="preserve"> </w:t>
      </w:r>
      <w:r>
        <w:rPr>
          <w:rFonts w:ascii="Calibri" w:hAnsi="Calibri"/>
          <w:sz w:val="20"/>
        </w:rPr>
        <w:t>of</w:t>
      </w:r>
      <w:r>
        <w:rPr>
          <w:rFonts w:ascii="Calibri" w:hAnsi="Calibri"/>
          <w:spacing w:val="-5"/>
          <w:sz w:val="20"/>
        </w:rPr>
        <w:t xml:space="preserve"> </w:t>
      </w:r>
      <w:r>
        <w:rPr>
          <w:rFonts w:ascii="Calibri" w:hAnsi="Calibri"/>
          <w:sz w:val="20"/>
        </w:rPr>
        <w:t>the</w:t>
      </w:r>
      <w:r>
        <w:rPr>
          <w:rFonts w:ascii="Calibri" w:hAnsi="Calibri"/>
          <w:spacing w:val="-4"/>
          <w:sz w:val="20"/>
        </w:rPr>
        <w:t xml:space="preserve"> </w:t>
      </w:r>
      <w:r>
        <w:rPr>
          <w:rFonts w:ascii="Calibri" w:hAnsi="Calibri"/>
          <w:sz w:val="20"/>
        </w:rPr>
        <w:t>resources</w:t>
      </w:r>
      <w:r>
        <w:rPr>
          <w:rFonts w:ascii="Calibri" w:hAnsi="Calibri"/>
          <w:spacing w:val="-5"/>
          <w:sz w:val="20"/>
        </w:rPr>
        <w:t xml:space="preserve"> </w:t>
      </w:r>
      <w:r>
        <w:rPr>
          <w:rFonts w:ascii="Calibri" w:hAnsi="Calibri"/>
          <w:sz w:val="20"/>
        </w:rPr>
        <w:t>used</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deliver</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interventions</w:t>
      </w:r>
      <w:r>
        <w:rPr>
          <w:rFonts w:ascii="Calibri" w:hAnsi="Calibri"/>
          <w:spacing w:val="-5"/>
          <w:sz w:val="20"/>
        </w:rPr>
        <w:t xml:space="preserve"> </w:t>
      </w:r>
      <w:r>
        <w:rPr>
          <w:rFonts w:ascii="Calibri" w:hAnsi="Calibri"/>
          <w:sz w:val="20"/>
        </w:rPr>
        <w:t>has</w:t>
      </w:r>
      <w:r>
        <w:rPr>
          <w:rFonts w:ascii="Calibri" w:hAnsi="Calibri"/>
          <w:spacing w:val="-4"/>
          <w:sz w:val="20"/>
        </w:rPr>
        <w:t xml:space="preserve"> </w:t>
      </w:r>
      <w:r>
        <w:rPr>
          <w:rFonts w:ascii="Calibri" w:hAnsi="Calibri"/>
          <w:sz w:val="20"/>
        </w:rPr>
        <w:t>allowed</w:t>
      </w:r>
      <w:r>
        <w:rPr>
          <w:rFonts w:ascii="Calibri" w:hAnsi="Calibri"/>
          <w:spacing w:val="-3"/>
          <w:sz w:val="20"/>
        </w:rPr>
        <w:t xml:space="preserve"> </w:t>
      </w:r>
      <w:r>
        <w:rPr>
          <w:rFonts w:ascii="Calibri" w:hAnsi="Calibri"/>
          <w:sz w:val="20"/>
        </w:rPr>
        <w:t>us</w:t>
      </w:r>
      <w:r>
        <w:rPr>
          <w:rFonts w:ascii="Calibri" w:hAnsi="Calibri"/>
          <w:spacing w:val="-5"/>
          <w:sz w:val="20"/>
        </w:rPr>
        <w:t xml:space="preserve"> </w:t>
      </w:r>
      <w:r>
        <w:rPr>
          <w:rFonts w:ascii="Calibri" w:hAnsi="Calibri"/>
          <w:sz w:val="20"/>
        </w:rPr>
        <w:t>to</w:t>
      </w:r>
      <w:r>
        <w:rPr>
          <w:rFonts w:ascii="Calibri" w:hAnsi="Calibri"/>
          <w:spacing w:val="-3"/>
          <w:sz w:val="20"/>
        </w:rPr>
        <w:t xml:space="preserve"> </w:t>
      </w:r>
      <w:r>
        <w:rPr>
          <w:rFonts w:ascii="Calibri" w:hAnsi="Calibri"/>
          <w:sz w:val="20"/>
        </w:rPr>
        <w:t>identify</w:t>
      </w:r>
      <w:r>
        <w:rPr>
          <w:rFonts w:ascii="Calibri" w:hAnsi="Calibri"/>
          <w:spacing w:val="-3"/>
          <w:sz w:val="20"/>
        </w:rPr>
        <w:t xml:space="preserve"> </w:t>
      </w:r>
      <w:r>
        <w:rPr>
          <w:rFonts w:ascii="Calibri" w:hAnsi="Calibri"/>
          <w:sz w:val="20"/>
        </w:rPr>
        <w:t>some</w:t>
      </w:r>
      <w:r>
        <w:rPr>
          <w:rFonts w:ascii="Calibri" w:hAnsi="Calibri"/>
          <w:spacing w:val="-4"/>
          <w:sz w:val="20"/>
        </w:rPr>
        <w:t xml:space="preserve"> </w:t>
      </w:r>
      <w:r>
        <w:rPr>
          <w:rFonts w:ascii="Calibri" w:hAnsi="Calibri"/>
          <w:sz w:val="20"/>
        </w:rPr>
        <w:t>components,</w:t>
      </w:r>
      <w:r>
        <w:rPr>
          <w:rFonts w:ascii="Calibri" w:hAnsi="Calibri"/>
          <w:spacing w:val="-3"/>
          <w:sz w:val="20"/>
        </w:rPr>
        <w:t xml:space="preserve"> </w:t>
      </w:r>
      <w:r>
        <w:rPr>
          <w:rFonts w:ascii="Calibri" w:hAnsi="Calibri"/>
          <w:sz w:val="20"/>
        </w:rPr>
        <w:t>such as</w:t>
      </w:r>
      <w:r>
        <w:rPr>
          <w:rFonts w:ascii="Calibri" w:hAnsi="Calibri"/>
          <w:spacing w:val="-4"/>
          <w:sz w:val="20"/>
        </w:rPr>
        <w:t xml:space="preserve"> </w:t>
      </w:r>
      <w:r>
        <w:rPr>
          <w:rFonts w:ascii="Calibri" w:hAnsi="Calibri"/>
          <w:sz w:val="20"/>
        </w:rPr>
        <w:t>choice</w:t>
      </w:r>
      <w:r>
        <w:rPr>
          <w:rFonts w:ascii="Calibri" w:hAnsi="Calibri"/>
          <w:spacing w:val="-5"/>
          <w:sz w:val="20"/>
        </w:rPr>
        <w:t xml:space="preserve"> </w:t>
      </w:r>
      <w:r>
        <w:rPr>
          <w:rFonts w:ascii="Calibri" w:hAnsi="Calibri"/>
          <w:sz w:val="20"/>
        </w:rPr>
        <w:t>of</w:t>
      </w:r>
      <w:r>
        <w:rPr>
          <w:rFonts w:ascii="Calibri" w:hAnsi="Calibri"/>
          <w:spacing w:val="-2"/>
          <w:sz w:val="20"/>
        </w:rPr>
        <w:t xml:space="preserve"> </w:t>
      </w:r>
      <w:r>
        <w:rPr>
          <w:rFonts w:ascii="Calibri" w:hAnsi="Calibri"/>
          <w:sz w:val="20"/>
        </w:rPr>
        <w:t>venue,</w:t>
      </w:r>
      <w:r>
        <w:rPr>
          <w:rFonts w:ascii="Calibri" w:hAnsi="Calibri"/>
          <w:spacing w:val="-3"/>
          <w:sz w:val="20"/>
        </w:rPr>
        <w:t xml:space="preserve"> </w:t>
      </w:r>
      <w:r>
        <w:rPr>
          <w:rFonts w:ascii="Calibri" w:hAnsi="Calibri"/>
          <w:sz w:val="20"/>
        </w:rPr>
        <w:t>timing</w:t>
      </w:r>
      <w:r>
        <w:rPr>
          <w:rFonts w:ascii="Calibri" w:hAnsi="Calibri"/>
          <w:spacing w:val="-1"/>
          <w:sz w:val="20"/>
        </w:rPr>
        <w:t xml:space="preserve"> </w:t>
      </w:r>
      <w:r>
        <w:rPr>
          <w:rFonts w:ascii="Calibri" w:hAnsi="Calibri"/>
          <w:sz w:val="20"/>
        </w:rPr>
        <w:t>of</w:t>
      </w:r>
      <w:r>
        <w:rPr>
          <w:rFonts w:ascii="Calibri" w:hAnsi="Calibri"/>
          <w:spacing w:val="-4"/>
          <w:sz w:val="20"/>
        </w:rPr>
        <w:t xml:space="preserve"> </w:t>
      </w:r>
      <w:r>
        <w:rPr>
          <w:rFonts w:ascii="Calibri" w:hAnsi="Calibri"/>
          <w:sz w:val="20"/>
        </w:rPr>
        <w:t>sessions,</w:t>
      </w:r>
      <w:r>
        <w:rPr>
          <w:rFonts w:ascii="Calibri" w:hAnsi="Calibri"/>
          <w:spacing w:val="-3"/>
          <w:sz w:val="20"/>
        </w:rPr>
        <w:t xml:space="preserve"> </w:t>
      </w:r>
      <w:r>
        <w:rPr>
          <w:rFonts w:ascii="Calibri" w:hAnsi="Calibri"/>
          <w:sz w:val="20"/>
        </w:rPr>
        <w:t>or</w:t>
      </w:r>
      <w:r>
        <w:rPr>
          <w:rFonts w:ascii="Calibri" w:hAnsi="Calibri"/>
          <w:spacing w:val="-3"/>
          <w:sz w:val="20"/>
        </w:rPr>
        <w:t xml:space="preserve"> </w:t>
      </w:r>
      <w:r>
        <w:rPr>
          <w:rFonts w:ascii="Calibri" w:hAnsi="Calibri"/>
          <w:sz w:val="20"/>
        </w:rPr>
        <w:t>delivery</w:t>
      </w:r>
      <w:r>
        <w:rPr>
          <w:rFonts w:ascii="Calibri" w:hAnsi="Calibri"/>
          <w:spacing w:val="-3"/>
          <w:sz w:val="20"/>
        </w:rPr>
        <w:t xml:space="preserve"> </w:t>
      </w:r>
      <w:r>
        <w:rPr>
          <w:rFonts w:ascii="Calibri" w:hAnsi="Calibri"/>
          <w:sz w:val="20"/>
        </w:rPr>
        <w:t>organisation,</w:t>
      </w:r>
      <w:r>
        <w:rPr>
          <w:rFonts w:ascii="Calibri" w:hAnsi="Calibri"/>
          <w:spacing w:val="-3"/>
          <w:sz w:val="20"/>
        </w:rPr>
        <w:t xml:space="preserve"> </w:t>
      </w:r>
      <w:r>
        <w:rPr>
          <w:rFonts w:ascii="Calibri" w:hAnsi="Calibri"/>
          <w:sz w:val="20"/>
        </w:rPr>
        <w:t>that</w:t>
      </w:r>
      <w:r>
        <w:rPr>
          <w:rFonts w:ascii="Calibri" w:hAnsi="Calibri"/>
          <w:spacing w:val="-3"/>
          <w:sz w:val="20"/>
        </w:rPr>
        <w:t xml:space="preserve"> </w:t>
      </w:r>
      <w:r>
        <w:rPr>
          <w:rFonts w:ascii="Calibri" w:hAnsi="Calibri"/>
          <w:sz w:val="20"/>
        </w:rPr>
        <w:t>may</w:t>
      </w:r>
      <w:r>
        <w:rPr>
          <w:rFonts w:ascii="Calibri" w:hAnsi="Calibri"/>
          <w:spacing w:val="-2"/>
          <w:sz w:val="20"/>
        </w:rPr>
        <w:t xml:space="preserve"> </w:t>
      </w:r>
      <w:r>
        <w:rPr>
          <w:rFonts w:ascii="Calibri" w:hAnsi="Calibri"/>
          <w:sz w:val="20"/>
        </w:rPr>
        <w:t>help</w:t>
      </w:r>
      <w:r>
        <w:rPr>
          <w:rFonts w:ascii="Calibri" w:hAnsi="Calibri"/>
          <w:spacing w:val="-3"/>
          <w:sz w:val="20"/>
        </w:rPr>
        <w:t xml:space="preserve"> </w:t>
      </w:r>
      <w:r>
        <w:rPr>
          <w:rFonts w:ascii="Calibri" w:hAnsi="Calibri"/>
          <w:sz w:val="20"/>
        </w:rPr>
        <w:t>keep</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costs</w:t>
      </w:r>
      <w:r>
        <w:rPr>
          <w:rFonts w:ascii="Calibri" w:hAnsi="Calibri"/>
          <w:spacing w:val="-1"/>
          <w:sz w:val="20"/>
        </w:rPr>
        <w:t xml:space="preserve"> </w:t>
      </w:r>
      <w:r>
        <w:rPr>
          <w:rFonts w:ascii="Calibri" w:hAnsi="Calibri"/>
          <w:sz w:val="20"/>
        </w:rPr>
        <w:t>within</w:t>
      </w:r>
      <w:r>
        <w:rPr>
          <w:rFonts w:ascii="Calibri" w:hAnsi="Calibri"/>
          <w:spacing w:val="-3"/>
          <w:sz w:val="20"/>
        </w:rPr>
        <w:t xml:space="preserve"> </w:t>
      </w:r>
      <w:r>
        <w:rPr>
          <w:rFonts w:ascii="Calibri" w:hAnsi="Calibri"/>
          <w:sz w:val="20"/>
        </w:rPr>
        <w:t>budget.</w:t>
      </w:r>
    </w:p>
    <w:p w:rsidR="006A18FD" w:rsidRDefault="006A18FD">
      <w:pPr>
        <w:spacing w:line="276" w:lineRule="auto"/>
        <w:jc w:val="both"/>
        <w:rPr>
          <w:rFonts w:ascii="Calibri" w:hAnsi="Calibri"/>
          <w:sz w:val="20"/>
        </w:rPr>
        <w:sectPr w:rsidR="006A18FD">
          <w:headerReference w:type="even" r:id="rId66"/>
          <w:pgSz w:w="11900" w:h="16850"/>
          <w:pgMar w:top="1000" w:right="1300" w:bottom="280" w:left="1300" w:header="751" w:footer="0" w:gutter="0"/>
          <w:cols w:space="720"/>
        </w:sectPr>
      </w:pPr>
    </w:p>
    <w:p w:rsidR="006A18FD" w:rsidRDefault="002D29FC">
      <w:pPr>
        <w:spacing w:before="152"/>
        <w:ind w:left="100"/>
        <w:rPr>
          <w:rFonts w:ascii="Calibri"/>
          <w:b/>
          <w:sz w:val="20"/>
        </w:rPr>
      </w:pPr>
      <w:r>
        <w:rPr>
          <w:rFonts w:ascii="Calibri"/>
          <w:b/>
          <w:sz w:val="20"/>
        </w:rPr>
        <w:t>Mean resource use and costs associated with the obesity interventions (2017/18 prices)</w:t>
      </w:r>
    </w:p>
    <w:p w:rsidR="006A18FD" w:rsidRDefault="006A18FD">
      <w:pPr>
        <w:spacing w:before="8" w:after="1"/>
        <w:rPr>
          <w:rFonts w:ascii="Calibri"/>
          <w:b/>
          <w:sz w:val="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5"/>
        <w:gridCol w:w="1985"/>
        <w:gridCol w:w="3685"/>
        <w:gridCol w:w="1844"/>
        <w:gridCol w:w="1505"/>
      </w:tblGrid>
      <w:tr w:rsidR="006A18FD" w:rsidTr="0053166C">
        <w:trPr>
          <w:trHeight w:val="180"/>
          <w:tblHeader/>
        </w:trPr>
        <w:tc>
          <w:tcPr>
            <w:tcW w:w="6375" w:type="dxa"/>
          </w:tcPr>
          <w:p w:rsidR="006A18FD" w:rsidRDefault="002D29FC">
            <w:pPr>
              <w:spacing w:line="174" w:lineRule="exact"/>
              <w:ind w:left="103"/>
              <w:rPr>
                <w:rFonts w:ascii="Calibri"/>
                <w:b/>
                <w:sz w:val="16"/>
              </w:rPr>
            </w:pPr>
            <w:r>
              <w:rPr>
                <w:rFonts w:ascii="Calibri"/>
                <w:b/>
                <w:sz w:val="16"/>
              </w:rPr>
              <w:t>Resource item</w:t>
            </w:r>
          </w:p>
        </w:tc>
        <w:tc>
          <w:tcPr>
            <w:tcW w:w="1985" w:type="dxa"/>
          </w:tcPr>
          <w:p w:rsidR="006A18FD" w:rsidRDefault="002D29FC">
            <w:pPr>
              <w:spacing w:line="174" w:lineRule="exact"/>
              <w:ind w:left="102"/>
              <w:rPr>
                <w:rFonts w:ascii="Calibri" w:hAnsi="Calibri"/>
                <w:b/>
                <w:sz w:val="16"/>
              </w:rPr>
            </w:pPr>
            <w:r>
              <w:rPr>
                <w:rFonts w:ascii="Calibri" w:hAnsi="Calibri"/>
                <w:b/>
                <w:sz w:val="16"/>
              </w:rPr>
              <w:t>Unit cost (£)</w:t>
            </w:r>
          </w:p>
        </w:tc>
        <w:tc>
          <w:tcPr>
            <w:tcW w:w="3685" w:type="dxa"/>
          </w:tcPr>
          <w:p w:rsidR="006A18FD" w:rsidRDefault="002D29FC">
            <w:pPr>
              <w:spacing w:line="174" w:lineRule="exact"/>
              <w:ind w:left="103"/>
              <w:rPr>
                <w:rFonts w:ascii="Calibri"/>
                <w:b/>
                <w:sz w:val="16"/>
              </w:rPr>
            </w:pPr>
            <w:r>
              <w:rPr>
                <w:rFonts w:ascii="Calibri"/>
                <w:b/>
                <w:sz w:val="16"/>
              </w:rPr>
              <w:t>Resource use</w:t>
            </w:r>
          </w:p>
        </w:tc>
        <w:tc>
          <w:tcPr>
            <w:tcW w:w="1844" w:type="dxa"/>
          </w:tcPr>
          <w:p w:rsidR="006A18FD" w:rsidRDefault="002D29FC">
            <w:pPr>
              <w:spacing w:line="174" w:lineRule="exact"/>
              <w:ind w:left="102"/>
              <w:rPr>
                <w:rFonts w:ascii="Calibri" w:hAnsi="Calibri"/>
                <w:b/>
                <w:sz w:val="16"/>
              </w:rPr>
            </w:pPr>
            <w:r>
              <w:rPr>
                <w:rFonts w:ascii="Calibri" w:hAnsi="Calibri"/>
                <w:b/>
                <w:sz w:val="16"/>
              </w:rPr>
              <w:t>Intervention (£)</w:t>
            </w:r>
          </w:p>
        </w:tc>
        <w:tc>
          <w:tcPr>
            <w:tcW w:w="1505" w:type="dxa"/>
          </w:tcPr>
          <w:p w:rsidR="006A18FD" w:rsidRDefault="002D29FC">
            <w:pPr>
              <w:spacing w:line="174" w:lineRule="exact"/>
              <w:ind w:left="103"/>
              <w:rPr>
                <w:rFonts w:ascii="Calibri" w:hAnsi="Calibri"/>
                <w:b/>
                <w:sz w:val="16"/>
              </w:rPr>
            </w:pPr>
            <w:r>
              <w:rPr>
                <w:rFonts w:ascii="Calibri" w:hAnsi="Calibri"/>
                <w:b/>
                <w:sz w:val="16"/>
              </w:rPr>
              <w:t>Comparator (£)</w:t>
            </w:r>
          </w:p>
        </w:tc>
      </w:tr>
      <w:tr w:rsidR="006A18FD">
        <w:trPr>
          <w:trHeight w:val="180"/>
        </w:trPr>
        <w:tc>
          <w:tcPr>
            <w:tcW w:w="6375" w:type="dxa"/>
          </w:tcPr>
          <w:p w:rsidR="006A18FD" w:rsidRDefault="002D29FC">
            <w:pPr>
              <w:spacing w:line="176" w:lineRule="exact"/>
              <w:ind w:left="103"/>
              <w:rPr>
                <w:rFonts w:ascii="Calibri"/>
                <w:b/>
                <w:sz w:val="16"/>
              </w:rPr>
            </w:pPr>
            <w:r>
              <w:rPr>
                <w:rFonts w:ascii="Calibri"/>
                <w:b/>
                <w:sz w:val="16"/>
              </w:rPr>
              <w:t>The CHANGE Intervention</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6A18FD">
            <w:pPr>
              <w:rPr>
                <w:rFonts w:ascii="Times New Roman"/>
                <w:sz w:val="12"/>
              </w:rPr>
            </w:pPr>
          </w:p>
        </w:tc>
        <w:tc>
          <w:tcPr>
            <w:tcW w:w="1505" w:type="dxa"/>
          </w:tcPr>
          <w:p w:rsidR="006A18FD" w:rsidRDefault="006A18FD">
            <w:pPr>
              <w:rPr>
                <w:rFonts w:ascii="Times New Roman"/>
                <w:sz w:val="12"/>
              </w:rPr>
            </w:pPr>
          </w:p>
        </w:tc>
      </w:tr>
      <w:tr w:rsidR="006A18FD">
        <w:trPr>
          <w:trHeight w:val="180"/>
        </w:trPr>
        <w:tc>
          <w:tcPr>
            <w:tcW w:w="6375" w:type="dxa"/>
            <w:tcBorders>
              <w:bottom w:val="single" w:sz="4" w:space="0" w:color="E7E6E6"/>
            </w:tcBorders>
          </w:tcPr>
          <w:p w:rsidR="006A18FD" w:rsidRDefault="002D29FC">
            <w:pPr>
              <w:spacing w:line="174" w:lineRule="exact"/>
              <w:ind w:left="103"/>
              <w:rPr>
                <w:rFonts w:ascii="Calibri"/>
                <w:b/>
                <w:sz w:val="16"/>
              </w:rPr>
            </w:pPr>
            <w:r>
              <w:rPr>
                <w:rFonts w:ascii="Calibri"/>
                <w:b/>
                <w:sz w:val="16"/>
              </w:rPr>
              <w:t>Initial training/set up costs</w:t>
            </w:r>
          </w:p>
        </w:tc>
        <w:tc>
          <w:tcPr>
            <w:tcW w:w="1985" w:type="dxa"/>
            <w:tcBorders>
              <w:bottom w:val="single" w:sz="4" w:space="0" w:color="E7E6E6"/>
            </w:tcBorders>
          </w:tcPr>
          <w:p w:rsidR="006A18FD" w:rsidRDefault="006A18FD">
            <w:pPr>
              <w:rPr>
                <w:rFonts w:ascii="Times New Roman"/>
                <w:sz w:val="12"/>
              </w:rPr>
            </w:pPr>
          </w:p>
        </w:tc>
        <w:tc>
          <w:tcPr>
            <w:tcW w:w="3685" w:type="dxa"/>
            <w:tcBorders>
              <w:bottom w:val="single" w:sz="4" w:space="0" w:color="E7E6E6"/>
            </w:tcBorders>
          </w:tcPr>
          <w:p w:rsidR="006A18FD" w:rsidRDefault="006A18FD">
            <w:pPr>
              <w:rPr>
                <w:rFonts w:ascii="Times New Roman"/>
                <w:sz w:val="12"/>
              </w:rPr>
            </w:pPr>
          </w:p>
        </w:tc>
        <w:tc>
          <w:tcPr>
            <w:tcW w:w="1844" w:type="dxa"/>
            <w:tcBorders>
              <w:bottom w:val="single" w:sz="4" w:space="0" w:color="E7E6E6"/>
            </w:tcBorders>
          </w:tcPr>
          <w:p w:rsidR="006A18FD" w:rsidRDefault="006A18FD">
            <w:pPr>
              <w:rPr>
                <w:rFonts w:ascii="Times New Roman"/>
                <w:sz w:val="12"/>
              </w:rPr>
            </w:pPr>
          </w:p>
        </w:tc>
        <w:tc>
          <w:tcPr>
            <w:tcW w:w="1505" w:type="dxa"/>
            <w:tcBorders>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Training of 2 main facilitators (2 sessions: 1 x 2.5 hours + 1 x 1.5 hours)</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0"/>
              </w:rPr>
            </w:pPr>
            <w:r>
              <w:rPr>
                <w:rFonts w:ascii="Calibri"/>
                <w:sz w:val="16"/>
              </w:rPr>
              <w:t>10.80</w:t>
            </w:r>
            <w:r>
              <w:rPr>
                <w:rFonts w:ascii="Calibri"/>
                <w:position w:val="5"/>
                <w:sz w:val="10"/>
              </w:rPr>
              <w:t>a</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8 hours</w:t>
            </w:r>
          </w:p>
        </w:tc>
        <w:tc>
          <w:tcPr>
            <w:tcW w:w="1844"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86.40</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Training of 1 assistant (2 sessions: 1 x 2.5 hours + 1 x 1.5 hours)</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0"/>
              </w:rPr>
            </w:pPr>
            <w:r>
              <w:rPr>
                <w:rFonts w:ascii="Calibri"/>
                <w:sz w:val="16"/>
              </w:rPr>
              <w:t>10.80</w:t>
            </w:r>
            <w:r>
              <w:rPr>
                <w:rFonts w:ascii="Calibri"/>
                <w:position w:val="5"/>
                <w:sz w:val="10"/>
              </w:rPr>
              <w:t>b</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4 hours</w:t>
            </w:r>
          </w:p>
        </w:tc>
        <w:tc>
          <w:tcPr>
            <w:tcW w:w="1844"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43.20</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Display boards</w:t>
            </w:r>
          </w:p>
        </w:tc>
        <w:tc>
          <w:tcPr>
            <w:tcW w:w="1985" w:type="dxa"/>
            <w:tcBorders>
              <w:top w:val="single" w:sz="4" w:space="0" w:color="E7E6E6"/>
              <w:bottom w:val="single" w:sz="4" w:space="0" w:color="E7E6E6"/>
            </w:tcBorders>
          </w:tcPr>
          <w:p w:rsidR="006A18FD" w:rsidRDefault="002D29FC">
            <w:pPr>
              <w:spacing w:before="1" w:line="175" w:lineRule="exact"/>
              <w:ind w:left="102"/>
              <w:rPr>
                <w:rFonts w:ascii="Calibri"/>
                <w:sz w:val="10"/>
              </w:rPr>
            </w:pPr>
            <w:r>
              <w:rPr>
                <w:rFonts w:ascii="Calibri"/>
                <w:sz w:val="16"/>
              </w:rPr>
              <w:t>395.00</w:t>
            </w:r>
            <w:r>
              <w:rPr>
                <w:rFonts w:ascii="Calibri"/>
                <w:position w:val="5"/>
                <w:sz w:val="10"/>
              </w:rPr>
              <w:t>c</w:t>
            </w:r>
          </w:p>
        </w:tc>
        <w:tc>
          <w:tcPr>
            <w:tcW w:w="368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2</w:t>
            </w:r>
          </w:p>
        </w:tc>
        <w:tc>
          <w:tcPr>
            <w:tcW w:w="1844" w:type="dxa"/>
            <w:tcBorders>
              <w:top w:val="single" w:sz="4" w:space="0" w:color="E7E6E6"/>
              <w:bottom w:val="single" w:sz="4" w:space="0" w:color="E7E6E6"/>
            </w:tcBorders>
          </w:tcPr>
          <w:p w:rsidR="006A18FD" w:rsidRDefault="002D29FC">
            <w:pPr>
              <w:spacing w:before="1" w:line="175" w:lineRule="exact"/>
              <w:ind w:left="102"/>
              <w:rPr>
                <w:rFonts w:ascii="Calibri"/>
                <w:sz w:val="16"/>
              </w:rPr>
            </w:pPr>
            <w:r>
              <w:rPr>
                <w:rFonts w:ascii="Calibri"/>
                <w:sz w:val="16"/>
              </w:rPr>
              <w:t>790.00</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Card game</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0"/>
              </w:rPr>
            </w:pPr>
            <w:r>
              <w:rPr>
                <w:rFonts w:ascii="Calibri"/>
                <w:sz w:val="16"/>
              </w:rPr>
              <w:t>18.93</w:t>
            </w:r>
            <w:r>
              <w:rPr>
                <w:rFonts w:ascii="Calibri"/>
                <w:position w:val="5"/>
                <w:sz w:val="10"/>
              </w:rPr>
              <w:t>c</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1</w:t>
            </w:r>
          </w:p>
        </w:tc>
        <w:tc>
          <w:tcPr>
            <w:tcW w:w="1844"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18.93</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Floor mat</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0"/>
              </w:rPr>
            </w:pPr>
            <w:r>
              <w:rPr>
                <w:rFonts w:ascii="Calibri"/>
                <w:sz w:val="16"/>
              </w:rPr>
              <w:t>39.00</w:t>
            </w:r>
            <w:r>
              <w:rPr>
                <w:rFonts w:ascii="Calibri"/>
                <w:position w:val="5"/>
                <w:sz w:val="10"/>
              </w:rPr>
              <w:t>a</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1</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39.00</w:t>
            </w: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Photocard</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0"/>
              </w:rPr>
            </w:pPr>
            <w:r>
              <w:rPr>
                <w:rFonts w:ascii="Calibri"/>
                <w:sz w:val="16"/>
              </w:rPr>
              <w:t>6.00</w:t>
            </w:r>
            <w:r>
              <w:rPr>
                <w:rFonts w:ascii="Calibri"/>
                <w:position w:val="5"/>
                <w:sz w:val="10"/>
              </w:rPr>
              <w:t>a</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1</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6.00</w:t>
            </w:r>
          </w:p>
        </w:tc>
      </w:tr>
      <w:tr w:rsidR="006A18FD">
        <w:trPr>
          <w:trHeight w:val="180"/>
        </w:trPr>
        <w:tc>
          <w:tcPr>
            <w:tcW w:w="6375" w:type="dxa"/>
            <w:tcBorders>
              <w:top w:val="single" w:sz="4" w:space="0" w:color="E7E6E6"/>
              <w:bottom w:val="single" w:sz="4" w:space="0" w:color="E7E6E6"/>
            </w:tcBorders>
          </w:tcPr>
          <w:p w:rsidR="006A18FD" w:rsidRDefault="002D29FC">
            <w:pPr>
              <w:spacing w:line="175" w:lineRule="exact"/>
              <w:ind w:left="103"/>
              <w:rPr>
                <w:rFonts w:ascii="Calibri"/>
                <w:sz w:val="16"/>
              </w:rPr>
            </w:pPr>
            <w:r>
              <w:rPr>
                <w:rFonts w:ascii="Calibri"/>
                <w:sz w:val="16"/>
              </w:rPr>
              <w:t>Stomach model</w:t>
            </w:r>
          </w:p>
        </w:tc>
        <w:tc>
          <w:tcPr>
            <w:tcW w:w="1985" w:type="dxa"/>
            <w:tcBorders>
              <w:top w:val="single" w:sz="4" w:space="0" w:color="E7E6E6"/>
              <w:bottom w:val="single" w:sz="4" w:space="0" w:color="E7E6E6"/>
            </w:tcBorders>
          </w:tcPr>
          <w:p w:rsidR="006A18FD" w:rsidRDefault="002D29FC">
            <w:pPr>
              <w:spacing w:line="175" w:lineRule="exact"/>
              <w:ind w:left="102"/>
              <w:rPr>
                <w:rFonts w:ascii="Calibri"/>
                <w:sz w:val="10"/>
              </w:rPr>
            </w:pPr>
            <w:r>
              <w:rPr>
                <w:rFonts w:ascii="Calibri"/>
                <w:sz w:val="16"/>
              </w:rPr>
              <w:t>60.00</w:t>
            </w:r>
            <w:r>
              <w:rPr>
                <w:rFonts w:ascii="Calibri"/>
                <w:position w:val="5"/>
                <w:sz w:val="10"/>
              </w:rPr>
              <w:t>a</w:t>
            </w:r>
          </w:p>
        </w:tc>
        <w:tc>
          <w:tcPr>
            <w:tcW w:w="3685" w:type="dxa"/>
            <w:tcBorders>
              <w:top w:val="single" w:sz="4" w:space="0" w:color="E7E6E6"/>
              <w:bottom w:val="single" w:sz="4" w:space="0" w:color="E7E6E6"/>
            </w:tcBorders>
          </w:tcPr>
          <w:p w:rsidR="006A18FD" w:rsidRDefault="002D29FC">
            <w:pPr>
              <w:spacing w:line="175" w:lineRule="exact"/>
              <w:ind w:left="103"/>
              <w:rPr>
                <w:rFonts w:ascii="Calibri"/>
                <w:sz w:val="16"/>
              </w:rPr>
            </w:pPr>
            <w:r>
              <w:rPr>
                <w:rFonts w:ascii="Calibri"/>
                <w:sz w:val="16"/>
              </w:rPr>
              <w:t>1</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5" w:lineRule="exact"/>
              <w:ind w:left="103"/>
              <w:rPr>
                <w:rFonts w:ascii="Calibri"/>
                <w:sz w:val="16"/>
              </w:rPr>
            </w:pPr>
            <w:r>
              <w:rPr>
                <w:rFonts w:ascii="Calibri"/>
                <w:sz w:val="16"/>
              </w:rPr>
              <w:t>60.00</w:t>
            </w: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Fat model</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0"/>
              </w:rPr>
            </w:pPr>
            <w:r>
              <w:rPr>
                <w:rFonts w:ascii="Calibri"/>
                <w:sz w:val="16"/>
              </w:rPr>
              <w:t>73.00</w:t>
            </w:r>
            <w:r>
              <w:rPr>
                <w:rFonts w:ascii="Calibri"/>
                <w:position w:val="5"/>
                <w:sz w:val="10"/>
              </w:rPr>
              <w:t>a</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1</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73.00</w:t>
            </w: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b/>
                <w:sz w:val="16"/>
              </w:rPr>
            </w:pPr>
            <w:r>
              <w:rPr>
                <w:rFonts w:ascii="Calibri"/>
                <w:b/>
                <w:sz w:val="16"/>
              </w:rPr>
              <w:t>Subtotal set up/training costs</w:t>
            </w:r>
          </w:p>
        </w:tc>
        <w:tc>
          <w:tcPr>
            <w:tcW w:w="1985" w:type="dxa"/>
            <w:tcBorders>
              <w:top w:val="single" w:sz="4" w:space="0" w:color="E7E6E6"/>
              <w:bottom w:val="single" w:sz="4" w:space="0" w:color="E7E6E6"/>
            </w:tcBorders>
          </w:tcPr>
          <w:p w:rsidR="006A18FD" w:rsidRDefault="006A18FD">
            <w:pPr>
              <w:rPr>
                <w:rFonts w:ascii="Times New Roman"/>
                <w:sz w:val="12"/>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2D29FC">
            <w:pPr>
              <w:spacing w:line="174" w:lineRule="exact"/>
              <w:ind w:left="102"/>
              <w:rPr>
                <w:rFonts w:ascii="Calibri"/>
                <w:b/>
                <w:sz w:val="16"/>
              </w:rPr>
            </w:pPr>
            <w:r>
              <w:rPr>
                <w:rFonts w:ascii="Calibri"/>
                <w:b/>
                <w:sz w:val="16"/>
              </w:rPr>
              <w:t>938.53</w:t>
            </w:r>
          </w:p>
        </w:tc>
        <w:tc>
          <w:tcPr>
            <w:tcW w:w="1505" w:type="dxa"/>
            <w:tcBorders>
              <w:top w:val="single" w:sz="4" w:space="0" w:color="E7E6E6"/>
              <w:bottom w:val="single" w:sz="4" w:space="0" w:color="E7E6E6"/>
            </w:tcBorders>
          </w:tcPr>
          <w:p w:rsidR="006A18FD" w:rsidRDefault="002D29FC">
            <w:pPr>
              <w:spacing w:line="174" w:lineRule="exact"/>
              <w:ind w:left="103"/>
              <w:rPr>
                <w:rFonts w:ascii="Calibri"/>
                <w:b/>
                <w:sz w:val="16"/>
              </w:rPr>
            </w:pPr>
            <w:r>
              <w:rPr>
                <w:rFonts w:ascii="Calibri"/>
                <w:b/>
                <w:sz w:val="16"/>
              </w:rPr>
              <w:t>178.00</w:t>
            </w:r>
          </w:p>
        </w:tc>
      </w:tr>
      <w:tr w:rsidR="006A18FD">
        <w:trPr>
          <w:trHeight w:val="180"/>
        </w:trPr>
        <w:tc>
          <w:tcPr>
            <w:tcW w:w="6375" w:type="dxa"/>
            <w:tcBorders>
              <w:top w:val="single" w:sz="4" w:space="0" w:color="E7E6E6"/>
              <w:bottom w:val="single" w:sz="4" w:space="0" w:color="E7E6E6"/>
            </w:tcBorders>
          </w:tcPr>
          <w:p w:rsidR="006A18FD" w:rsidRDefault="006A18FD">
            <w:pPr>
              <w:rPr>
                <w:rFonts w:ascii="Times New Roman"/>
                <w:sz w:val="12"/>
              </w:rPr>
            </w:pPr>
          </w:p>
        </w:tc>
        <w:tc>
          <w:tcPr>
            <w:tcW w:w="1985" w:type="dxa"/>
            <w:tcBorders>
              <w:top w:val="single" w:sz="4" w:space="0" w:color="E7E6E6"/>
              <w:bottom w:val="single" w:sz="4" w:space="0" w:color="E7E6E6"/>
            </w:tcBorders>
          </w:tcPr>
          <w:p w:rsidR="006A18FD" w:rsidRDefault="006A18FD">
            <w:pPr>
              <w:rPr>
                <w:rFonts w:ascii="Times New Roman"/>
                <w:sz w:val="12"/>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b/>
                <w:sz w:val="16"/>
              </w:rPr>
            </w:pPr>
            <w:r>
              <w:rPr>
                <w:rFonts w:ascii="Calibri"/>
                <w:b/>
                <w:sz w:val="16"/>
              </w:rPr>
              <w:t>Delivery costs (identified as different between comparator and intervention arm)</w:t>
            </w:r>
          </w:p>
        </w:tc>
        <w:tc>
          <w:tcPr>
            <w:tcW w:w="1985" w:type="dxa"/>
            <w:tcBorders>
              <w:top w:val="single" w:sz="4" w:space="0" w:color="E7E6E6"/>
              <w:bottom w:val="single" w:sz="4" w:space="0" w:color="E7E6E6"/>
            </w:tcBorders>
          </w:tcPr>
          <w:p w:rsidR="006A18FD" w:rsidRDefault="006A18FD">
            <w:pPr>
              <w:rPr>
                <w:rFonts w:ascii="Times New Roman"/>
                <w:sz w:val="12"/>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Folders (1 per participant)</w:t>
            </w:r>
          </w:p>
        </w:tc>
        <w:tc>
          <w:tcPr>
            <w:tcW w:w="1985" w:type="dxa"/>
            <w:tcBorders>
              <w:top w:val="single" w:sz="4" w:space="0" w:color="E7E6E6"/>
              <w:bottom w:val="single" w:sz="4" w:space="0" w:color="E7E6E6"/>
            </w:tcBorders>
          </w:tcPr>
          <w:p w:rsidR="006A18FD" w:rsidRDefault="002D29FC">
            <w:pPr>
              <w:spacing w:before="1" w:line="175" w:lineRule="exact"/>
              <w:ind w:left="102"/>
              <w:rPr>
                <w:rFonts w:ascii="Calibri"/>
                <w:sz w:val="16"/>
              </w:rPr>
            </w:pPr>
            <w:r>
              <w:rPr>
                <w:rFonts w:ascii="Calibri"/>
                <w:sz w:val="16"/>
              </w:rPr>
              <w:t>4</w:t>
            </w:r>
          </w:p>
        </w:tc>
        <w:tc>
          <w:tcPr>
            <w:tcW w:w="368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before="1" w:line="175" w:lineRule="exact"/>
              <w:ind w:left="102"/>
              <w:rPr>
                <w:rFonts w:ascii="Calibri"/>
                <w:sz w:val="16"/>
              </w:rPr>
            </w:pPr>
            <w:r>
              <w:rPr>
                <w:rFonts w:ascii="Calibri"/>
                <w:sz w:val="16"/>
              </w:rPr>
              <w:t>676</w:t>
            </w:r>
          </w:p>
        </w:tc>
        <w:tc>
          <w:tcPr>
            <w:tcW w:w="150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Free</w:t>
            </w: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Inserts for the cover of the folder</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0.45</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76.05</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Folder dividers</w:t>
            </w:r>
          </w:p>
        </w:tc>
        <w:tc>
          <w:tcPr>
            <w:tcW w:w="1985" w:type="dxa"/>
            <w:tcBorders>
              <w:top w:val="single" w:sz="4" w:space="0" w:color="E7E6E6"/>
              <w:bottom w:val="single" w:sz="4" w:space="0" w:color="E7E6E6"/>
            </w:tcBorders>
          </w:tcPr>
          <w:p w:rsidR="006A18FD" w:rsidRDefault="002D29FC">
            <w:pPr>
              <w:spacing w:before="1" w:line="175" w:lineRule="exact"/>
              <w:ind w:left="102"/>
              <w:rPr>
                <w:rFonts w:ascii="Calibri"/>
                <w:sz w:val="16"/>
              </w:rPr>
            </w:pPr>
            <w:r>
              <w:rPr>
                <w:rFonts w:ascii="Calibri"/>
                <w:sz w:val="16"/>
              </w:rPr>
              <w:t>1.23</w:t>
            </w:r>
          </w:p>
        </w:tc>
        <w:tc>
          <w:tcPr>
            <w:tcW w:w="3685" w:type="dxa"/>
            <w:tcBorders>
              <w:top w:val="single" w:sz="4" w:space="0" w:color="E7E6E6"/>
              <w:bottom w:val="single" w:sz="4" w:space="0" w:color="E7E6E6"/>
            </w:tcBorders>
          </w:tcPr>
          <w:p w:rsidR="006A18FD" w:rsidRDefault="002D29FC">
            <w:pPr>
              <w:spacing w:before="1" w:line="175"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before="1" w:line="175" w:lineRule="exact"/>
              <w:ind w:left="102"/>
              <w:rPr>
                <w:rFonts w:ascii="Calibri"/>
                <w:sz w:val="16"/>
              </w:rPr>
            </w:pPr>
            <w:r>
              <w:rPr>
                <w:rFonts w:ascii="Calibri"/>
                <w:sz w:val="16"/>
              </w:rPr>
              <w:t>207.87</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Food labelling sheets</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0.27</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45.63</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Certificates</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0.72</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121.68</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Single-sided worksheets (11 per participant)</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0.10</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185.90</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Double-sided worksheets (colour) (6 per participant)</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0.20</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169 participants (intervention arm)</w:t>
            </w:r>
          </w:p>
        </w:tc>
        <w:tc>
          <w:tcPr>
            <w:tcW w:w="1844"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202.80</w:t>
            </w: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Double-sided worksheets (black and white) (100 per participant)</w:t>
            </w:r>
          </w:p>
        </w:tc>
        <w:tc>
          <w:tcPr>
            <w:tcW w:w="1985" w:type="dxa"/>
            <w:tcBorders>
              <w:top w:val="single" w:sz="4" w:space="0" w:color="E7E6E6"/>
              <w:bottom w:val="single" w:sz="4" w:space="0" w:color="E7E6E6"/>
            </w:tcBorders>
          </w:tcPr>
          <w:p w:rsidR="006A18FD" w:rsidRDefault="002D29FC">
            <w:pPr>
              <w:spacing w:line="176" w:lineRule="exact"/>
              <w:ind w:left="102"/>
              <w:rPr>
                <w:rFonts w:ascii="Calibri"/>
                <w:sz w:val="16"/>
              </w:rPr>
            </w:pPr>
            <w:r>
              <w:rPr>
                <w:rFonts w:ascii="Calibri"/>
                <w:sz w:val="16"/>
              </w:rPr>
              <w:t>0.04</w:t>
            </w:r>
          </w:p>
        </w:tc>
        <w:tc>
          <w:tcPr>
            <w:tcW w:w="368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74 participants (100 per participant)</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6" w:lineRule="exact"/>
              <w:ind w:left="103"/>
              <w:rPr>
                <w:rFonts w:ascii="Calibri"/>
                <w:sz w:val="16"/>
              </w:rPr>
            </w:pPr>
            <w:r>
              <w:rPr>
                <w:rFonts w:ascii="Calibri"/>
                <w:sz w:val="16"/>
              </w:rPr>
              <w:t>296.00</w:t>
            </w: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Healthy portion plates (1 per participant in control arm)</w:t>
            </w:r>
          </w:p>
        </w:tc>
        <w:tc>
          <w:tcPr>
            <w:tcW w:w="1985" w:type="dxa"/>
            <w:tcBorders>
              <w:top w:val="single" w:sz="4" w:space="0" w:color="E7E6E6"/>
              <w:bottom w:val="single" w:sz="4" w:space="0" w:color="E7E6E6"/>
            </w:tcBorders>
          </w:tcPr>
          <w:p w:rsidR="006A18FD" w:rsidRDefault="002D29FC">
            <w:pPr>
              <w:spacing w:line="174" w:lineRule="exact"/>
              <w:ind w:left="102"/>
              <w:rPr>
                <w:rFonts w:ascii="Calibri"/>
                <w:sz w:val="16"/>
              </w:rPr>
            </w:pPr>
            <w:r>
              <w:rPr>
                <w:rFonts w:ascii="Calibri"/>
                <w:sz w:val="16"/>
              </w:rPr>
              <w:t>1.88</w:t>
            </w:r>
          </w:p>
        </w:tc>
        <w:tc>
          <w:tcPr>
            <w:tcW w:w="368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74 participants (control arm)</w:t>
            </w: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2D29FC">
            <w:pPr>
              <w:spacing w:line="174" w:lineRule="exact"/>
              <w:ind w:left="103"/>
              <w:rPr>
                <w:rFonts w:ascii="Calibri"/>
                <w:sz w:val="16"/>
              </w:rPr>
            </w:pPr>
            <w:r>
              <w:rPr>
                <w:rFonts w:ascii="Calibri"/>
                <w:sz w:val="16"/>
              </w:rPr>
              <w:t>139.12</w:t>
            </w:r>
          </w:p>
        </w:tc>
      </w:tr>
      <w:tr w:rsidR="006A18FD">
        <w:trPr>
          <w:trHeight w:val="380"/>
        </w:trPr>
        <w:tc>
          <w:tcPr>
            <w:tcW w:w="637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BMI charts</w:t>
            </w:r>
          </w:p>
        </w:tc>
        <w:tc>
          <w:tcPr>
            <w:tcW w:w="1985"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0.55</w:t>
            </w:r>
          </w:p>
        </w:tc>
        <w:tc>
          <w:tcPr>
            <w:tcW w:w="368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169 participants (intervention arm), 74 participants</w:t>
            </w:r>
          </w:p>
          <w:p w:rsidR="006A18FD" w:rsidRDefault="002D29FC">
            <w:pPr>
              <w:spacing w:before="1" w:line="175" w:lineRule="exact"/>
              <w:ind w:left="103"/>
              <w:rPr>
                <w:rFonts w:ascii="Calibri"/>
                <w:sz w:val="16"/>
              </w:rPr>
            </w:pPr>
            <w:r>
              <w:rPr>
                <w:rFonts w:ascii="Calibri"/>
                <w:sz w:val="16"/>
              </w:rPr>
              <w:t>(control arm)</w:t>
            </w:r>
          </w:p>
        </w:tc>
        <w:tc>
          <w:tcPr>
            <w:tcW w:w="1844"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92.95</w:t>
            </w:r>
          </w:p>
        </w:tc>
        <w:tc>
          <w:tcPr>
            <w:tcW w:w="150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40.70</w:t>
            </w: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b/>
                <w:sz w:val="16"/>
              </w:rPr>
            </w:pPr>
            <w:r>
              <w:rPr>
                <w:rFonts w:ascii="Calibri"/>
                <w:b/>
                <w:sz w:val="16"/>
              </w:rPr>
              <w:t>Staffing (additional staffing costs for intervention compared to comparator)</w:t>
            </w:r>
          </w:p>
        </w:tc>
        <w:tc>
          <w:tcPr>
            <w:tcW w:w="1985" w:type="dxa"/>
            <w:tcBorders>
              <w:top w:val="single" w:sz="4" w:space="0" w:color="E7E6E6"/>
              <w:bottom w:val="single" w:sz="4" w:space="0" w:color="E7E6E6"/>
            </w:tcBorders>
          </w:tcPr>
          <w:p w:rsidR="006A18FD" w:rsidRDefault="006A18FD">
            <w:pPr>
              <w:rPr>
                <w:rFonts w:ascii="Times New Roman"/>
                <w:sz w:val="12"/>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6A18FD">
            <w:pPr>
              <w:rPr>
                <w:rFonts w:ascii="Times New Roman"/>
                <w:sz w:val="12"/>
              </w:rPr>
            </w:pPr>
          </w:p>
        </w:tc>
        <w:tc>
          <w:tcPr>
            <w:tcW w:w="1505" w:type="dxa"/>
            <w:tcBorders>
              <w:top w:val="single" w:sz="4" w:space="0" w:color="E7E6E6"/>
              <w:bottom w:val="single" w:sz="4" w:space="0" w:color="E7E6E6"/>
            </w:tcBorders>
          </w:tcPr>
          <w:p w:rsidR="006A18FD" w:rsidRDefault="006A18FD">
            <w:pPr>
              <w:rPr>
                <w:rFonts w:ascii="Times New Roman"/>
                <w:sz w:val="12"/>
              </w:rPr>
            </w:pPr>
          </w:p>
        </w:tc>
      </w:tr>
      <w:tr w:rsidR="006A18FD">
        <w:trPr>
          <w:trHeight w:val="380"/>
        </w:trPr>
        <w:tc>
          <w:tcPr>
            <w:tcW w:w="637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Assistant</w:t>
            </w:r>
          </w:p>
        </w:tc>
        <w:tc>
          <w:tcPr>
            <w:tcW w:w="1985"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10.80 (hour)</w:t>
            </w:r>
          </w:p>
        </w:tc>
        <w:tc>
          <w:tcPr>
            <w:tcW w:w="368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Intervention (5 weeks for 2.5 hours) Comparator (3</w:t>
            </w:r>
          </w:p>
          <w:p w:rsidR="006A18FD" w:rsidRDefault="002D29FC">
            <w:pPr>
              <w:spacing w:line="177" w:lineRule="exact"/>
              <w:ind w:left="103"/>
              <w:rPr>
                <w:rFonts w:ascii="Calibri"/>
                <w:sz w:val="16"/>
              </w:rPr>
            </w:pPr>
            <w:r>
              <w:rPr>
                <w:rFonts w:ascii="Calibri"/>
                <w:sz w:val="16"/>
              </w:rPr>
              <w:t>weeks for 2 hours)</w:t>
            </w:r>
          </w:p>
        </w:tc>
        <w:tc>
          <w:tcPr>
            <w:tcW w:w="1844"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135</w:t>
            </w:r>
          </w:p>
        </w:tc>
        <w:tc>
          <w:tcPr>
            <w:tcW w:w="150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64.80</w:t>
            </w:r>
          </w:p>
        </w:tc>
      </w:tr>
      <w:tr w:rsidR="006A18FD">
        <w:trPr>
          <w:trHeight w:val="380"/>
        </w:trPr>
        <w:tc>
          <w:tcPr>
            <w:tcW w:w="637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Venue hire</w:t>
            </w:r>
          </w:p>
        </w:tc>
        <w:tc>
          <w:tcPr>
            <w:tcW w:w="1985"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580 (average weekend</w:t>
            </w:r>
          </w:p>
          <w:p w:rsidR="006A18FD" w:rsidRDefault="002D29FC">
            <w:pPr>
              <w:spacing w:line="177" w:lineRule="exact"/>
              <w:ind w:left="102"/>
              <w:rPr>
                <w:rFonts w:ascii="Calibri"/>
                <w:sz w:val="16"/>
              </w:rPr>
            </w:pPr>
            <w:r>
              <w:rPr>
                <w:rFonts w:ascii="Calibri"/>
                <w:sz w:val="16"/>
              </w:rPr>
              <w:t>rate)</w:t>
            </w:r>
          </w:p>
        </w:tc>
        <w:tc>
          <w:tcPr>
            <w:tcW w:w="368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Intervention (7 weekend sessions) Comparator (1</w:t>
            </w:r>
          </w:p>
          <w:p w:rsidR="006A18FD" w:rsidRDefault="002D29FC">
            <w:pPr>
              <w:spacing w:line="177" w:lineRule="exact"/>
              <w:ind w:left="103"/>
              <w:rPr>
                <w:rFonts w:ascii="Calibri"/>
                <w:sz w:val="16"/>
              </w:rPr>
            </w:pPr>
            <w:r>
              <w:rPr>
                <w:rFonts w:ascii="Calibri"/>
                <w:sz w:val="16"/>
              </w:rPr>
              <w:t>weekend session)</w:t>
            </w:r>
          </w:p>
        </w:tc>
        <w:tc>
          <w:tcPr>
            <w:tcW w:w="1844" w:type="dxa"/>
            <w:tcBorders>
              <w:top w:val="single" w:sz="4" w:space="0" w:color="E7E6E6"/>
              <w:bottom w:val="single" w:sz="4" w:space="0" w:color="E7E6E6"/>
            </w:tcBorders>
          </w:tcPr>
          <w:p w:rsidR="006A18FD" w:rsidRDefault="002D29FC">
            <w:pPr>
              <w:spacing w:line="194" w:lineRule="exact"/>
              <w:ind w:left="102"/>
              <w:rPr>
                <w:rFonts w:ascii="Calibri"/>
                <w:sz w:val="16"/>
              </w:rPr>
            </w:pPr>
            <w:r>
              <w:rPr>
                <w:rFonts w:ascii="Calibri"/>
                <w:sz w:val="16"/>
              </w:rPr>
              <w:t>4060</w:t>
            </w:r>
          </w:p>
        </w:tc>
        <w:tc>
          <w:tcPr>
            <w:tcW w:w="1505" w:type="dxa"/>
            <w:tcBorders>
              <w:top w:val="single" w:sz="4" w:space="0" w:color="E7E6E6"/>
              <w:bottom w:val="single" w:sz="4" w:space="0" w:color="E7E6E6"/>
            </w:tcBorders>
          </w:tcPr>
          <w:p w:rsidR="006A18FD" w:rsidRDefault="002D29FC">
            <w:pPr>
              <w:spacing w:line="194" w:lineRule="exact"/>
              <w:ind w:left="103"/>
              <w:rPr>
                <w:rFonts w:ascii="Calibri"/>
                <w:sz w:val="16"/>
              </w:rPr>
            </w:pPr>
            <w:r>
              <w:rPr>
                <w:rFonts w:ascii="Calibri"/>
                <w:sz w:val="16"/>
              </w:rPr>
              <w:t>580</w:t>
            </w:r>
          </w:p>
        </w:tc>
      </w:tr>
      <w:tr w:rsidR="006A18FD">
        <w:trPr>
          <w:trHeight w:val="180"/>
        </w:trPr>
        <w:tc>
          <w:tcPr>
            <w:tcW w:w="6375" w:type="dxa"/>
            <w:tcBorders>
              <w:top w:val="single" w:sz="4" w:space="0" w:color="E7E6E6"/>
              <w:bottom w:val="single" w:sz="4" w:space="0" w:color="E7E6E6"/>
            </w:tcBorders>
          </w:tcPr>
          <w:p w:rsidR="006A18FD" w:rsidRDefault="002D29FC">
            <w:pPr>
              <w:spacing w:line="174" w:lineRule="exact"/>
              <w:ind w:left="103"/>
              <w:rPr>
                <w:rFonts w:ascii="Calibri"/>
                <w:b/>
                <w:sz w:val="16"/>
              </w:rPr>
            </w:pPr>
            <w:r>
              <w:rPr>
                <w:rFonts w:ascii="Calibri"/>
                <w:b/>
                <w:sz w:val="16"/>
              </w:rPr>
              <w:t>Total cost (including training/set up costs)</w:t>
            </w:r>
          </w:p>
        </w:tc>
        <w:tc>
          <w:tcPr>
            <w:tcW w:w="1985" w:type="dxa"/>
            <w:tcBorders>
              <w:top w:val="single" w:sz="4" w:space="0" w:color="E7E6E6"/>
              <w:bottom w:val="single" w:sz="4" w:space="0" w:color="E7E6E6"/>
            </w:tcBorders>
          </w:tcPr>
          <w:p w:rsidR="006A18FD" w:rsidRDefault="006A18FD">
            <w:pPr>
              <w:rPr>
                <w:rFonts w:ascii="Times New Roman"/>
                <w:sz w:val="12"/>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2D29FC">
            <w:pPr>
              <w:spacing w:line="174" w:lineRule="exact"/>
              <w:ind w:left="102"/>
              <w:rPr>
                <w:rFonts w:ascii="Calibri"/>
                <w:b/>
                <w:sz w:val="16"/>
              </w:rPr>
            </w:pPr>
            <w:r>
              <w:rPr>
                <w:rFonts w:ascii="Calibri"/>
                <w:b/>
                <w:sz w:val="16"/>
              </w:rPr>
              <w:t>6742.41</w:t>
            </w:r>
          </w:p>
        </w:tc>
        <w:tc>
          <w:tcPr>
            <w:tcW w:w="1505" w:type="dxa"/>
            <w:tcBorders>
              <w:top w:val="single" w:sz="4" w:space="0" w:color="E7E6E6"/>
              <w:bottom w:val="single" w:sz="4" w:space="0" w:color="E7E6E6"/>
            </w:tcBorders>
          </w:tcPr>
          <w:p w:rsidR="006A18FD" w:rsidRDefault="002D29FC">
            <w:pPr>
              <w:spacing w:line="174" w:lineRule="exact"/>
              <w:ind w:left="103"/>
              <w:rPr>
                <w:rFonts w:ascii="Calibri"/>
                <w:b/>
                <w:sz w:val="16"/>
              </w:rPr>
            </w:pPr>
            <w:r>
              <w:rPr>
                <w:rFonts w:ascii="Calibri"/>
                <w:b/>
                <w:sz w:val="16"/>
              </w:rPr>
              <w:t>1298.62</w:t>
            </w:r>
          </w:p>
        </w:tc>
      </w:tr>
      <w:tr w:rsidR="006A18FD">
        <w:trPr>
          <w:trHeight w:val="180"/>
        </w:trPr>
        <w:tc>
          <w:tcPr>
            <w:tcW w:w="6375" w:type="dxa"/>
            <w:tcBorders>
              <w:top w:val="single" w:sz="4" w:space="0" w:color="E7E6E6"/>
              <w:bottom w:val="single" w:sz="4" w:space="0" w:color="E7E6E6"/>
            </w:tcBorders>
          </w:tcPr>
          <w:p w:rsidR="006A18FD" w:rsidRDefault="002D29FC">
            <w:pPr>
              <w:spacing w:line="176" w:lineRule="exact"/>
              <w:ind w:left="103"/>
              <w:rPr>
                <w:rFonts w:ascii="Calibri"/>
                <w:b/>
                <w:sz w:val="16"/>
              </w:rPr>
            </w:pPr>
            <w:r>
              <w:rPr>
                <w:rFonts w:ascii="Calibri"/>
                <w:b/>
                <w:sz w:val="16"/>
              </w:rPr>
              <w:t>Total average cost per session (including training/set up costs)</w:t>
            </w:r>
          </w:p>
        </w:tc>
        <w:tc>
          <w:tcPr>
            <w:tcW w:w="1985" w:type="dxa"/>
            <w:vMerge w:val="restart"/>
            <w:tcBorders>
              <w:top w:val="single" w:sz="4" w:space="0" w:color="E7E6E6"/>
            </w:tcBorders>
          </w:tcPr>
          <w:p w:rsidR="006A18FD" w:rsidRDefault="006A18FD">
            <w:pPr>
              <w:rPr>
                <w:rFonts w:ascii="Times New Roman"/>
                <w:sz w:val="16"/>
              </w:rPr>
            </w:pPr>
          </w:p>
        </w:tc>
        <w:tc>
          <w:tcPr>
            <w:tcW w:w="3685" w:type="dxa"/>
            <w:tcBorders>
              <w:top w:val="single" w:sz="4" w:space="0" w:color="E7E6E6"/>
              <w:bottom w:val="single" w:sz="4" w:space="0" w:color="E7E6E6"/>
            </w:tcBorders>
          </w:tcPr>
          <w:p w:rsidR="006A18FD" w:rsidRDefault="006A18FD">
            <w:pPr>
              <w:rPr>
                <w:rFonts w:ascii="Times New Roman"/>
                <w:sz w:val="12"/>
              </w:rPr>
            </w:pPr>
          </w:p>
        </w:tc>
        <w:tc>
          <w:tcPr>
            <w:tcW w:w="1844" w:type="dxa"/>
            <w:tcBorders>
              <w:top w:val="single" w:sz="4" w:space="0" w:color="E7E6E6"/>
              <w:bottom w:val="single" w:sz="4" w:space="0" w:color="E7E6E6"/>
            </w:tcBorders>
          </w:tcPr>
          <w:p w:rsidR="006A18FD" w:rsidRDefault="002D29FC">
            <w:pPr>
              <w:spacing w:line="176" w:lineRule="exact"/>
              <w:ind w:left="102"/>
              <w:rPr>
                <w:rFonts w:ascii="Calibri"/>
                <w:b/>
                <w:sz w:val="16"/>
              </w:rPr>
            </w:pPr>
            <w:r>
              <w:rPr>
                <w:rFonts w:ascii="Calibri"/>
                <w:b/>
                <w:sz w:val="16"/>
              </w:rPr>
              <w:t>421.40</w:t>
            </w:r>
          </w:p>
        </w:tc>
        <w:tc>
          <w:tcPr>
            <w:tcW w:w="1505" w:type="dxa"/>
            <w:tcBorders>
              <w:top w:val="single" w:sz="4" w:space="0" w:color="E7E6E6"/>
              <w:bottom w:val="single" w:sz="4" w:space="0" w:color="E7E6E6"/>
            </w:tcBorders>
          </w:tcPr>
          <w:p w:rsidR="006A18FD" w:rsidRDefault="002D29FC">
            <w:pPr>
              <w:spacing w:line="176" w:lineRule="exact"/>
              <w:ind w:left="103"/>
              <w:rPr>
                <w:rFonts w:ascii="Calibri"/>
                <w:b/>
                <w:sz w:val="16"/>
              </w:rPr>
            </w:pPr>
            <w:r>
              <w:rPr>
                <w:rFonts w:ascii="Calibri"/>
                <w:b/>
                <w:sz w:val="16"/>
              </w:rPr>
              <w:t>162.33</w:t>
            </w:r>
          </w:p>
        </w:tc>
      </w:tr>
      <w:tr w:rsidR="006A18FD">
        <w:trPr>
          <w:trHeight w:val="180"/>
        </w:trPr>
        <w:tc>
          <w:tcPr>
            <w:tcW w:w="6375" w:type="dxa"/>
            <w:tcBorders>
              <w:top w:val="single" w:sz="4" w:space="0" w:color="E7E6E6"/>
            </w:tcBorders>
          </w:tcPr>
          <w:p w:rsidR="006A18FD" w:rsidRDefault="002D29FC">
            <w:pPr>
              <w:spacing w:line="175" w:lineRule="exact"/>
              <w:ind w:left="103"/>
              <w:rPr>
                <w:rFonts w:ascii="Calibri"/>
                <w:b/>
                <w:sz w:val="16"/>
              </w:rPr>
            </w:pPr>
            <w:r>
              <w:rPr>
                <w:rFonts w:ascii="Calibri"/>
                <w:b/>
                <w:sz w:val="16"/>
              </w:rPr>
              <w:t>Total average cost per participant (including training/set up costs)</w:t>
            </w:r>
          </w:p>
        </w:tc>
        <w:tc>
          <w:tcPr>
            <w:tcW w:w="1985" w:type="dxa"/>
            <w:vMerge/>
            <w:tcBorders>
              <w:top w:val="nil"/>
            </w:tcBorders>
          </w:tcPr>
          <w:p w:rsidR="006A18FD" w:rsidRDefault="006A18FD">
            <w:pPr>
              <w:rPr>
                <w:sz w:val="2"/>
                <w:szCs w:val="2"/>
              </w:rPr>
            </w:pPr>
          </w:p>
        </w:tc>
        <w:tc>
          <w:tcPr>
            <w:tcW w:w="3685" w:type="dxa"/>
            <w:tcBorders>
              <w:top w:val="single" w:sz="4" w:space="0" w:color="E7E6E6"/>
            </w:tcBorders>
          </w:tcPr>
          <w:p w:rsidR="006A18FD" w:rsidRDefault="006A18FD">
            <w:pPr>
              <w:rPr>
                <w:rFonts w:ascii="Times New Roman"/>
                <w:sz w:val="12"/>
              </w:rPr>
            </w:pPr>
          </w:p>
        </w:tc>
        <w:tc>
          <w:tcPr>
            <w:tcW w:w="1844" w:type="dxa"/>
            <w:tcBorders>
              <w:top w:val="single" w:sz="4" w:space="0" w:color="E7E6E6"/>
            </w:tcBorders>
          </w:tcPr>
          <w:p w:rsidR="006A18FD" w:rsidRDefault="002D29FC">
            <w:pPr>
              <w:spacing w:line="175" w:lineRule="exact"/>
              <w:ind w:left="102"/>
              <w:rPr>
                <w:rFonts w:ascii="Calibri"/>
                <w:b/>
                <w:sz w:val="16"/>
              </w:rPr>
            </w:pPr>
            <w:r>
              <w:rPr>
                <w:rFonts w:ascii="Calibri"/>
                <w:b/>
                <w:sz w:val="16"/>
              </w:rPr>
              <w:t>39.90</w:t>
            </w:r>
          </w:p>
        </w:tc>
        <w:tc>
          <w:tcPr>
            <w:tcW w:w="1505" w:type="dxa"/>
            <w:tcBorders>
              <w:top w:val="single" w:sz="4" w:space="0" w:color="E7E6E6"/>
            </w:tcBorders>
          </w:tcPr>
          <w:p w:rsidR="006A18FD" w:rsidRDefault="002D29FC">
            <w:pPr>
              <w:spacing w:line="175" w:lineRule="exact"/>
              <w:ind w:left="103"/>
              <w:rPr>
                <w:rFonts w:ascii="Calibri"/>
                <w:b/>
                <w:sz w:val="16"/>
              </w:rPr>
            </w:pPr>
            <w:r>
              <w:rPr>
                <w:rFonts w:ascii="Calibri"/>
                <w:b/>
                <w:sz w:val="16"/>
              </w:rPr>
              <w:t>17.54</w:t>
            </w:r>
          </w:p>
        </w:tc>
      </w:tr>
      <w:tr w:rsidR="006A18FD">
        <w:trPr>
          <w:trHeight w:val="180"/>
        </w:trPr>
        <w:tc>
          <w:tcPr>
            <w:tcW w:w="6375" w:type="dxa"/>
          </w:tcPr>
          <w:p w:rsidR="006A18FD" w:rsidRDefault="002D29FC">
            <w:pPr>
              <w:spacing w:line="176" w:lineRule="exact"/>
              <w:ind w:left="103"/>
              <w:rPr>
                <w:rFonts w:ascii="Calibri"/>
                <w:b/>
                <w:sz w:val="16"/>
              </w:rPr>
            </w:pPr>
            <w:r>
              <w:rPr>
                <w:rFonts w:ascii="Calibri"/>
                <w:b/>
                <w:sz w:val="16"/>
              </w:rPr>
              <w:t>HDHK intervention (3 modes of delivery)</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6A18FD">
            <w:pPr>
              <w:rPr>
                <w:rFonts w:ascii="Times New Roman"/>
                <w:sz w:val="12"/>
              </w:rPr>
            </w:pPr>
          </w:p>
        </w:tc>
        <w:tc>
          <w:tcPr>
            <w:tcW w:w="1505" w:type="dxa"/>
          </w:tcPr>
          <w:p w:rsidR="006A18FD" w:rsidRDefault="006A18FD">
            <w:pPr>
              <w:rPr>
                <w:rFonts w:ascii="Times New Roman"/>
                <w:sz w:val="12"/>
              </w:rPr>
            </w:pPr>
          </w:p>
        </w:tc>
      </w:tr>
      <w:tr w:rsidR="006A18FD">
        <w:trPr>
          <w:trHeight w:val="180"/>
        </w:trPr>
        <w:tc>
          <w:tcPr>
            <w:tcW w:w="6375" w:type="dxa"/>
          </w:tcPr>
          <w:p w:rsidR="006A18FD" w:rsidRDefault="002D29FC">
            <w:pPr>
              <w:spacing w:line="174" w:lineRule="exact"/>
              <w:ind w:left="103"/>
              <w:rPr>
                <w:rFonts w:ascii="Calibri"/>
                <w:b/>
                <w:sz w:val="16"/>
              </w:rPr>
            </w:pPr>
            <w:r>
              <w:rPr>
                <w:rFonts w:ascii="Calibri"/>
                <w:b/>
                <w:sz w:val="16"/>
              </w:rPr>
              <w:t>Local Authority delivered:</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6A18FD">
            <w:pPr>
              <w:rPr>
                <w:rFonts w:ascii="Times New Roman"/>
                <w:sz w:val="12"/>
              </w:rPr>
            </w:pPr>
          </w:p>
        </w:tc>
        <w:tc>
          <w:tcPr>
            <w:tcW w:w="1505" w:type="dxa"/>
          </w:tcPr>
          <w:p w:rsidR="006A18FD" w:rsidRDefault="006A18FD">
            <w:pPr>
              <w:rPr>
                <w:rFonts w:ascii="Times New Roman"/>
                <w:sz w:val="12"/>
              </w:rPr>
            </w:pPr>
          </w:p>
        </w:tc>
      </w:tr>
      <w:tr w:rsidR="006A18FD">
        <w:trPr>
          <w:trHeight w:val="1360"/>
        </w:trPr>
        <w:tc>
          <w:tcPr>
            <w:tcW w:w="6375" w:type="dxa"/>
          </w:tcPr>
          <w:p w:rsidR="006A18FD" w:rsidRDefault="002D29FC">
            <w:pPr>
              <w:ind w:left="103" w:right="4490"/>
              <w:rPr>
                <w:rFonts w:ascii="Calibri"/>
                <w:sz w:val="16"/>
              </w:rPr>
            </w:pPr>
            <w:r>
              <w:rPr>
                <w:rFonts w:ascii="Calibri"/>
                <w:b/>
                <w:sz w:val="16"/>
              </w:rPr>
              <w:t xml:space="preserve">Set up/training costs </w:t>
            </w:r>
            <w:r>
              <w:rPr>
                <w:rFonts w:ascii="Calibri"/>
                <w:sz w:val="16"/>
              </w:rPr>
              <w:t>Room hire for training Training the health</w:t>
            </w:r>
            <w:r>
              <w:rPr>
                <w:rFonts w:ascii="Calibri"/>
                <w:spacing w:val="-14"/>
                <w:sz w:val="16"/>
              </w:rPr>
              <w:t xml:space="preserve"> </w:t>
            </w:r>
            <w:r>
              <w:rPr>
                <w:rFonts w:ascii="Calibri"/>
                <w:sz w:val="16"/>
              </w:rPr>
              <w:t>trainers Training the sports</w:t>
            </w:r>
            <w:r>
              <w:rPr>
                <w:rFonts w:ascii="Calibri"/>
                <w:spacing w:val="-14"/>
                <w:sz w:val="16"/>
              </w:rPr>
              <w:t xml:space="preserve"> </w:t>
            </w:r>
            <w:r>
              <w:rPr>
                <w:rFonts w:ascii="Calibri"/>
                <w:sz w:val="16"/>
              </w:rPr>
              <w:t>coach</w:t>
            </w:r>
          </w:p>
          <w:p w:rsidR="006A18FD" w:rsidRDefault="002D29FC">
            <w:pPr>
              <w:ind w:left="103" w:right="4277"/>
              <w:rPr>
                <w:rFonts w:ascii="Calibri"/>
                <w:b/>
                <w:sz w:val="16"/>
              </w:rPr>
            </w:pPr>
            <w:r>
              <w:rPr>
                <w:rFonts w:ascii="Calibri"/>
                <w:b/>
                <w:sz w:val="16"/>
              </w:rPr>
              <w:t>Subtotal set up/training costs Equipment (per family pack)</w:t>
            </w:r>
          </w:p>
          <w:p w:rsidR="006A18FD" w:rsidRDefault="002D29FC">
            <w:pPr>
              <w:spacing w:before="1" w:line="175" w:lineRule="exact"/>
              <w:ind w:left="103"/>
              <w:rPr>
                <w:rFonts w:ascii="Calibri"/>
                <w:sz w:val="16"/>
              </w:rPr>
            </w:pPr>
            <w:r>
              <w:rPr>
                <w:rFonts w:ascii="Calibri"/>
                <w:sz w:val="16"/>
              </w:rPr>
              <w:t>t-shirts</w:t>
            </w:r>
          </w:p>
        </w:tc>
        <w:tc>
          <w:tcPr>
            <w:tcW w:w="1985" w:type="dxa"/>
          </w:tcPr>
          <w:p w:rsidR="006A18FD" w:rsidRDefault="006A18FD">
            <w:pPr>
              <w:rPr>
                <w:rFonts w:ascii="Calibri"/>
                <w:b/>
                <w:sz w:val="16"/>
              </w:rPr>
            </w:pPr>
          </w:p>
          <w:p w:rsidR="006A18FD" w:rsidRDefault="002D29FC">
            <w:pPr>
              <w:spacing w:line="195" w:lineRule="exact"/>
              <w:ind w:left="102"/>
              <w:rPr>
                <w:rFonts w:ascii="Calibri"/>
                <w:sz w:val="16"/>
              </w:rPr>
            </w:pPr>
            <w:r>
              <w:rPr>
                <w:rFonts w:ascii="Calibri"/>
                <w:sz w:val="16"/>
              </w:rPr>
              <w:t>40 (per day)</w:t>
            </w:r>
          </w:p>
          <w:p w:rsidR="006A18FD" w:rsidRDefault="002D29FC">
            <w:pPr>
              <w:spacing w:line="195" w:lineRule="exact"/>
              <w:ind w:left="102"/>
              <w:rPr>
                <w:rFonts w:ascii="Calibri"/>
                <w:sz w:val="16"/>
              </w:rPr>
            </w:pPr>
            <w:r>
              <w:rPr>
                <w:rFonts w:ascii="Calibri"/>
                <w:sz w:val="16"/>
              </w:rPr>
              <w:t>1000 (per day)</w:t>
            </w:r>
          </w:p>
          <w:p w:rsidR="006A18FD" w:rsidRDefault="002D29FC">
            <w:pPr>
              <w:spacing w:before="1"/>
              <w:ind w:left="102"/>
              <w:rPr>
                <w:rFonts w:ascii="Calibri"/>
                <w:sz w:val="16"/>
              </w:rPr>
            </w:pPr>
            <w:r>
              <w:rPr>
                <w:rFonts w:ascii="Calibri"/>
                <w:sz w:val="16"/>
              </w:rPr>
              <w:t>250 (per day)</w:t>
            </w:r>
          </w:p>
          <w:p w:rsidR="006A18FD" w:rsidRDefault="006A18FD">
            <w:pPr>
              <w:rPr>
                <w:rFonts w:ascii="Calibri"/>
                <w:b/>
                <w:sz w:val="16"/>
              </w:rPr>
            </w:pPr>
          </w:p>
          <w:p w:rsidR="006A18FD" w:rsidRDefault="006A18FD">
            <w:pPr>
              <w:spacing w:before="11"/>
              <w:rPr>
                <w:rFonts w:ascii="Calibri"/>
                <w:b/>
                <w:sz w:val="15"/>
              </w:rPr>
            </w:pPr>
          </w:p>
          <w:p w:rsidR="006A18FD" w:rsidRDefault="002D29FC">
            <w:pPr>
              <w:spacing w:line="175" w:lineRule="exact"/>
              <w:ind w:left="102"/>
              <w:rPr>
                <w:rFonts w:ascii="Calibri"/>
                <w:sz w:val="16"/>
              </w:rPr>
            </w:pPr>
            <w:r>
              <w:rPr>
                <w:rFonts w:ascii="Calibri"/>
                <w:sz w:val="16"/>
              </w:rPr>
              <w:t>3.30</w:t>
            </w:r>
          </w:p>
        </w:tc>
        <w:tc>
          <w:tcPr>
            <w:tcW w:w="3685" w:type="dxa"/>
          </w:tcPr>
          <w:p w:rsidR="006A18FD" w:rsidRDefault="006A18FD">
            <w:pPr>
              <w:rPr>
                <w:rFonts w:ascii="Calibri"/>
                <w:b/>
                <w:sz w:val="16"/>
              </w:rPr>
            </w:pPr>
          </w:p>
          <w:p w:rsidR="006A18FD" w:rsidRDefault="002D29FC">
            <w:pPr>
              <w:spacing w:line="195" w:lineRule="exact"/>
              <w:ind w:left="103"/>
              <w:rPr>
                <w:rFonts w:ascii="Calibri"/>
                <w:sz w:val="16"/>
              </w:rPr>
            </w:pPr>
            <w:r>
              <w:rPr>
                <w:rFonts w:ascii="Calibri"/>
                <w:sz w:val="16"/>
              </w:rPr>
              <w:t>2 days</w:t>
            </w:r>
          </w:p>
          <w:p w:rsidR="006A18FD" w:rsidRDefault="002D29FC">
            <w:pPr>
              <w:spacing w:line="195" w:lineRule="exact"/>
              <w:ind w:left="103"/>
              <w:rPr>
                <w:rFonts w:ascii="Calibri"/>
                <w:sz w:val="16"/>
              </w:rPr>
            </w:pPr>
            <w:r>
              <w:rPr>
                <w:rFonts w:ascii="Calibri"/>
                <w:sz w:val="16"/>
              </w:rPr>
              <w:t>2 days training (for 9 trainers)</w:t>
            </w:r>
          </w:p>
          <w:p w:rsidR="006A18FD" w:rsidRDefault="002D29FC">
            <w:pPr>
              <w:spacing w:before="1"/>
              <w:ind w:left="103"/>
              <w:rPr>
                <w:rFonts w:ascii="Calibri"/>
                <w:sz w:val="16"/>
              </w:rPr>
            </w:pPr>
            <w:r>
              <w:rPr>
                <w:rFonts w:ascii="Calibri"/>
                <w:sz w:val="16"/>
              </w:rPr>
              <w:t>1 day training(for 1 sports coach)</w:t>
            </w:r>
          </w:p>
          <w:p w:rsidR="006A18FD" w:rsidRDefault="006A18FD">
            <w:pPr>
              <w:rPr>
                <w:rFonts w:ascii="Calibri"/>
                <w:b/>
                <w:sz w:val="16"/>
              </w:rPr>
            </w:pPr>
          </w:p>
          <w:p w:rsidR="006A18FD" w:rsidRDefault="006A18FD">
            <w:pPr>
              <w:spacing w:before="11"/>
              <w:rPr>
                <w:rFonts w:ascii="Calibri"/>
                <w:b/>
                <w:sz w:val="15"/>
              </w:rPr>
            </w:pPr>
          </w:p>
          <w:p w:rsidR="006A18FD" w:rsidRDefault="002D29FC">
            <w:pPr>
              <w:spacing w:line="175" w:lineRule="exact"/>
              <w:ind w:left="103"/>
              <w:rPr>
                <w:rFonts w:ascii="Calibri"/>
                <w:sz w:val="16"/>
              </w:rPr>
            </w:pPr>
            <w:r>
              <w:rPr>
                <w:rFonts w:ascii="Calibri"/>
                <w:sz w:val="16"/>
              </w:rPr>
              <w:t>(assume 4 per family)</w:t>
            </w:r>
          </w:p>
        </w:tc>
        <w:tc>
          <w:tcPr>
            <w:tcW w:w="1844" w:type="dxa"/>
          </w:tcPr>
          <w:p w:rsidR="006A18FD" w:rsidRDefault="006A18FD">
            <w:pPr>
              <w:rPr>
                <w:rFonts w:ascii="Calibri"/>
                <w:b/>
                <w:sz w:val="16"/>
              </w:rPr>
            </w:pPr>
          </w:p>
          <w:p w:rsidR="006A18FD" w:rsidRDefault="002D29FC">
            <w:pPr>
              <w:spacing w:line="195" w:lineRule="exact"/>
              <w:ind w:left="102"/>
              <w:rPr>
                <w:rFonts w:ascii="Calibri"/>
                <w:sz w:val="16"/>
              </w:rPr>
            </w:pPr>
            <w:r>
              <w:rPr>
                <w:rFonts w:ascii="Calibri"/>
                <w:sz w:val="16"/>
              </w:rPr>
              <w:t>80</w:t>
            </w:r>
          </w:p>
          <w:p w:rsidR="006A18FD" w:rsidRDefault="002D29FC">
            <w:pPr>
              <w:spacing w:line="195" w:lineRule="exact"/>
              <w:ind w:left="102"/>
              <w:rPr>
                <w:rFonts w:ascii="Calibri"/>
                <w:sz w:val="16"/>
              </w:rPr>
            </w:pPr>
            <w:r>
              <w:rPr>
                <w:rFonts w:ascii="Calibri"/>
                <w:sz w:val="16"/>
              </w:rPr>
              <w:t>2000</w:t>
            </w:r>
          </w:p>
          <w:p w:rsidR="006A18FD" w:rsidRDefault="002D29FC">
            <w:pPr>
              <w:spacing w:before="1" w:line="195" w:lineRule="exact"/>
              <w:ind w:left="102"/>
              <w:rPr>
                <w:rFonts w:ascii="Calibri"/>
                <w:sz w:val="16"/>
              </w:rPr>
            </w:pPr>
            <w:r>
              <w:rPr>
                <w:rFonts w:ascii="Calibri"/>
                <w:sz w:val="16"/>
              </w:rPr>
              <w:t>250</w:t>
            </w:r>
          </w:p>
          <w:p w:rsidR="006A18FD" w:rsidRDefault="002D29FC">
            <w:pPr>
              <w:spacing w:line="195" w:lineRule="exact"/>
              <w:ind w:left="102"/>
              <w:rPr>
                <w:rFonts w:ascii="Calibri"/>
                <w:b/>
                <w:sz w:val="16"/>
              </w:rPr>
            </w:pPr>
            <w:r>
              <w:rPr>
                <w:rFonts w:ascii="Calibri"/>
                <w:b/>
                <w:sz w:val="16"/>
              </w:rPr>
              <w:t>2330</w:t>
            </w:r>
          </w:p>
        </w:tc>
        <w:tc>
          <w:tcPr>
            <w:tcW w:w="1505" w:type="dxa"/>
          </w:tcPr>
          <w:p w:rsidR="006A18FD" w:rsidRDefault="006A18FD">
            <w:pPr>
              <w:rPr>
                <w:rFonts w:ascii="Times New Roman"/>
                <w:sz w:val="16"/>
              </w:rPr>
            </w:pPr>
          </w:p>
        </w:tc>
      </w:tr>
    </w:tbl>
    <w:p w:rsidR="006A18FD" w:rsidRDefault="006A18FD">
      <w:pPr>
        <w:rPr>
          <w:rFonts w:ascii="Times New Roman"/>
          <w:sz w:val="16"/>
        </w:rPr>
        <w:sectPr w:rsidR="006A18FD">
          <w:headerReference w:type="default" r:id="rId67"/>
          <w:pgSz w:w="16850" w:h="11900" w:orient="landscape"/>
          <w:pgMar w:top="1100" w:right="600" w:bottom="280" w:left="620" w:header="0" w:footer="0" w:gutter="0"/>
          <w:cols w:space="720"/>
        </w:sectPr>
      </w:pPr>
    </w:p>
    <w:p w:rsidR="006A18FD" w:rsidRDefault="006A18FD">
      <w:pPr>
        <w:spacing w:before="6"/>
        <w:rPr>
          <w:rFonts w:ascii="Times New Roman"/>
          <w:sz w:val="4"/>
        </w:rPr>
      </w:pPr>
    </w:p>
    <w:tbl>
      <w:tblPr>
        <w:tblW w:w="0" w:type="auto"/>
        <w:tblInd w:w="115" w:type="dxa"/>
        <w:tblLayout w:type="fixed"/>
        <w:tblCellMar>
          <w:left w:w="0" w:type="dxa"/>
          <w:right w:w="0" w:type="dxa"/>
        </w:tblCellMar>
        <w:tblLook w:val="01E0" w:firstRow="1" w:lastRow="1" w:firstColumn="1" w:lastColumn="1" w:noHBand="0" w:noVBand="0"/>
      </w:tblPr>
      <w:tblGrid>
        <w:gridCol w:w="6375"/>
        <w:gridCol w:w="1985"/>
        <w:gridCol w:w="3685"/>
        <w:gridCol w:w="1844"/>
        <w:gridCol w:w="1505"/>
      </w:tblGrid>
      <w:tr w:rsidR="006A18FD" w:rsidTr="0053166C">
        <w:trPr>
          <w:trHeight w:val="380"/>
          <w:tblHeader/>
        </w:trPr>
        <w:tc>
          <w:tcPr>
            <w:tcW w:w="637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7"/>
              </w:rPr>
            </w:pPr>
          </w:p>
          <w:p w:rsidR="006A18FD" w:rsidRDefault="002D29FC">
            <w:pPr>
              <w:spacing w:line="175" w:lineRule="exact"/>
              <w:ind w:left="102"/>
              <w:rPr>
                <w:rFonts w:ascii="Calibri"/>
                <w:b/>
                <w:sz w:val="16"/>
              </w:rPr>
            </w:pPr>
            <w:r>
              <w:rPr>
                <w:rFonts w:ascii="Calibri"/>
                <w:b/>
                <w:sz w:val="16"/>
              </w:rPr>
              <w:t>Resource item</w:t>
            </w:r>
          </w:p>
        </w:tc>
        <w:tc>
          <w:tcPr>
            <w:tcW w:w="19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7"/>
              </w:rPr>
            </w:pPr>
          </w:p>
          <w:p w:rsidR="006A18FD" w:rsidRDefault="002D29FC">
            <w:pPr>
              <w:spacing w:line="175" w:lineRule="exact"/>
              <w:ind w:left="103"/>
              <w:rPr>
                <w:rFonts w:ascii="Calibri"/>
                <w:b/>
                <w:sz w:val="16"/>
              </w:rPr>
            </w:pPr>
            <w:r>
              <w:rPr>
                <w:rFonts w:ascii="Calibri"/>
                <w:b/>
                <w:sz w:val="16"/>
              </w:rPr>
              <w:t>Unit cost</w:t>
            </w:r>
          </w:p>
        </w:tc>
        <w:tc>
          <w:tcPr>
            <w:tcW w:w="36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7"/>
              </w:rPr>
            </w:pPr>
          </w:p>
          <w:p w:rsidR="006A18FD" w:rsidRDefault="002D29FC">
            <w:pPr>
              <w:spacing w:line="175" w:lineRule="exact"/>
              <w:ind w:left="102"/>
              <w:rPr>
                <w:rFonts w:ascii="Calibri"/>
                <w:b/>
                <w:sz w:val="16"/>
              </w:rPr>
            </w:pPr>
            <w:r>
              <w:rPr>
                <w:rFonts w:ascii="Calibri"/>
                <w:b/>
                <w:sz w:val="16"/>
              </w:rPr>
              <w:t>Resource use</w:t>
            </w:r>
          </w:p>
        </w:tc>
        <w:tc>
          <w:tcPr>
            <w:tcW w:w="1844"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7"/>
              </w:rPr>
            </w:pPr>
          </w:p>
          <w:p w:rsidR="006A18FD" w:rsidRDefault="002D29FC">
            <w:pPr>
              <w:spacing w:line="175" w:lineRule="exact"/>
              <w:ind w:left="102"/>
              <w:rPr>
                <w:rFonts w:ascii="Calibri" w:hAnsi="Calibri"/>
                <w:b/>
                <w:sz w:val="16"/>
              </w:rPr>
            </w:pPr>
            <w:r>
              <w:rPr>
                <w:rFonts w:ascii="Calibri" w:hAnsi="Calibri"/>
                <w:b/>
                <w:sz w:val="16"/>
              </w:rPr>
              <w:t>Intervention (£)</w:t>
            </w:r>
          </w:p>
        </w:tc>
        <w:tc>
          <w:tcPr>
            <w:tcW w:w="150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7"/>
              </w:rPr>
            </w:pPr>
          </w:p>
          <w:p w:rsidR="006A18FD" w:rsidRDefault="002D29FC">
            <w:pPr>
              <w:spacing w:line="175" w:lineRule="exact"/>
              <w:ind w:left="103"/>
              <w:rPr>
                <w:rFonts w:ascii="Calibri" w:hAnsi="Calibri"/>
                <w:b/>
                <w:sz w:val="16"/>
              </w:rPr>
            </w:pPr>
            <w:r>
              <w:rPr>
                <w:rFonts w:ascii="Calibri" w:hAnsi="Calibri"/>
                <w:b/>
                <w:sz w:val="16"/>
              </w:rPr>
              <w:t>Comparator (£)</w:t>
            </w:r>
          </w:p>
        </w:tc>
      </w:tr>
      <w:tr w:rsidR="006A18FD">
        <w:trPr>
          <w:trHeight w:val="200"/>
        </w:trPr>
        <w:tc>
          <w:tcPr>
            <w:tcW w:w="6375" w:type="dxa"/>
            <w:tcBorders>
              <w:top w:val="single" w:sz="4" w:space="0" w:color="000000"/>
            </w:tcBorders>
          </w:tcPr>
          <w:p w:rsidR="006A18FD" w:rsidRDefault="002D29FC">
            <w:pPr>
              <w:spacing w:line="189" w:lineRule="exact"/>
              <w:ind w:left="107"/>
              <w:rPr>
                <w:rFonts w:ascii="Calibri"/>
                <w:sz w:val="16"/>
              </w:rPr>
            </w:pPr>
            <w:r>
              <w:rPr>
                <w:rFonts w:ascii="Calibri"/>
                <w:sz w:val="16"/>
              </w:rPr>
              <w:t>pedometers</w:t>
            </w:r>
          </w:p>
        </w:tc>
        <w:tc>
          <w:tcPr>
            <w:tcW w:w="1985" w:type="dxa"/>
            <w:tcBorders>
              <w:top w:val="single" w:sz="4" w:space="0" w:color="000000"/>
            </w:tcBorders>
          </w:tcPr>
          <w:p w:rsidR="006A18FD" w:rsidRDefault="002D29FC">
            <w:pPr>
              <w:spacing w:line="189" w:lineRule="exact"/>
              <w:ind w:left="108"/>
              <w:rPr>
                <w:rFonts w:ascii="Calibri"/>
                <w:sz w:val="16"/>
              </w:rPr>
            </w:pPr>
            <w:r>
              <w:rPr>
                <w:rFonts w:ascii="Calibri"/>
                <w:sz w:val="16"/>
              </w:rPr>
              <w:t>16.50</w:t>
            </w:r>
          </w:p>
        </w:tc>
        <w:tc>
          <w:tcPr>
            <w:tcW w:w="3685" w:type="dxa"/>
            <w:tcBorders>
              <w:top w:val="single" w:sz="4" w:space="0" w:color="000000"/>
            </w:tcBorders>
          </w:tcPr>
          <w:p w:rsidR="006A18FD" w:rsidRDefault="002D29FC">
            <w:pPr>
              <w:spacing w:line="189" w:lineRule="exact"/>
              <w:ind w:left="107"/>
              <w:rPr>
                <w:rFonts w:ascii="Calibri"/>
                <w:sz w:val="16"/>
              </w:rPr>
            </w:pPr>
            <w:r>
              <w:rPr>
                <w:rFonts w:ascii="Calibri"/>
                <w:sz w:val="16"/>
              </w:rPr>
              <w:t>1</w:t>
            </w:r>
          </w:p>
        </w:tc>
        <w:tc>
          <w:tcPr>
            <w:tcW w:w="1844" w:type="dxa"/>
            <w:tcBorders>
              <w:top w:val="single" w:sz="4" w:space="0" w:color="000000"/>
            </w:tcBorders>
          </w:tcPr>
          <w:p w:rsidR="006A18FD" w:rsidRDefault="006A18FD">
            <w:pPr>
              <w:rPr>
                <w:rFonts w:ascii="Times New Roman"/>
                <w:sz w:val="14"/>
              </w:rPr>
            </w:pPr>
          </w:p>
        </w:tc>
        <w:tc>
          <w:tcPr>
            <w:tcW w:w="1505" w:type="dxa"/>
            <w:tcBorders>
              <w:top w:val="single" w:sz="4" w:space="0" w:color="000000"/>
            </w:tcBorders>
          </w:tcPr>
          <w:p w:rsidR="006A18FD" w:rsidRDefault="002D29FC">
            <w:pPr>
              <w:spacing w:line="189" w:lineRule="exact"/>
              <w:ind w:left="108"/>
              <w:rPr>
                <w:rFonts w:ascii="Calibri"/>
                <w:sz w:val="16"/>
              </w:rPr>
            </w:pPr>
            <w:r>
              <w:rPr>
                <w:rFonts w:ascii="Calibri"/>
                <w:sz w:val="16"/>
              </w:rPr>
              <w:t>None</w:t>
            </w:r>
          </w:p>
        </w:tc>
      </w:tr>
      <w:tr w:rsidR="006A18FD">
        <w:trPr>
          <w:trHeight w:val="180"/>
        </w:trPr>
        <w:tc>
          <w:tcPr>
            <w:tcW w:w="6375" w:type="dxa"/>
          </w:tcPr>
          <w:p w:rsidR="006A18FD" w:rsidRDefault="002D29FC">
            <w:pPr>
              <w:spacing w:line="176" w:lineRule="exact"/>
              <w:ind w:left="107"/>
              <w:rPr>
                <w:rFonts w:ascii="Calibri"/>
                <w:sz w:val="16"/>
              </w:rPr>
            </w:pPr>
            <w:r>
              <w:rPr>
                <w:rFonts w:ascii="Calibri"/>
                <w:sz w:val="16"/>
              </w:rPr>
              <w:t>stickers</w:t>
            </w:r>
          </w:p>
        </w:tc>
        <w:tc>
          <w:tcPr>
            <w:tcW w:w="1985" w:type="dxa"/>
          </w:tcPr>
          <w:p w:rsidR="006A18FD" w:rsidRDefault="002D29FC">
            <w:pPr>
              <w:spacing w:line="176" w:lineRule="exact"/>
              <w:ind w:left="108"/>
              <w:rPr>
                <w:rFonts w:ascii="Calibri"/>
                <w:sz w:val="16"/>
              </w:rPr>
            </w:pPr>
            <w:r>
              <w:rPr>
                <w:rFonts w:ascii="Calibri"/>
                <w:sz w:val="16"/>
              </w:rPr>
              <w:t>0.50</w:t>
            </w:r>
          </w:p>
        </w:tc>
        <w:tc>
          <w:tcPr>
            <w:tcW w:w="3685" w:type="dxa"/>
          </w:tcPr>
          <w:p w:rsidR="006A18FD" w:rsidRDefault="002D29FC">
            <w:pPr>
              <w:spacing w:line="176" w:lineRule="exact"/>
              <w:ind w:left="107"/>
              <w:rPr>
                <w:rFonts w:ascii="Calibri"/>
                <w:sz w:val="16"/>
              </w:rPr>
            </w:pPr>
            <w:r>
              <w:rPr>
                <w:rFonts w:ascii="Calibri"/>
                <w:sz w:val="16"/>
              </w:rPr>
              <w:t>1 pack</w:t>
            </w:r>
          </w:p>
        </w:tc>
        <w:tc>
          <w:tcPr>
            <w:tcW w:w="1844" w:type="dxa"/>
          </w:tcPr>
          <w:p w:rsidR="006A18FD" w:rsidRDefault="006A18FD">
            <w:pPr>
              <w:rPr>
                <w:rFonts w:ascii="Times New Roman"/>
                <w:sz w:val="12"/>
              </w:rPr>
            </w:pPr>
          </w:p>
        </w:tc>
        <w:tc>
          <w:tcPr>
            <w:tcW w:w="1505" w:type="dxa"/>
          </w:tcPr>
          <w:p w:rsidR="006A18FD" w:rsidRDefault="002D29FC">
            <w:pPr>
              <w:spacing w:line="176"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6" w:lineRule="exact"/>
              <w:ind w:left="107"/>
              <w:rPr>
                <w:rFonts w:ascii="Calibri"/>
                <w:sz w:val="16"/>
              </w:rPr>
            </w:pPr>
            <w:r>
              <w:rPr>
                <w:rFonts w:ascii="Calibri"/>
                <w:sz w:val="16"/>
              </w:rPr>
              <w:t>handbook for dad</w:t>
            </w:r>
          </w:p>
        </w:tc>
        <w:tc>
          <w:tcPr>
            <w:tcW w:w="1985" w:type="dxa"/>
          </w:tcPr>
          <w:p w:rsidR="006A18FD" w:rsidRDefault="002D29FC">
            <w:pPr>
              <w:spacing w:line="176" w:lineRule="exact"/>
              <w:ind w:left="108"/>
              <w:rPr>
                <w:rFonts w:ascii="Calibri"/>
                <w:sz w:val="16"/>
              </w:rPr>
            </w:pPr>
            <w:r>
              <w:rPr>
                <w:rFonts w:ascii="Calibri"/>
                <w:sz w:val="16"/>
              </w:rPr>
              <w:t>8.40</w:t>
            </w:r>
          </w:p>
        </w:tc>
        <w:tc>
          <w:tcPr>
            <w:tcW w:w="3685" w:type="dxa"/>
          </w:tcPr>
          <w:p w:rsidR="006A18FD" w:rsidRDefault="002D29FC">
            <w:pPr>
              <w:spacing w:line="176"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6"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6" w:lineRule="exact"/>
              <w:ind w:left="107"/>
              <w:rPr>
                <w:rFonts w:ascii="Calibri"/>
                <w:sz w:val="16"/>
              </w:rPr>
            </w:pPr>
            <w:r>
              <w:rPr>
                <w:rFonts w:ascii="Calibri"/>
                <w:sz w:val="16"/>
              </w:rPr>
              <w:t>handbook for child</w:t>
            </w:r>
          </w:p>
        </w:tc>
        <w:tc>
          <w:tcPr>
            <w:tcW w:w="1985" w:type="dxa"/>
          </w:tcPr>
          <w:p w:rsidR="006A18FD" w:rsidRDefault="002D29FC">
            <w:pPr>
              <w:spacing w:line="176" w:lineRule="exact"/>
              <w:ind w:left="108"/>
              <w:rPr>
                <w:rFonts w:ascii="Calibri"/>
                <w:sz w:val="16"/>
              </w:rPr>
            </w:pPr>
            <w:r>
              <w:rPr>
                <w:rFonts w:ascii="Calibri"/>
                <w:sz w:val="16"/>
              </w:rPr>
              <w:t>2.50</w:t>
            </w:r>
          </w:p>
        </w:tc>
        <w:tc>
          <w:tcPr>
            <w:tcW w:w="3685" w:type="dxa"/>
          </w:tcPr>
          <w:p w:rsidR="006A18FD" w:rsidRDefault="002D29FC">
            <w:pPr>
              <w:spacing w:line="176"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6"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4" w:lineRule="exact"/>
              <w:ind w:left="107"/>
              <w:rPr>
                <w:rFonts w:ascii="Calibri"/>
                <w:sz w:val="16"/>
              </w:rPr>
            </w:pPr>
            <w:r>
              <w:rPr>
                <w:rFonts w:ascii="Calibri"/>
                <w:sz w:val="16"/>
              </w:rPr>
              <w:t>handbook for mum</w:t>
            </w:r>
          </w:p>
        </w:tc>
        <w:tc>
          <w:tcPr>
            <w:tcW w:w="1985" w:type="dxa"/>
          </w:tcPr>
          <w:p w:rsidR="006A18FD" w:rsidRDefault="002D29FC">
            <w:pPr>
              <w:spacing w:line="174" w:lineRule="exact"/>
              <w:ind w:left="108"/>
              <w:rPr>
                <w:rFonts w:ascii="Calibri"/>
                <w:sz w:val="16"/>
              </w:rPr>
            </w:pPr>
            <w:r>
              <w:rPr>
                <w:rFonts w:ascii="Calibri"/>
                <w:sz w:val="16"/>
              </w:rPr>
              <w:t>4.25</w:t>
            </w:r>
          </w:p>
        </w:tc>
        <w:tc>
          <w:tcPr>
            <w:tcW w:w="3685" w:type="dxa"/>
          </w:tcPr>
          <w:p w:rsidR="006A18FD" w:rsidRDefault="002D29FC">
            <w:pPr>
              <w:spacing w:line="174"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4"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6" w:lineRule="exact"/>
              <w:ind w:left="107"/>
              <w:rPr>
                <w:rFonts w:ascii="Calibri"/>
                <w:sz w:val="16"/>
              </w:rPr>
            </w:pPr>
            <w:r>
              <w:rPr>
                <w:rFonts w:ascii="Calibri"/>
                <w:sz w:val="16"/>
              </w:rPr>
              <w:t>logbook</w:t>
            </w:r>
          </w:p>
        </w:tc>
        <w:tc>
          <w:tcPr>
            <w:tcW w:w="1985" w:type="dxa"/>
          </w:tcPr>
          <w:p w:rsidR="006A18FD" w:rsidRDefault="002D29FC">
            <w:pPr>
              <w:spacing w:line="176" w:lineRule="exact"/>
              <w:ind w:left="108"/>
              <w:rPr>
                <w:rFonts w:ascii="Calibri"/>
                <w:sz w:val="16"/>
              </w:rPr>
            </w:pPr>
            <w:r>
              <w:rPr>
                <w:rFonts w:ascii="Calibri"/>
                <w:sz w:val="16"/>
              </w:rPr>
              <w:t>4.60</w:t>
            </w:r>
          </w:p>
        </w:tc>
        <w:tc>
          <w:tcPr>
            <w:tcW w:w="3685" w:type="dxa"/>
          </w:tcPr>
          <w:p w:rsidR="006A18FD" w:rsidRDefault="002D29FC">
            <w:pPr>
              <w:spacing w:line="176"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6"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6" w:lineRule="exact"/>
              <w:ind w:left="107"/>
              <w:rPr>
                <w:rFonts w:ascii="Calibri"/>
                <w:sz w:val="16"/>
              </w:rPr>
            </w:pPr>
            <w:r>
              <w:rPr>
                <w:rFonts w:ascii="Calibri"/>
                <w:sz w:val="16"/>
              </w:rPr>
              <w:t>play cared</w:t>
            </w:r>
          </w:p>
        </w:tc>
        <w:tc>
          <w:tcPr>
            <w:tcW w:w="1985" w:type="dxa"/>
          </w:tcPr>
          <w:p w:rsidR="006A18FD" w:rsidRDefault="002D29FC">
            <w:pPr>
              <w:spacing w:line="176" w:lineRule="exact"/>
              <w:ind w:left="108"/>
              <w:rPr>
                <w:rFonts w:ascii="Calibri"/>
                <w:sz w:val="16"/>
              </w:rPr>
            </w:pPr>
            <w:r>
              <w:rPr>
                <w:rFonts w:ascii="Calibri"/>
                <w:sz w:val="16"/>
              </w:rPr>
              <w:t>1.85</w:t>
            </w:r>
          </w:p>
        </w:tc>
        <w:tc>
          <w:tcPr>
            <w:tcW w:w="3685" w:type="dxa"/>
          </w:tcPr>
          <w:p w:rsidR="006A18FD" w:rsidRDefault="002D29FC">
            <w:pPr>
              <w:spacing w:line="176"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6"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4" w:lineRule="exact"/>
              <w:ind w:left="107"/>
              <w:rPr>
                <w:rFonts w:ascii="Calibri"/>
                <w:sz w:val="16"/>
              </w:rPr>
            </w:pPr>
            <w:r>
              <w:rPr>
                <w:rFonts w:ascii="Calibri"/>
                <w:sz w:val="16"/>
              </w:rPr>
              <w:t>spinner</w:t>
            </w:r>
          </w:p>
        </w:tc>
        <w:tc>
          <w:tcPr>
            <w:tcW w:w="1985" w:type="dxa"/>
          </w:tcPr>
          <w:p w:rsidR="006A18FD" w:rsidRDefault="002D29FC">
            <w:pPr>
              <w:spacing w:line="174" w:lineRule="exact"/>
              <w:ind w:left="108"/>
              <w:rPr>
                <w:rFonts w:ascii="Calibri"/>
                <w:sz w:val="16"/>
              </w:rPr>
            </w:pPr>
            <w:r>
              <w:rPr>
                <w:rFonts w:ascii="Calibri"/>
                <w:sz w:val="16"/>
              </w:rPr>
              <w:t>0.50</w:t>
            </w:r>
          </w:p>
        </w:tc>
        <w:tc>
          <w:tcPr>
            <w:tcW w:w="3685" w:type="dxa"/>
          </w:tcPr>
          <w:p w:rsidR="006A18FD" w:rsidRDefault="002D29FC">
            <w:pPr>
              <w:spacing w:line="174"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2D29FC">
            <w:pPr>
              <w:spacing w:line="174"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6" w:lineRule="exact"/>
              <w:ind w:left="107"/>
              <w:rPr>
                <w:rFonts w:ascii="Calibri"/>
                <w:b/>
                <w:sz w:val="16"/>
              </w:rPr>
            </w:pPr>
            <w:r>
              <w:rPr>
                <w:rFonts w:ascii="Calibri"/>
                <w:b/>
                <w:sz w:val="16"/>
              </w:rPr>
              <w:t>Subtotal (per family pack)</w:t>
            </w:r>
          </w:p>
        </w:tc>
        <w:tc>
          <w:tcPr>
            <w:tcW w:w="1985" w:type="dxa"/>
          </w:tcPr>
          <w:p w:rsidR="006A18FD" w:rsidRDefault="002D29FC">
            <w:pPr>
              <w:spacing w:line="176" w:lineRule="exact"/>
              <w:ind w:left="108"/>
              <w:rPr>
                <w:rFonts w:ascii="Calibri"/>
                <w:b/>
                <w:sz w:val="16"/>
              </w:rPr>
            </w:pPr>
            <w:r>
              <w:rPr>
                <w:rFonts w:ascii="Calibri"/>
                <w:b/>
                <w:sz w:val="16"/>
              </w:rPr>
              <w:t>52.30</w:t>
            </w:r>
          </w:p>
        </w:tc>
        <w:tc>
          <w:tcPr>
            <w:tcW w:w="3685" w:type="dxa"/>
          </w:tcPr>
          <w:p w:rsidR="006A18FD" w:rsidRDefault="002D29FC">
            <w:pPr>
              <w:spacing w:line="176" w:lineRule="exact"/>
              <w:ind w:left="107"/>
              <w:rPr>
                <w:rFonts w:ascii="Calibri"/>
                <w:sz w:val="16"/>
              </w:rPr>
            </w:pPr>
            <w:r>
              <w:rPr>
                <w:rFonts w:ascii="Calibri"/>
                <w:sz w:val="16"/>
              </w:rPr>
              <w:t>1</w:t>
            </w:r>
          </w:p>
        </w:tc>
        <w:tc>
          <w:tcPr>
            <w:tcW w:w="1844" w:type="dxa"/>
          </w:tcPr>
          <w:p w:rsidR="006A18FD" w:rsidRDefault="006A18FD">
            <w:pPr>
              <w:rPr>
                <w:rFonts w:ascii="Times New Roman"/>
                <w:sz w:val="12"/>
              </w:rPr>
            </w:pPr>
          </w:p>
        </w:tc>
        <w:tc>
          <w:tcPr>
            <w:tcW w:w="1505" w:type="dxa"/>
          </w:tcPr>
          <w:p w:rsidR="006A18FD" w:rsidRDefault="006A18FD">
            <w:pPr>
              <w:rPr>
                <w:rFonts w:ascii="Times New Roman"/>
                <w:sz w:val="12"/>
              </w:rPr>
            </w:pPr>
          </w:p>
        </w:tc>
      </w:tr>
      <w:tr w:rsidR="006A18FD">
        <w:trPr>
          <w:trHeight w:val="180"/>
        </w:trPr>
        <w:tc>
          <w:tcPr>
            <w:tcW w:w="6375" w:type="dxa"/>
          </w:tcPr>
          <w:p w:rsidR="006A18FD" w:rsidRDefault="002D29FC">
            <w:pPr>
              <w:spacing w:line="176" w:lineRule="exact"/>
              <w:ind w:left="107"/>
              <w:rPr>
                <w:rFonts w:ascii="Calibri"/>
                <w:b/>
                <w:sz w:val="16"/>
              </w:rPr>
            </w:pPr>
            <w:r>
              <w:rPr>
                <w:rFonts w:ascii="Calibri"/>
                <w:b/>
                <w:sz w:val="16"/>
              </w:rPr>
              <w:t>Subtotal for the whole intervention (15 x family packs)</w:t>
            </w:r>
          </w:p>
        </w:tc>
        <w:tc>
          <w:tcPr>
            <w:tcW w:w="1985" w:type="dxa"/>
          </w:tcPr>
          <w:p w:rsidR="006A18FD" w:rsidRDefault="006A18FD">
            <w:pPr>
              <w:rPr>
                <w:rFonts w:ascii="Times New Roman"/>
                <w:sz w:val="12"/>
              </w:rPr>
            </w:pPr>
          </w:p>
        </w:tc>
        <w:tc>
          <w:tcPr>
            <w:tcW w:w="3685" w:type="dxa"/>
          </w:tcPr>
          <w:p w:rsidR="006A18FD" w:rsidRDefault="002D29FC">
            <w:pPr>
              <w:spacing w:line="176" w:lineRule="exact"/>
              <w:ind w:left="107"/>
              <w:rPr>
                <w:rFonts w:ascii="Calibri"/>
                <w:b/>
                <w:sz w:val="16"/>
              </w:rPr>
            </w:pPr>
            <w:r>
              <w:rPr>
                <w:rFonts w:ascii="Calibri"/>
                <w:b/>
                <w:sz w:val="16"/>
              </w:rPr>
              <w:t>15 family packs</w:t>
            </w:r>
          </w:p>
        </w:tc>
        <w:tc>
          <w:tcPr>
            <w:tcW w:w="1844" w:type="dxa"/>
          </w:tcPr>
          <w:p w:rsidR="006A18FD" w:rsidRDefault="002D29FC">
            <w:pPr>
              <w:spacing w:line="176" w:lineRule="exact"/>
              <w:ind w:left="107"/>
              <w:rPr>
                <w:rFonts w:ascii="Calibri"/>
                <w:b/>
                <w:sz w:val="16"/>
              </w:rPr>
            </w:pPr>
            <w:r>
              <w:rPr>
                <w:rFonts w:ascii="Calibri"/>
                <w:b/>
                <w:sz w:val="16"/>
              </w:rPr>
              <w:t>785</w:t>
            </w:r>
          </w:p>
        </w:tc>
        <w:tc>
          <w:tcPr>
            <w:tcW w:w="1505" w:type="dxa"/>
          </w:tcPr>
          <w:p w:rsidR="006A18FD" w:rsidRDefault="006A18FD">
            <w:pPr>
              <w:rPr>
                <w:rFonts w:ascii="Times New Roman"/>
                <w:sz w:val="12"/>
              </w:rPr>
            </w:pPr>
          </w:p>
        </w:tc>
      </w:tr>
      <w:tr w:rsidR="006A18FD">
        <w:trPr>
          <w:trHeight w:val="180"/>
        </w:trPr>
        <w:tc>
          <w:tcPr>
            <w:tcW w:w="6375" w:type="dxa"/>
          </w:tcPr>
          <w:p w:rsidR="006A18FD" w:rsidRDefault="002D29FC">
            <w:pPr>
              <w:spacing w:line="173" w:lineRule="exact"/>
              <w:ind w:left="107"/>
              <w:rPr>
                <w:rFonts w:ascii="Calibri"/>
                <w:sz w:val="16"/>
              </w:rPr>
            </w:pPr>
            <w:r>
              <w:rPr>
                <w:rFonts w:ascii="Calibri"/>
                <w:sz w:val="16"/>
              </w:rPr>
              <w:t>Room hire</w:t>
            </w:r>
          </w:p>
        </w:tc>
        <w:tc>
          <w:tcPr>
            <w:tcW w:w="1985" w:type="dxa"/>
          </w:tcPr>
          <w:p w:rsidR="006A18FD" w:rsidRDefault="002D29FC">
            <w:pPr>
              <w:spacing w:line="173" w:lineRule="exact"/>
              <w:ind w:left="108"/>
              <w:rPr>
                <w:rFonts w:ascii="Calibri"/>
                <w:sz w:val="16"/>
              </w:rPr>
            </w:pPr>
            <w:r>
              <w:rPr>
                <w:rFonts w:ascii="Calibri"/>
                <w:sz w:val="16"/>
              </w:rPr>
              <w:t>0</w:t>
            </w:r>
          </w:p>
        </w:tc>
        <w:tc>
          <w:tcPr>
            <w:tcW w:w="3685" w:type="dxa"/>
          </w:tcPr>
          <w:p w:rsidR="006A18FD" w:rsidRDefault="002D29FC">
            <w:pPr>
              <w:spacing w:line="173" w:lineRule="exact"/>
              <w:ind w:left="107"/>
              <w:rPr>
                <w:rFonts w:ascii="Calibri"/>
                <w:sz w:val="16"/>
              </w:rPr>
            </w:pPr>
            <w:r>
              <w:rPr>
                <w:rFonts w:ascii="Calibri"/>
                <w:sz w:val="16"/>
              </w:rPr>
              <w:t>Provided free of charge</w:t>
            </w:r>
          </w:p>
        </w:tc>
        <w:tc>
          <w:tcPr>
            <w:tcW w:w="1844" w:type="dxa"/>
          </w:tcPr>
          <w:p w:rsidR="006A18FD" w:rsidRDefault="002D29FC">
            <w:pPr>
              <w:spacing w:line="173" w:lineRule="exact"/>
              <w:ind w:left="107"/>
              <w:rPr>
                <w:rFonts w:ascii="Calibri"/>
                <w:sz w:val="16"/>
              </w:rPr>
            </w:pPr>
            <w:r>
              <w:rPr>
                <w:rFonts w:ascii="Calibri"/>
                <w:sz w:val="16"/>
              </w:rPr>
              <w:t>0</w:t>
            </w:r>
          </w:p>
        </w:tc>
        <w:tc>
          <w:tcPr>
            <w:tcW w:w="1505" w:type="dxa"/>
          </w:tcPr>
          <w:p w:rsidR="006A18FD" w:rsidRDefault="002D29FC">
            <w:pPr>
              <w:spacing w:line="173"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8" w:lineRule="exact"/>
              <w:ind w:left="107"/>
              <w:rPr>
                <w:rFonts w:ascii="Calibri"/>
                <w:sz w:val="16"/>
              </w:rPr>
            </w:pPr>
            <w:r>
              <w:rPr>
                <w:rFonts w:ascii="Calibri"/>
                <w:sz w:val="16"/>
              </w:rPr>
              <w:t>Preparation time for 2 x health trainers (1 hour per weekly session for 9 weeks)</w:t>
            </w:r>
          </w:p>
        </w:tc>
        <w:tc>
          <w:tcPr>
            <w:tcW w:w="1985" w:type="dxa"/>
          </w:tcPr>
          <w:p w:rsidR="006A18FD" w:rsidRDefault="002D29FC">
            <w:pPr>
              <w:spacing w:line="178" w:lineRule="exact"/>
              <w:ind w:left="108"/>
              <w:rPr>
                <w:rFonts w:ascii="Calibri"/>
                <w:sz w:val="10"/>
              </w:rPr>
            </w:pPr>
            <w:r>
              <w:rPr>
                <w:rFonts w:ascii="Calibri"/>
                <w:sz w:val="16"/>
              </w:rPr>
              <w:t>18 (per hour)</w:t>
            </w:r>
            <w:r>
              <w:rPr>
                <w:rFonts w:ascii="Calibri"/>
                <w:position w:val="5"/>
                <w:sz w:val="10"/>
              </w:rPr>
              <w:t>d</w:t>
            </w:r>
          </w:p>
        </w:tc>
        <w:tc>
          <w:tcPr>
            <w:tcW w:w="3685" w:type="dxa"/>
          </w:tcPr>
          <w:p w:rsidR="006A18FD" w:rsidRDefault="002D29FC">
            <w:pPr>
              <w:spacing w:line="178" w:lineRule="exact"/>
              <w:ind w:left="107"/>
              <w:rPr>
                <w:rFonts w:ascii="Calibri"/>
                <w:sz w:val="16"/>
              </w:rPr>
            </w:pPr>
            <w:r>
              <w:rPr>
                <w:rFonts w:ascii="Calibri"/>
                <w:sz w:val="16"/>
              </w:rPr>
              <w:t>1 hour per weekly session for 9 weeks</w:t>
            </w:r>
          </w:p>
        </w:tc>
        <w:tc>
          <w:tcPr>
            <w:tcW w:w="1844" w:type="dxa"/>
          </w:tcPr>
          <w:p w:rsidR="006A18FD" w:rsidRDefault="002D29FC">
            <w:pPr>
              <w:spacing w:line="178" w:lineRule="exact"/>
              <w:ind w:left="107"/>
              <w:rPr>
                <w:rFonts w:ascii="Calibri"/>
                <w:sz w:val="16"/>
              </w:rPr>
            </w:pPr>
            <w:r>
              <w:rPr>
                <w:rFonts w:ascii="Calibri"/>
                <w:sz w:val="16"/>
              </w:rPr>
              <w:t>324</w:t>
            </w:r>
          </w:p>
        </w:tc>
        <w:tc>
          <w:tcPr>
            <w:tcW w:w="1505" w:type="dxa"/>
          </w:tcPr>
          <w:p w:rsidR="006A18FD" w:rsidRDefault="002D29FC">
            <w:pPr>
              <w:spacing w:line="178"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4" w:lineRule="exact"/>
              <w:ind w:left="107"/>
              <w:rPr>
                <w:rFonts w:ascii="Calibri"/>
                <w:sz w:val="16"/>
              </w:rPr>
            </w:pPr>
            <w:r>
              <w:rPr>
                <w:rFonts w:ascii="Calibri"/>
                <w:sz w:val="16"/>
              </w:rPr>
              <w:t>Delivery time for 2 x health trainers (1.5 hours per weekly session for 9 weeks)</w:t>
            </w:r>
          </w:p>
        </w:tc>
        <w:tc>
          <w:tcPr>
            <w:tcW w:w="1985" w:type="dxa"/>
          </w:tcPr>
          <w:p w:rsidR="006A18FD" w:rsidRDefault="002D29FC">
            <w:pPr>
              <w:spacing w:line="174" w:lineRule="exact"/>
              <w:ind w:left="108"/>
              <w:rPr>
                <w:rFonts w:ascii="Calibri"/>
                <w:sz w:val="16"/>
              </w:rPr>
            </w:pPr>
            <w:r>
              <w:rPr>
                <w:rFonts w:ascii="Calibri"/>
                <w:sz w:val="16"/>
              </w:rPr>
              <w:t>18 (hour)</w:t>
            </w:r>
          </w:p>
        </w:tc>
        <w:tc>
          <w:tcPr>
            <w:tcW w:w="3685" w:type="dxa"/>
          </w:tcPr>
          <w:p w:rsidR="006A18FD" w:rsidRDefault="002D29FC">
            <w:pPr>
              <w:spacing w:line="174" w:lineRule="exact"/>
              <w:ind w:left="107"/>
              <w:rPr>
                <w:rFonts w:ascii="Calibri"/>
                <w:sz w:val="16"/>
              </w:rPr>
            </w:pPr>
            <w:r>
              <w:rPr>
                <w:rFonts w:ascii="Calibri"/>
                <w:sz w:val="16"/>
              </w:rPr>
              <w:t>1.5 hour per weekly session for 9 weeks</w:t>
            </w:r>
          </w:p>
        </w:tc>
        <w:tc>
          <w:tcPr>
            <w:tcW w:w="1844" w:type="dxa"/>
          </w:tcPr>
          <w:p w:rsidR="006A18FD" w:rsidRDefault="002D29FC">
            <w:pPr>
              <w:spacing w:line="174" w:lineRule="exact"/>
              <w:ind w:left="107"/>
              <w:rPr>
                <w:rFonts w:ascii="Calibri"/>
                <w:sz w:val="16"/>
              </w:rPr>
            </w:pPr>
            <w:r>
              <w:rPr>
                <w:rFonts w:ascii="Calibri"/>
                <w:sz w:val="16"/>
              </w:rPr>
              <w:t>486</w:t>
            </w:r>
          </w:p>
        </w:tc>
        <w:tc>
          <w:tcPr>
            <w:tcW w:w="1505" w:type="dxa"/>
          </w:tcPr>
          <w:p w:rsidR="006A18FD" w:rsidRDefault="002D29FC">
            <w:pPr>
              <w:spacing w:line="174"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3" w:lineRule="exact"/>
              <w:ind w:left="107"/>
              <w:rPr>
                <w:rFonts w:ascii="Calibri"/>
                <w:sz w:val="16"/>
              </w:rPr>
            </w:pPr>
            <w:r>
              <w:rPr>
                <w:rFonts w:ascii="Calibri"/>
                <w:sz w:val="16"/>
              </w:rPr>
              <w:t>Delivery time for 1 x sports coach</w:t>
            </w:r>
          </w:p>
        </w:tc>
        <w:tc>
          <w:tcPr>
            <w:tcW w:w="1985" w:type="dxa"/>
          </w:tcPr>
          <w:p w:rsidR="006A18FD" w:rsidRDefault="002D29FC">
            <w:pPr>
              <w:spacing w:line="173" w:lineRule="exact"/>
              <w:ind w:left="108"/>
              <w:rPr>
                <w:rFonts w:ascii="Calibri"/>
                <w:sz w:val="16"/>
              </w:rPr>
            </w:pPr>
            <w:r>
              <w:rPr>
                <w:rFonts w:ascii="Calibri"/>
                <w:sz w:val="16"/>
              </w:rPr>
              <w:t>50 (hour)</w:t>
            </w:r>
          </w:p>
        </w:tc>
        <w:tc>
          <w:tcPr>
            <w:tcW w:w="3685" w:type="dxa"/>
          </w:tcPr>
          <w:p w:rsidR="006A18FD" w:rsidRDefault="002D29FC">
            <w:pPr>
              <w:spacing w:line="173" w:lineRule="exact"/>
              <w:ind w:left="107"/>
              <w:rPr>
                <w:rFonts w:ascii="Calibri"/>
                <w:sz w:val="16"/>
              </w:rPr>
            </w:pPr>
            <w:r>
              <w:rPr>
                <w:rFonts w:ascii="Calibri"/>
                <w:sz w:val="16"/>
              </w:rPr>
              <w:t>1 hour per week for 9 weeks</w:t>
            </w:r>
          </w:p>
        </w:tc>
        <w:tc>
          <w:tcPr>
            <w:tcW w:w="1844" w:type="dxa"/>
          </w:tcPr>
          <w:p w:rsidR="006A18FD" w:rsidRDefault="002D29FC">
            <w:pPr>
              <w:spacing w:line="173" w:lineRule="exact"/>
              <w:ind w:left="107"/>
              <w:rPr>
                <w:rFonts w:ascii="Calibri"/>
                <w:sz w:val="16"/>
              </w:rPr>
            </w:pPr>
            <w:r>
              <w:rPr>
                <w:rFonts w:ascii="Calibri"/>
                <w:sz w:val="16"/>
              </w:rPr>
              <w:t>450</w:t>
            </w:r>
          </w:p>
        </w:tc>
        <w:tc>
          <w:tcPr>
            <w:tcW w:w="1505" w:type="dxa"/>
          </w:tcPr>
          <w:p w:rsidR="006A18FD" w:rsidRDefault="002D29FC">
            <w:pPr>
              <w:spacing w:line="173"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8" w:lineRule="exact"/>
              <w:ind w:left="107"/>
              <w:rPr>
                <w:rFonts w:ascii="Calibri"/>
                <w:sz w:val="16"/>
              </w:rPr>
            </w:pPr>
            <w:r>
              <w:rPr>
                <w:rFonts w:ascii="Calibri"/>
                <w:sz w:val="16"/>
              </w:rPr>
              <w:t>Delivery time for grade 6 researcher</w:t>
            </w:r>
          </w:p>
        </w:tc>
        <w:tc>
          <w:tcPr>
            <w:tcW w:w="1985" w:type="dxa"/>
          </w:tcPr>
          <w:p w:rsidR="006A18FD" w:rsidRDefault="002D29FC">
            <w:pPr>
              <w:spacing w:line="178" w:lineRule="exact"/>
              <w:ind w:left="108"/>
              <w:rPr>
                <w:rFonts w:ascii="Calibri"/>
                <w:sz w:val="10"/>
              </w:rPr>
            </w:pPr>
            <w:r>
              <w:rPr>
                <w:rFonts w:ascii="Calibri"/>
                <w:sz w:val="16"/>
              </w:rPr>
              <w:t>15 (hour)</w:t>
            </w:r>
            <w:r>
              <w:rPr>
                <w:rFonts w:ascii="Calibri"/>
                <w:position w:val="5"/>
                <w:sz w:val="10"/>
              </w:rPr>
              <w:t>e</w:t>
            </w:r>
          </w:p>
        </w:tc>
        <w:tc>
          <w:tcPr>
            <w:tcW w:w="3685" w:type="dxa"/>
          </w:tcPr>
          <w:p w:rsidR="006A18FD" w:rsidRDefault="006A18FD">
            <w:pPr>
              <w:rPr>
                <w:rFonts w:ascii="Times New Roman"/>
                <w:sz w:val="12"/>
              </w:rPr>
            </w:pPr>
          </w:p>
        </w:tc>
        <w:tc>
          <w:tcPr>
            <w:tcW w:w="1844" w:type="dxa"/>
          </w:tcPr>
          <w:p w:rsidR="006A18FD" w:rsidRDefault="002D29FC">
            <w:pPr>
              <w:spacing w:line="178" w:lineRule="exact"/>
              <w:ind w:left="107"/>
              <w:rPr>
                <w:rFonts w:ascii="Calibri"/>
                <w:sz w:val="16"/>
              </w:rPr>
            </w:pPr>
            <w:r>
              <w:rPr>
                <w:rFonts w:ascii="Calibri"/>
                <w:sz w:val="16"/>
              </w:rPr>
              <w:t>203</w:t>
            </w:r>
          </w:p>
        </w:tc>
        <w:tc>
          <w:tcPr>
            <w:tcW w:w="1505" w:type="dxa"/>
          </w:tcPr>
          <w:p w:rsidR="006A18FD" w:rsidRDefault="002D29FC">
            <w:pPr>
              <w:spacing w:line="178" w:lineRule="exact"/>
              <w:ind w:left="108"/>
              <w:rPr>
                <w:rFonts w:ascii="Calibri" w:hAnsi="Calibri"/>
                <w:sz w:val="16"/>
              </w:rPr>
            </w:pPr>
            <w:r>
              <w:rPr>
                <w:rFonts w:ascii="Calibri" w:hAnsi="Calibri"/>
                <w:sz w:val="16"/>
              </w:rPr>
              <w:t>“</w:t>
            </w:r>
          </w:p>
        </w:tc>
      </w:tr>
      <w:tr w:rsidR="006A18FD">
        <w:trPr>
          <w:trHeight w:val="180"/>
        </w:trPr>
        <w:tc>
          <w:tcPr>
            <w:tcW w:w="6375" w:type="dxa"/>
          </w:tcPr>
          <w:p w:rsidR="006A18FD" w:rsidRDefault="002D29FC">
            <w:pPr>
              <w:spacing w:line="174" w:lineRule="exact"/>
              <w:ind w:left="107"/>
              <w:rPr>
                <w:rFonts w:ascii="Calibri"/>
                <w:b/>
                <w:sz w:val="16"/>
              </w:rPr>
            </w:pPr>
            <w:r>
              <w:rPr>
                <w:rFonts w:ascii="Calibri"/>
                <w:b/>
                <w:sz w:val="16"/>
              </w:rPr>
              <w:t>Total cost (excluding training)</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2D29FC">
            <w:pPr>
              <w:spacing w:line="174" w:lineRule="exact"/>
              <w:ind w:left="107"/>
              <w:rPr>
                <w:rFonts w:ascii="Calibri"/>
                <w:b/>
                <w:sz w:val="16"/>
              </w:rPr>
            </w:pPr>
            <w:r>
              <w:rPr>
                <w:rFonts w:ascii="Calibri"/>
                <w:b/>
                <w:sz w:val="16"/>
              </w:rPr>
              <w:t>2248</w:t>
            </w:r>
          </w:p>
        </w:tc>
        <w:tc>
          <w:tcPr>
            <w:tcW w:w="1505" w:type="dxa"/>
          </w:tcPr>
          <w:p w:rsidR="006A18FD" w:rsidRDefault="006A18FD">
            <w:pPr>
              <w:rPr>
                <w:rFonts w:ascii="Times New Roman"/>
                <w:sz w:val="12"/>
              </w:rPr>
            </w:pPr>
          </w:p>
        </w:tc>
      </w:tr>
      <w:tr w:rsidR="006A18FD">
        <w:trPr>
          <w:trHeight w:val="180"/>
        </w:trPr>
        <w:tc>
          <w:tcPr>
            <w:tcW w:w="6375" w:type="dxa"/>
          </w:tcPr>
          <w:p w:rsidR="006A18FD" w:rsidRDefault="002D29FC">
            <w:pPr>
              <w:spacing w:line="176" w:lineRule="exact"/>
              <w:ind w:left="107"/>
              <w:rPr>
                <w:rFonts w:ascii="Calibri"/>
                <w:b/>
                <w:sz w:val="16"/>
              </w:rPr>
            </w:pPr>
            <w:r>
              <w:rPr>
                <w:rFonts w:ascii="Calibri"/>
                <w:b/>
                <w:sz w:val="16"/>
              </w:rPr>
              <w:t>Total cost (including training)</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2D29FC">
            <w:pPr>
              <w:spacing w:line="176" w:lineRule="exact"/>
              <w:ind w:left="107"/>
              <w:rPr>
                <w:rFonts w:ascii="Calibri"/>
                <w:b/>
                <w:sz w:val="16"/>
              </w:rPr>
            </w:pPr>
            <w:r>
              <w:rPr>
                <w:rFonts w:ascii="Calibri"/>
                <w:b/>
                <w:sz w:val="16"/>
              </w:rPr>
              <w:t>4578</w:t>
            </w:r>
          </w:p>
        </w:tc>
        <w:tc>
          <w:tcPr>
            <w:tcW w:w="1505" w:type="dxa"/>
          </w:tcPr>
          <w:p w:rsidR="006A18FD" w:rsidRDefault="006A18FD">
            <w:pPr>
              <w:rPr>
                <w:rFonts w:ascii="Times New Roman"/>
                <w:sz w:val="12"/>
              </w:rPr>
            </w:pPr>
          </w:p>
        </w:tc>
      </w:tr>
      <w:tr w:rsidR="006A18FD">
        <w:trPr>
          <w:trHeight w:val="180"/>
        </w:trPr>
        <w:tc>
          <w:tcPr>
            <w:tcW w:w="6375" w:type="dxa"/>
          </w:tcPr>
          <w:p w:rsidR="006A18FD" w:rsidRDefault="002D29FC">
            <w:pPr>
              <w:spacing w:line="176" w:lineRule="exact"/>
              <w:ind w:left="107"/>
              <w:rPr>
                <w:rFonts w:ascii="Calibri"/>
                <w:b/>
                <w:sz w:val="16"/>
              </w:rPr>
            </w:pPr>
            <w:r>
              <w:rPr>
                <w:rFonts w:ascii="Calibri"/>
                <w:b/>
                <w:sz w:val="16"/>
              </w:rPr>
              <w:t>Total average cost per session (including training)</w:t>
            </w:r>
          </w:p>
        </w:tc>
        <w:tc>
          <w:tcPr>
            <w:tcW w:w="1985" w:type="dxa"/>
          </w:tcPr>
          <w:p w:rsidR="006A18FD" w:rsidRDefault="006A18FD">
            <w:pPr>
              <w:rPr>
                <w:rFonts w:ascii="Times New Roman"/>
                <w:sz w:val="12"/>
              </w:rPr>
            </w:pPr>
          </w:p>
        </w:tc>
        <w:tc>
          <w:tcPr>
            <w:tcW w:w="3685" w:type="dxa"/>
          </w:tcPr>
          <w:p w:rsidR="006A18FD" w:rsidRDefault="006A18FD">
            <w:pPr>
              <w:rPr>
                <w:rFonts w:ascii="Times New Roman"/>
                <w:sz w:val="12"/>
              </w:rPr>
            </w:pPr>
          </w:p>
        </w:tc>
        <w:tc>
          <w:tcPr>
            <w:tcW w:w="1844" w:type="dxa"/>
          </w:tcPr>
          <w:p w:rsidR="006A18FD" w:rsidRDefault="002D29FC">
            <w:pPr>
              <w:spacing w:line="176" w:lineRule="exact"/>
              <w:ind w:left="107"/>
              <w:rPr>
                <w:rFonts w:ascii="Calibri"/>
                <w:b/>
                <w:sz w:val="16"/>
              </w:rPr>
            </w:pPr>
            <w:r>
              <w:rPr>
                <w:rFonts w:ascii="Calibri"/>
                <w:b/>
                <w:sz w:val="16"/>
              </w:rPr>
              <w:t>508</w:t>
            </w:r>
          </w:p>
        </w:tc>
        <w:tc>
          <w:tcPr>
            <w:tcW w:w="1505" w:type="dxa"/>
          </w:tcPr>
          <w:p w:rsidR="006A18FD" w:rsidRDefault="006A18FD">
            <w:pPr>
              <w:rPr>
                <w:rFonts w:ascii="Times New Roman"/>
                <w:sz w:val="12"/>
              </w:rPr>
            </w:pPr>
          </w:p>
        </w:tc>
      </w:tr>
      <w:tr w:rsidR="006A18FD">
        <w:trPr>
          <w:trHeight w:val="180"/>
        </w:trPr>
        <w:tc>
          <w:tcPr>
            <w:tcW w:w="6375" w:type="dxa"/>
            <w:tcBorders>
              <w:bottom w:val="single" w:sz="4" w:space="0" w:color="000000"/>
            </w:tcBorders>
          </w:tcPr>
          <w:p w:rsidR="006A18FD" w:rsidRDefault="002D29FC">
            <w:pPr>
              <w:spacing w:line="163" w:lineRule="exact"/>
              <w:ind w:left="107"/>
              <w:rPr>
                <w:rFonts w:ascii="Calibri"/>
                <w:b/>
                <w:sz w:val="16"/>
              </w:rPr>
            </w:pPr>
            <w:r>
              <w:rPr>
                <w:rFonts w:ascii="Calibri"/>
                <w:b/>
                <w:sz w:val="16"/>
              </w:rPr>
              <w:t>Total average cost per family (including training/set up costs)</w:t>
            </w:r>
          </w:p>
        </w:tc>
        <w:tc>
          <w:tcPr>
            <w:tcW w:w="1985" w:type="dxa"/>
            <w:tcBorders>
              <w:bottom w:val="single" w:sz="4" w:space="0" w:color="000000"/>
            </w:tcBorders>
          </w:tcPr>
          <w:p w:rsidR="006A18FD" w:rsidRDefault="006A18FD">
            <w:pPr>
              <w:rPr>
                <w:rFonts w:ascii="Times New Roman"/>
                <w:sz w:val="12"/>
              </w:rPr>
            </w:pPr>
          </w:p>
        </w:tc>
        <w:tc>
          <w:tcPr>
            <w:tcW w:w="3685" w:type="dxa"/>
            <w:tcBorders>
              <w:bottom w:val="single" w:sz="4" w:space="0" w:color="000000"/>
            </w:tcBorders>
          </w:tcPr>
          <w:p w:rsidR="006A18FD" w:rsidRDefault="006A18FD">
            <w:pPr>
              <w:rPr>
                <w:rFonts w:ascii="Times New Roman"/>
                <w:sz w:val="12"/>
              </w:rPr>
            </w:pPr>
          </w:p>
        </w:tc>
        <w:tc>
          <w:tcPr>
            <w:tcW w:w="1844" w:type="dxa"/>
            <w:tcBorders>
              <w:bottom w:val="single" w:sz="4" w:space="0" w:color="000000"/>
            </w:tcBorders>
          </w:tcPr>
          <w:p w:rsidR="006A18FD" w:rsidRDefault="002D29FC">
            <w:pPr>
              <w:spacing w:line="163" w:lineRule="exact"/>
              <w:ind w:left="107"/>
              <w:rPr>
                <w:rFonts w:ascii="Calibri"/>
                <w:b/>
                <w:sz w:val="16"/>
              </w:rPr>
            </w:pPr>
            <w:r>
              <w:rPr>
                <w:rFonts w:ascii="Calibri"/>
                <w:b/>
                <w:sz w:val="16"/>
              </w:rPr>
              <w:t>305</w:t>
            </w:r>
          </w:p>
        </w:tc>
        <w:tc>
          <w:tcPr>
            <w:tcW w:w="1505" w:type="dxa"/>
            <w:tcBorders>
              <w:bottom w:val="single" w:sz="4" w:space="0" w:color="000000"/>
            </w:tcBorders>
          </w:tcPr>
          <w:p w:rsidR="006A18FD" w:rsidRDefault="002D29FC">
            <w:pPr>
              <w:spacing w:line="163" w:lineRule="exact"/>
              <w:ind w:left="108"/>
              <w:rPr>
                <w:rFonts w:ascii="Calibri" w:hAnsi="Calibri"/>
                <w:sz w:val="16"/>
              </w:rPr>
            </w:pPr>
            <w:r>
              <w:rPr>
                <w:rFonts w:ascii="Calibri" w:hAnsi="Calibri"/>
                <w:sz w:val="16"/>
              </w:rPr>
              <w:t>“</w:t>
            </w:r>
          </w:p>
        </w:tc>
      </w:tr>
      <w:tr w:rsidR="006A18FD">
        <w:trPr>
          <w:trHeight w:val="180"/>
        </w:trPr>
        <w:tc>
          <w:tcPr>
            <w:tcW w:w="6375" w:type="dxa"/>
            <w:tcBorders>
              <w:top w:val="single" w:sz="4" w:space="0" w:color="000000"/>
              <w:left w:val="single" w:sz="4" w:space="0" w:color="000000"/>
              <w:bottom w:val="single" w:sz="4" w:space="0" w:color="000000"/>
              <w:right w:val="single" w:sz="4" w:space="0" w:color="000000"/>
            </w:tcBorders>
          </w:tcPr>
          <w:p w:rsidR="006A18FD" w:rsidRDefault="002D29FC">
            <w:pPr>
              <w:spacing w:line="174" w:lineRule="exact"/>
              <w:ind w:left="102"/>
              <w:rPr>
                <w:rFonts w:ascii="Calibri"/>
                <w:b/>
                <w:sz w:val="16"/>
              </w:rPr>
            </w:pPr>
            <w:r>
              <w:rPr>
                <w:rFonts w:ascii="Calibri"/>
                <w:b/>
                <w:sz w:val="16"/>
              </w:rPr>
              <w:t>Coaching organization delivered:</w:t>
            </w:r>
          </w:p>
        </w:tc>
        <w:tc>
          <w:tcPr>
            <w:tcW w:w="19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36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1844"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150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r>
      <w:tr w:rsidR="006A18FD">
        <w:trPr>
          <w:trHeight w:val="200"/>
        </w:trPr>
        <w:tc>
          <w:tcPr>
            <w:tcW w:w="6375" w:type="dxa"/>
            <w:tcBorders>
              <w:top w:val="single" w:sz="4" w:space="0" w:color="000000"/>
              <w:left w:val="single" w:sz="4" w:space="0" w:color="000000"/>
              <w:right w:val="single" w:sz="4" w:space="0" w:color="000000"/>
            </w:tcBorders>
          </w:tcPr>
          <w:p w:rsidR="006A18FD" w:rsidRDefault="002D29FC">
            <w:pPr>
              <w:spacing w:line="184" w:lineRule="exact"/>
              <w:ind w:left="102"/>
              <w:rPr>
                <w:rFonts w:ascii="Calibri"/>
                <w:sz w:val="16"/>
              </w:rPr>
            </w:pPr>
            <w:r>
              <w:rPr>
                <w:rFonts w:ascii="Calibri"/>
                <w:sz w:val="16"/>
              </w:rPr>
              <w:t>Whole package including training and delivery</w:t>
            </w:r>
          </w:p>
        </w:tc>
        <w:tc>
          <w:tcPr>
            <w:tcW w:w="1985" w:type="dxa"/>
            <w:tcBorders>
              <w:top w:val="single" w:sz="4" w:space="0" w:color="000000"/>
              <w:left w:val="single" w:sz="4" w:space="0" w:color="000000"/>
              <w:right w:val="single" w:sz="4" w:space="0" w:color="000000"/>
            </w:tcBorders>
          </w:tcPr>
          <w:p w:rsidR="006A18FD" w:rsidRDefault="002D29FC">
            <w:pPr>
              <w:spacing w:line="184" w:lineRule="exact"/>
              <w:ind w:left="103"/>
              <w:rPr>
                <w:rFonts w:ascii="Calibri"/>
                <w:sz w:val="10"/>
              </w:rPr>
            </w:pPr>
            <w:r>
              <w:rPr>
                <w:rFonts w:ascii="Calibri"/>
                <w:sz w:val="16"/>
              </w:rPr>
              <w:t>3444</w:t>
            </w:r>
            <w:r>
              <w:rPr>
                <w:rFonts w:ascii="Calibri"/>
                <w:position w:val="5"/>
                <w:sz w:val="10"/>
              </w:rPr>
              <w:t>f</w:t>
            </w:r>
          </w:p>
        </w:tc>
        <w:tc>
          <w:tcPr>
            <w:tcW w:w="3685" w:type="dxa"/>
            <w:vMerge w:val="restart"/>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6"/>
              </w:rPr>
            </w:pPr>
          </w:p>
        </w:tc>
        <w:tc>
          <w:tcPr>
            <w:tcW w:w="1844" w:type="dxa"/>
            <w:tcBorders>
              <w:top w:val="single" w:sz="4" w:space="0" w:color="000000"/>
              <w:left w:val="single" w:sz="4" w:space="0" w:color="000000"/>
              <w:right w:val="single" w:sz="4" w:space="0" w:color="000000"/>
            </w:tcBorders>
          </w:tcPr>
          <w:p w:rsidR="006A18FD" w:rsidRDefault="002D29FC">
            <w:pPr>
              <w:spacing w:line="184" w:lineRule="exact"/>
              <w:ind w:left="102"/>
              <w:rPr>
                <w:rFonts w:ascii="Calibri"/>
                <w:sz w:val="16"/>
              </w:rPr>
            </w:pPr>
            <w:r>
              <w:rPr>
                <w:rFonts w:ascii="Calibri"/>
                <w:sz w:val="16"/>
              </w:rPr>
              <w:t>3444</w:t>
            </w:r>
          </w:p>
        </w:tc>
        <w:tc>
          <w:tcPr>
            <w:tcW w:w="1505" w:type="dxa"/>
            <w:tcBorders>
              <w:top w:val="single" w:sz="4" w:space="0" w:color="000000"/>
              <w:left w:val="single" w:sz="4" w:space="0" w:color="000000"/>
              <w:right w:val="single" w:sz="4" w:space="0" w:color="000000"/>
            </w:tcBorders>
          </w:tcPr>
          <w:p w:rsidR="006A18FD" w:rsidRDefault="002D29FC">
            <w:pPr>
              <w:spacing w:line="184"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66" w:lineRule="exact"/>
              <w:ind w:left="102"/>
              <w:rPr>
                <w:rFonts w:ascii="Calibri"/>
                <w:sz w:val="16"/>
              </w:rPr>
            </w:pPr>
            <w:r>
              <w:rPr>
                <w:rFonts w:ascii="Calibri"/>
                <w:sz w:val="16"/>
              </w:rPr>
              <w:t>Room hire (per week)</w:t>
            </w:r>
          </w:p>
        </w:tc>
        <w:tc>
          <w:tcPr>
            <w:tcW w:w="1985" w:type="dxa"/>
            <w:tcBorders>
              <w:left w:val="single" w:sz="4" w:space="0" w:color="000000"/>
              <w:right w:val="single" w:sz="4" w:space="0" w:color="000000"/>
            </w:tcBorders>
          </w:tcPr>
          <w:p w:rsidR="006A18FD" w:rsidRDefault="002D29FC">
            <w:pPr>
              <w:spacing w:line="166" w:lineRule="exact"/>
              <w:ind w:left="103"/>
              <w:rPr>
                <w:rFonts w:ascii="Calibri"/>
                <w:sz w:val="16"/>
              </w:rPr>
            </w:pPr>
            <w:r>
              <w:rPr>
                <w:rFonts w:ascii="Calibri"/>
                <w:sz w:val="16"/>
              </w:rPr>
              <w:t>40</w:t>
            </w: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6" w:lineRule="exact"/>
              <w:ind w:left="102"/>
              <w:rPr>
                <w:rFonts w:ascii="Calibri"/>
                <w:sz w:val="16"/>
              </w:rPr>
            </w:pPr>
            <w:r>
              <w:rPr>
                <w:rFonts w:ascii="Calibri"/>
                <w:sz w:val="16"/>
              </w:rPr>
              <w:t>360</w:t>
            </w:r>
          </w:p>
        </w:tc>
        <w:tc>
          <w:tcPr>
            <w:tcW w:w="1505" w:type="dxa"/>
            <w:tcBorders>
              <w:left w:val="single" w:sz="4" w:space="0" w:color="000000"/>
              <w:right w:val="single" w:sz="4" w:space="0" w:color="000000"/>
            </w:tcBorders>
          </w:tcPr>
          <w:p w:rsidR="006A18FD" w:rsidRDefault="002D29FC">
            <w:pPr>
              <w:spacing w:line="16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65" w:lineRule="exact"/>
              <w:ind w:left="102"/>
              <w:rPr>
                <w:rFonts w:ascii="Calibri"/>
                <w:b/>
                <w:sz w:val="16"/>
              </w:rPr>
            </w:pPr>
            <w:r>
              <w:rPr>
                <w:rFonts w:ascii="Calibri"/>
                <w:b/>
                <w:sz w:val="16"/>
              </w:rPr>
              <w:t>Total cost (including training)</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5" w:lineRule="exact"/>
              <w:ind w:left="102"/>
              <w:rPr>
                <w:rFonts w:ascii="Calibri"/>
                <w:b/>
                <w:sz w:val="16"/>
              </w:rPr>
            </w:pPr>
            <w:r>
              <w:rPr>
                <w:rFonts w:ascii="Calibri"/>
                <w:b/>
                <w:sz w:val="16"/>
              </w:rPr>
              <w:t>3804</w:t>
            </w: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180"/>
        </w:trPr>
        <w:tc>
          <w:tcPr>
            <w:tcW w:w="6375" w:type="dxa"/>
            <w:tcBorders>
              <w:left w:val="single" w:sz="4" w:space="0" w:color="000000"/>
              <w:right w:val="single" w:sz="4" w:space="0" w:color="000000"/>
            </w:tcBorders>
          </w:tcPr>
          <w:p w:rsidR="006A18FD" w:rsidRDefault="002D29FC">
            <w:pPr>
              <w:spacing w:line="166" w:lineRule="exact"/>
              <w:ind w:left="102"/>
              <w:rPr>
                <w:rFonts w:ascii="Calibri"/>
                <w:b/>
                <w:sz w:val="16"/>
              </w:rPr>
            </w:pPr>
            <w:r>
              <w:rPr>
                <w:rFonts w:ascii="Calibri"/>
                <w:b/>
                <w:sz w:val="16"/>
              </w:rPr>
              <w:t>Total average cost per session (including training)</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6" w:lineRule="exact"/>
              <w:ind w:left="102"/>
              <w:rPr>
                <w:rFonts w:ascii="Calibri"/>
                <w:b/>
                <w:sz w:val="16"/>
              </w:rPr>
            </w:pPr>
            <w:r>
              <w:rPr>
                <w:rFonts w:ascii="Calibri"/>
                <w:b/>
                <w:sz w:val="16"/>
              </w:rPr>
              <w:t>422</w:t>
            </w: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160"/>
        </w:trPr>
        <w:tc>
          <w:tcPr>
            <w:tcW w:w="6375" w:type="dxa"/>
            <w:tcBorders>
              <w:left w:val="single" w:sz="4" w:space="0" w:color="000000"/>
              <w:bottom w:val="single" w:sz="4" w:space="0" w:color="000000"/>
              <w:right w:val="single" w:sz="4" w:space="0" w:color="000000"/>
            </w:tcBorders>
          </w:tcPr>
          <w:p w:rsidR="006A18FD" w:rsidRDefault="002D29FC">
            <w:pPr>
              <w:spacing w:line="157" w:lineRule="exact"/>
              <w:ind w:left="102"/>
              <w:rPr>
                <w:rFonts w:ascii="Calibri"/>
                <w:b/>
                <w:sz w:val="16"/>
              </w:rPr>
            </w:pPr>
            <w:r>
              <w:rPr>
                <w:rFonts w:ascii="Calibri"/>
                <w:b/>
                <w:sz w:val="16"/>
              </w:rPr>
              <w:t>Total average cost per family (including training/set up costs)</w:t>
            </w:r>
          </w:p>
        </w:tc>
        <w:tc>
          <w:tcPr>
            <w:tcW w:w="1985" w:type="dxa"/>
            <w:tcBorders>
              <w:left w:val="single" w:sz="4" w:space="0" w:color="000000"/>
              <w:bottom w:val="single" w:sz="4" w:space="0" w:color="000000"/>
              <w:right w:val="single" w:sz="4" w:space="0" w:color="000000"/>
            </w:tcBorders>
          </w:tcPr>
          <w:p w:rsidR="006A18FD" w:rsidRDefault="006A18FD">
            <w:pPr>
              <w:rPr>
                <w:rFonts w:ascii="Times New Roman"/>
                <w:sz w:val="10"/>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bottom w:val="single" w:sz="4" w:space="0" w:color="000000"/>
              <w:right w:val="single" w:sz="4" w:space="0" w:color="000000"/>
            </w:tcBorders>
          </w:tcPr>
          <w:p w:rsidR="006A18FD" w:rsidRDefault="002D29FC">
            <w:pPr>
              <w:spacing w:line="157" w:lineRule="exact"/>
              <w:ind w:left="102"/>
              <w:rPr>
                <w:rFonts w:ascii="Calibri"/>
                <w:b/>
                <w:sz w:val="16"/>
              </w:rPr>
            </w:pPr>
            <w:r>
              <w:rPr>
                <w:rFonts w:ascii="Calibri"/>
                <w:b/>
                <w:sz w:val="16"/>
              </w:rPr>
              <w:t>254</w:t>
            </w:r>
          </w:p>
        </w:tc>
        <w:tc>
          <w:tcPr>
            <w:tcW w:w="1505" w:type="dxa"/>
            <w:tcBorders>
              <w:left w:val="single" w:sz="4" w:space="0" w:color="000000"/>
              <w:bottom w:val="single" w:sz="4" w:space="0" w:color="000000"/>
              <w:right w:val="single" w:sz="4" w:space="0" w:color="000000"/>
            </w:tcBorders>
          </w:tcPr>
          <w:p w:rsidR="006A18FD" w:rsidRDefault="006A18FD">
            <w:pPr>
              <w:rPr>
                <w:rFonts w:ascii="Times New Roman"/>
                <w:sz w:val="10"/>
              </w:rPr>
            </w:pPr>
          </w:p>
        </w:tc>
      </w:tr>
      <w:tr w:rsidR="006A18FD">
        <w:trPr>
          <w:trHeight w:val="180"/>
        </w:trPr>
        <w:tc>
          <w:tcPr>
            <w:tcW w:w="6375" w:type="dxa"/>
            <w:tcBorders>
              <w:top w:val="single" w:sz="4" w:space="0" w:color="000000"/>
              <w:left w:val="single" w:sz="4" w:space="0" w:color="000000"/>
              <w:bottom w:val="single" w:sz="4" w:space="0" w:color="000000"/>
              <w:right w:val="single" w:sz="4" w:space="0" w:color="000000"/>
            </w:tcBorders>
          </w:tcPr>
          <w:p w:rsidR="006A18FD" w:rsidRDefault="002D29FC">
            <w:pPr>
              <w:spacing w:line="176" w:lineRule="exact"/>
              <w:ind w:left="102"/>
              <w:rPr>
                <w:rFonts w:ascii="Calibri"/>
                <w:b/>
                <w:sz w:val="16"/>
              </w:rPr>
            </w:pPr>
            <w:r>
              <w:rPr>
                <w:rFonts w:ascii="Calibri"/>
                <w:b/>
                <w:sz w:val="16"/>
              </w:rPr>
              <w:t>Leisure centre delivered</w:t>
            </w:r>
          </w:p>
        </w:tc>
        <w:tc>
          <w:tcPr>
            <w:tcW w:w="19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36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1844"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c>
          <w:tcPr>
            <w:tcW w:w="150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2"/>
              </w:rPr>
            </w:pPr>
          </w:p>
        </w:tc>
      </w:tr>
      <w:tr w:rsidR="006A18FD">
        <w:trPr>
          <w:trHeight w:val="200"/>
        </w:trPr>
        <w:tc>
          <w:tcPr>
            <w:tcW w:w="6375" w:type="dxa"/>
            <w:tcBorders>
              <w:top w:val="single" w:sz="4" w:space="0" w:color="000000"/>
              <w:left w:val="single" w:sz="4" w:space="0" w:color="000000"/>
              <w:right w:val="single" w:sz="4" w:space="0" w:color="000000"/>
            </w:tcBorders>
          </w:tcPr>
          <w:p w:rsidR="006A18FD" w:rsidRDefault="002D29FC">
            <w:pPr>
              <w:spacing w:line="183" w:lineRule="exact"/>
              <w:ind w:left="102"/>
              <w:rPr>
                <w:rFonts w:ascii="Calibri"/>
                <w:sz w:val="16"/>
              </w:rPr>
            </w:pPr>
            <w:r>
              <w:rPr>
                <w:rFonts w:ascii="Calibri"/>
                <w:sz w:val="16"/>
              </w:rPr>
              <w:t>Whole package including training and delivery</w:t>
            </w:r>
          </w:p>
        </w:tc>
        <w:tc>
          <w:tcPr>
            <w:tcW w:w="1985" w:type="dxa"/>
            <w:tcBorders>
              <w:top w:val="single" w:sz="4" w:space="0" w:color="000000"/>
              <w:left w:val="single" w:sz="4" w:space="0" w:color="000000"/>
              <w:right w:val="single" w:sz="4" w:space="0" w:color="000000"/>
            </w:tcBorders>
          </w:tcPr>
          <w:p w:rsidR="006A18FD" w:rsidRDefault="002D29FC">
            <w:pPr>
              <w:spacing w:line="183" w:lineRule="exact"/>
              <w:ind w:left="103"/>
              <w:rPr>
                <w:rFonts w:ascii="Calibri"/>
                <w:sz w:val="16"/>
              </w:rPr>
            </w:pPr>
            <w:r>
              <w:rPr>
                <w:rFonts w:ascii="Calibri"/>
                <w:sz w:val="16"/>
              </w:rPr>
              <w:t>1530f</w:t>
            </w:r>
          </w:p>
        </w:tc>
        <w:tc>
          <w:tcPr>
            <w:tcW w:w="3685" w:type="dxa"/>
            <w:vMerge w:val="restart"/>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6"/>
              </w:rPr>
            </w:pPr>
          </w:p>
        </w:tc>
        <w:tc>
          <w:tcPr>
            <w:tcW w:w="1844" w:type="dxa"/>
            <w:tcBorders>
              <w:top w:val="single" w:sz="4" w:space="0" w:color="000000"/>
              <w:left w:val="single" w:sz="4" w:space="0" w:color="000000"/>
              <w:right w:val="single" w:sz="4" w:space="0" w:color="000000"/>
            </w:tcBorders>
          </w:tcPr>
          <w:p w:rsidR="006A18FD" w:rsidRDefault="002D29FC">
            <w:pPr>
              <w:spacing w:line="183" w:lineRule="exact"/>
              <w:ind w:left="102"/>
              <w:rPr>
                <w:rFonts w:ascii="Calibri"/>
                <w:sz w:val="16"/>
              </w:rPr>
            </w:pPr>
            <w:r>
              <w:rPr>
                <w:rFonts w:ascii="Calibri"/>
                <w:sz w:val="16"/>
              </w:rPr>
              <w:t>1530</w:t>
            </w:r>
          </w:p>
        </w:tc>
        <w:tc>
          <w:tcPr>
            <w:tcW w:w="1505" w:type="dxa"/>
            <w:tcBorders>
              <w:top w:val="single" w:sz="4" w:space="0" w:color="000000"/>
              <w:left w:val="single" w:sz="4" w:space="0" w:color="000000"/>
              <w:right w:val="single" w:sz="4" w:space="0" w:color="000000"/>
            </w:tcBorders>
          </w:tcPr>
          <w:p w:rsidR="006A18FD" w:rsidRDefault="002D29FC">
            <w:pPr>
              <w:spacing w:line="183" w:lineRule="exact"/>
              <w:ind w:left="103"/>
              <w:rPr>
                <w:rFonts w:ascii="Calibri" w:hAnsi="Calibri"/>
                <w:b/>
                <w:sz w:val="16"/>
              </w:rPr>
            </w:pPr>
            <w:r>
              <w:rPr>
                <w:rFonts w:ascii="Calibri" w:hAnsi="Calibri"/>
                <w:b/>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66" w:lineRule="exact"/>
              <w:ind w:left="102"/>
              <w:rPr>
                <w:rFonts w:ascii="Calibri"/>
                <w:sz w:val="16"/>
              </w:rPr>
            </w:pPr>
            <w:r>
              <w:rPr>
                <w:rFonts w:ascii="Calibri"/>
                <w:sz w:val="16"/>
              </w:rPr>
              <w:t>Room hire (per week)</w:t>
            </w:r>
          </w:p>
        </w:tc>
        <w:tc>
          <w:tcPr>
            <w:tcW w:w="1985" w:type="dxa"/>
            <w:tcBorders>
              <w:left w:val="single" w:sz="4" w:space="0" w:color="000000"/>
              <w:right w:val="single" w:sz="4" w:space="0" w:color="000000"/>
            </w:tcBorders>
          </w:tcPr>
          <w:p w:rsidR="006A18FD" w:rsidRDefault="002D29FC">
            <w:pPr>
              <w:spacing w:line="166" w:lineRule="exact"/>
              <w:ind w:left="103"/>
              <w:rPr>
                <w:rFonts w:ascii="Calibri"/>
                <w:sz w:val="16"/>
              </w:rPr>
            </w:pPr>
            <w:r>
              <w:rPr>
                <w:rFonts w:ascii="Calibri"/>
                <w:sz w:val="16"/>
              </w:rPr>
              <w:t>40</w:t>
            </w: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6" w:lineRule="exact"/>
              <w:ind w:left="102"/>
              <w:rPr>
                <w:rFonts w:ascii="Calibri"/>
                <w:sz w:val="16"/>
              </w:rPr>
            </w:pPr>
            <w:r>
              <w:rPr>
                <w:rFonts w:ascii="Calibri"/>
                <w:sz w:val="16"/>
              </w:rPr>
              <w:t>360</w:t>
            </w:r>
          </w:p>
        </w:tc>
        <w:tc>
          <w:tcPr>
            <w:tcW w:w="1505" w:type="dxa"/>
            <w:tcBorders>
              <w:left w:val="single" w:sz="4" w:space="0" w:color="000000"/>
              <w:right w:val="single" w:sz="4" w:space="0" w:color="000000"/>
            </w:tcBorders>
          </w:tcPr>
          <w:p w:rsidR="006A18FD" w:rsidRDefault="002D29FC">
            <w:pPr>
              <w:spacing w:line="16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66" w:lineRule="exact"/>
              <w:ind w:left="102"/>
              <w:rPr>
                <w:rFonts w:ascii="Calibri"/>
                <w:b/>
                <w:sz w:val="16"/>
              </w:rPr>
            </w:pPr>
            <w:r>
              <w:rPr>
                <w:rFonts w:ascii="Calibri"/>
                <w:b/>
                <w:sz w:val="16"/>
              </w:rPr>
              <w:t>Total cost (including training)</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6" w:lineRule="exact"/>
              <w:ind w:left="102"/>
              <w:rPr>
                <w:rFonts w:ascii="Calibri"/>
                <w:b/>
                <w:sz w:val="16"/>
              </w:rPr>
            </w:pPr>
            <w:r>
              <w:rPr>
                <w:rFonts w:ascii="Calibri"/>
                <w:b/>
                <w:sz w:val="16"/>
              </w:rPr>
              <w:t>1890</w:t>
            </w: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180"/>
        </w:trPr>
        <w:tc>
          <w:tcPr>
            <w:tcW w:w="6375" w:type="dxa"/>
            <w:tcBorders>
              <w:left w:val="single" w:sz="4" w:space="0" w:color="000000"/>
              <w:right w:val="single" w:sz="4" w:space="0" w:color="000000"/>
            </w:tcBorders>
          </w:tcPr>
          <w:p w:rsidR="006A18FD" w:rsidRDefault="002D29FC">
            <w:pPr>
              <w:spacing w:line="164" w:lineRule="exact"/>
              <w:ind w:left="102"/>
              <w:rPr>
                <w:rFonts w:ascii="Calibri"/>
                <w:b/>
                <w:sz w:val="16"/>
              </w:rPr>
            </w:pPr>
            <w:r>
              <w:rPr>
                <w:rFonts w:ascii="Calibri"/>
                <w:b/>
                <w:sz w:val="16"/>
              </w:rPr>
              <w:t>Total average cost per session (including training)</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right w:val="single" w:sz="4" w:space="0" w:color="000000"/>
            </w:tcBorders>
          </w:tcPr>
          <w:p w:rsidR="006A18FD" w:rsidRDefault="002D29FC">
            <w:pPr>
              <w:spacing w:line="164" w:lineRule="exact"/>
              <w:ind w:left="102"/>
              <w:rPr>
                <w:rFonts w:ascii="Calibri"/>
                <w:b/>
                <w:sz w:val="16"/>
              </w:rPr>
            </w:pPr>
            <w:r>
              <w:rPr>
                <w:rFonts w:ascii="Calibri"/>
                <w:b/>
                <w:sz w:val="16"/>
              </w:rPr>
              <w:t>210</w:t>
            </w: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360"/>
        </w:trPr>
        <w:tc>
          <w:tcPr>
            <w:tcW w:w="6375" w:type="dxa"/>
            <w:tcBorders>
              <w:left w:val="single" w:sz="4" w:space="0" w:color="000000"/>
              <w:bottom w:val="single" w:sz="4" w:space="0" w:color="000000"/>
              <w:right w:val="single" w:sz="4" w:space="0" w:color="000000"/>
            </w:tcBorders>
          </w:tcPr>
          <w:p w:rsidR="006A18FD" w:rsidRDefault="002D29FC">
            <w:pPr>
              <w:spacing w:line="175" w:lineRule="exact"/>
              <w:ind w:left="102"/>
              <w:rPr>
                <w:rFonts w:ascii="Calibri"/>
                <w:b/>
                <w:sz w:val="16"/>
              </w:rPr>
            </w:pPr>
            <w:r>
              <w:rPr>
                <w:rFonts w:ascii="Calibri"/>
                <w:b/>
                <w:sz w:val="16"/>
              </w:rPr>
              <w:t>Total average cost per family (including training/set up costs)</w:t>
            </w:r>
          </w:p>
        </w:tc>
        <w:tc>
          <w:tcPr>
            <w:tcW w:w="1985" w:type="dxa"/>
            <w:tcBorders>
              <w:left w:val="single" w:sz="4" w:space="0" w:color="000000"/>
              <w:bottom w:val="single" w:sz="4" w:space="0" w:color="000000"/>
              <w:right w:val="single" w:sz="4" w:space="0" w:color="000000"/>
            </w:tcBorders>
          </w:tcPr>
          <w:p w:rsidR="006A18FD" w:rsidRDefault="006A18FD">
            <w:pPr>
              <w:rPr>
                <w:rFonts w:ascii="Times New Roman"/>
                <w:sz w:val="16"/>
              </w:rPr>
            </w:pPr>
          </w:p>
        </w:tc>
        <w:tc>
          <w:tcPr>
            <w:tcW w:w="3685" w:type="dxa"/>
            <w:vMerge/>
            <w:tcBorders>
              <w:top w:val="nil"/>
              <w:left w:val="single" w:sz="4" w:space="0" w:color="000000"/>
              <w:bottom w:val="single" w:sz="4" w:space="0" w:color="000000"/>
              <w:right w:val="single" w:sz="4" w:space="0" w:color="000000"/>
            </w:tcBorders>
          </w:tcPr>
          <w:p w:rsidR="006A18FD" w:rsidRDefault="006A18FD">
            <w:pPr>
              <w:rPr>
                <w:sz w:val="2"/>
                <w:szCs w:val="2"/>
              </w:rPr>
            </w:pPr>
          </w:p>
        </w:tc>
        <w:tc>
          <w:tcPr>
            <w:tcW w:w="1844" w:type="dxa"/>
            <w:tcBorders>
              <w:left w:val="single" w:sz="4" w:space="0" w:color="000000"/>
              <w:bottom w:val="single" w:sz="4" w:space="0" w:color="000000"/>
              <w:right w:val="single" w:sz="4" w:space="0" w:color="000000"/>
            </w:tcBorders>
          </w:tcPr>
          <w:p w:rsidR="006A18FD" w:rsidRDefault="002D29FC">
            <w:pPr>
              <w:spacing w:line="175" w:lineRule="exact"/>
              <w:ind w:left="102"/>
              <w:rPr>
                <w:rFonts w:ascii="Calibri"/>
                <w:b/>
                <w:sz w:val="16"/>
              </w:rPr>
            </w:pPr>
            <w:r>
              <w:rPr>
                <w:rFonts w:ascii="Calibri"/>
                <w:b/>
                <w:sz w:val="16"/>
              </w:rPr>
              <w:t>126</w:t>
            </w:r>
          </w:p>
        </w:tc>
        <w:tc>
          <w:tcPr>
            <w:tcW w:w="1505" w:type="dxa"/>
            <w:tcBorders>
              <w:left w:val="single" w:sz="4" w:space="0" w:color="000000"/>
              <w:bottom w:val="single" w:sz="4" w:space="0" w:color="000000"/>
              <w:right w:val="single" w:sz="4" w:space="0" w:color="000000"/>
            </w:tcBorders>
          </w:tcPr>
          <w:p w:rsidR="006A18FD" w:rsidRDefault="006A18FD">
            <w:pPr>
              <w:rPr>
                <w:rFonts w:ascii="Times New Roman"/>
                <w:sz w:val="16"/>
              </w:rPr>
            </w:pPr>
          </w:p>
        </w:tc>
      </w:tr>
      <w:tr w:rsidR="006A18FD">
        <w:trPr>
          <w:trHeight w:val="380"/>
        </w:trPr>
        <w:tc>
          <w:tcPr>
            <w:tcW w:w="6375" w:type="dxa"/>
            <w:tcBorders>
              <w:top w:val="single" w:sz="4" w:space="0" w:color="000000"/>
              <w:left w:val="single" w:sz="4" w:space="0" w:color="000000"/>
              <w:bottom w:val="single" w:sz="4" w:space="0" w:color="000000"/>
              <w:right w:val="single" w:sz="4" w:space="0" w:color="000000"/>
            </w:tcBorders>
          </w:tcPr>
          <w:p w:rsidR="006A18FD" w:rsidRDefault="002D29FC">
            <w:pPr>
              <w:spacing w:line="194" w:lineRule="exact"/>
              <w:ind w:left="102"/>
              <w:rPr>
                <w:rFonts w:ascii="Calibri"/>
                <w:b/>
                <w:sz w:val="16"/>
              </w:rPr>
            </w:pPr>
            <w:r>
              <w:rPr>
                <w:rFonts w:ascii="Calibri"/>
                <w:b/>
                <w:sz w:val="16"/>
              </w:rPr>
              <w:t>WAVES intervention</w:t>
            </w:r>
          </w:p>
        </w:tc>
        <w:tc>
          <w:tcPr>
            <w:tcW w:w="19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6"/>
              </w:rPr>
            </w:pPr>
          </w:p>
        </w:tc>
        <w:tc>
          <w:tcPr>
            <w:tcW w:w="368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6"/>
              </w:rPr>
            </w:pPr>
          </w:p>
        </w:tc>
        <w:tc>
          <w:tcPr>
            <w:tcW w:w="1844" w:type="dxa"/>
            <w:tcBorders>
              <w:top w:val="single" w:sz="4" w:space="0" w:color="000000"/>
              <w:left w:val="single" w:sz="4" w:space="0" w:color="000000"/>
              <w:bottom w:val="single" w:sz="4" w:space="0" w:color="000000"/>
              <w:right w:val="single" w:sz="4" w:space="0" w:color="000000"/>
            </w:tcBorders>
          </w:tcPr>
          <w:p w:rsidR="006A18FD" w:rsidRDefault="002D29FC">
            <w:pPr>
              <w:spacing w:line="194" w:lineRule="exact"/>
              <w:ind w:left="102"/>
              <w:rPr>
                <w:rFonts w:ascii="Calibri"/>
                <w:b/>
                <w:sz w:val="16"/>
              </w:rPr>
            </w:pPr>
            <w:r>
              <w:rPr>
                <w:rFonts w:ascii="Calibri"/>
                <w:b/>
                <w:sz w:val="16"/>
              </w:rPr>
              <w:t>Intervention mean cost</w:t>
            </w:r>
          </w:p>
          <w:p w:rsidR="006A18FD" w:rsidRDefault="002D29FC">
            <w:pPr>
              <w:spacing w:before="1" w:line="175" w:lineRule="exact"/>
              <w:ind w:left="102"/>
              <w:rPr>
                <w:rFonts w:ascii="Calibri"/>
                <w:b/>
                <w:sz w:val="16"/>
              </w:rPr>
            </w:pPr>
            <w:r>
              <w:rPr>
                <w:rFonts w:ascii="Calibri"/>
                <w:b/>
                <w:sz w:val="16"/>
              </w:rPr>
              <w:t>per school class</w:t>
            </w:r>
          </w:p>
        </w:tc>
        <w:tc>
          <w:tcPr>
            <w:tcW w:w="1505" w:type="dxa"/>
            <w:tcBorders>
              <w:top w:val="single" w:sz="4" w:space="0" w:color="000000"/>
              <w:left w:val="single" w:sz="4" w:space="0" w:color="000000"/>
              <w:bottom w:val="single" w:sz="4" w:space="0" w:color="000000"/>
              <w:right w:val="single" w:sz="4" w:space="0" w:color="000000"/>
            </w:tcBorders>
          </w:tcPr>
          <w:p w:rsidR="006A18FD" w:rsidRDefault="006A18FD">
            <w:pPr>
              <w:rPr>
                <w:rFonts w:ascii="Times New Roman"/>
                <w:sz w:val="16"/>
              </w:rPr>
            </w:pPr>
          </w:p>
        </w:tc>
      </w:tr>
      <w:tr w:rsidR="006A18FD">
        <w:trPr>
          <w:trHeight w:val="200"/>
        </w:trPr>
        <w:tc>
          <w:tcPr>
            <w:tcW w:w="6375" w:type="dxa"/>
            <w:tcBorders>
              <w:top w:val="single" w:sz="4" w:space="0" w:color="000000"/>
              <w:left w:val="single" w:sz="4" w:space="0" w:color="000000"/>
              <w:right w:val="single" w:sz="4" w:space="0" w:color="000000"/>
            </w:tcBorders>
          </w:tcPr>
          <w:p w:rsidR="006A18FD" w:rsidRDefault="002D29FC">
            <w:pPr>
              <w:spacing w:line="190" w:lineRule="exact"/>
              <w:ind w:left="102"/>
              <w:rPr>
                <w:rFonts w:ascii="Calibri"/>
                <w:sz w:val="16"/>
              </w:rPr>
            </w:pPr>
            <w:r>
              <w:rPr>
                <w:rFonts w:ascii="Calibri"/>
                <w:sz w:val="16"/>
              </w:rPr>
              <w:t>Signposting</w:t>
            </w:r>
          </w:p>
        </w:tc>
        <w:tc>
          <w:tcPr>
            <w:tcW w:w="1985" w:type="dxa"/>
            <w:tcBorders>
              <w:top w:val="single" w:sz="4" w:space="0" w:color="000000"/>
              <w:left w:val="single" w:sz="4" w:space="0" w:color="000000"/>
              <w:right w:val="single" w:sz="4" w:space="0" w:color="000000"/>
            </w:tcBorders>
          </w:tcPr>
          <w:p w:rsidR="006A18FD" w:rsidRDefault="002D29FC">
            <w:pPr>
              <w:spacing w:line="190" w:lineRule="exact"/>
              <w:ind w:left="103"/>
              <w:rPr>
                <w:rFonts w:ascii="Calibri"/>
                <w:sz w:val="16"/>
              </w:rPr>
            </w:pPr>
            <w:r>
              <w:rPr>
                <w:rFonts w:ascii="Calibri"/>
                <w:sz w:val="16"/>
              </w:rPr>
              <w:t>Please see Canaway et al,</w:t>
            </w:r>
          </w:p>
        </w:tc>
        <w:tc>
          <w:tcPr>
            <w:tcW w:w="3685" w:type="dxa"/>
            <w:tcBorders>
              <w:top w:val="single" w:sz="4" w:space="0" w:color="000000"/>
              <w:left w:val="single" w:sz="4" w:space="0" w:color="000000"/>
              <w:right w:val="single" w:sz="4" w:space="0" w:color="000000"/>
            </w:tcBorders>
          </w:tcPr>
          <w:p w:rsidR="006A18FD" w:rsidRDefault="002D29FC">
            <w:pPr>
              <w:spacing w:line="190" w:lineRule="exact"/>
              <w:ind w:left="102"/>
              <w:rPr>
                <w:rFonts w:ascii="Calibri"/>
                <w:sz w:val="16"/>
              </w:rPr>
            </w:pPr>
            <w:r>
              <w:rPr>
                <w:rFonts w:ascii="Calibri"/>
                <w:sz w:val="16"/>
              </w:rPr>
              <w:t>Published cost items are in 2013/14 prices.</w:t>
            </w:r>
          </w:p>
        </w:tc>
        <w:tc>
          <w:tcPr>
            <w:tcW w:w="1844" w:type="dxa"/>
            <w:tcBorders>
              <w:top w:val="single" w:sz="4" w:space="0" w:color="000000"/>
              <w:left w:val="single" w:sz="4" w:space="0" w:color="000000"/>
              <w:right w:val="single" w:sz="4" w:space="0" w:color="000000"/>
            </w:tcBorders>
          </w:tcPr>
          <w:p w:rsidR="006A18FD" w:rsidRDefault="002D29FC">
            <w:pPr>
              <w:spacing w:line="190" w:lineRule="exact"/>
              <w:ind w:left="102"/>
              <w:rPr>
                <w:rFonts w:ascii="Calibri"/>
                <w:sz w:val="16"/>
              </w:rPr>
            </w:pPr>
            <w:r>
              <w:rPr>
                <w:rFonts w:ascii="Calibri"/>
                <w:sz w:val="16"/>
              </w:rPr>
              <w:t>140</w:t>
            </w:r>
          </w:p>
        </w:tc>
        <w:tc>
          <w:tcPr>
            <w:tcW w:w="1505" w:type="dxa"/>
            <w:tcBorders>
              <w:top w:val="single" w:sz="4" w:space="0" w:color="000000"/>
              <w:left w:val="single" w:sz="4" w:space="0" w:color="000000"/>
              <w:right w:val="single" w:sz="4" w:space="0" w:color="000000"/>
            </w:tcBorders>
          </w:tcPr>
          <w:p w:rsidR="006A18FD" w:rsidRDefault="002D29FC">
            <w:pPr>
              <w:spacing w:line="190"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6A18FD">
            <w:pPr>
              <w:rPr>
                <w:rFonts w:ascii="Times New Roman"/>
                <w:sz w:val="12"/>
              </w:rPr>
            </w:pPr>
          </w:p>
        </w:tc>
        <w:tc>
          <w:tcPr>
            <w:tcW w:w="1985" w:type="dxa"/>
            <w:tcBorders>
              <w:left w:val="single" w:sz="4" w:space="0" w:color="000000"/>
              <w:right w:val="single" w:sz="4" w:space="0" w:color="000000"/>
            </w:tcBorders>
          </w:tcPr>
          <w:p w:rsidR="006A18FD" w:rsidRDefault="002D29FC">
            <w:pPr>
              <w:spacing w:line="176" w:lineRule="exact"/>
              <w:ind w:left="103"/>
              <w:rPr>
                <w:rFonts w:ascii="Calibri"/>
                <w:sz w:val="16"/>
              </w:rPr>
            </w:pPr>
            <w:r>
              <w:rPr>
                <w:rFonts w:ascii="Calibri"/>
                <w:sz w:val="16"/>
              </w:rPr>
              <w:t>2019 for full details</w:t>
            </w:r>
          </w:p>
        </w:tc>
        <w:tc>
          <w:tcPr>
            <w:tcW w:w="3685" w:type="dxa"/>
            <w:tcBorders>
              <w:left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right w:val="single" w:sz="4" w:space="0" w:color="000000"/>
            </w:tcBorders>
          </w:tcPr>
          <w:p w:rsidR="006A18FD" w:rsidRDefault="006A18FD">
            <w:pPr>
              <w:rPr>
                <w:rFonts w:ascii="Times New Roman"/>
                <w:sz w:val="12"/>
              </w:rPr>
            </w:pP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180"/>
        </w:trPr>
        <w:tc>
          <w:tcPr>
            <w:tcW w:w="6375" w:type="dxa"/>
            <w:tcBorders>
              <w:left w:val="single" w:sz="4" w:space="0" w:color="000000"/>
              <w:right w:val="single" w:sz="4" w:space="0" w:color="000000"/>
            </w:tcBorders>
          </w:tcPr>
          <w:p w:rsidR="006A18FD" w:rsidRDefault="002D29FC">
            <w:pPr>
              <w:spacing w:line="174" w:lineRule="exact"/>
              <w:ind w:left="102"/>
              <w:rPr>
                <w:rFonts w:ascii="Calibri"/>
                <w:sz w:val="16"/>
              </w:rPr>
            </w:pPr>
            <w:r>
              <w:rPr>
                <w:rFonts w:ascii="Calibri"/>
                <w:sz w:val="16"/>
              </w:rPr>
              <w:t>Villa vitality package</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2D29FC">
            <w:pPr>
              <w:spacing w:line="174" w:lineRule="exact"/>
              <w:ind w:left="102"/>
              <w:rPr>
                <w:rFonts w:ascii="Calibri"/>
                <w:sz w:val="16"/>
              </w:rPr>
            </w:pPr>
            <w:r>
              <w:rPr>
                <w:rFonts w:ascii="Calibri"/>
                <w:sz w:val="16"/>
              </w:rPr>
              <w:t>Here they are inflated to 2017/18 prices</w:t>
            </w:r>
          </w:p>
        </w:tc>
        <w:tc>
          <w:tcPr>
            <w:tcW w:w="1844" w:type="dxa"/>
            <w:tcBorders>
              <w:left w:val="single" w:sz="4" w:space="0" w:color="000000"/>
              <w:right w:val="single" w:sz="4" w:space="0" w:color="000000"/>
            </w:tcBorders>
          </w:tcPr>
          <w:p w:rsidR="006A18FD" w:rsidRDefault="002D29FC">
            <w:pPr>
              <w:spacing w:line="174" w:lineRule="exact"/>
              <w:ind w:left="102"/>
              <w:rPr>
                <w:rFonts w:ascii="Calibri"/>
                <w:sz w:val="16"/>
              </w:rPr>
            </w:pPr>
            <w:r>
              <w:rPr>
                <w:rFonts w:ascii="Calibri"/>
                <w:sz w:val="16"/>
              </w:rPr>
              <w:t>3027</w:t>
            </w:r>
          </w:p>
        </w:tc>
        <w:tc>
          <w:tcPr>
            <w:tcW w:w="1505" w:type="dxa"/>
            <w:tcBorders>
              <w:left w:val="single" w:sz="4" w:space="0" w:color="000000"/>
              <w:right w:val="single" w:sz="4" w:space="0" w:color="000000"/>
            </w:tcBorders>
          </w:tcPr>
          <w:p w:rsidR="006A18FD" w:rsidRDefault="002D29FC">
            <w:pPr>
              <w:spacing w:line="174"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Cooking classes and workshops</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Using PSS annual percentage increases for</w:t>
            </w:r>
          </w:p>
        </w:tc>
        <w:tc>
          <w:tcPr>
            <w:tcW w:w="1844"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289</w:t>
            </w:r>
          </w:p>
        </w:tc>
        <w:tc>
          <w:tcPr>
            <w:tcW w:w="1505" w:type="dxa"/>
            <w:tcBorders>
              <w:left w:val="single" w:sz="4" w:space="0" w:color="000000"/>
              <w:right w:val="single" w:sz="4" w:space="0" w:color="000000"/>
            </w:tcBorders>
          </w:tcPr>
          <w:p w:rsidR="006A18FD" w:rsidRDefault="002D29FC">
            <w:pPr>
              <w:spacing w:line="17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Purchasing/packing/printing materials</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Local Authority services.</w:t>
            </w:r>
          </w:p>
        </w:tc>
        <w:tc>
          <w:tcPr>
            <w:tcW w:w="1844"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128</w:t>
            </w:r>
          </w:p>
        </w:tc>
        <w:tc>
          <w:tcPr>
            <w:tcW w:w="1505" w:type="dxa"/>
            <w:tcBorders>
              <w:left w:val="single" w:sz="4" w:space="0" w:color="000000"/>
              <w:right w:val="single" w:sz="4" w:space="0" w:color="000000"/>
            </w:tcBorders>
          </w:tcPr>
          <w:p w:rsidR="006A18FD" w:rsidRDefault="002D29FC">
            <w:pPr>
              <w:spacing w:line="17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Cooking materials</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43</w:t>
            </w:r>
          </w:p>
        </w:tc>
        <w:tc>
          <w:tcPr>
            <w:tcW w:w="1505" w:type="dxa"/>
            <w:tcBorders>
              <w:left w:val="single" w:sz="4" w:space="0" w:color="000000"/>
              <w:right w:val="single" w:sz="4" w:space="0" w:color="000000"/>
            </w:tcBorders>
          </w:tcPr>
          <w:p w:rsidR="006A18FD" w:rsidRDefault="002D29FC">
            <w:pPr>
              <w:spacing w:line="17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Delivery of materials</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right w:val="single" w:sz="4" w:space="0" w:color="000000"/>
            </w:tcBorders>
          </w:tcPr>
          <w:p w:rsidR="006A18FD" w:rsidRDefault="002D29FC">
            <w:pPr>
              <w:spacing w:line="176" w:lineRule="exact"/>
              <w:ind w:left="102"/>
              <w:rPr>
                <w:rFonts w:ascii="Calibri"/>
                <w:sz w:val="16"/>
              </w:rPr>
            </w:pPr>
            <w:r>
              <w:rPr>
                <w:rFonts w:ascii="Calibri"/>
                <w:sz w:val="16"/>
              </w:rPr>
              <w:t>123</w:t>
            </w:r>
          </w:p>
        </w:tc>
        <w:tc>
          <w:tcPr>
            <w:tcW w:w="1505" w:type="dxa"/>
            <w:tcBorders>
              <w:left w:val="single" w:sz="4" w:space="0" w:color="000000"/>
              <w:right w:val="single" w:sz="4" w:space="0" w:color="000000"/>
            </w:tcBorders>
          </w:tcPr>
          <w:p w:rsidR="006A18FD" w:rsidRDefault="002D29FC">
            <w:pPr>
              <w:spacing w:line="176"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4" w:lineRule="exact"/>
              <w:ind w:left="102"/>
              <w:rPr>
                <w:rFonts w:ascii="Calibri"/>
                <w:sz w:val="16"/>
              </w:rPr>
            </w:pPr>
            <w:r>
              <w:rPr>
                <w:rFonts w:ascii="Calibri"/>
                <w:sz w:val="16"/>
              </w:rPr>
              <w:t>Physical activity sessions at school (staff time)</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right w:val="single" w:sz="4" w:space="0" w:color="000000"/>
            </w:tcBorders>
          </w:tcPr>
          <w:p w:rsidR="006A18FD" w:rsidRDefault="002D29FC">
            <w:pPr>
              <w:spacing w:line="174" w:lineRule="exact"/>
              <w:ind w:left="102"/>
              <w:rPr>
                <w:rFonts w:ascii="Calibri"/>
                <w:sz w:val="16"/>
              </w:rPr>
            </w:pPr>
            <w:r>
              <w:rPr>
                <w:rFonts w:ascii="Calibri"/>
                <w:sz w:val="16"/>
              </w:rPr>
              <w:t>1132</w:t>
            </w:r>
          </w:p>
        </w:tc>
        <w:tc>
          <w:tcPr>
            <w:tcW w:w="1505" w:type="dxa"/>
            <w:tcBorders>
              <w:left w:val="single" w:sz="4" w:space="0" w:color="000000"/>
              <w:right w:val="single" w:sz="4" w:space="0" w:color="000000"/>
            </w:tcBorders>
          </w:tcPr>
          <w:p w:rsidR="006A18FD" w:rsidRDefault="002D29FC">
            <w:pPr>
              <w:spacing w:line="174" w:lineRule="exact"/>
              <w:ind w:left="103"/>
              <w:rPr>
                <w:rFonts w:ascii="Calibri" w:hAnsi="Calibri"/>
                <w:sz w:val="16"/>
              </w:rPr>
            </w:pPr>
            <w:r>
              <w:rPr>
                <w:rFonts w:ascii="Calibri" w:hAnsi="Calibri"/>
                <w:sz w:val="16"/>
              </w:rPr>
              <w:t>“</w:t>
            </w:r>
          </w:p>
        </w:tc>
      </w:tr>
      <w:tr w:rsidR="006A18FD">
        <w:trPr>
          <w:trHeight w:val="180"/>
        </w:trPr>
        <w:tc>
          <w:tcPr>
            <w:tcW w:w="6375" w:type="dxa"/>
            <w:tcBorders>
              <w:left w:val="single" w:sz="4" w:space="0" w:color="000000"/>
              <w:right w:val="single" w:sz="4" w:space="0" w:color="000000"/>
            </w:tcBorders>
          </w:tcPr>
          <w:p w:rsidR="006A18FD" w:rsidRDefault="002D29FC">
            <w:pPr>
              <w:spacing w:line="176" w:lineRule="exact"/>
              <w:ind w:left="102"/>
              <w:rPr>
                <w:rFonts w:ascii="Calibri"/>
                <w:b/>
                <w:sz w:val="16"/>
              </w:rPr>
            </w:pPr>
            <w:r>
              <w:rPr>
                <w:rFonts w:ascii="Calibri"/>
                <w:b/>
                <w:sz w:val="16"/>
              </w:rPr>
              <w:t>Total average cost per class</w:t>
            </w:r>
          </w:p>
        </w:tc>
        <w:tc>
          <w:tcPr>
            <w:tcW w:w="1985" w:type="dxa"/>
            <w:tcBorders>
              <w:left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right w:val="single" w:sz="4" w:space="0" w:color="000000"/>
            </w:tcBorders>
          </w:tcPr>
          <w:p w:rsidR="006A18FD" w:rsidRDefault="002D29FC">
            <w:pPr>
              <w:spacing w:line="176" w:lineRule="exact"/>
              <w:ind w:left="102"/>
              <w:rPr>
                <w:rFonts w:ascii="Calibri"/>
                <w:b/>
                <w:sz w:val="16"/>
              </w:rPr>
            </w:pPr>
            <w:r>
              <w:rPr>
                <w:rFonts w:ascii="Calibri"/>
                <w:b/>
                <w:sz w:val="16"/>
              </w:rPr>
              <w:t>4884</w:t>
            </w:r>
          </w:p>
        </w:tc>
        <w:tc>
          <w:tcPr>
            <w:tcW w:w="1505" w:type="dxa"/>
            <w:tcBorders>
              <w:left w:val="single" w:sz="4" w:space="0" w:color="000000"/>
              <w:right w:val="single" w:sz="4" w:space="0" w:color="000000"/>
            </w:tcBorders>
          </w:tcPr>
          <w:p w:rsidR="006A18FD" w:rsidRDefault="006A18FD">
            <w:pPr>
              <w:rPr>
                <w:rFonts w:ascii="Times New Roman"/>
                <w:sz w:val="12"/>
              </w:rPr>
            </w:pPr>
          </w:p>
        </w:tc>
      </w:tr>
      <w:tr w:rsidR="006A18FD">
        <w:trPr>
          <w:trHeight w:val="180"/>
        </w:trPr>
        <w:tc>
          <w:tcPr>
            <w:tcW w:w="6375" w:type="dxa"/>
            <w:tcBorders>
              <w:left w:val="single" w:sz="4" w:space="0" w:color="000000"/>
              <w:bottom w:val="single" w:sz="4" w:space="0" w:color="000000"/>
              <w:right w:val="single" w:sz="4" w:space="0" w:color="000000"/>
            </w:tcBorders>
          </w:tcPr>
          <w:p w:rsidR="006A18FD" w:rsidRDefault="002D29FC">
            <w:pPr>
              <w:spacing w:line="162" w:lineRule="exact"/>
              <w:ind w:left="102"/>
              <w:rPr>
                <w:rFonts w:ascii="Calibri"/>
                <w:b/>
                <w:sz w:val="16"/>
              </w:rPr>
            </w:pPr>
            <w:r>
              <w:rPr>
                <w:rFonts w:ascii="Calibri"/>
                <w:b/>
                <w:sz w:val="16"/>
              </w:rPr>
              <w:t>Total average cost per child (assuming 30 children in a class)</w:t>
            </w:r>
          </w:p>
        </w:tc>
        <w:tc>
          <w:tcPr>
            <w:tcW w:w="1985" w:type="dxa"/>
            <w:tcBorders>
              <w:left w:val="single" w:sz="4" w:space="0" w:color="000000"/>
              <w:bottom w:val="single" w:sz="4" w:space="0" w:color="000000"/>
              <w:right w:val="single" w:sz="4" w:space="0" w:color="000000"/>
            </w:tcBorders>
          </w:tcPr>
          <w:p w:rsidR="006A18FD" w:rsidRDefault="006A18FD">
            <w:pPr>
              <w:rPr>
                <w:rFonts w:ascii="Times New Roman"/>
                <w:sz w:val="12"/>
              </w:rPr>
            </w:pPr>
          </w:p>
        </w:tc>
        <w:tc>
          <w:tcPr>
            <w:tcW w:w="3685" w:type="dxa"/>
            <w:tcBorders>
              <w:left w:val="single" w:sz="4" w:space="0" w:color="000000"/>
              <w:bottom w:val="single" w:sz="4" w:space="0" w:color="000000"/>
              <w:right w:val="single" w:sz="4" w:space="0" w:color="000000"/>
            </w:tcBorders>
          </w:tcPr>
          <w:p w:rsidR="006A18FD" w:rsidRDefault="006A18FD">
            <w:pPr>
              <w:rPr>
                <w:rFonts w:ascii="Times New Roman"/>
                <w:sz w:val="12"/>
              </w:rPr>
            </w:pPr>
          </w:p>
        </w:tc>
        <w:tc>
          <w:tcPr>
            <w:tcW w:w="1844" w:type="dxa"/>
            <w:tcBorders>
              <w:left w:val="single" w:sz="4" w:space="0" w:color="000000"/>
              <w:bottom w:val="single" w:sz="4" w:space="0" w:color="000000"/>
              <w:right w:val="single" w:sz="4" w:space="0" w:color="000000"/>
            </w:tcBorders>
          </w:tcPr>
          <w:p w:rsidR="006A18FD" w:rsidRDefault="002D29FC">
            <w:pPr>
              <w:spacing w:line="162" w:lineRule="exact"/>
              <w:ind w:left="102"/>
              <w:rPr>
                <w:rFonts w:ascii="Calibri"/>
                <w:b/>
                <w:sz w:val="16"/>
              </w:rPr>
            </w:pPr>
            <w:r>
              <w:rPr>
                <w:rFonts w:ascii="Calibri"/>
                <w:b/>
                <w:sz w:val="16"/>
              </w:rPr>
              <w:t>163</w:t>
            </w:r>
          </w:p>
        </w:tc>
        <w:tc>
          <w:tcPr>
            <w:tcW w:w="1505" w:type="dxa"/>
            <w:tcBorders>
              <w:left w:val="single" w:sz="4" w:space="0" w:color="000000"/>
              <w:bottom w:val="single" w:sz="4" w:space="0" w:color="000000"/>
              <w:right w:val="single" w:sz="4" w:space="0" w:color="000000"/>
            </w:tcBorders>
          </w:tcPr>
          <w:p w:rsidR="006A18FD" w:rsidRDefault="006A18FD">
            <w:pPr>
              <w:rPr>
                <w:rFonts w:ascii="Times New Roman"/>
                <w:sz w:val="12"/>
              </w:rPr>
            </w:pPr>
          </w:p>
        </w:tc>
      </w:tr>
      <w:tr w:rsidR="006A18FD">
        <w:trPr>
          <w:trHeight w:val="380"/>
        </w:trPr>
        <w:tc>
          <w:tcPr>
            <w:tcW w:w="15394" w:type="dxa"/>
            <w:gridSpan w:val="5"/>
            <w:tcBorders>
              <w:top w:val="single" w:sz="4" w:space="0" w:color="000000"/>
              <w:left w:val="single" w:sz="4" w:space="0" w:color="000000"/>
              <w:bottom w:val="single" w:sz="4" w:space="0" w:color="000000"/>
              <w:right w:val="single" w:sz="4" w:space="0" w:color="000000"/>
            </w:tcBorders>
          </w:tcPr>
          <w:p w:rsidR="006A18FD" w:rsidRDefault="002D29FC">
            <w:pPr>
              <w:spacing w:line="194" w:lineRule="exact"/>
              <w:ind w:left="102"/>
              <w:rPr>
                <w:rFonts w:ascii="Calibri"/>
                <w:sz w:val="16"/>
              </w:rPr>
            </w:pPr>
            <w:r>
              <w:rPr>
                <w:rFonts w:ascii="Calibri"/>
                <w:position w:val="5"/>
                <w:sz w:val="10"/>
              </w:rPr>
              <w:t>a</w:t>
            </w:r>
            <w:r>
              <w:rPr>
                <w:rFonts w:ascii="Calibri"/>
                <w:sz w:val="16"/>
              </w:rPr>
              <w:t>Costs provided by the weight management service staff (BCHCT),.</w:t>
            </w:r>
            <w:r>
              <w:rPr>
                <w:rFonts w:ascii="Calibri"/>
                <w:position w:val="5"/>
                <w:sz w:val="10"/>
              </w:rPr>
              <w:t xml:space="preserve">b </w:t>
            </w:r>
            <w:r>
              <w:rPr>
                <w:rFonts w:ascii="Calibri"/>
                <w:sz w:val="16"/>
              </w:rPr>
              <w:t xml:space="preserve">Band 4, NHS Agenda for Change Pay 2016/17 </w:t>
            </w:r>
            <w:r>
              <w:rPr>
                <w:rFonts w:ascii="Calibri"/>
                <w:position w:val="5"/>
                <w:sz w:val="10"/>
              </w:rPr>
              <w:t xml:space="preserve">c </w:t>
            </w:r>
            <w:r>
              <w:rPr>
                <w:rFonts w:ascii="Calibri"/>
                <w:sz w:val="16"/>
              </w:rPr>
              <w:t xml:space="preserve">Costs provided by research team </w:t>
            </w:r>
            <w:r>
              <w:rPr>
                <w:rFonts w:ascii="Calibri"/>
                <w:position w:val="5"/>
                <w:sz w:val="10"/>
              </w:rPr>
              <w:t xml:space="preserve">d </w:t>
            </w:r>
            <w:r>
              <w:rPr>
                <w:rFonts w:ascii="Calibri"/>
                <w:sz w:val="16"/>
              </w:rPr>
              <w:t xml:space="preserve">Source: </w:t>
            </w:r>
            <w:hyperlink r:id="rId68">
              <w:r>
                <w:rPr>
                  <w:rFonts w:ascii="Calibri"/>
                  <w:color w:val="0462C1"/>
                  <w:sz w:val="16"/>
                  <w:u w:val="single" w:color="0462C1"/>
                </w:rPr>
                <w:t>https://www.youthemployment.org.uk/careers-hub-job-role/health-trainer/</w:t>
              </w:r>
            </w:hyperlink>
          </w:p>
          <w:p w:rsidR="006A18FD" w:rsidRDefault="002D29FC">
            <w:pPr>
              <w:spacing w:before="1" w:line="175" w:lineRule="exact"/>
              <w:ind w:left="102"/>
              <w:rPr>
                <w:rFonts w:ascii="Calibri"/>
                <w:sz w:val="16"/>
              </w:rPr>
            </w:pPr>
            <w:r>
              <w:rPr>
                <w:rFonts w:ascii="Calibri"/>
                <w:sz w:val="16"/>
              </w:rPr>
              <w:t xml:space="preserve">(accessed 6 December 2019) </w:t>
            </w:r>
            <w:r>
              <w:rPr>
                <w:rFonts w:ascii="Calibri"/>
                <w:position w:val="5"/>
                <w:sz w:val="10"/>
              </w:rPr>
              <w:t xml:space="preserve">e </w:t>
            </w:r>
            <w:r>
              <w:rPr>
                <w:rFonts w:ascii="Calibri"/>
                <w:sz w:val="16"/>
              </w:rPr>
              <w:t xml:space="preserve">Source: University of Birmingham salary payscales: </w:t>
            </w:r>
            <w:hyperlink r:id="rId69">
              <w:r>
                <w:rPr>
                  <w:rFonts w:ascii="Calibri"/>
                  <w:color w:val="0462C1"/>
                  <w:sz w:val="16"/>
                  <w:u w:val="single" w:color="0462C1"/>
                </w:rPr>
                <w:t>https://www.birmingham.ac.uk/staff/jobs/pay.aspx</w:t>
              </w:r>
              <w:r>
                <w:rPr>
                  <w:rFonts w:ascii="Calibri"/>
                  <w:color w:val="0462C1"/>
                  <w:sz w:val="16"/>
                </w:rPr>
                <w:t xml:space="preserve"> </w:t>
              </w:r>
            </w:hyperlink>
            <w:r>
              <w:rPr>
                <w:rFonts w:ascii="Calibri"/>
                <w:position w:val="5"/>
                <w:sz w:val="10"/>
              </w:rPr>
              <w:t xml:space="preserve">f </w:t>
            </w:r>
            <w:r>
              <w:rPr>
                <w:rFonts w:ascii="Calibri"/>
                <w:sz w:val="16"/>
              </w:rPr>
              <w:t>Amount charged by external organization.</w:t>
            </w:r>
          </w:p>
        </w:tc>
      </w:tr>
    </w:tbl>
    <w:p w:rsidR="006A18FD" w:rsidRDefault="006A18FD">
      <w:pPr>
        <w:spacing w:line="175" w:lineRule="exact"/>
        <w:rPr>
          <w:rFonts w:ascii="Calibri"/>
          <w:sz w:val="16"/>
        </w:rPr>
        <w:sectPr w:rsidR="006A18FD">
          <w:headerReference w:type="even" r:id="rId70"/>
          <w:pgSz w:w="16850" w:h="11900" w:orient="landscape"/>
          <w:pgMar w:top="1100" w:right="600" w:bottom="280" w:left="600" w:header="0" w:footer="0" w:gutter="0"/>
          <w:cols w:space="720"/>
        </w:sectPr>
      </w:pPr>
    </w:p>
    <w:p w:rsidR="006A18FD" w:rsidRDefault="002D29FC">
      <w:pPr>
        <w:tabs>
          <w:tab w:val="right" w:pos="10081"/>
        </w:tabs>
        <w:spacing w:before="29" w:after="22"/>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23</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7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79" name="Line 23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F5E40" id="Group 23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GpxbGH4CAACBBQAA&#10;DgAAAAAAAAAAAAAAAAAuAgAAZHJzL2Uyb0RvYy54bWxQSwECLQAUAAYACAAAACEALXfkXNoAAAAE&#10;AQAADwAAAAAAAAAAAAAAAADYBAAAZHJzL2Rvd25yZXYueG1sUEsFBgAAAAAEAAQA8wAAAN8FAAAA&#10;AA==&#10;">
                <v:line id="Line 23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w10:anchorlock/>
              </v:group>
            </w:pict>
          </mc:Fallback>
        </mc:AlternateContent>
      </w:r>
    </w:p>
    <w:p w:rsidR="006A18FD" w:rsidRDefault="002D29FC" w:rsidP="00E42AC6">
      <w:pPr>
        <w:pStyle w:val="Heading2"/>
      </w:pPr>
      <w:r>
        <w:t>References</w:t>
      </w:r>
    </w:p>
    <w:p w:rsidR="006A18FD" w:rsidRDefault="002D29FC">
      <w:pPr>
        <w:spacing w:before="157"/>
        <w:ind w:left="152" w:right="195"/>
        <w:rPr>
          <w:rFonts w:ascii="Calibri"/>
          <w:sz w:val="20"/>
        </w:rPr>
      </w:pPr>
      <w:r>
        <w:rPr>
          <w:rFonts w:ascii="Calibri"/>
          <w:sz w:val="20"/>
        </w:rPr>
        <w:t xml:space="preserve">Adab, P., Pallan, M., Lancashire, E., Hemming, K., Frew, E., Barrett, T., Bhopal, R., Cade, J., Canaway, A., Clarke, J., Daley, A., Deeks, J., Duda, J., Ekeland, U., Gill, P., Griffin, T., McGee, E., Hurley, K., Martin, J., Parry, J., Passmore, S. &amp; Cheng,K. (2018). Effectiveness of a childhood obesity prevention programme delivered through schools, targeting 6 and 7 year olds: cluster randomised controlled trial (WAVES study), </w:t>
      </w:r>
      <w:r>
        <w:rPr>
          <w:rFonts w:ascii="Calibri"/>
          <w:i/>
          <w:sz w:val="20"/>
        </w:rPr>
        <w:t xml:space="preserve">British Medical Journal, </w:t>
      </w:r>
      <w:r>
        <w:rPr>
          <w:rFonts w:ascii="Calibri"/>
          <w:sz w:val="20"/>
        </w:rPr>
        <w:t>360, 211.</w:t>
      </w:r>
    </w:p>
    <w:p w:rsidR="006A18FD" w:rsidRDefault="006A18FD">
      <w:pPr>
        <w:spacing w:before="1"/>
        <w:rPr>
          <w:rFonts w:ascii="Calibri"/>
          <w:sz w:val="20"/>
        </w:rPr>
      </w:pPr>
    </w:p>
    <w:p w:rsidR="006A18FD" w:rsidRDefault="002D29FC">
      <w:pPr>
        <w:ind w:left="152" w:right="284"/>
        <w:rPr>
          <w:rFonts w:ascii="Calibri"/>
          <w:sz w:val="20"/>
        </w:rPr>
      </w:pPr>
      <w:r>
        <w:rPr>
          <w:rFonts w:ascii="Calibri"/>
          <w:sz w:val="20"/>
        </w:rPr>
        <w:t xml:space="preserve">Adab, P., Pallan, M., Lancashire, E., Hemming, K., Frew, E., Griffin, T., Barrett, T., Bhopal, R., Cade, J., Daley, A., Deeks, J., Duda, J., Ekeland, U., Gill, P., McGee, E., Parry, J., Passmore, S. &amp; Cheng, K. (2015). A cluster-randomised controlled trial to assess the effectiveness and cost-effectiveness of a childhood obesity prevention programme delivered through schools, targeting 6-7 year old children: the WAVES study protocol, </w:t>
      </w:r>
      <w:r>
        <w:rPr>
          <w:rFonts w:ascii="Calibri"/>
          <w:i/>
          <w:sz w:val="20"/>
        </w:rPr>
        <w:t>BMC Public Health</w:t>
      </w:r>
      <w:r>
        <w:rPr>
          <w:rFonts w:ascii="Calibri"/>
          <w:sz w:val="20"/>
        </w:rPr>
        <w:t>, 15, 488.</w:t>
      </w:r>
    </w:p>
    <w:p w:rsidR="006A18FD" w:rsidRDefault="006A18FD">
      <w:pPr>
        <w:spacing w:before="10"/>
        <w:rPr>
          <w:rFonts w:ascii="Calibri"/>
          <w:sz w:val="19"/>
        </w:rPr>
      </w:pPr>
    </w:p>
    <w:p w:rsidR="006A18FD" w:rsidRDefault="002D29FC">
      <w:pPr>
        <w:spacing w:before="1"/>
        <w:ind w:left="152" w:right="164"/>
        <w:rPr>
          <w:rFonts w:ascii="Calibri"/>
          <w:sz w:val="20"/>
        </w:rPr>
      </w:pPr>
      <w:r>
        <w:rPr>
          <w:rFonts w:ascii="Calibri"/>
          <w:sz w:val="20"/>
        </w:rPr>
        <w:t xml:space="preserve">Canaway, A., Frew, E., Lancashire, E., Pallan, M., Hemming, K. &amp; Adab,P. (2019). Economic evaluation of a childhood obesity prevention programme for children: Results from the WAVES cluster randomised controlled trial conducted in schools, </w:t>
      </w:r>
      <w:r>
        <w:rPr>
          <w:rFonts w:ascii="Calibri"/>
          <w:i/>
          <w:sz w:val="20"/>
        </w:rPr>
        <w:t xml:space="preserve">PLOS One </w:t>
      </w:r>
      <w:r>
        <w:rPr>
          <w:rFonts w:ascii="Calibri"/>
          <w:sz w:val="20"/>
        </w:rPr>
        <w:t>, 14, 7, e0219500.</w:t>
      </w:r>
    </w:p>
    <w:p w:rsidR="006A18FD" w:rsidRDefault="006A18FD">
      <w:pPr>
        <w:spacing w:before="11"/>
        <w:rPr>
          <w:rFonts w:ascii="Calibri"/>
          <w:sz w:val="19"/>
        </w:rPr>
      </w:pPr>
    </w:p>
    <w:p w:rsidR="006A18FD" w:rsidRDefault="002D29FC">
      <w:pPr>
        <w:ind w:left="152" w:right="283"/>
        <w:rPr>
          <w:rFonts w:ascii="Calibri"/>
          <w:sz w:val="20"/>
        </w:rPr>
      </w:pPr>
      <w:r>
        <w:rPr>
          <w:rFonts w:ascii="Calibri"/>
          <w:sz w:val="20"/>
        </w:rPr>
        <w:t xml:space="preserve">Jolly, K., Jones, L., Sidhu, M., Pallan, M., Young, M., Roalfe, A., Burgess, A., Daley, A., Collins, C., Frew, E., Adab, P. and Morgan,P. (waiting to publish). Health Dads, Healthy Kids UK: a cultural adaptation and feasibility study of a weight management programme for fathers of younger children, </w:t>
      </w:r>
      <w:r>
        <w:rPr>
          <w:rFonts w:ascii="Calibri"/>
          <w:i/>
          <w:sz w:val="20"/>
        </w:rPr>
        <w:t>Public Health Research, 14,185, 13</w:t>
      </w:r>
      <w:r>
        <w:rPr>
          <w:rFonts w:ascii="Calibri"/>
          <w:sz w:val="20"/>
        </w:rPr>
        <w:t>. National Institute for Health Research.</w:t>
      </w:r>
    </w:p>
    <w:p w:rsidR="006A18FD" w:rsidRDefault="006A18FD">
      <w:pPr>
        <w:rPr>
          <w:rFonts w:ascii="Calibri"/>
          <w:sz w:val="20"/>
        </w:rPr>
      </w:pPr>
    </w:p>
    <w:p w:rsidR="006A18FD" w:rsidRDefault="002D29FC">
      <w:pPr>
        <w:ind w:left="152" w:right="441"/>
        <w:rPr>
          <w:rFonts w:ascii="Calibri" w:hAnsi="Calibri"/>
          <w:sz w:val="20"/>
        </w:rPr>
      </w:pPr>
      <w:r>
        <w:rPr>
          <w:rFonts w:ascii="Calibri" w:hAnsi="Calibri"/>
          <w:sz w:val="20"/>
        </w:rPr>
        <w:t xml:space="preserve">Pallan, M., Hurley, K., Griffin, T., Lancashire, E., Blissett, J., Frew, E., Gill, P., Hemming, K., Jackson, L., Jolly, K., McGee, E., Parry, J., Thompson J. &amp; Adab, P. (2018). A cluster-randomised feasibility trial of a chldren’s weight management programme: the Child weigHt mANaGement for Ethnically diverse communities (CHANGE) study, </w:t>
      </w:r>
      <w:r>
        <w:rPr>
          <w:rFonts w:ascii="Calibri" w:hAnsi="Calibri"/>
          <w:i/>
          <w:sz w:val="20"/>
        </w:rPr>
        <w:t>Pilot and Feasibility Studies</w:t>
      </w:r>
      <w:r>
        <w:rPr>
          <w:rFonts w:ascii="Calibri" w:hAnsi="Calibri"/>
          <w:sz w:val="20"/>
        </w:rPr>
        <w:t>, 4, 175.</w:t>
      </w:r>
    </w:p>
    <w:p w:rsidR="006A18FD" w:rsidRDefault="006A18FD">
      <w:pPr>
        <w:rPr>
          <w:rFonts w:ascii="Calibri"/>
          <w:sz w:val="20"/>
        </w:rPr>
      </w:pPr>
    </w:p>
    <w:p w:rsidR="006A18FD" w:rsidRDefault="002D29FC">
      <w:pPr>
        <w:ind w:left="152" w:right="608"/>
        <w:rPr>
          <w:rFonts w:ascii="Calibri"/>
          <w:sz w:val="20"/>
        </w:rPr>
      </w:pPr>
      <w:r>
        <w:rPr>
          <w:rFonts w:ascii="Calibri"/>
          <w:sz w:val="20"/>
        </w:rPr>
        <w:t xml:space="preserve">Serdula, M., Ivery, K., Coates, R., Freedman, D., Williamson, D. and Byers, T. (1993). Do Obese Children Become Obese Adults? A Review of the Literature, </w:t>
      </w:r>
      <w:r>
        <w:rPr>
          <w:rFonts w:ascii="Calibri"/>
          <w:i/>
          <w:sz w:val="20"/>
        </w:rPr>
        <w:t xml:space="preserve">Preventive Medicine, </w:t>
      </w:r>
      <w:r>
        <w:rPr>
          <w:rFonts w:ascii="Calibri"/>
          <w:sz w:val="20"/>
        </w:rPr>
        <w:t>22, 2, 167-177.</w:t>
      </w:r>
    </w:p>
    <w:p w:rsidR="006A18FD" w:rsidRDefault="006A18FD">
      <w:pPr>
        <w:rPr>
          <w:rFonts w:ascii="Calibri"/>
          <w:sz w:val="20"/>
        </w:rPr>
      </w:pPr>
    </w:p>
    <w:p w:rsidR="006A18FD" w:rsidRDefault="00E60AD2">
      <w:pPr>
        <w:spacing w:before="1"/>
        <w:ind w:left="152" w:right="238"/>
        <w:rPr>
          <w:rFonts w:ascii="Calibri"/>
          <w:sz w:val="20"/>
        </w:rPr>
      </w:pPr>
      <w:r>
        <w:rPr>
          <w:noProof/>
          <w:lang w:val="en-GB" w:eastAsia="en-GB"/>
        </w:rPr>
        <mc:AlternateContent>
          <mc:Choice Requires="wps">
            <w:drawing>
              <wp:anchor distT="0" distB="0" distL="114300" distR="114300" simplePos="0" relativeHeight="251602944" behindDoc="1" locked="0" layoutInCell="1" allowOverlap="1">
                <wp:simplePos x="0" y="0"/>
                <wp:positionH relativeFrom="page">
                  <wp:posOffset>3931285</wp:posOffset>
                </wp:positionH>
                <wp:positionV relativeFrom="paragraph">
                  <wp:posOffset>292735</wp:posOffset>
                </wp:positionV>
                <wp:extent cx="31750" cy="0"/>
                <wp:effectExtent l="6985" t="6985" r="8890" b="12065"/>
                <wp:wrapNone/>
                <wp:docPr id="37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699E" id="Line 234"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23.05pt" to="312.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qcEwIAACo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" strokeweight=".6pt">
                <w10:wrap anchorx="page"/>
              </v:line>
            </w:pict>
          </mc:Fallback>
        </mc:AlternateContent>
      </w:r>
      <w:r w:rsidR="002D29FC">
        <w:rPr>
          <w:rFonts w:ascii="Calibri"/>
          <w:sz w:val="20"/>
        </w:rPr>
        <w:t xml:space="preserve">Zanganeh, M., Adab, P., Bai, L. and Frew, E. (2019). A systematic review of methods, study quality, and results of economic evaluation for childhood and adolescent obesity intervention. </w:t>
      </w:r>
      <w:r w:rsidR="002D29FC">
        <w:rPr>
          <w:rFonts w:ascii="Calibri"/>
          <w:i/>
          <w:sz w:val="20"/>
        </w:rPr>
        <w:t xml:space="preserve">Internal Journal of Environmental Research and Public Health, </w:t>
      </w:r>
      <w:r w:rsidR="002D29FC">
        <w:rPr>
          <w:rFonts w:ascii="Calibri"/>
          <w:sz w:val="20"/>
        </w:rPr>
        <w:t>16, 3, 485.</w:t>
      </w:r>
    </w:p>
    <w:p w:rsidR="006A18FD" w:rsidRDefault="006A18FD">
      <w:pPr>
        <w:rPr>
          <w:rFonts w:ascii="Calibri"/>
          <w:sz w:val="20"/>
        </w:rPr>
        <w:sectPr w:rsidR="006A18FD">
          <w:headerReference w:type="default" r:id="rId71"/>
          <w:pgSz w:w="11910" w:h="16840"/>
          <w:pgMar w:top="660" w:right="580" w:bottom="280" w:left="98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72"/>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9"/>
        <w:rPr>
          <w:rFonts w:ascii="Times New Roman"/>
          <w:sz w:val="28"/>
        </w:rPr>
      </w:pPr>
    </w:p>
    <w:p w:rsidR="006A18FD" w:rsidRDefault="002D29FC" w:rsidP="008E3FA8">
      <w:pPr>
        <w:numPr>
          <w:ilvl w:val="0"/>
          <w:numId w:val="24"/>
        </w:numPr>
        <w:tabs>
          <w:tab w:val="left" w:pos="498"/>
        </w:tabs>
        <w:spacing w:before="100"/>
        <w:rPr>
          <w:rFonts w:ascii="Cambria"/>
          <w:b/>
          <w:sz w:val="48"/>
        </w:rPr>
      </w:pPr>
      <w:r>
        <w:rPr>
          <w:rFonts w:ascii="Cambria"/>
          <w:b/>
          <w:sz w:val="48"/>
        </w:rPr>
        <w:t>SERVICES</w:t>
      </w:r>
    </w:p>
    <w:p w:rsidR="006A18FD" w:rsidRDefault="006A18FD">
      <w:pPr>
        <w:rPr>
          <w:rFonts w:ascii="Cambria"/>
          <w:sz w:val="48"/>
        </w:rPr>
        <w:sectPr w:rsidR="006A18FD">
          <w:headerReference w:type="default" r:id="rId73"/>
          <w:pgSz w:w="11910" w:h="16840"/>
          <w:pgMar w:top="1580" w:right="1680" w:bottom="280" w:left="10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74"/>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8"/>
        <w:rPr>
          <w:rFonts w:ascii="Times New Roman"/>
          <w:sz w:val="28"/>
        </w:rPr>
      </w:pPr>
    </w:p>
    <w:p w:rsidR="006A18FD" w:rsidRDefault="002D29FC" w:rsidP="008E3FA8">
      <w:pPr>
        <w:pStyle w:val="Heading1"/>
        <w:numPr>
          <w:ilvl w:val="0"/>
          <w:numId w:val="35"/>
        </w:numPr>
        <w:ind w:left="142" w:hanging="426"/>
      </w:pPr>
      <w:r>
        <w:t>Services for older</w:t>
      </w:r>
      <w:r>
        <w:rPr>
          <w:spacing w:val="-11"/>
        </w:rPr>
        <w:t xml:space="preserve"> </w:t>
      </w:r>
      <w:r>
        <w:t>people</w:t>
      </w:r>
    </w:p>
    <w:p w:rsidR="006A18FD" w:rsidRPr="009C3814" w:rsidRDefault="002D29FC" w:rsidP="008E3FA8">
      <w:pPr>
        <w:pStyle w:val="ListParagraph"/>
        <w:numPr>
          <w:ilvl w:val="1"/>
          <w:numId w:val="35"/>
        </w:numPr>
        <w:tabs>
          <w:tab w:val="left" w:pos="531"/>
        </w:tabs>
        <w:spacing w:before="306"/>
        <w:rPr>
          <w:rFonts w:ascii="Calibri"/>
          <w:sz w:val="28"/>
        </w:rPr>
      </w:pPr>
      <w:r w:rsidRPr="009C3814">
        <w:rPr>
          <w:rFonts w:ascii="Calibri"/>
          <w:sz w:val="28"/>
        </w:rPr>
        <w:t>Private sector nursing homes for older people (age</w:t>
      </w:r>
      <w:r w:rsidRPr="009C3814">
        <w:rPr>
          <w:rFonts w:ascii="Calibri"/>
          <w:spacing w:val="-21"/>
          <w:sz w:val="28"/>
        </w:rPr>
        <w:t xml:space="preserve"> </w:t>
      </w:r>
      <w:r w:rsidRPr="009C3814">
        <w:rPr>
          <w:rFonts w:ascii="Calibri"/>
          <w:sz w:val="28"/>
        </w:rPr>
        <w:t>65+)</w:t>
      </w:r>
    </w:p>
    <w:p w:rsidR="006A18FD" w:rsidRPr="009C3814" w:rsidRDefault="002D29FC" w:rsidP="008E3FA8">
      <w:pPr>
        <w:pStyle w:val="ListParagraph"/>
        <w:numPr>
          <w:ilvl w:val="1"/>
          <w:numId w:val="35"/>
        </w:numPr>
        <w:tabs>
          <w:tab w:val="left" w:pos="531"/>
        </w:tabs>
        <w:spacing w:before="169"/>
        <w:rPr>
          <w:rFonts w:ascii="Calibri"/>
          <w:sz w:val="28"/>
        </w:rPr>
      </w:pPr>
      <w:r w:rsidRPr="009C3814">
        <w:rPr>
          <w:rFonts w:ascii="Calibri"/>
          <w:sz w:val="28"/>
        </w:rPr>
        <w:t>Private sector residential care for older people (age</w:t>
      </w:r>
      <w:r w:rsidRPr="009C3814">
        <w:rPr>
          <w:rFonts w:ascii="Calibri"/>
          <w:spacing w:val="-21"/>
          <w:sz w:val="28"/>
        </w:rPr>
        <w:t xml:space="preserve"> </w:t>
      </w:r>
      <w:r w:rsidRPr="009C3814">
        <w:rPr>
          <w:rFonts w:ascii="Calibri"/>
          <w:sz w:val="28"/>
        </w:rPr>
        <w:t>65+)</w:t>
      </w:r>
    </w:p>
    <w:p w:rsidR="006A18FD" w:rsidRPr="009C3814" w:rsidRDefault="002D29FC" w:rsidP="008E3FA8">
      <w:pPr>
        <w:pStyle w:val="ListParagraph"/>
        <w:numPr>
          <w:ilvl w:val="1"/>
          <w:numId w:val="35"/>
        </w:numPr>
        <w:tabs>
          <w:tab w:val="left" w:pos="531"/>
        </w:tabs>
        <w:spacing w:before="171"/>
        <w:rPr>
          <w:rFonts w:ascii="Calibri"/>
          <w:sz w:val="28"/>
        </w:rPr>
      </w:pPr>
      <w:r w:rsidRPr="009C3814">
        <w:rPr>
          <w:rFonts w:ascii="Calibri"/>
          <w:sz w:val="28"/>
        </w:rPr>
        <w:t>Local authority own-provision residential care for older people (age</w:t>
      </w:r>
      <w:r w:rsidRPr="009C3814">
        <w:rPr>
          <w:rFonts w:ascii="Calibri"/>
          <w:spacing w:val="-34"/>
          <w:sz w:val="28"/>
        </w:rPr>
        <w:t xml:space="preserve"> </w:t>
      </w:r>
      <w:r w:rsidRPr="009C3814">
        <w:rPr>
          <w:rFonts w:ascii="Calibri"/>
          <w:sz w:val="28"/>
        </w:rPr>
        <w:t>65+)</w:t>
      </w:r>
    </w:p>
    <w:p w:rsidR="006A18FD" w:rsidRPr="009C3814" w:rsidRDefault="002D29FC" w:rsidP="008E3FA8">
      <w:pPr>
        <w:pStyle w:val="ListParagraph"/>
        <w:numPr>
          <w:ilvl w:val="1"/>
          <w:numId w:val="35"/>
        </w:numPr>
        <w:tabs>
          <w:tab w:val="left" w:pos="531"/>
        </w:tabs>
        <w:spacing w:before="172"/>
        <w:rPr>
          <w:rFonts w:ascii="Calibri"/>
          <w:sz w:val="28"/>
        </w:rPr>
      </w:pPr>
      <w:r w:rsidRPr="009C3814">
        <w:rPr>
          <w:rFonts w:ascii="Calibri"/>
          <w:sz w:val="28"/>
        </w:rPr>
        <w:t>Local authority own-provision day care for older people (age</w:t>
      </w:r>
      <w:r w:rsidRPr="009C3814">
        <w:rPr>
          <w:rFonts w:ascii="Calibri"/>
          <w:spacing w:val="-31"/>
          <w:sz w:val="28"/>
        </w:rPr>
        <w:t xml:space="preserve"> </w:t>
      </w:r>
      <w:r w:rsidRPr="009C3814">
        <w:rPr>
          <w:rFonts w:ascii="Calibri"/>
          <w:sz w:val="28"/>
        </w:rPr>
        <w:t>65+)</w:t>
      </w:r>
    </w:p>
    <w:p w:rsidR="006A18FD" w:rsidRPr="009C3814" w:rsidRDefault="002D29FC" w:rsidP="008E3FA8">
      <w:pPr>
        <w:pStyle w:val="ListParagraph"/>
        <w:numPr>
          <w:ilvl w:val="1"/>
          <w:numId w:val="35"/>
        </w:numPr>
        <w:tabs>
          <w:tab w:val="left" w:pos="531"/>
        </w:tabs>
        <w:spacing w:before="172"/>
        <w:rPr>
          <w:rFonts w:ascii="Calibri"/>
          <w:sz w:val="28"/>
        </w:rPr>
      </w:pPr>
      <w:r w:rsidRPr="009C3814">
        <w:rPr>
          <w:rFonts w:ascii="Calibri"/>
          <w:sz w:val="28"/>
        </w:rPr>
        <w:t>Dementia memory</w:t>
      </w:r>
      <w:r w:rsidRPr="009C3814">
        <w:rPr>
          <w:rFonts w:ascii="Calibri"/>
          <w:spacing w:val="-12"/>
          <w:sz w:val="28"/>
        </w:rPr>
        <w:t xml:space="preserve"> </w:t>
      </w:r>
      <w:r w:rsidRPr="009C3814">
        <w:rPr>
          <w:rFonts w:ascii="Calibri"/>
          <w:sz w:val="28"/>
        </w:rPr>
        <w:t>service</w:t>
      </w:r>
    </w:p>
    <w:p w:rsidR="006A18FD" w:rsidRPr="009C3814" w:rsidRDefault="002D29FC" w:rsidP="008E3FA8">
      <w:pPr>
        <w:pStyle w:val="ListParagraph"/>
        <w:numPr>
          <w:ilvl w:val="1"/>
          <w:numId w:val="35"/>
        </w:numPr>
        <w:tabs>
          <w:tab w:val="left" w:pos="531"/>
        </w:tabs>
        <w:spacing w:before="169"/>
        <w:rPr>
          <w:rFonts w:ascii="Calibri"/>
          <w:sz w:val="28"/>
        </w:rPr>
      </w:pPr>
      <w:r w:rsidRPr="009C3814">
        <w:rPr>
          <w:rFonts w:ascii="Calibri"/>
          <w:sz w:val="28"/>
        </w:rPr>
        <w:t>Multi-professional clinical medication reviews in care homes for older</w:t>
      </w:r>
      <w:r w:rsidRPr="009C3814">
        <w:rPr>
          <w:rFonts w:ascii="Calibri"/>
          <w:spacing w:val="-31"/>
          <w:sz w:val="28"/>
        </w:rPr>
        <w:t xml:space="preserve"> </w:t>
      </w:r>
      <w:r w:rsidRPr="009C3814">
        <w:rPr>
          <w:rFonts w:ascii="Calibri"/>
          <w:sz w:val="28"/>
        </w:rPr>
        <w:t>people</w:t>
      </w:r>
    </w:p>
    <w:p w:rsidR="006A18FD" w:rsidRDefault="006A18FD">
      <w:pPr>
        <w:rPr>
          <w:rFonts w:ascii="Calibri"/>
          <w:sz w:val="28"/>
        </w:rPr>
        <w:sectPr w:rsidR="006A18FD">
          <w:headerReference w:type="default" r:id="rId75"/>
          <w:pgSz w:w="11910" w:h="16840"/>
          <w:pgMar w:top="1580" w:right="148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7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76" name="Line 23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9A7072" id="Group 23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0O4l4X4CAACBBQAA&#10;DgAAAAAAAAAAAAAAAAAuAgAAZHJzL2Uyb0RvYy54bWxQSwECLQAUAAYACAAAACEALXfkXNoAAAAE&#10;AQAADwAAAAAAAAAAAAAAAADYBAAAZHJzL2Rvd25yZXYueG1sUEsFBgAAAAAEAAQA8wAAAN8FAAAA&#10;AA==&#10;">
                <v:line id="Line 23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w10:anchorlock/>
              </v:group>
            </w:pict>
          </mc:Fallback>
        </mc:AlternateContent>
      </w:r>
    </w:p>
    <w:p w:rsidR="006A18FD" w:rsidRDefault="00E42AC6" w:rsidP="00E42AC6">
      <w:pPr>
        <w:pStyle w:val="Heading2"/>
      </w:pPr>
      <w:r>
        <w:t xml:space="preserve">1.1 </w:t>
      </w:r>
      <w:r w:rsidR="002D29FC">
        <w:t>Private sector nursing homes for older people (age</w:t>
      </w:r>
      <w:r w:rsidR="002D29FC">
        <w:rPr>
          <w:spacing w:val="-27"/>
        </w:rPr>
        <w:t xml:space="preserve"> </w:t>
      </w:r>
      <w:r w:rsidR="002D29FC">
        <w:t>65+)</w:t>
      </w:r>
    </w:p>
    <w:p w:rsidR="006A18FD" w:rsidRDefault="002D29FC">
      <w:pPr>
        <w:spacing w:before="170" w:line="276" w:lineRule="auto"/>
        <w:ind w:left="140" w:right="284"/>
        <w:rPr>
          <w:rFonts w:ascii="Calibri" w:hAnsi="Calibri"/>
          <w:sz w:val="17"/>
        </w:rPr>
      </w:pPr>
      <w:r>
        <w:rPr>
          <w:rFonts w:ascii="Calibri" w:hAnsi="Calibri"/>
          <w:sz w:val="17"/>
        </w:rPr>
        <w:t>Using Adult Social Care Finance Return (ASC-FR)</w:t>
      </w:r>
      <w:r>
        <w:rPr>
          <w:rFonts w:ascii="Calibri" w:hAnsi="Calibri"/>
          <w:position w:val="5"/>
          <w:sz w:val="11"/>
        </w:rPr>
        <w:t xml:space="preserve">1 </w:t>
      </w:r>
      <w:r>
        <w:rPr>
          <w:rFonts w:ascii="Calibri" w:hAnsi="Calibri"/>
          <w:sz w:val="17"/>
        </w:rPr>
        <w:t>returns for 2018/2019, the median cost per person for supporting older people in all nursing homes was £656 per week [using unique identifiers: 8713501, 8714101, 8714701, 8715301, 8715901 (numerators in thousands of pounds), 8713502, 8714102, 8714702, 8715302, 8715902 (denominators)]. The mean cost was £678 per week. The standard NHS nursing care contribution is £158.16 and the higher rate is £217.59.</w:t>
      </w:r>
      <w:r>
        <w:rPr>
          <w:rFonts w:ascii="Calibri" w:hAnsi="Calibri"/>
          <w:position w:val="5"/>
          <w:sz w:val="11"/>
        </w:rPr>
        <w:t xml:space="preserve">2 </w:t>
      </w:r>
      <w:r>
        <w:rPr>
          <w:rFonts w:ascii="Calibri" w:hAnsi="Calibri"/>
          <w:sz w:val="17"/>
        </w:rPr>
        <w:t>When we add the standard NHS nursing care contribution to PSS expenditure, the total expected median cost is £814 and the mean cost is £836.</w:t>
      </w:r>
    </w:p>
    <w:p w:rsidR="006A18FD" w:rsidRDefault="006A18FD">
      <w:pPr>
        <w:spacing w:before="10"/>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53166C">
        <w:trPr>
          <w:trHeight w:val="200"/>
          <w:tblHeader/>
        </w:trPr>
        <w:tc>
          <w:tcPr>
            <w:tcW w:w="2232" w:type="dxa"/>
          </w:tcPr>
          <w:p w:rsidR="006A18FD" w:rsidRDefault="002D29FC">
            <w:pPr>
              <w:spacing w:line="188" w:lineRule="exact"/>
              <w:ind w:left="52"/>
              <w:rPr>
                <w:rFonts w:ascii="Calibri"/>
                <w:b/>
                <w:sz w:val="17"/>
              </w:rPr>
            </w:pPr>
            <w:r>
              <w:rPr>
                <w:rFonts w:ascii="Calibri"/>
                <w:b/>
                <w:sz w:val="17"/>
              </w:rPr>
              <w:t>Costs and unit estimation</w:t>
            </w:r>
          </w:p>
        </w:tc>
        <w:tc>
          <w:tcPr>
            <w:tcW w:w="1673" w:type="dxa"/>
          </w:tcPr>
          <w:p w:rsidR="006A18FD" w:rsidRDefault="002D29FC">
            <w:pPr>
              <w:spacing w:line="188" w:lineRule="exact"/>
              <w:ind w:left="102"/>
              <w:rPr>
                <w:rFonts w:ascii="Calibri"/>
                <w:b/>
                <w:sz w:val="17"/>
              </w:rPr>
            </w:pPr>
            <w:r>
              <w:rPr>
                <w:rFonts w:ascii="Calibri"/>
                <w:b/>
                <w:sz w:val="17"/>
              </w:rPr>
              <w:t>2018/2019 value</w:t>
            </w:r>
          </w:p>
        </w:tc>
        <w:tc>
          <w:tcPr>
            <w:tcW w:w="6138" w:type="dxa"/>
          </w:tcPr>
          <w:p w:rsidR="006A18FD" w:rsidRDefault="002D29FC">
            <w:pPr>
              <w:spacing w:line="188" w:lineRule="exact"/>
              <w:ind w:left="102"/>
              <w:rPr>
                <w:rFonts w:ascii="Calibri"/>
                <w:b/>
                <w:sz w:val="17"/>
              </w:rPr>
            </w:pPr>
            <w:r>
              <w:rPr>
                <w:rFonts w:ascii="Calibri"/>
                <w:b/>
                <w:sz w:val="17"/>
              </w:rPr>
              <w:t>Notes</w:t>
            </w:r>
          </w:p>
        </w:tc>
      </w:tr>
      <w:tr w:rsidR="006A18FD">
        <w:trPr>
          <w:trHeight w:val="2060"/>
        </w:trPr>
        <w:tc>
          <w:tcPr>
            <w:tcW w:w="2232" w:type="dxa"/>
          </w:tcPr>
          <w:p w:rsidR="006A18FD" w:rsidRDefault="002D29FC">
            <w:pPr>
              <w:spacing w:line="206" w:lineRule="exact"/>
              <w:ind w:left="52"/>
              <w:rPr>
                <w:rFonts w:ascii="Calibri"/>
                <w:sz w:val="17"/>
              </w:rPr>
            </w:pPr>
            <w:r>
              <w:rPr>
                <w:rFonts w:ascii="Calibri"/>
                <w:sz w:val="17"/>
              </w:rPr>
              <w:t>A. Fees</w:t>
            </w:r>
          </w:p>
        </w:tc>
        <w:tc>
          <w:tcPr>
            <w:tcW w:w="1673" w:type="dxa"/>
          </w:tcPr>
          <w:p w:rsidR="006A18FD" w:rsidRDefault="002D29FC">
            <w:pPr>
              <w:spacing w:line="206" w:lineRule="exact"/>
              <w:ind w:left="102"/>
              <w:rPr>
                <w:rFonts w:ascii="Calibri" w:hAnsi="Calibri"/>
                <w:sz w:val="11"/>
              </w:rPr>
            </w:pPr>
            <w:r>
              <w:rPr>
                <w:rFonts w:ascii="Calibri" w:hAnsi="Calibri"/>
                <w:sz w:val="17"/>
              </w:rPr>
              <w:t>£830 per week</w:t>
            </w:r>
            <w:r>
              <w:rPr>
                <w:rFonts w:ascii="Calibri" w:hAnsi="Calibri"/>
                <w:position w:val="5"/>
                <w:sz w:val="11"/>
              </w:rPr>
              <w:t>3</w:t>
            </w:r>
          </w:p>
        </w:tc>
        <w:tc>
          <w:tcPr>
            <w:tcW w:w="6138" w:type="dxa"/>
          </w:tcPr>
          <w:p w:rsidR="006A18FD" w:rsidRDefault="002D29FC">
            <w:pPr>
              <w:ind w:left="102" w:right="124"/>
              <w:rPr>
                <w:rFonts w:ascii="Calibri"/>
                <w:sz w:val="11"/>
              </w:rPr>
            </w:pPr>
            <w:r>
              <w:rPr>
                <w:rFonts w:ascii="Calibri"/>
                <w:sz w:val="17"/>
              </w:rPr>
              <w:t>The direct unit cost of private sector nursing homes is assumed to be the fee. Where a market is fairly competitive, such as that for private sector nursing homes, it is reasonable to assume that the fee will approximate the societal cost of the service.</w:t>
            </w:r>
            <w:r>
              <w:rPr>
                <w:rFonts w:ascii="Calibri"/>
                <w:position w:val="5"/>
                <w:sz w:val="11"/>
              </w:rPr>
              <w:t xml:space="preserve">4,5,6,7,8 </w:t>
            </w:r>
            <w:r>
              <w:rPr>
                <w:rFonts w:ascii="Calibri"/>
                <w:sz w:val="17"/>
              </w:rPr>
              <w:t>The midpoint between the minimum and maximum fee was taken from Laing &amp; Buisson Care Homes Complete Dataset 2018/2019.</w:t>
            </w:r>
            <w:r>
              <w:rPr>
                <w:rFonts w:ascii="Calibri"/>
                <w:position w:val="5"/>
                <w:sz w:val="11"/>
              </w:rPr>
              <w:t>9,</w:t>
            </w:r>
          </w:p>
          <w:p w:rsidR="006A18FD" w:rsidRDefault="002D29FC">
            <w:pPr>
              <w:ind w:left="102" w:right="161"/>
              <w:rPr>
                <w:rFonts w:ascii="Calibri"/>
                <w:sz w:val="17"/>
              </w:rPr>
            </w:pPr>
            <w:r>
              <w:rPr>
                <w:rFonts w:ascii="Calibri"/>
                <w:sz w:val="17"/>
              </w:rPr>
              <w:t>Care home fees have been split into their component parts by Laing &amp; Buisson (2019).</w:t>
            </w:r>
            <w:r>
              <w:rPr>
                <w:rFonts w:ascii="Calibri"/>
                <w:position w:val="5"/>
                <w:sz w:val="11"/>
              </w:rPr>
              <w:t xml:space="preserve">10 </w:t>
            </w:r>
            <w:r>
              <w:rPr>
                <w:rFonts w:ascii="Calibri"/>
                <w:sz w:val="17"/>
              </w:rPr>
              <w:t>For nursing care for frail elderly people, direct costs (staff: care and ancillary) form 66 per cent of total costs; repairs, maintenance and other non-staff current costs at home level forms 15 per cent, corporate overheads forms 4 per cent</w:t>
            </w:r>
          </w:p>
          <w:p w:rsidR="006A18FD" w:rsidRDefault="002D29FC">
            <w:pPr>
              <w:spacing w:line="189" w:lineRule="exact"/>
              <w:ind w:left="102"/>
              <w:rPr>
                <w:rFonts w:ascii="Calibri"/>
                <w:sz w:val="17"/>
              </w:rPr>
            </w:pPr>
            <w:r>
              <w:rPr>
                <w:rFonts w:ascii="Calibri"/>
                <w:sz w:val="17"/>
              </w:rPr>
              <w:t>and accommodation costs forms 15 per cent of the total.</w:t>
            </w:r>
          </w:p>
        </w:tc>
      </w:tr>
      <w:tr w:rsidR="006A18FD">
        <w:trPr>
          <w:trHeight w:val="220"/>
        </w:trPr>
        <w:tc>
          <w:tcPr>
            <w:tcW w:w="2232" w:type="dxa"/>
            <w:tcBorders>
              <w:bottom w:val="nil"/>
            </w:tcBorders>
          </w:tcPr>
          <w:p w:rsidR="006A18FD" w:rsidRDefault="002D29FC">
            <w:pPr>
              <w:spacing w:line="201" w:lineRule="exact"/>
              <w:ind w:left="52"/>
              <w:rPr>
                <w:rFonts w:ascii="Calibri"/>
                <w:sz w:val="17"/>
              </w:rPr>
            </w:pPr>
            <w:r>
              <w:rPr>
                <w:rFonts w:ascii="Calibri"/>
                <w:sz w:val="17"/>
              </w:rPr>
              <w:t>External services</w:t>
            </w:r>
          </w:p>
        </w:tc>
        <w:tc>
          <w:tcPr>
            <w:tcW w:w="1673" w:type="dxa"/>
            <w:tcBorders>
              <w:bottom w:val="nil"/>
            </w:tcBorders>
          </w:tcPr>
          <w:p w:rsidR="006A18FD" w:rsidRDefault="006A18FD">
            <w:pPr>
              <w:rPr>
                <w:rFonts w:ascii="Times New Roman"/>
                <w:sz w:val="14"/>
              </w:rPr>
            </w:pPr>
          </w:p>
        </w:tc>
        <w:tc>
          <w:tcPr>
            <w:tcW w:w="6138" w:type="dxa"/>
            <w:tcBorders>
              <w:bottom w:val="nil"/>
            </w:tcBorders>
          </w:tcPr>
          <w:p w:rsidR="006A18FD" w:rsidRDefault="002D29FC">
            <w:pPr>
              <w:spacing w:line="201" w:lineRule="exact"/>
              <w:ind w:left="102"/>
              <w:rPr>
                <w:rFonts w:ascii="Calibri"/>
                <w:sz w:val="17"/>
              </w:rPr>
            </w:pPr>
            <w:r>
              <w:rPr>
                <w:rFonts w:ascii="Calibri"/>
                <w:sz w:val="17"/>
              </w:rPr>
              <w:t>Information has been drawn from the article in the 2018 volume by Sach et al.(2018)</w:t>
            </w:r>
          </w:p>
        </w:tc>
      </w:tr>
      <w:tr w:rsidR="006A18FD">
        <w:trPr>
          <w:trHeight w:val="820"/>
        </w:trPr>
        <w:tc>
          <w:tcPr>
            <w:tcW w:w="2232" w:type="dxa"/>
            <w:tcBorders>
              <w:top w:val="nil"/>
              <w:bottom w:val="nil"/>
            </w:tcBorders>
          </w:tcPr>
          <w:p w:rsidR="006A18FD" w:rsidRDefault="002D29FC" w:rsidP="008E3FA8">
            <w:pPr>
              <w:numPr>
                <w:ilvl w:val="0"/>
                <w:numId w:val="22"/>
              </w:numPr>
              <w:tabs>
                <w:tab w:val="left" w:pos="228"/>
              </w:tabs>
              <w:spacing w:before="34"/>
              <w:rPr>
                <w:rFonts w:ascii="Calibri"/>
                <w:sz w:val="17"/>
              </w:rPr>
            </w:pPr>
            <w:r>
              <w:rPr>
                <w:rFonts w:ascii="Calibri"/>
                <w:sz w:val="17"/>
              </w:rPr>
              <w:t>Nursing</w:t>
            </w:r>
          </w:p>
          <w:p w:rsidR="006A18FD" w:rsidRDefault="002D29FC" w:rsidP="008E3FA8">
            <w:pPr>
              <w:numPr>
                <w:ilvl w:val="0"/>
                <w:numId w:val="22"/>
              </w:numPr>
              <w:tabs>
                <w:tab w:val="left" w:pos="226"/>
              </w:tabs>
              <w:spacing w:before="44"/>
              <w:ind w:left="225" w:hanging="173"/>
              <w:rPr>
                <w:rFonts w:ascii="Calibri"/>
                <w:sz w:val="17"/>
              </w:rPr>
            </w:pPr>
            <w:r>
              <w:rPr>
                <w:rFonts w:ascii="Calibri"/>
                <w:sz w:val="17"/>
              </w:rPr>
              <w:t>GP</w:t>
            </w:r>
            <w:r>
              <w:rPr>
                <w:rFonts w:ascii="Calibri"/>
                <w:spacing w:val="-5"/>
                <w:sz w:val="17"/>
              </w:rPr>
              <w:t xml:space="preserve"> </w:t>
            </w:r>
            <w:r>
              <w:rPr>
                <w:rFonts w:ascii="Calibri"/>
                <w:sz w:val="17"/>
              </w:rPr>
              <w:t>services</w:t>
            </w:r>
          </w:p>
          <w:p w:rsidR="006A18FD" w:rsidRDefault="002D29FC" w:rsidP="008E3FA8">
            <w:pPr>
              <w:numPr>
                <w:ilvl w:val="0"/>
                <w:numId w:val="22"/>
              </w:numPr>
              <w:tabs>
                <w:tab w:val="left" w:pos="240"/>
              </w:tabs>
              <w:spacing w:before="44"/>
              <w:ind w:left="239" w:hanging="187"/>
              <w:rPr>
                <w:rFonts w:ascii="Calibri"/>
                <w:sz w:val="17"/>
              </w:rPr>
            </w:pPr>
            <w:r>
              <w:rPr>
                <w:rFonts w:ascii="Calibri"/>
                <w:sz w:val="17"/>
              </w:rPr>
              <w:t>Other external</w:t>
            </w:r>
            <w:r>
              <w:rPr>
                <w:rFonts w:ascii="Calibri"/>
                <w:spacing w:val="-10"/>
                <w:sz w:val="17"/>
              </w:rPr>
              <w:t xml:space="preserve"> </w:t>
            </w:r>
            <w:r>
              <w:rPr>
                <w:rFonts w:ascii="Calibri"/>
                <w:sz w:val="17"/>
              </w:rPr>
              <w:t>services</w:t>
            </w:r>
          </w:p>
        </w:tc>
        <w:tc>
          <w:tcPr>
            <w:tcW w:w="1673" w:type="dxa"/>
            <w:tcBorders>
              <w:top w:val="nil"/>
              <w:bottom w:val="nil"/>
            </w:tcBorders>
          </w:tcPr>
          <w:p w:rsidR="006A18FD" w:rsidRDefault="002D29FC">
            <w:pPr>
              <w:spacing w:before="34"/>
              <w:ind w:left="102"/>
              <w:rPr>
                <w:rFonts w:ascii="Calibri" w:hAnsi="Calibri"/>
                <w:sz w:val="17"/>
              </w:rPr>
            </w:pPr>
            <w:r>
              <w:rPr>
                <w:rFonts w:ascii="Calibri" w:hAnsi="Calibri"/>
                <w:sz w:val="17"/>
              </w:rPr>
              <w:t>£8 per week</w:t>
            </w:r>
          </w:p>
          <w:p w:rsidR="006A18FD" w:rsidRDefault="002D29FC">
            <w:pPr>
              <w:spacing w:before="44"/>
              <w:ind w:left="102"/>
              <w:rPr>
                <w:rFonts w:ascii="Calibri" w:hAnsi="Calibri"/>
                <w:sz w:val="17"/>
              </w:rPr>
            </w:pPr>
            <w:r>
              <w:rPr>
                <w:rFonts w:ascii="Calibri" w:hAnsi="Calibri"/>
                <w:sz w:val="17"/>
              </w:rPr>
              <w:t>£11 per week</w:t>
            </w:r>
          </w:p>
          <w:p w:rsidR="006A18FD" w:rsidRDefault="002D29FC">
            <w:pPr>
              <w:spacing w:before="44"/>
              <w:ind w:left="102"/>
              <w:rPr>
                <w:rFonts w:ascii="Calibri" w:hAnsi="Calibri"/>
                <w:sz w:val="17"/>
              </w:rPr>
            </w:pPr>
            <w:r>
              <w:rPr>
                <w:rFonts w:ascii="Calibri" w:hAnsi="Calibri"/>
                <w:sz w:val="17"/>
              </w:rPr>
              <w:t>£6 per week</w:t>
            </w:r>
          </w:p>
        </w:tc>
        <w:tc>
          <w:tcPr>
            <w:tcW w:w="6138" w:type="dxa"/>
            <w:tcBorders>
              <w:top w:val="nil"/>
              <w:bottom w:val="nil"/>
            </w:tcBorders>
          </w:tcPr>
          <w:p w:rsidR="006A18FD" w:rsidRDefault="002D29FC">
            <w:pPr>
              <w:spacing w:line="191" w:lineRule="exact"/>
              <w:ind w:left="102"/>
              <w:rPr>
                <w:rFonts w:ascii="Calibri"/>
                <w:sz w:val="17"/>
              </w:rPr>
            </w:pPr>
            <w:r>
              <w:rPr>
                <w:rFonts w:ascii="Calibri"/>
                <w:sz w:val="17"/>
              </w:rPr>
              <w:t>which compares the mean cost of contacts per resident using data collected from GP</w:t>
            </w:r>
          </w:p>
          <w:p w:rsidR="006A18FD" w:rsidRDefault="002D29FC">
            <w:pPr>
              <w:spacing w:before="1"/>
              <w:ind w:left="102" w:right="116"/>
              <w:rPr>
                <w:rFonts w:ascii="Calibri" w:hAnsi="Calibri"/>
                <w:sz w:val="17"/>
              </w:rPr>
            </w:pPr>
            <w:r>
              <w:rPr>
                <w:rFonts w:ascii="Calibri" w:hAnsi="Calibri"/>
                <w:sz w:val="17"/>
              </w:rPr>
              <w:t>records compared to care home records over a seven-month period. Using the mid- point between the two data sources, total costs incurred per resident week were £25</w:t>
            </w:r>
          </w:p>
          <w:p w:rsidR="006A18FD" w:rsidRDefault="002D29FC">
            <w:pPr>
              <w:spacing w:before="1" w:line="202" w:lineRule="exact"/>
              <w:ind w:left="102"/>
              <w:rPr>
                <w:rFonts w:ascii="Calibri" w:hAnsi="Calibri"/>
                <w:sz w:val="17"/>
              </w:rPr>
            </w:pPr>
            <w:r>
              <w:rPr>
                <w:rFonts w:ascii="Calibri" w:hAnsi="Calibri"/>
                <w:sz w:val="17"/>
              </w:rPr>
              <w:t>(£22 using GP records and £26 using care home data). Costs have been uprated using</w:t>
            </w:r>
          </w:p>
        </w:tc>
      </w:tr>
      <w:tr w:rsidR="006A18FD">
        <w:trPr>
          <w:trHeight w:val="180"/>
        </w:trPr>
        <w:tc>
          <w:tcPr>
            <w:tcW w:w="2232" w:type="dxa"/>
            <w:tcBorders>
              <w:top w:val="nil"/>
            </w:tcBorders>
          </w:tcPr>
          <w:p w:rsidR="006A18FD" w:rsidRDefault="006A18FD">
            <w:pPr>
              <w:rPr>
                <w:rFonts w:ascii="Times New Roman"/>
                <w:sz w:val="12"/>
              </w:rPr>
            </w:pPr>
          </w:p>
        </w:tc>
        <w:tc>
          <w:tcPr>
            <w:tcW w:w="1673" w:type="dxa"/>
            <w:tcBorders>
              <w:top w:val="nil"/>
            </w:tcBorders>
          </w:tcPr>
          <w:p w:rsidR="006A18FD" w:rsidRDefault="006A18FD">
            <w:pPr>
              <w:rPr>
                <w:rFonts w:ascii="Times New Roman"/>
                <w:sz w:val="12"/>
              </w:rPr>
            </w:pPr>
          </w:p>
        </w:tc>
        <w:tc>
          <w:tcPr>
            <w:tcW w:w="6138" w:type="dxa"/>
            <w:tcBorders>
              <w:top w:val="nil"/>
            </w:tcBorders>
          </w:tcPr>
          <w:p w:rsidR="006A18FD" w:rsidRDefault="002D29FC">
            <w:pPr>
              <w:spacing w:line="174" w:lineRule="exact"/>
              <w:ind w:left="102"/>
              <w:rPr>
                <w:rFonts w:ascii="Calibri"/>
                <w:sz w:val="17"/>
              </w:rPr>
            </w:pPr>
            <w:r>
              <w:rPr>
                <w:rFonts w:ascii="Calibri"/>
                <w:sz w:val="17"/>
              </w:rPr>
              <w:t>the NHS cost inflation index.</w:t>
            </w:r>
          </w:p>
        </w:tc>
      </w:tr>
      <w:tr w:rsidR="006A18FD">
        <w:trPr>
          <w:trHeight w:val="620"/>
        </w:trPr>
        <w:tc>
          <w:tcPr>
            <w:tcW w:w="2232" w:type="dxa"/>
          </w:tcPr>
          <w:p w:rsidR="006A18FD" w:rsidRDefault="002D29FC">
            <w:pPr>
              <w:spacing w:line="206" w:lineRule="exact"/>
              <w:ind w:left="52"/>
              <w:rPr>
                <w:rFonts w:ascii="Calibri"/>
                <w:sz w:val="17"/>
              </w:rPr>
            </w:pPr>
            <w:r>
              <w:rPr>
                <w:rFonts w:ascii="Calibri"/>
                <w:sz w:val="17"/>
              </w:rPr>
              <w:t>E. Personal living expenses</w:t>
            </w:r>
          </w:p>
        </w:tc>
        <w:tc>
          <w:tcPr>
            <w:tcW w:w="1673" w:type="dxa"/>
          </w:tcPr>
          <w:p w:rsidR="006A18FD" w:rsidRDefault="002D29FC">
            <w:pPr>
              <w:spacing w:line="206" w:lineRule="exact"/>
              <w:ind w:left="102"/>
              <w:rPr>
                <w:rFonts w:ascii="Calibri" w:hAnsi="Calibri"/>
                <w:sz w:val="17"/>
              </w:rPr>
            </w:pPr>
            <w:r>
              <w:rPr>
                <w:rFonts w:ascii="Calibri" w:hAnsi="Calibri"/>
                <w:sz w:val="17"/>
              </w:rPr>
              <w:t>£24.90 per week</w:t>
            </w:r>
          </w:p>
        </w:tc>
        <w:tc>
          <w:tcPr>
            <w:tcW w:w="6138" w:type="dxa"/>
          </w:tcPr>
          <w:p w:rsidR="006A18FD" w:rsidRDefault="002D29FC">
            <w:pPr>
              <w:ind w:left="102"/>
              <w:rPr>
                <w:rFonts w:ascii="Calibri" w:hAnsi="Calibri"/>
                <w:sz w:val="17"/>
              </w:rPr>
            </w:pPr>
            <w:r>
              <w:rPr>
                <w:rFonts w:ascii="Calibri" w:hAnsi="Calibri"/>
                <w:sz w:val="17"/>
              </w:rPr>
              <w:t>The Department for Work and Pensions (DWP) personal allowance for people in residential care or a nursing home is £24.90.</w:t>
            </w:r>
            <w:r>
              <w:rPr>
                <w:rFonts w:ascii="Calibri" w:hAnsi="Calibri"/>
                <w:position w:val="5"/>
                <w:sz w:val="11"/>
              </w:rPr>
              <w:t xml:space="preserve">11 </w:t>
            </w:r>
            <w:r>
              <w:rPr>
                <w:rFonts w:ascii="Calibri" w:hAnsi="Calibri"/>
                <w:sz w:val="17"/>
              </w:rPr>
              <w:t>This has been used as a proxy for</w:t>
            </w:r>
          </w:p>
          <w:p w:rsidR="006A18FD" w:rsidRDefault="002D29FC">
            <w:pPr>
              <w:spacing w:before="2" w:line="187" w:lineRule="exact"/>
              <w:ind w:left="102"/>
              <w:rPr>
                <w:rFonts w:ascii="Calibri"/>
                <w:sz w:val="17"/>
              </w:rPr>
            </w:pPr>
            <w:r>
              <w:rPr>
                <w:rFonts w:ascii="Calibri"/>
                <w:sz w:val="17"/>
              </w:rPr>
              <w:t>personal consumption.</w:t>
            </w:r>
          </w:p>
        </w:tc>
      </w:tr>
      <w:tr w:rsidR="006A18FD">
        <w:trPr>
          <w:trHeight w:val="620"/>
        </w:trPr>
        <w:tc>
          <w:tcPr>
            <w:tcW w:w="2232" w:type="dxa"/>
          </w:tcPr>
          <w:p w:rsidR="006A18FD" w:rsidRDefault="002D29FC">
            <w:pPr>
              <w:spacing w:line="206" w:lineRule="exact"/>
              <w:ind w:left="52"/>
              <w:rPr>
                <w:rFonts w:ascii="Calibri"/>
                <w:sz w:val="17"/>
              </w:rPr>
            </w:pPr>
            <w:r>
              <w:rPr>
                <w:rFonts w:ascii="Calibri"/>
                <w:sz w:val="17"/>
              </w:rPr>
              <w:t>Short-term care</w:t>
            </w:r>
          </w:p>
        </w:tc>
        <w:tc>
          <w:tcPr>
            <w:tcW w:w="1673" w:type="dxa"/>
          </w:tcPr>
          <w:p w:rsidR="006A18FD" w:rsidRDefault="006A18FD">
            <w:pPr>
              <w:rPr>
                <w:rFonts w:ascii="Times New Roman"/>
                <w:sz w:val="16"/>
              </w:rPr>
            </w:pPr>
          </w:p>
        </w:tc>
        <w:tc>
          <w:tcPr>
            <w:tcW w:w="6138" w:type="dxa"/>
          </w:tcPr>
          <w:p w:rsidR="006A18FD" w:rsidRDefault="002D29FC">
            <w:pPr>
              <w:ind w:left="102" w:right="237"/>
              <w:rPr>
                <w:rFonts w:ascii="Calibri"/>
                <w:sz w:val="17"/>
              </w:rPr>
            </w:pPr>
            <w:r>
              <w:rPr>
                <w:rFonts w:ascii="Calibri"/>
                <w:sz w:val="17"/>
              </w:rPr>
              <w:t>No current information is available on whether residents in short-term care are less costly than those who live full-time in a nursing home. See previous editions of this</w:t>
            </w:r>
          </w:p>
          <w:p w:rsidR="006A18FD" w:rsidRDefault="002D29FC">
            <w:pPr>
              <w:spacing w:before="1" w:line="189" w:lineRule="exact"/>
              <w:ind w:left="102"/>
              <w:rPr>
                <w:rFonts w:ascii="Calibri"/>
                <w:sz w:val="17"/>
              </w:rPr>
            </w:pPr>
            <w:r>
              <w:rPr>
                <w:rFonts w:ascii="Calibri"/>
                <w:sz w:val="17"/>
              </w:rPr>
              <w:t>volume for sources of information.</w:t>
            </w:r>
          </w:p>
        </w:tc>
      </w:tr>
      <w:tr w:rsidR="006A18FD">
        <w:trPr>
          <w:trHeight w:val="400"/>
        </w:trPr>
        <w:tc>
          <w:tcPr>
            <w:tcW w:w="2232" w:type="dxa"/>
          </w:tcPr>
          <w:p w:rsidR="006A18FD" w:rsidRDefault="002D29FC">
            <w:pPr>
              <w:spacing w:line="206" w:lineRule="exact"/>
              <w:ind w:left="52"/>
              <w:rPr>
                <w:rFonts w:ascii="Calibri"/>
                <w:sz w:val="17"/>
              </w:rPr>
            </w:pPr>
            <w:r>
              <w:rPr>
                <w:rFonts w:ascii="Calibri"/>
                <w:sz w:val="17"/>
              </w:rPr>
              <w:t>Dependency</w:t>
            </w:r>
          </w:p>
        </w:tc>
        <w:tc>
          <w:tcPr>
            <w:tcW w:w="1673" w:type="dxa"/>
          </w:tcPr>
          <w:p w:rsidR="006A18FD" w:rsidRDefault="006A18FD">
            <w:pPr>
              <w:rPr>
                <w:rFonts w:ascii="Times New Roman"/>
                <w:sz w:val="16"/>
              </w:rPr>
            </w:pPr>
          </w:p>
        </w:tc>
        <w:tc>
          <w:tcPr>
            <w:tcW w:w="6138" w:type="dxa"/>
          </w:tcPr>
          <w:p w:rsidR="006A18FD" w:rsidRDefault="002D29FC">
            <w:pPr>
              <w:spacing w:line="206" w:lineRule="exact"/>
              <w:ind w:left="102"/>
              <w:rPr>
                <w:rFonts w:ascii="Calibri"/>
                <w:sz w:val="17"/>
              </w:rPr>
            </w:pPr>
            <w:r>
              <w:rPr>
                <w:rFonts w:ascii="Calibri"/>
                <w:sz w:val="17"/>
              </w:rPr>
              <w:t>No current information is available on the relationship of dependency with cost. See</w:t>
            </w:r>
          </w:p>
          <w:p w:rsidR="006A18FD" w:rsidRDefault="002D29FC">
            <w:pPr>
              <w:spacing w:line="189" w:lineRule="exact"/>
              <w:ind w:left="102"/>
              <w:rPr>
                <w:rFonts w:ascii="Calibri"/>
                <w:sz w:val="17"/>
              </w:rPr>
            </w:pPr>
            <w:r>
              <w:rPr>
                <w:rFonts w:ascii="Calibri"/>
                <w:sz w:val="17"/>
              </w:rPr>
              <w:t>previous editions of this volume for sources of information.</w:t>
            </w:r>
          </w:p>
        </w:tc>
      </w:tr>
      <w:tr w:rsidR="006A18FD">
        <w:trPr>
          <w:trHeight w:val="1020"/>
        </w:trPr>
        <w:tc>
          <w:tcPr>
            <w:tcW w:w="2232" w:type="dxa"/>
          </w:tcPr>
          <w:p w:rsidR="006A18FD" w:rsidRDefault="002D29FC">
            <w:pPr>
              <w:spacing w:line="207" w:lineRule="exact"/>
              <w:ind w:left="52"/>
              <w:rPr>
                <w:rFonts w:ascii="Calibri"/>
                <w:sz w:val="17"/>
              </w:rPr>
            </w:pPr>
            <w:r>
              <w:rPr>
                <w:rFonts w:ascii="Calibri"/>
                <w:sz w:val="17"/>
              </w:rPr>
              <w:t>Occupancy</w:t>
            </w:r>
          </w:p>
        </w:tc>
        <w:tc>
          <w:tcPr>
            <w:tcW w:w="1673" w:type="dxa"/>
          </w:tcPr>
          <w:p w:rsidR="006A18FD" w:rsidRDefault="002D29FC">
            <w:pPr>
              <w:spacing w:line="207" w:lineRule="exact"/>
              <w:ind w:left="102"/>
              <w:rPr>
                <w:rFonts w:ascii="Calibri"/>
                <w:sz w:val="17"/>
              </w:rPr>
            </w:pPr>
            <w:r>
              <w:rPr>
                <w:rFonts w:ascii="Calibri"/>
                <w:sz w:val="17"/>
              </w:rPr>
              <w:t>91 per cent</w:t>
            </w:r>
          </w:p>
        </w:tc>
        <w:tc>
          <w:tcPr>
            <w:tcW w:w="6138" w:type="dxa"/>
          </w:tcPr>
          <w:p w:rsidR="006A18FD" w:rsidRDefault="002D29FC">
            <w:pPr>
              <w:ind w:left="102" w:right="99"/>
              <w:rPr>
                <w:rFonts w:ascii="Calibri"/>
                <w:sz w:val="17"/>
              </w:rPr>
            </w:pPr>
            <w:r>
              <w:rPr>
                <w:rFonts w:ascii="Calibri"/>
                <w:sz w:val="17"/>
              </w:rPr>
              <w:t>The occupancy level in England for private and voluntary care homes for older people in 2016/2017 was 91 per cent.</w:t>
            </w:r>
            <w:r>
              <w:rPr>
                <w:rFonts w:ascii="Calibri"/>
                <w:position w:val="5"/>
                <w:sz w:val="11"/>
              </w:rPr>
              <w:t xml:space="preserve">12 </w:t>
            </w:r>
            <w:r>
              <w:rPr>
                <w:rFonts w:ascii="Calibri"/>
                <w:sz w:val="17"/>
              </w:rPr>
              <w:t>The occupancy rate for care homes (for-profit sector) with nursing was 89.2 per cent (provisional).</w:t>
            </w:r>
            <w:r>
              <w:rPr>
                <w:rFonts w:ascii="Calibri"/>
                <w:position w:val="5"/>
                <w:sz w:val="11"/>
              </w:rPr>
              <w:t xml:space="preserve">7 </w:t>
            </w:r>
            <w:r>
              <w:rPr>
                <w:rFonts w:ascii="Calibri"/>
                <w:sz w:val="17"/>
              </w:rPr>
              <w:t>A report published by the Registered Care Providers Association (2016) reported that the occupancy rate for specialist care</w:t>
            </w:r>
          </w:p>
          <w:p w:rsidR="006A18FD" w:rsidRDefault="002D29FC">
            <w:pPr>
              <w:spacing w:before="1" w:line="186" w:lineRule="exact"/>
              <w:ind w:left="102"/>
              <w:rPr>
                <w:rFonts w:ascii="Calibri"/>
                <w:sz w:val="11"/>
              </w:rPr>
            </w:pPr>
            <w:r>
              <w:rPr>
                <w:rFonts w:ascii="Calibri"/>
                <w:sz w:val="17"/>
              </w:rPr>
              <w:t>homes was 88 per cent in 2016.</w:t>
            </w:r>
            <w:r>
              <w:rPr>
                <w:rFonts w:ascii="Calibri"/>
                <w:position w:val="5"/>
                <w:sz w:val="11"/>
              </w:rPr>
              <w:t>13</w:t>
            </w:r>
          </w:p>
        </w:tc>
      </w:tr>
      <w:tr w:rsidR="006A18FD">
        <w:trPr>
          <w:trHeight w:val="200"/>
        </w:trPr>
        <w:tc>
          <w:tcPr>
            <w:tcW w:w="2232" w:type="dxa"/>
          </w:tcPr>
          <w:p w:rsidR="006A18FD" w:rsidRDefault="002D29FC">
            <w:pPr>
              <w:spacing w:before="1" w:line="187" w:lineRule="exact"/>
              <w:ind w:left="52"/>
              <w:rPr>
                <w:rFonts w:ascii="Calibri"/>
                <w:sz w:val="17"/>
              </w:rPr>
            </w:pPr>
            <w:r>
              <w:rPr>
                <w:rFonts w:ascii="Calibri"/>
                <w:sz w:val="17"/>
              </w:rPr>
              <w:t>London multiplier</w:t>
            </w:r>
          </w:p>
        </w:tc>
        <w:tc>
          <w:tcPr>
            <w:tcW w:w="1673" w:type="dxa"/>
          </w:tcPr>
          <w:p w:rsidR="006A18FD" w:rsidRDefault="002D29FC">
            <w:pPr>
              <w:spacing w:before="1" w:line="187" w:lineRule="exact"/>
              <w:ind w:left="102"/>
              <w:rPr>
                <w:rFonts w:ascii="Calibri"/>
                <w:sz w:val="17"/>
              </w:rPr>
            </w:pPr>
            <w:r>
              <w:rPr>
                <w:rFonts w:ascii="Calibri"/>
                <w:sz w:val="17"/>
              </w:rPr>
              <w:t>1.14 x A</w:t>
            </w:r>
          </w:p>
        </w:tc>
        <w:tc>
          <w:tcPr>
            <w:tcW w:w="6138" w:type="dxa"/>
          </w:tcPr>
          <w:p w:rsidR="006A18FD" w:rsidRDefault="002D29FC">
            <w:pPr>
              <w:spacing w:before="1" w:line="187" w:lineRule="exact"/>
              <w:ind w:left="102"/>
              <w:rPr>
                <w:rFonts w:ascii="Calibri"/>
                <w:sz w:val="11"/>
              </w:rPr>
            </w:pPr>
            <w:r>
              <w:rPr>
                <w:rFonts w:ascii="Calibri"/>
                <w:sz w:val="17"/>
              </w:rPr>
              <w:t>Fees in London nursing homes were 14 per cent higher than the national average.</w:t>
            </w:r>
            <w:r>
              <w:rPr>
                <w:rFonts w:ascii="Calibri"/>
                <w:position w:val="5"/>
                <w:sz w:val="11"/>
              </w:rPr>
              <w:t>9</w:t>
            </w:r>
          </w:p>
        </w:tc>
      </w:tr>
      <w:tr w:rsidR="006A18FD">
        <w:trPr>
          <w:trHeight w:val="440"/>
        </w:trPr>
        <w:tc>
          <w:tcPr>
            <w:tcW w:w="10044" w:type="dxa"/>
            <w:gridSpan w:val="3"/>
          </w:tcPr>
          <w:p w:rsidR="006A18FD" w:rsidRDefault="002D29FC">
            <w:pPr>
              <w:spacing w:before="118"/>
              <w:ind w:left="52"/>
              <w:rPr>
                <w:rFonts w:ascii="Calibri"/>
                <w:b/>
                <w:sz w:val="17"/>
              </w:rPr>
            </w:pPr>
            <w:r>
              <w:rPr>
                <w:rFonts w:ascii="Calibri"/>
                <w:b/>
                <w:sz w:val="17"/>
              </w:rPr>
              <w:t>Unit costs available 2018/2019</w:t>
            </w:r>
          </w:p>
        </w:tc>
      </w:tr>
      <w:tr w:rsidR="006A18FD">
        <w:trPr>
          <w:trHeight w:val="820"/>
        </w:trPr>
        <w:tc>
          <w:tcPr>
            <w:tcW w:w="10044" w:type="dxa"/>
            <w:gridSpan w:val="3"/>
          </w:tcPr>
          <w:p w:rsidR="006A18FD" w:rsidRDefault="002D29FC">
            <w:pPr>
              <w:ind w:left="52" w:right="367"/>
              <w:rPr>
                <w:rFonts w:ascii="Calibri" w:hAnsi="Calibri"/>
                <w:sz w:val="17"/>
              </w:rPr>
            </w:pPr>
            <w:r>
              <w:rPr>
                <w:rFonts w:ascii="Calibri" w:hAnsi="Calibri"/>
                <w:sz w:val="17"/>
              </w:rPr>
              <w:t>£830 establishment cost per permanent resident week (A); £880 establishment cost plus personal living expenses and external services per permanent resident week (A to E);</w:t>
            </w:r>
          </w:p>
          <w:p w:rsidR="006A18FD" w:rsidRDefault="002D29FC">
            <w:pPr>
              <w:spacing w:before="2" w:line="207" w:lineRule="exact"/>
              <w:ind w:left="52"/>
              <w:rPr>
                <w:rFonts w:ascii="Calibri" w:hAnsi="Calibri"/>
                <w:sz w:val="17"/>
              </w:rPr>
            </w:pPr>
            <w:r>
              <w:rPr>
                <w:rFonts w:ascii="Calibri" w:hAnsi="Calibri"/>
                <w:sz w:val="17"/>
              </w:rPr>
              <w:t>£119 establishment cost per permanent resident day (A); £126 establishment cost plus personal living expenses and external services per</w:t>
            </w:r>
          </w:p>
          <w:p w:rsidR="006A18FD" w:rsidRDefault="002D29FC">
            <w:pPr>
              <w:spacing w:line="189" w:lineRule="exact"/>
              <w:ind w:left="52"/>
              <w:rPr>
                <w:rFonts w:ascii="Calibri"/>
                <w:sz w:val="17"/>
              </w:rPr>
            </w:pPr>
            <w:r>
              <w:rPr>
                <w:rFonts w:ascii="Calibri"/>
                <w:sz w:val="17"/>
              </w:rPr>
              <w:t>permanent resident day (A to E).</w:t>
            </w:r>
          </w:p>
        </w:tc>
      </w:tr>
    </w:tbl>
    <w:p w:rsidR="006A18FD" w:rsidRDefault="006A18FD">
      <w:pPr>
        <w:rPr>
          <w:rFonts w:ascii="Calibri"/>
          <w:sz w:val="16"/>
        </w:rPr>
      </w:pPr>
    </w:p>
    <w:p w:rsidR="006A18FD" w:rsidRDefault="006A18FD">
      <w:pPr>
        <w:rPr>
          <w:rFonts w:ascii="Calibri"/>
          <w:sz w:val="16"/>
        </w:rPr>
      </w:pPr>
    </w:p>
    <w:p w:rsidR="006A18FD" w:rsidRDefault="006A18FD">
      <w:pPr>
        <w:rPr>
          <w:rFonts w:ascii="Calibri"/>
          <w:sz w:val="16"/>
        </w:rPr>
      </w:pPr>
    </w:p>
    <w:p w:rsidR="006A18FD" w:rsidRDefault="006A18FD">
      <w:pPr>
        <w:spacing w:before="10"/>
        <w:rPr>
          <w:rFonts w:ascii="Calibri"/>
          <w:sz w:val="16"/>
        </w:rPr>
      </w:pPr>
    </w:p>
    <w:p w:rsidR="006A18FD" w:rsidRDefault="00E60AD2">
      <w:pPr>
        <w:ind w:left="423" w:right="522" w:hanging="284"/>
        <w:rPr>
          <w:rFonts w:ascii="Calibri"/>
          <w:sz w:val="16"/>
        </w:rPr>
      </w:pPr>
      <w:r>
        <w:rPr>
          <w:noProof/>
          <w:lang w:val="en-GB" w:eastAsia="en-GB"/>
        </w:rPr>
        <mc:AlternateContent>
          <mc:Choice Requires="wps">
            <w:drawing>
              <wp:anchor distT="0" distB="0" distL="114300" distR="114300" simplePos="0" relativeHeight="251603968" behindDoc="1" locked="0" layoutInCell="1" allowOverlap="1">
                <wp:simplePos x="0" y="0"/>
                <wp:positionH relativeFrom="page">
                  <wp:posOffset>636905</wp:posOffset>
                </wp:positionH>
                <wp:positionV relativeFrom="paragraph">
                  <wp:posOffset>235585</wp:posOffset>
                </wp:positionV>
                <wp:extent cx="3713480" cy="0"/>
                <wp:effectExtent l="8255" t="6985" r="12065" b="12065"/>
                <wp:wrapNone/>
                <wp:docPr id="37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E99DE" id="Line 23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18.55pt" to="342.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1FwIAACw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" strokeweight=".48pt">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(2019) </w:t>
      </w:r>
      <w:r w:rsidR="002D29FC">
        <w:rPr>
          <w:rFonts w:ascii="Calibri"/>
          <w:i/>
          <w:sz w:val="16"/>
        </w:rPr>
        <w:t>Adult Social Care Finance Return (ASC-FR)</w:t>
      </w:r>
      <w:r w:rsidR="002D29FC">
        <w:rPr>
          <w:rFonts w:ascii="Calibri"/>
          <w:sz w:val="16"/>
        </w:rPr>
        <w:t xml:space="preserve">, NHS Digital 2018/19, </w:t>
      </w:r>
      <w:hyperlink r:id="rId76">
        <w:r w:rsidR="002D29FC">
          <w:rPr>
            <w:rFonts w:ascii="Calibri"/>
            <w:sz w:val="16"/>
            <w:u w:val="single"/>
          </w:rPr>
          <w:t>https://digital.nhs.uk/data-and-</w:t>
        </w:r>
      </w:hyperlink>
      <w:r w:rsidR="002D29FC">
        <w:rPr>
          <w:rFonts w:ascii="Calibri"/>
          <w:sz w:val="16"/>
        </w:rPr>
        <w:t xml:space="preserve"> </w:t>
      </w:r>
      <w:hyperlink r:id="rId77">
        <w:r w:rsidR="002D29FC">
          <w:rPr>
            <w:rFonts w:ascii="Calibri"/>
            <w:sz w:val="16"/>
          </w:rPr>
          <w:t xml:space="preserve">information/publications/statistical/adult-social-care-activity-and-finance-report/2018-19 </w:t>
        </w:r>
      </w:hyperlink>
      <w:r w:rsidR="002D29FC">
        <w:rPr>
          <w:rFonts w:ascii="Calibri"/>
          <w:sz w:val="16"/>
        </w:rPr>
        <w:t>[accessed 23 October, 2019], in collaboration with the Department of Health and Social Care.</w:t>
      </w:r>
    </w:p>
    <w:p w:rsidR="006A18FD" w:rsidRDefault="002D29FC">
      <w:pPr>
        <w:spacing w:before="1"/>
        <w:ind w:left="423" w:right="1002" w:hanging="284"/>
        <w:rPr>
          <w:rFonts w:ascii="Calibri"/>
          <w:sz w:val="16"/>
        </w:rPr>
      </w:pPr>
      <w:r>
        <w:rPr>
          <w:rFonts w:ascii="Calibri"/>
          <w:position w:val="5"/>
          <w:sz w:val="10"/>
        </w:rPr>
        <w:t xml:space="preserve">2 </w:t>
      </w:r>
      <w:r>
        <w:rPr>
          <w:rFonts w:ascii="Calibri"/>
          <w:sz w:val="16"/>
        </w:rPr>
        <w:t xml:space="preserve">Department of Health and Social Care (2018) </w:t>
      </w:r>
      <w:r>
        <w:rPr>
          <w:rFonts w:ascii="Calibri"/>
          <w:i/>
          <w:sz w:val="16"/>
        </w:rPr>
        <w:t>NHS-funded nursing care rate for 2018 to 2019</w:t>
      </w:r>
      <w:r>
        <w:rPr>
          <w:rFonts w:ascii="Calibri"/>
          <w:sz w:val="16"/>
        </w:rPr>
        <w:t xml:space="preserve">, Department of Health and Social Care, London. </w:t>
      </w:r>
      <w:hyperlink r:id="rId78">
        <w:r>
          <w:rPr>
            <w:rFonts w:ascii="Calibri"/>
            <w:sz w:val="16"/>
            <w:u w:val="single"/>
          </w:rPr>
          <w:t>https://www.gov.uk/government/news/nhs-funded-nursing-care-rate-announced-for-2018-to-2019</w:t>
        </w:r>
        <w:r>
          <w:rPr>
            <w:rFonts w:ascii="Calibri"/>
            <w:sz w:val="16"/>
          </w:rPr>
          <w:t xml:space="preserve"> </w:t>
        </w:r>
      </w:hyperlink>
      <w:r>
        <w:rPr>
          <w:rFonts w:ascii="Calibri"/>
          <w:sz w:val="16"/>
        </w:rPr>
        <w:t>[accessed 23 October 2019].</w:t>
      </w:r>
    </w:p>
    <w:p w:rsidR="006A18FD" w:rsidRDefault="002D29FC">
      <w:pPr>
        <w:spacing w:before="1"/>
        <w:ind w:left="423" w:right="195" w:hanging="284"/>
        <w:rPr>
          <w:rFonts w:ascii="Calibri"/>
          <w:sz w:val="16"/>
        </w:rPr>
      </w:pPr>
      <w:r>
        <w:rPr>
          <w:rFonts w:ascii="Calibri"/>
          <w:position w:val="5"/>
          <w:sz w:val="10"/>
        </w:rPr>
        <w:t xml:space="preserve">3 </w:t>
      </w:r>
      <w:r>
        <w:rPr>
          <w:rFonts w:ascii="Calibri"/>
          <w:sz w:val="16"/>
        </w:rPr>
        <w:t>Laing &amp; Buisson have confirmed that fees have not reduced since last year and apparent reductions are due to formulae changes in Care Cost Benchmarks.</w:t>
      </w:r>
    </w:p>
    <w:p w:rsidR="006A18FD" w:rsidRDefault="002D29FC">
      <w:pPr>
        <w:ind w:left="423" w:right="1190" w:hanging="284"/>
        <w:rPr>
          <w:rFonts w:ascii="Calibri"/>
          <w:sz w:val="16"/>
        </w:rPr>
      </w:pPr>
      <w:r>
        <w:rPr>
          <w:rFonts w:ascii="Calibri"/>
          <w:position w:val="5"/>
          <w:sz w:val="10"/>
        </w:rPr>
        <w:t xml:space="preserve">4 </w:t>
      </w:r>
      <w:r>
        <w:rPr>
          <w:rFonts w:ascii="Calibri"/>
          <w:sz w:val="16"/>
        </w:rPr>
        <w:t xml:space="preserve">Forder, J. &amp; Allen, S. (2011) </w:t>
      </w:r>
      <w:r>
        <w:rPr>
          <w:rFonts w:ascii="Calibri"/>
          <w:i/>
          <w:sz w:val="16"/>
        </w:rPr>
        <w:t>Competition in the care homes market</w:t>
      </w:r>
      <w:r>
        <w:rPr>
          <w:rFonts w:ascii="Calibri"/>
          <w:sz w:val="16"/>
        </w:rPr>
        <w:t xml:space="preserve">, </w:t>
      </w:r>
      <w:hyperlink r:id="rId79">
        <w:r>
          <w:rPr>
            <w:rFonts w:ascii="Calibri"/>
            <w:sz w:val="16"/>
            <w:u w:val="single"/>
          </w:rPr>
          <w:t>https://www.ohe.org/sites/default/files/Competition%20in%20care%20home%20market%202011.pdf</w:t>
        </w:r>
        <w:r>
          <w:rPr>
            <w:rFonts w:ascii="Calibri"/>
            <w:sz w:val="16"/>
          </w:rPr>
          <w:t xml:space="preserve"> </w:t>
        </w:r>
      </w:hyperlink>
      <w:r>
        <w:rPr>
          <w:rFonts w:ascii="Calibri"/>
          <w:sz w:val="16"/>
        </w:rPr>
        <w:t>[accessed 29 November 2016].</w:t>
      </w:r>
    </w:p>
    <w:p w:rsidR="006A18FD" w:rsidRDefault="002D29FC">
      <w:pPr>
        <w:ind w:left="423" w:right="1823" w:hanging="284"/>
        <w:rPr>
          <w:rFonts w:ascii="Calibri"/>
          <w:sz w:val="16"/>
        </w:rPr>
      </w:pPr>
      <w:r>
        <w:rPr>
          <w:rFonts w:ascii="Calibri"/>
          <w:position w:val="5"/>
          <w:sz w:val="10"/>
        </w:rPr>
        <w:t xml:space="preserve">5 </w:t>
      </w:r>
      <w:r>
        <w:rPr>
          <w:rFonts w:ascii="Calibri"/>
          <w:sz w:val="16"/>
        </w:rPr>
        <w:t xml:space="preserve">Institute of Public Care (2014) </w:t>
      </w:r>
      <w:r>
        <w:rPr>
          <w:rFonts w:ascii="Calibri"/>
          <w:i/>
          <w:sz w:val="16"/>
        </w:rPr>
        <w:t>The stability of the care market and market oversight in England</w:t>
      </w:r>
      <w:r>
        <w:rPr>
          <w:rFonts w:ascii="Calibri"/>
          <w:sz w:val="16"/>
        </w:rPr>
        <w:t xml:space="preserve">, Institute of Public Care, London. </w:t>
      </w:r>
      <w:hyperlink r:id="rId80">
        <w:r>
          <w:rPr>
            <w:rFonts w:ascii="Calibri"/>
            <w:sz w:val="16"/>
            <w:u w:val="single"/>
          </w:rPr>
          <w:t>http://www.cqc.org.uk/sites/default/files/201402-market-stability-report.pdf</w:t>
        </w:r>
        <w:r>
          <w:rPr>
            <w:rFonts w:ascii="Calibri"/>
            <w:sz w:val="16"/>
          </w:rPr>
          <w:t xml:space="preserve"> </w:t>
        </w:r>
      </w:hyperlink>
      <w:r>
        <w:rPr>
          <w:rFonts w:ascii="Calibri"/>
          <w:sz w:val="16"/>
        </w:rPr>
        <w:t>[28 November 2016].</w:t>
      </w:r>
    </w:p>
    <w:p w:rsidR="006A18FD" w:rsidRDefault="002D29FC">
      <w:pPr>
        <w:spacing w:line="194" w:lineRule="exact"/>
        <w:ind w:left="140"/>
        <w:rPr>
          <w:rFonts w:ascii="Calibri"/>
          <w:sz w:val="16"/>
        </w:rPr>
      </w:pPr>
      <w:r>
        <w:rPr>
          <w:rFonts w:ascii="Calibri"/>
          <w:position w:val="5"/>
          <w:sz w:val="10"/>
        </w:rPr>
        <w:t xml:space="preserve">6 </w:t>
      </w:r>
      <w:r>
        <w:rPr>
          <w:rFonts w:ascii="Calibri"/>
          <w:sz w:val="16"/>
        </w:rPr>
        <w:t xml:space="preserve">Drummond, M. &amp; McGuire, A. (2001, p.71) </w:t>
      </w:r>
      <w:r>
        <w:rPr>
          <w:rFonts w:ascii="Calibri"/>
          <w:i/>
          <w:sz w:val="16"/>
        </w:rPr>
        <w:t>Economic evaluation in health care</w:t>
      </w:r>
      <w:r>
        <w:rPr>
          <w:rFonts w:ascii="Calibri"/>
          <w:sz w:val="16"/>
        </w:rPr>
        <w:t>, Oxford University Press.</w:t>
      </w:r>
    </w:p>
    <w:p w:rsidR="006A18FD" w:rsidRDefault="002D29FC">
      <w:pPr>
        <w:spacing w:line="195" w:lineRule="exact"/>
        <w:ind w:left="140"/>
        <w:rPr>
          <w:rFonts w:ascii="Calibri"/>
          <w:sz w:val="16"/>
        </w:rPr>
      </w:pPr>
      <w:r>
        <w:rPr>
          <w:rFonts w:ascii="Calibri"/>
          <w:position w:val="5"/>
          <w:sz w:val="10"/>
        </w:rPr>
        <w:t xml:space="preserve">7 </w:t>
      </w:r>
      <w:r>
        <w:rPr>
          <w:rFonts w:ascii="Calibri"/>
          <w:sz w:val="16"/>
        </w:rPr>
        <w:t xml:space="preserve">Laing &amp; Buisson (2015) </w:t>
      </w:r>
      <w:r>
        <w:rPr>
          <w:rFonts w:ascii="Calibri"/>
          <w:i/>
          <w:sz w:val="16"/>
        </w:rPr>
        <w:t>Care of older people: UK market report 2014/2015</w:t>
      </w:r>
      <w:r>
        <w:rPr>
          <w:rFonts w:ascii="Calibri"/>
          <w:sz w:val="16"/>
        </w:rPr>
        <w:t>, Laing &amp; Buisson, London.</w:t>
      </w:r>
    </w:p>
    <w:p w:rsidR="006A18FD" w:rsidRDefault="002D29FC">
      <w:pPr>
        <w:spacing w:before="1"/>
        <w:ind w:left="423" w:right="2845" w:hanging="284"/>
        <w:rPr>
          <w:rFonts w:ascii="Calibri" w:hAnsi="Calibri"/>
          <w:sz w:val="16"/>
        </w:rPr>
      </w:pPr>
      <w:r>
        <w:rPr>
          <w:rFonts w:ascii="Calibri" w:hAnsi="Calibri"/>
          <w:position w:val="5"/>
          <w:sz w:val="10"/>
        </w:rPr>
        <w:t xml:space="preserve">8 </w:t>
      </w:r>
      <w:r>
        <w:rPr>
          <w:rFonts w:ascii="Calibri" w:hAnsi="Calibri"/>
          <w:sz w:val="16"/>
        </w:rPr>
        <w:t>Laing &amp; Buisson (2012</w:t>
      </w:r>
      <w:r>
        <w:rPr>
          <w:rFonts w:ascii="Calibri" w:hAnsi="Calibri"/>
          <w:i/>
          <w:sz w:val="16"/>
        </w:rPr>
        <w:t>) ‘Fair Fees’ for care placements left behind amidst council cuts</w:t>
      </w:r>
      <w:r>
        <w:rPr>
          <w:rFonts w:ascii="Calibri" w:hAnsi="Calibri"/>
          <w:sz w:val="16"/>
        </w:rPr>
        <w:t xml:space="preserve">, Laing &amp; Buisson, London. </w:t>
      </w:r>
      <w:hyperlink r:id="rId81">
        <w:r>
          <w:rPr>
            <w:rFonts w:ascii="Calibri" w:hAnsi="Calibri"/>
            <w:color w:val="0000FF"/>
            <w:sz w:val="16"/>
            <w:u w:val="single" w:color="0000FF"/>
          </w:rPr>
          <w:t>http://www.laingbuisson.co.uk/Portals/1/PressReleases/FairPrice_12_PR.pdf</w:t>
        </w:r>
        <w:r>
          <w:rPr>
            <w:rFonts w:ascii="Calibri" w:hAnsi="Calibri"/>
            <w:color w:val="0000FF"/>
            <w:sz w:val="16"/>
          </w:rPr>
          <w:t xml:space="preserve"> </w:t>
        </w:r>
      </w:hyperlink>
      <w:r>
        <w:rPr>
          <w:rFonts w:ascii="Calibri" w:hAnsi="Calibri"/>
          <w:sz w:val="16"/>
        </w:rPr>
        <w:t>[accessed 29 November 2016].</w:t>
      </w:r>
    </w:p>
    <w:p w:rsidR="006A18FD" w:rsidRDefault="002D29FC">
      <w:pPr>
        <w:spacing w:line="194" w:lineRule="exact"/>
        <w:ind w:left="140"/>
        <w:rPr>
          <w:rFonts w:ascii="Calibri"/>
          <w:sz w:val="16"/>
        </w:rPr>
      </w:pPr>
      <w:r>
        <w:rPr>
          <w:rFonts w:ascii="Calibri"/>
          <w:position w:val="5"/>
          <w:sz w:val="10"/>
        </w:rPr>
        <w:t xml:space="preserve">9 </w:t>
      </w:r>
      <w:r>
        <w:rPr>
          <w:rFonts w:ascii="Calibri"/>
          <w:sz w:val="16"/>
        </w:rPr>
        <w:t xml:space="preserve">Laing &amp; Buisson (2019) </w:t>
      </w:r>
      <w:r>
        <w:rPr>
          <w:rFonts w:ascii="Calibri"/>
          <w:i/>
          <w:sz w:val="16"/>
        </w:rPr>
        <w:t>Laing &amp; Buisson Care Homes Complete Dataset 2018/19</w:t>
      </w:r>
      <w:r>
        <w:rPr>
          <w:rFonts w:ascii="Calibri"/>
          <w:sz w:val="16"/>
        </w:rPr>
        <w:t>, Laing &amp; Buisson, London.</w:t>
      </w:r>
    </w:p>
    <w:p w:rsidR="006A18FD" w:rsidRDefault="002D29FC">
      <w:pPr>
        <w:spacing w:before="2" w:line="195" w:lineRule="exact"/>
        <w:ind w:left="140"/>
        <w:rPr>
          <w:rFonts w:ascii="Calibri"/>
          <w:sz w:val="16"/>
        </w:rPr>
      </w:pPr>
      <w:r>
        <w:rPr>
          <w:rFonts w:ascii="Calibri"/>
          <w:position w:val="5"/>
          <w:sz w:val="10"/>
        </w:rPr>
        <w:t xml:space="preserve">10 </w:t>
      </w:r>
      <w:r>
        <w:rPr>
          <w:rFonts w:ascii="Calibri"/>
          <w:sz w:val="16"/>
        </w:rPr>
        <w:t xml:space="preserve">Laing &amp; Buisson (2019) </w:t>
      </w:r>
      <w:r>
        <w:rPr>
          <w:rFonts w:ascii="Calibri"/>
          <w:i/>
          <w:sz w:val="16"/>
        </w:rPr>
        <w:t>Care Cost Benchmarks</w:t>
      </w:r>
      <w:r>
        <w:rPr>
          <w:rFonts w:ascii="Calibri"/>
          <w:sz w:val="16"/>
        </w:rPr>
        <w:t>, Laing &amp; Buisson, London.</w:t>
      </w:r>
    </w:p>
    <w:p w:rsidR="006A18FD" w:rsidRDefault="002D29FC">
      <w:pPr>
        <w:ind w:left="423" w:right="201" w:hanging="284"/>
        <w:rPr>
          <w:rFonts w:ascii="Calibri" w:hAnsi="Calibri"/>
          <w:sz w:val="16"/>
        </w:rPr>
      </w:pPr>
      <w:r>
        <w:rPr>
          <w:rFonts w:ascii="Calibri" w:hAnsi="Calibri"/>
          <w:position w:val="5"/>
          <w:sz w:val="10"/>
        </w:rPr>
        <w:t xml:space="preserve">11 </w:t>
      </w:r>
      <w:r>
        <w:rPr>
          <w:rFonts w:ascii="Calibri" w:hAnsi="Calibri"/>
          <w:sz w:val="16"/>
        </w:rPr>
        <w:t xml:space="preserve">Department of Health &amp; Social Care (2019) Social Care – Charging for care and support, Department of Health &amp; Social Care, London. </w:t>
      </w:r>
      <w:hyperlink r:id="rId82">
        <w:r>
          <w:rPr>
            <w:rFonts w:ascii="Calibri" w:hAnsi="Calibri"/>
            <w:sz w:val="16"/>
            <w:u w:val="single"/>
          </w:rPr>
          <w:t>https://assets.publishing.service.gov.uk/government/uploads/system/uploads/attachment_data/file/772969/Social_care_charging_for_care_and_su</w:t>
        </w:r>
      </w:hyperlink>
      <w:r>
        <w:rPr>
          <w:rFonts w:ascii="Calibri" w:hAnsi="Calibri"/>
          <w:sz w:val="16"/>
        </w:rPr>
        <w:t xml:space="preserve"> </w:t>
      </w:r>
      <w:hyperlink r:id="rId83">
        <w:r>
          <w:rPr>
            <w:rFonts w:ascii="Calibri" w:hAnsi="Calibri"/>
            <w:sz w:val="16"/>
            <w:u w:val="single"/>
          </w:rPr>
          <w:t>pport_-_LAC_2019.pdf</w:t>
        </w:r>
        <w:r>
          <w:rPr>
            <w:rFonts w:ascii="Calibri" w:hAnsi="Calibri"/>
            <w:sz w:val="16"/>
          </w:rPr>
          <w:t xml:space="preserve"> </w:t>
        </w:r>
      </w:hyperlink>
      <w:r>
        <w:rPr>
          <w:rFonts w:ascii="Calibri" w:hAnsi="Calibri"/>
          <w:sz w:val="16"/>
        </w:rPr>
        <w:t>[accessed 20 May 2019].</w:t>
      </w:r>
    </w:p>
    <w:p w:rsidR="006A18FD" w:rsidRDefault="002D29FC">
      <w:pPr>
        <w:ind w:left="423" w:right="2262" w:hanging="284"/>
        <w:rPr>
          <w:rFonts w:ascii="Calibri"/>
          <w:sz w:val="16"/>
        </w:rPr>
      </w:pPr>
      <w:r>
        <w:rPr>
          <w:rFonts w:ascii="Calibri"/>
          <w:position w:val="5"/>
          <w:sz w:val="10"/>
        </w:rPr>
        <w:t xml:space="preserve">12 </w:t>
      </w:r>
      <w:r>
        <w:rPr>
          <w:rFonts w:ascii="Calibri"/>
          <w:sz w:val="16"/>
        </w:rPr>
        <w:t xml:space="preserve">Laing, W. (2017) </w:t>
      </w:r>
      <w:r>
        <w:rPr>
          <w:rFonts w:ascii="Calibri"/>
          <w:i/>
          <w:sz w:val="16"/>
        </w:rPr>
        <w:t>Care homes for Older People market analysis and projections</w:t>
      </w:r>
      <w:r>
        <w:rPr>
          <w:rFonts w:ascii="Calibri"/>
          <w:sz w:val="16"/>
        </w:rPr>
        <w:t xml:space="preserve">, </w:t>
      </w:r>
      <w:hyperlink r:id="rId84">
        <w:r>
          <w:rPr>
            <w:rFonts w:ascii="Calibri"/>
            <w:sz w:val="16"/>
            <w:u w:val="single"/>
          </w:rPr>
          <w:t>http://www.laingbuissonevents.com/wp-</w:t>
        </w:r>
      </w:hyperlink>
      <w:r>
        <w:rPr>
          <w:rFonts w:ascii="Calibri"/>
          <w:sz w:val="16"/>
        </w:rPr>
        <w:t xml:space="preserve"> </w:t>
      </w:r>
      <w:hyperlink r:id="rId85">
        <w:r>
          <w:rPr>
            <w:rFonts w:ascii="Calibri"/>
            <w:sz w:val="16"/>
            <w:u w:val="single"/>
          </w:rPr>
          <w:t>content/uploads/2017/05/William-COP.pdf</w:t>
        </w:r>
        <w:r>
          <w:rPr>
            <w:rFonts w:ascii="Calibri"/>
            <w:sz w:val="16"/>
          </w:rPr>
          <w:t xml:space="preserve"> </w:t>
        </w:r>
      </w:hyperlink>
      <w:r>
        <w:rPr>
          <w:rFonts w:ascii="Calibri"/>
          <w:sz w:val="16"/>
        </w:rPr>
        <w:t>[accessed 17 October 2017].</w:t>
      </w:r>
    </w:p>
    <w:p w:rsidR="006A18FD" w:rsidRDefault="002D29FC">
      <w:pPr>
        <w:ind w:left="423" w:hanging="284"/>
        <w:rPr>
          <w:rFonts w:ascii="Calibri"/>
          <w:sz w:val="16"/>
        </w:rPr>
      </w:pPr>
      <w:r>
        <w:rPr>
          <w:rFonts w:ascii="Calibri"/>
          <w:position w:val="5"/>
          <w:sz w:val="10"/>
        </w:rPr>
        <w:t xml:space="preserve">13 </w:t>
      </w:r>
      <w:r>
        <w:rPr>
          <w:rFonts w:ascii="Calibri"/>
          <w:sz w:val="16"/>
        </w:rPr>
        <w:t xml:space="preserve">Registered Care Providers Association Ltd (2016) </w:t>
      </w:r>
      <w:r>
        <w:rPr>
          <w:rFonts w:ascii="Calibri"/>
          <w:i/>
          <w:sz w:val="16"/>
        </w:rPr>
        <w:t>Care Home Benchmarking Report 2016/17</w:t>
      </w:r>
      <w:r>
        <w:rPr>
          <w:rFonts w:ascii="Calibri"/>
          <w:sz w:val="16"/>
        </w:rPr>
        <w:t xml:space="preserve">, </w:t>
      </w:r>
      <w:hyperlink r:id="rId86">
        <w:r>
          <w:rPr>
            <w:rFonts w:ascii="Calibri"/>
            <w:sz w:val="16"/>
            <w:u w:val="single"/>
          </w:rPr>
          <w:t>http://www.rcpa.org.uk/wp-</w:t>
        </w:r>
      </w:hyperlink>
      <w:r>
        <w:rPr>
          <w:rFonts w:ascii="Calibri"/>
          <w:sz w:val="16"/>
        </w:rPr>
        <w:t xml:space="preserve"> </w:t>
      </w:r>
      <w:hyperlink r:id="rId87">
        <w:r>
          <w:rPr>
            <w:rFonts w:ascii="Calibri"/>
            <w:sz w:val="16"/>
            <w:u w:val="single"/>
          </w:rPr>
          <w:t>content/uploads/2016/12/NAT00339_Healthcare_Report_Midres.pdf</w:t>
        </w:r>
        <w:r>
          <w:rPr>
            <w:rFonts w:ascii="Calibri"/>
            <w:sz w:val="16"/>
          </w:rPr>
          <w:t xml:space="preserve"> </w:t>
        </w:r>
      </w:hyperlink>
      <w:r>
        <w:rPr>
          <w:rFonts w:ascii="Calibri"/>
          <w:sz w:val="16"/>
        </w:rPr>
        <w:t>[accessed 10 October 2017].</w:t>
      </w:r>
    </w:p>
    <w:p w:rsidR="006A18FD" w:rsidRDefault="006A18FD">
      <w:pPr>
        <w:rPr>
          <w:rFonts w:ascii="Calibri"/>
          <w:sz w:val="16"/>
        </w:rPr>
        <w:sectPr w:rsidR="006A18FD">
          <w:headerReference w:type="even" r:id="rId88"/>
          <w:headerReference w:type="default" r:id="rId89"/>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7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73" name="Line 23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CA6C5" id="Group 22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BXyfh5gAIAAIEF&#10;AAAOAAAAAAAAAAAAAAAAAC4CAABkcnMvZTJvRG9jLnhtbFBLAQItABQABgAIAAAAIQAtd+Rc2gAA&#10;AAQBAAAPAAAAAAAAAAAAAAAAANoEAABkcnMvZG93bnJldi54bWxQSwUGAAAAAAQABADzAAAA4QUA&#10;AAAA&#10;">
                <v:line id="Line 23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w10:anchorlock/>
              </v:group>
            </w:pict>
          </mc:Fallback>
        </mc:AlternateContent>
      </w:r>
    </w:p>
    <w:p w:rsidR="006A18FD" w:rsidRDefault="00E42AC6" w:rsidP="00E42AC6">
      <w:pPr>
        <w:pStyle w:val="Heading2"/>
      </w:pPr>
      <w:r>
        <w:t xml:space="preserve">1.2 </w:t>
      </w:r>
      <w:r w:rsidR="002D29FC">
        <w:t>Private sector residential care for older people (age</w:t>
      </w:r>
      <w:r w:rsidR="002D29FC">
        <w:rPr>
          <w:spacing w:val="-27"/>
        </w:rPr>
        <w:t xml:space="preserve"> </w:t>
      </w:r>
      <w:r w:rsidR="002D29FC">
        <w:t>65+)</w:t>
      </w:r>
    </w:p>
    <w:p w:rsidR="006A18FD" w:rsidRDefault="002D29FC">
      <w:pPr>
        <w:spacing w:before="109" w:after="2" w:line="276" w:lineRule="auto"/>
        <w:ind w:left="152" w:right="251"/>
        <w:rPr>
          <w:rFonts w:ascii="Calibri" w:hAnsi="Calibri"/>
          <w:sz w:val="12"/>
        </w:rPr>
      </w:pPr>
      <w:r>
        <w:rPr>
          <w:rFonts w:ascii="Calibri" w:hAnsi="Calibri"/>
          <w:sz w:val="18"/>
        </w:rPr>
        <w:t xml:space="preserve">Using Adult Social Care Finance Return (ASC-FR) </w:t>
      </w:r>
      <w:r>
        <w:rPr>
          <w:rFonts w:ascii="Calibri" w:hAnsi="Calibri"/>
          <w:position w:val="5"/>
          <w:sz w:val="12"/>
        </w:rPr>
        <w:t xml:space="preserve">1 </w:t>
      </w:r>
      <w:r>
        <w:rPr>
          <w:rFonts w:ascii="Calibri" w:hAnsi="Calibri"/>
          <w:sz w:val="18"/>
        </w:rPr>
        <w:t xml:space="preserve">returns for 2018/2019, the median cost per person for supporting older people in a residential care home provided by non-local authority organisations was £622 per week, with a mean cost of £620 per week [using unique identifiers: 8713801, 8714401, 8715001, 8715601, 8716201 (numerators in thousands of pounds), 8713802, 8714402, 8715002, 8715602, 8716202 (denominators)]. See </w:t>
      </w:r>
      <w:r>
        <w:rPr>
          <w:rFonts w:ascii="Calibri" w:hAnsi="Calibri"/>
          <w:i/>
          <w:sz w:val="18"/>
        </w:rPr>
        <w:t xml:space="preserve">Care homes market study </w:t>
      </w:r>
      <w:r>
        <w:rPr>
          <w:rFonts w:ascii="Calibri" w:hAnsi="Calibri"/>
          <w:sz w:val="18"/>
        </w:rPr>
        <w:t>for an explanation of why the average fee reported using the Laing &amp; Buisson Care Homes Complete Dataset</w:t>
      </w:r>
      <w:r>
        <w:rPr>
          <w:rFonts w:ascii="Calibri" w:hAnsi="Calibri"/>
          <w:position w:val="5"/>
          <w:sz w:val="12"/>
        </w:rPr>
        <w:t xml:space="preserve">8 </w:t>
      </w:r>
      <w:r>
        <w:rPr>
          <w:rFonts w:ascii="Calibri" w:hAnsi="Calibri"/>
          <w:sz w:val="18"/>
        </w:rPr>
        <w:t>is higher than that reported using the ASC-FR returns.</w:t>
      </w:r>
      <w:r>
        <w:rPr>
          <w:rFonts w:ascii="Calibri" w:hAnsi="Calibri"/>
          <w:position w:val="5"/>
          <w:sz w:val="12"/>
        </w:rPr>
        <w:t>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1688"/>
        <w:gridCol w:w="6116"/>
      </w:tblGrid>
      <w:tr w:rsidR="006A18FD" w:rsidTr="0053166C">
        <w:trPr>
          <w:trHeight w:val="320"/>
          <w:tblHeader/>
        </w:trPr>
        <w:tc>
          <w:tcPr>
            <w:tcW w:w="2240" w:type="dxa"/>
          </w:tcPr>
          <w:p w:rsidR="006A18FD" w:rsidRDefault="002D29FC">
            <w:pPr>
              <w:spacing w:before="1"/>
              <w:ind w:left="52"/>
              <w:rPr>
                <w:rFonts w:ascii="Calibri"/>
                <w:b/>
                <w:sz w:val="18"/>
              </w:rPr>
            </w:pPr>
            <w:r>
              <w:rPr>
                <w:rFonts w:ascii="Calibri"/>
                <w:b/>
                <w:sz w:val="18"/>
              </w:rPr>
              <w:t>Costs and unit estimation</w:t>
            </w:r>
          </w:p>
        </w:tc>
        <w:tc>
          <w:tcPr>
            <w:tcW w:w="1688" w:type="dxa"/>
          </w:tcPr>
          <w:p w:rsidR="006A18FD" w:rsidRDefault="002D29FC">
            <w:pPr>
              <w:spacing w:before="1"/>
              <w:ind w:left="105"/>
              <w:rPr>
                <w:rFonts w:ascii="Calibri"/>
                <w:b/>
                <w:sz w:val="18"/>
              </w:rPr>
            </w:pPr>
            <w:r>
              <w:rPr>
                <w:rFonts w:ascii="Calibri"/>
                <w:b/>
                <w:sz w:val="18"/>
              </w:rPr>
              <w:t>2018/2019 value</w:t>
            </w:r>
          </w:p>
        </w:tc>
        <w:tc>
          <w:tcPr>
            <w:tcW w:w="6116" w:type="dxa"/>
          </w:tcPr>
          <w:p w:rsidR="006A18FD" w:rsidRDefault="002D29FC">
            <w:pPr>
              <w:spacing w:before="1"/>
              <w:ind w:left="105"/>
              <w:rPr>
                <w:rFonts w:ascii="Calibri"/>
                <w:b/>
                <w:sz w:val="18"/>
              </w:rPr>
            </w:pPr>
            <w:r>
              <w:rPr>
                <w:rFonts w:ascii="Calibri"/>
                <w:b/>
                <w:sz w:val="18"/>
              </w:rPr>
              <w:t>Notes</w:t>
            </w:r>
          </w:p>
        </w:tc>
      </w:tr>
      <w:tr w:rsidR="006A18FD">
        <w:trPr>
          <w:trHeight w:val="2620"/>
        </w:trPr>
        <w:tc>
          <w:tcPr>
            <w:tcW w:w="2240" w:type="dxa"/>
          </w:tcPr>
          <w:p w:rsidR="006A18FD" w:rsidRDefault="002D29FC">
            <w:pPr>
              <w:spacing w:before="1"/>
              <w:ind w:left="52"/>
              <w:rPr>
                <w:rFonts w:ascii="Calibri"/>
                <w:sz w:val="18"/>
              </w:rPr>
            </w:pPr>
            <w:r>
              <w:rPr>
                <w:rFonts w:ascii="Calibri"/>
                <w:sz w:val="18"/>
              </w:rPr>
              <w:t>A. Fees</w:t>
            </w:r>
          </w:p>
        </w:tc>
        <w:tc>
          <w:tcPr>
            <w:tcW w:w="1688" w:type="dxa"/>
          </w:tcPr>
          <w:p w:rsidR="006A18FD" w:rsidRDefault="002D29FC">
            <w:pPr>
              <w:spacing w:before="1"/>
              <w:ind w:left="105"/>
              <w:rPr>
                <w:rFonts w:ascii="Calibri" w:hAnsi="Calibri"/>
                <w:sz w:val="18"/>
              </w:rPr>
            </w:pPr>
            <w:r>
              <w:rPr>
                <w:rFonts w:ascii="Calibri" w:hAnsi="Calibri"/>
                <w:sz w:val="18"/>
              </w:rPr>
              <w:t>£691 per week</w:t>
            </w:r>
          </w:p>
        </w:tc>
        <w:tc>
          <w:tcPr>
            <w:tcW w:w="6116" w:type="dxa"/>
          </w:tcPr>
          <w:p w:rsidR="006A18FD" w:rsidRDefault="002D29FC">
            <w:pPr>
              <w:spacing w:before="1"/>
              <w:ind w:left="105"/>
              <w:rPr>
                <w:rFonts w:ascii="Calibri"/>
                <w:sz w:val="12"/>
              </w:rPr>
            </w:pPr>
            <w:r>
              <w:rPr>
                <w:rFonts w:ascii="Calibri"/>
                <w:sz w:val="18"/>
              </w:rPr>
              <w:t>The direct unit cost of private sector nursing homes is assumed to be the fee. Where a market is fairly competitive, such as that for private sector nursing homes, it is reasonable to assume that the fee will approximate the societal cost of the service.</w:t>
            </w:r>
            <w:r>
              <w:rPr>
                <w:rFonts w:ascii="Calibri"/>
                <w:position w:val="5"/>
                <w:sz w:val="12"/>
              </w:rPr>
              <w:t xml:space="preserve">3,4,5,6,7 </w:t>
            </w:r>
            <w:r>
              <w:rPr>
                <w:rFonts w:ascii="Calibri"/>
                <w:sz w:val="18"/>
              </w:rPr>
              <w:t>The midpoint between the minimum and maximum fee was taken from Laing &amp; Buisson Care Homes Complete Dataset 2018/2019.</w:t>
            </w:r>
            <w:r>
              <w:rPr>
                <w:rFonts w:ascii="Calibri"/>
                <w:position w:val="5"/>
                <w:sz w:val="12"/>
              </w:rPr>
              <w:t>8</w:t>
            </w:r>
          </w:p>
          <w:p w:rsidR="006A18FD" w:rsidRDefault="006A18FD">
            <w:pPr>
              <w:spacing w:before="11"/>
              <w:rPr>
                <w:rFonts w:ascii="Calibri"/>
                <w:sz w:val="17"/>
              </w:rPr>
            </w:pPr>
          </w:p>
          <w:p w:rsidR="006A18FD" w:rsidRDefault="002D29FC">
            <w:pPr>
              <w:ind w:left="105"/>
              <w:rPr>
                <w:rFonts w:ascii="Calibri"/>
                <w:sz w:val="12"/>
              </w:rPr>
            </w:pPr>
            <w:r>
              <w:rPr>
                <w:rFonts w:ascii="Calibri"/>
                <w:sz w:val="18"/>
              </w:rPr>
              <w:t>Care home fees have been split into their component parts by Laing &amp; Buisson (2019).</w:t>
            </w:r>
            <w:r>
              <w:rPr>
                <w:rFonts w:ascii="Calibri"/>
                <w:position w:val="5"/>
                <w:sz w:val="12"/>
              </w:rPr>
              <w:t>9</w:t>
            </w:r>
          </w:p>
          <w:p w:rsidR="006A18FD" w:rsidRDefault="002D29FC">
            <w:pPr>
              <w:ind w:left="105" w:right="140"/>
              <w:rPr>
                <w:rFonts w:ascii="Calibri"/>
                <w:sz w:val="18"/>
              </w:rPr>
            </w:pPr>
            <w:r>
              <w:rPr>
                <w:rFonts w:ascii="Calibri"/>
                <w:sz w:val="18"/>
              </w:rPr>
              <w:t>For residential care for frail elderly people, direct costs (staff: care and ancillary) form 56 per cent of total costs; repairs, maintenance and other non-staff current costs at home level form 21 per cent, corporate overheads forms 4 per</w:t>
            </w:r>
          </w:p>
          <w:p w:rsidR="006A18FD" w:rsidRDefault="002D29FC">
            <w:pPr>
              <w:spacing w:before="1" w:line="198" w:lineRule="exact"/>
              <w:ind w:left="105"/>
              <w:rPr>
                <w:rFonts w:ascii="Calibri"/>
                <w:sz w:val="18"/>
              </w:rPr>
            </w:pPr>
            <w:r>
              <w:rPr>
                <w:rFonts w:ascii="Calibri"/>
                <w:sz w:val="18"/>
              </w:rPr>
              <w:t>cent  and accommodation costs forms 19 per cent of the total.</w:t>
            </w:r>
          </w:p>
        </w:tc>
      </w:tr>
      <w:tr w:rsidR="006A18FD">
        <w:trPr>
          <w:trHeight w:val="220"/>
        </w:trPr>
        <w:tc>
          <w:tcPr>
            <w:tcW w:w="2240" w:type="dxa"/>
            <w:tcBorders>
              <w:bottom w:val="nil"/>
            </w:tcBorders>
          </w:tcPr>
          <w:p w:rsidR="006A18FD" w:rsidRDefault="002D29FC">
            <w:pPr>
              <w:spacing w:before="1" w:line="216" w:lineRule="exact"/>
              <w:ind w:left="52"/>
              <w:rPr>
                <w:rFonts w:ascii="Calibri"/>
                <w:sz w:val="18"/>
              </w:rPr>
            </w:pPr>
            <w:r>
              <w:rPr>
                <w:rFonts w:ascii="Calibri"/>
                <w:sz w:val="18"/>
              </w:rPr>
              <w:t>External service</w:t>
            </w:r>
          </w:p>
        </w:tc>
        <w:tc>
          <w:tcPr>
            <w:tcW w:w="1688" w:type="dxa"/>
            <w:tcBorders>
              <w:bottom w:val="nil"/>
            </w:tcBorders>
          </w:tcPr>
          <w:p w:rsidR="006A18FD" w:rsidRDefault="006A18FD">
            <w:pPr>
              <w:rPr>
                <w:rFonts w:ascii="Times New Roman"/>
                <w:sz w:val="16"/>
              </w:rPr>
            </w:pPr>
          </w:p>
        </w:tc>
        <w:tc>
          <w:tcPr>
            <w:tcW w:w="6116" w:type="dxa"/>
            <w:tcBorders>
              <w:bottom w:val="nil"/>
            </w:tcBorders>
          </w:tcPr>
          <w:p w:rsidR="006A18FD" w:rsidRDefault="002D29FC">
            <w:pPr>
              <w:spacing w:before="1" w:line="216" w:lineRule="exact"/>
              <w:ind w:left="105"/>
              <w:rPr>
                <w:rFonts w:ascii="Calibri"/>
                <w:sz w:val="18"/>
              </w:rPr>
            </w:pPr>
            <w:r>
              <w:rPr>
                <w:rFonts w:ascii="Calibri"/>
                <w:sz w:val="18"/>
              </w:rPr>
              <w:t>Information has been drawn from the article in the 2018 volume by Sach et al.</w:t>
            </w:r>
          </w:p>
        </w:tc>
      </w:tr>
      <w:tr w:rsidR="006A18FD">
        <w:trPr>
          <w:trHeight w:val="220"/>
        </w:trPr>
        <w:tc>
          <w:tcPr>
            <w:tcW w:w="2240" w:type="dxa"/>
            <w:tcBorders>
              <w:top w:val="nil"/>
              <w:bottom w:val="nil"/>
            </w:tcBorders>
          </w:tcPr>
          <w:p w:rsidR="006A18FD" w:rsidRDefault="002D29FC">
            <w:pPr>
              <w:spacing w:before="19" w:line="199" w:lineRule="exact"/>
              <w:ind w:left="52"/>
              <w:rPr>
                <w:rFonts w:ascii="Calibri"/>
                <w:sz w:val="18"/>
              </w:rPr>
            </w:pPr>
            <w:r>
              <w:rPr>
                <w:rFonts w:ascii="Calibri"/>
                <w:sz w:val="18"/>
              </w:rPr>
              <w:t>B. Nursing</w:t>
            </w:r>
          </w:p>
        </w:tc>
        <w:tc>
          <w:tcPr>
            <w:tcW w:w="1688" w:type="dxa"/>
            <w:tcBorders>
              <w:top w:val="nil"/>
              <w:bottom w:val="nil"/>
            </w:tcBorders>
          </w:tcPr>
          <w:p w:rsidR="006A18FD" w:rsidRDefault="002D29FC">
            <w:pPr>
              <w:spacing w:before="19" w:line="199" w:lineRule="exact"/>
              <w:ind w:left="105"/>
              <w:rPr>
                <w:rFonts w:ascii="Calibri" w:hAnsi="Calibri"/>
                <w:sz w:val="18"/>
              </w:rPr>
            </w:pPr>
            <w:r>
              <w:rPr>
                <w:rFonts w:ascii="Calibri" w:hAnsi="Calibri"/>
                <w:sz w:val="18"/>
              </w:rPr>
              <w:t>£8 per week</w:t>
            </w:r>
          </w:p>
        </w:tc>
        <w:tc>
          <w:tcPr>
            <w:tcW w:w="6116" w:type="dxa"/>
            <w:tcBorders>
              <w:top w:val="nil"/>
              <w:bottom w:val="nil"/>
            </w:tcBorders>
          </w:tcPr>
          <w:p w:rsidR="006A18FD" w:rsidRDefault="002D29FC">
            <w:pPr>
              <w:spacing w:line="203" w:lineRule="exact"/>
              <w:ind w:left="105"/>
              <w:rPr>
                <w:rFonts w:ascii="Calibri"/>
                <w:sz w:val="18"/>
              </w:rPr>
            </w:pPr>
            <w:r>
              <w:rPr>
                <w:rFonts w:ascii="Calibri"/>
                <w:sz w:val="18"/>
              </w:rPr>
              <w:t>(2018) which compares the mean cost of contacts per resident using data</w:t>
            </w:r>
          </w:p>
        </w:tc>
      </w:tr>
      <w:tr w:rsidR="006A18FD">
        <w:trPr>
          <w:trHeight w:val="640"/>
        </w:trPr>
        <w:tc>
          <w:tcPr>
            <w:tcW w:w="2240" w:type="dxa"/>
            <w:tcBorders>
              <w:top w:val="nil"/>
              <w:bottom w:val="nil"/>
            </w:tcBorders>
          </w:tcPr>
          <w:p w:rsidR="006A18FD" w:rsidRDefault="002D29FC" w:rsidP="008E3FA8">
            <w:pPr>
              <w:numPr>
                <w:ilvl w:val="0"/>
                <w:numId w:val="21"/>
              </w:numPr>
              <w:tabs>
                <w:tab w:val="left" w:pos="235"/>
              </w:tabs>
              <w:spacing w:before="35"/>
              <w:rPr>
                <w:rFonts w:ascii="Calibri"/>
                <w:sz w:val="18"/>
              </w:rPr>
            </w:pPr>
            <w:r>
              <w:rPr>
                <w:rFonts w:ascii="Calibri"/>
                <w:sz w:val="18"/>
              </w:rPr>
              <w:t>GP</w:t>
            </w:r>
            <w:r>
              <w:rPr>
                <w:rFonts w:ascii="Calibri"/>
                <w:spacing w:val="-5"/>
                <w:sz w:val="18"/>
              </w:rPr>
              <w:t xml:space="preserve"> </w:t>
            </w:r>
            <w:r>
              <w:rPr>
                <w:rFonts w:ascii="Calibri"/>
                <w:sz w:val="18"/>
              </w:rPr>
              <w:t>services</w:t>
            </w:r>
          </w:p>
          <w:p w:rsidR="006A18FD" w:rsidRDefault="002D29FC" w:rsidP="008E3FA8">
            <w:pPr>
              <w:numPr>
                <w:ilvl w:val="0"/>
                <w:numId w:val="21"/>
              </w:numPr>
              <w:tabs>
                <w:tab w:val="left" w:pos="250"/>
              </w:tabs>
              <w:spacing w:before="31"/>
              <w:ind w:left="249" w:hanging="197"/>
              <w:rPr>
                <w:rFonts w:ascii="Calibri"/>
                <w:sz w:val="18"/>
              </w:rPr>
            </w:pPr>
            <w:r>
              <w:rPr>
                <w:rFonts w:ascii="Calibri"/>
                <w:sz w:val="18"/>
              </w:rPr>
              <w:t>Other external</w:t>
            </w:r>
            <w:r>
              <w:rPr>
                <w:rFonts w:ascii="Calibri"/>
                <w:spacing w:val="-8"/>
                <w:sz w:val="18"/>
              </w:rPr>
              <w:t xml:space="preserve"> </w:t>
            </w:r>
            <w:r>
              <w:rPr>
                <w:rFonts w:ascii="Calibri"/>
                <w:sz w:val="18"/>
              </w:rPr>
              <w:t>services</w:t>
            </w:r>
          </w:p>
        </w:tc>
        <w:tc>
          <w:tcPr>
            <w:tcW w:w="1688" w:type="dxa"/>
            <w:tcBorders>
              <w:top w:val="nil"/>
              <w:bottom w:val="nil"/>
            </w:tcBorders>
          </w:tcPr>
          <w:p w:rsidR="006A18FD" w:rsidRDefault="002D29FC">
            <w:pPr>
              <w:spacing w:before="35"/>
              <w:ind w:left="105"/>
              <w:rPr>
                <w:rFonts w:ascii="Calibri" w:hAnsi="Calibri"/>
                <w:sz w:val="18"/>
              </w:rPr>
            </w:pPr>
            <w:r>
              <w:rPr>
                <w:rFonts w:ascii="Calibri" w:hAnsi="Calibri"/>
                <w:sz w:val="18"/>
              </w:rPr>
              <w:t>£11 per week</w:t>
            </w:r>
          </w:p>
          <w:p w:rsidR="006A18FD" w:rsidRDefault="002D29FC">
            <w:pPr>
              <w:spacing w:before="31"/>
              <w:ind w:left="105"/>
              <w:rPr>
                <w:rFonts w:ascii="Calibri" w:hAnsi="Calibri"/>
                <w:sz w:val="18"/>
              </w:rPr>
            </w:pPr>
            <w:r>
              <w:rPr>
                <w:rFonts w:ascii="Calibri" w:hAnsi="Calibri"/>
                <w:sz w:val="18"/>
              </w:rPr>
              <w:t>£6 per week</w:t>
            </w:r>
          </w:p>
        </w:tc>
        <w:tc>
          <w:tcPr>
            <w:tcW w:w="6116" w:type="dxa"/>
            <w:tcBorders>
              <w:top w:val="nil"/>
              <w:bottom w:val="nil"/>
            </w:tcBorders>
          </w:tcPr>
          <w:p w:rsidR="006A18FD" w:rsidRDefault="002D29FC">
            <w:pPr>
              <w:spacing w:line="185" w:lineRule="exact"/>
              <w:ind w:left="105"/>
              <w:rPr>
                <w:rFonts w:ascii="Calibri"/>
                <w:sz w:val="18"/>
              </w:rPr>
            </w:pPr>
            <w:r>
              <w:rPr>
                <w:rFonts w:ascii="Calibri"/>
                <w:sz w:val="18"/>
              </w:rPr>
              <w:t>collected from GP records compared to care home records over a seven-month</w:t>
            </w:r>
          </w:p>
          <w:p w:rsidR="006A18FD" w:rsidRDefault="002D29FC">
            <w:pPr>
              <w:spacing w:line="219" w:lineRule="exact"/>
              <w:ind w:left="105"/>
              <w:rPr>
                <w:rFonts w:ascii="Calibri"/>
                <w:sz w:val="18"/>
              </w:rPr>
            </w:pPr>
            <w:r>
              <w:rPr>
                <w:rFonts w:ascii="Calibri"/>
                <w:sz w:val="18"/>
              </w:rPr>
              <w:t>period. Using the mid-point between the two data sources, total costs incurred</w:t>
            </w:r>
          </w:p>
          <w:p w:rsidR="006A18FD" w:rsidRDefault="002D29FC">
            <w:pPr>
              <w:spacing w:before="1" w:line="217" w:lineRule="exact"/>
              <w:ind w:left="105"/>
              <w:rPr>
                <w:rFonts w:ascii="Calibri" w:hAnsi="Calibri"/>
                <w:sz w:val="18"/>
              </w:rPr>
            </w:pPr>
            <w:r>
              <w:rPr>
                <w:rFonts w:ascii="Calibri" w:hAnsi="Calibri"/>
                <w:sz w:val="18"/>
              </w:rPr>
              <w:t>per resident week were £25 (£22 using GP records and £27 using care home</w:t>
            </w:r>
          </w:p>
        </w:tc>
      </w:tr>
      <w:tr w:rsidR="006A18FD">
        <w:trPr>
          <w:trHeight w:val="200"/>
        </w:trPr>
        <w:tc>
          <w:tcPr>
            <w:tcW w:w="2240" w:type="dxa"/>
            <w:tcBorders>
              <w:top w:val="nil"/>
            </w:tcBorders>
          </w:tcPr>
          <w:p w:rsidR="006A18FD" w:rsidRDefault="006A18FD">
            <w:pPr>
              <w:rPr>
                <w:rFonts w:ascii="Times New Roman"/>
                <w:sz w:val="14"/>
              </w:rPr>
            </w:pPr>
          </w:p>
        </w:tc>
        <w:tc>
          <w:tcPr>
            <w:tcW w:w="1688" w:type="dxa"/>
            <w:tcBorders>
              <w:top w:val="nil"/>
            </w:tcBorders>
          </w:tcPr>
          <w:p w:rsidR="006A18FD" w:rsidRDefault="006A18FD">
            <w:pPr>
              <w:rPr>
                <w:rFonts w:ascii="Times New Roman"/>
                <w:sz w:val="14"/>
              </w:rPr>
            </w:pPr>
          </w:p>
        </w:tc>
        <w:tc>
          <w:tcPr>
            <w:tcW w:w="6116" w:type="dxa"/>
            <w:tcBorders>
              <w:top w:val="nil"/>
            </w:tcBorders>
          </w:tcPr>
          <w:p w:rsidR="006A18FD" w:rsidRDefault="002D29FC">
            <w:pPr>
              <w:spacing w:line="183" w:lineRule="exact"/>
              <w:ind w:left="105"/>
              <w:rPr>
                <w:rFonts w:ascii="Calibri"/>
                <w:sz w:val="18"/>
              </w:rPr>
            </w:pPr>
            <w:r>
              <w:rPr>
                <w:rFonts w:ascii="Calibri"/>
                <w:sz w:val="18"/>
              </w:rPr>
              <w:t>data). Costs have been uprated using the NHS cost inflation index.</w:t>
            </w:r>
          </w:p>
        </w:tc>
      </w:tr>
      <w:tr w:rsidR="006A18FD">
        <w:trPr>
          <w:trHeight w:val="640"/>
        </w:trPr>
        <w:tc>
          <w:tcPr>
            <w:tcW w:w="2240" w:type="dxa"/>
          </w:tcPr>
          <w:p w:rsidR="006A18FD" w:rsidRDefault="002D29FC">
            <w:pPr>
              <w:spacing w:line="219" w:lineRule="exact"/>
              <w:ind w:left="52"/>
              <w:rPr>
                <w:rFonts w:ascii="Calibri"/>
                <w:sz w:val="18"/>
              </w:rPr>
            </w:pPr>
            <w:r>
              <w:rPr>
                <w:rFonts w:ascii="Calibri"/>
                <w:sz w:val="18"/>
              </w:rPr>
              <w:t>E. Personal living expenses</w:t>
            </w:r>
          </w:p>
        </w:tc>
        <w:tc>
          <w:tcPr>
            <w:tcW w:w="1688" w:type="dxa"/>
          </w:tcPr>
          <w:p w:rsidR="006A18FD" w:rsidRDefault="002D29FC">
            <w:pPr>
              <w:spacing w:line="219" w:lineRule="exact"/>
              <w:ind w:left="105"/>
              <w:rPr>
                <w:rFonts w:ascii="Calibri" w:hAnsi="Calibri"/>
                <w:sz w:val="18"/>
              </w:rPr>
            </w:pPr>
            <w:r>
              <w:rPr>
                <w:rFonts w:ascii="Calibri" w:hAnsi="Calibri"/>
                <w:sz w:val="18"/>
              </w:rPr>
              <w:t>£24.90 per week</w:t>
            </w:r>
          </w:p>
        </w:tc>
        <w:tc>
          <w:tcPr>
            <w:tcW w:w="6116" w:type="dxa"/>
          </w:tcPr>
          <w:p w:rsidR="006A18FD" w:rsidRDefault="002D29FC">
            <w:pPr>
              <w:ind w:left="105"/>
              <w:rPr>
                <w:rFonts w:ascii="Calibri" w:hAnsi="Calibri"/>
                <w:sz w:val="18"/>
              </w:rPr>
            </w:pPr>
            <w:r>
              <w:rPr>
                <w:rFonts w:ascii="Calibri" w:hAnsi="Calibri"/>
                <w:sz w:val="18"/>
              </w:rPr>
              <w:t>The Department for Work and Pensions (DWP) personal allowance for people in residential care or a nursing home is £24.90.</w:t>
            </w:r>
            <w:r>
              <w:rPr>
                <w:rFonts w:ascii="Calibri" w:hAnsi="Calibri"/>
                <w:position w:val="5"/>
                <w:sz w:val="12"/>
              </w:rPr>
              <w:t xml:space="preserve">10 </w:t>
            </w:r>
            <w:r>
              <w:rPr>
                <w:rFonts w:ascii="Calibri" w:hAnsi="Calibri"/>
                <w:sz w:val="18"/>
              </w:rPr>
              <w:t>This has been used as a proxy for</w:t>
            </w:r>
          </w:p>
          <w:p w:rsidR="006A18FD" w:rsidRDefault="002D29FC">
            <w:pPr>
              <w:spacing w:before="1" w:line="198" w:lineRule="exact"/>
              <w:ind w:left="105"/>
              <w:rPr>
                <w:rFonts w:ascii="Calibri"/>
                <w:sz w:val="18"/>
              </w:rPr>
            </w:pPr>
            <w:r>
              <w:rPr>
                <w:rFonts w:ascii="Calibri"/>
                <w:sz w:val="18"/>
              </w:rPr>
              <w:t>personal consumption.</w:t>
            </w:r>
          </w:p>
        </w:tc>
      </w:tr>
      <w:tr w:rsidR="006A18FD">
        <w:trPr>
          <w:trHeight w:val="660"/>
        </w:trPr>
        <w:tc>
          <w:tcPr>
            <w:tcW w:w="2240" w:type="dxa"/>
          </w:tcPr>
          <w:p w:rsidR="006A18FD" w:rsidRDefault="002D29FC">
            <w:pPr>
              <w:spacing w:before="1"/>
              <w:ind w:left="52"/>
              <w:rPr>
                <w:rFonts w:ascii="Calibri"/>
                <w:sz w:val="18"/>
              </w:rPr>
            </w:pPr>
            <w:r>
              <w:rPr>
                <w:rFonts w:ascii="Calibri"/>
                <w:sz w:val="18"/>
              </w:rPr>
              <w:t>Short-term care</w:t>
            </w:r>
          </w:p>
        </w:tc>
        <w:tc>
          <w:tcPr>
            <w:tcW w:w="1688" w:type="dxa"/>
          </w:tcPr>
          <w:p w:rsidR="006A18FD" w:rsidRDefault="006A18FD">
            <w:pPr>
              <w:rPr>
                <w:rFonts w:ascii="Times New Roman"/>
                <w:sz w:val="16"/>
              </w:rPr>
            </w:pPr>
          </w:p>
        </w:tc>
        <w:tc>
          <w:tcPr>
            <w:tcW w:w="6116" w:type="dxa"/>
          </w:tcPr>
          <w:p w:rsidR="006A18FD" w:rsidRDefault="002D29FC">
            <w:pPr>
              <w:spacing w:before="1"/>
              <w:ind w:left="105"/>
              <w:rPr>
                <w:rFonts w:ascii="Calibri"/>
                <w:sz w:val="18"/>
              </w:rPr>
            </w:pPr>
            <w:r>
              <w:rPr>
                <w:rFonts w:ascii="Calibri"/>
                <w:sz w:val="18"/>
              </w:rPr>
              <w:t>No current information is available on whether residents in short-term care are less costly than those who live full-time in a residential care home. See previous</w:t>
            </w:r>
          </w:p>
          <w:p w:rsidR="006A18FD" w:rsidRDefault="002D29FC">
            <w:pPr>
              <w:spacing w:line="198" w:lineRule="exact"/>
              <w:ind w:left="105"/>
              <w:rPr>
                <w:rFonts w:ascii="Calibri"/>
                <w:sz w:val="18"/>
              </w:rPr>
            </w:pPr>
            <w:r>
              <w:rPr>
                <w:rFonts w:ascii="Calibri"/>
                <w:sz w:val="18"/>
              </w:rPr>
              <w:t>editions of this volume for sources of information.</w:t>
            </w:r>
          </w:p>
        </w:tc>
      </w:tr>
      <w:tr w:rsidR="006A18FD">
        <w:trPr>
          <w:trHeight w:val="420"/>
        </w:trPr>
        <w:tc>
          <w:tcPr>
            <w:tcW w:w="2240" w:type="dxa"/>
          </w:tcPr>
          <w:p w:rsidR="006A18FD" w:rsidRDefault="002D29FC">
            <w:pPr>
              <w:spacing w:before="1"/>
              <w:ind w:left="52"/>
              <w:rPr>
                <w:rFonts w:ascii="Calibri"/>
                <w:sz w:val="18"/>
              </w:rPr>
            </w:pPr>
            <w:r>
              <w:rPr>
                <w:rFonts w:ascii="Calibri"/>
                <w:sz w:val="18"/>
              </w:rPr>
              <w:t>Dependency</w:t>
            </w:r>
          </w:p>
        </w:tc>
        <w:tc>
          <w:tcPr>
            <w:tcW w:w="1688" w:type="dxa"/>
          </w:tcPr>
          <w:p w:rsidR="006A18FD" w:rsidRDefault="006A18FD">
            <w:pPr>
              <w:rPr>
                <w:rFonts w:ascii="Times New Roman"/>
                <w:sz w:val="16"/>
              </w:rPr>
            </w:pPr>
          </w:p>
        </w:tc>
        <w:tc>
          <w:tcPr>
            <w:tcW w:w="6116" w:type="dxa"/>
          </w:tcPr>
          <w:p w:rsidR="006A18FD" w:rsidRDefault="002D29FC">
            <w:pPr>
              <w:spacing w:before="1" w:line="219" w:lineRule="exact"/>
              <w:ind w:left="105"/>
              <w:rPr>
                <w:rFonts w:ascii="Calibri"/>
                <w:sz w:val="18"/>
              </w:rPr>
            </w:pPr>
            <w:r>
              <w:rPr>
                <w:rFonts w:ascii="Calibri"/>
                <w:sz w:val="18"/>
              </w:rPr>
              <w:t>No current information is available on the relationship of dependency with cost.</w:t>
            </w:r>
          </w:p>
          <w:p w:rsidR="006A18FD" w:rsidRDefault="002D29FC">
            <w:pPr>
              <w:spacing w:line="199" w:lineRule="exact"/>
              <w:ind w:left="105"/>
              <w:rPr>
                <w:rFonts w:ascii="Calibri"/>
                <w:sz w:val="18"/>
              </w:rPr>
            </w:pPr>
            <w:r>
              <w:rPr>
                <w:rFonts w:ascii="Calibri"/>
                <w:sz w:val="18"/>
              </w:rPr>
              <w:t>See previous editions of this volume for sources of information.</w:t>
            </w:r>
          </w:p>
        </w:tc>
      </w:tr>
      <w:tr w:rsidR="006A18FD">
        <w:trPr>
          <w:trHeight w:val="440"/>
        </w:trPr>
        <w:tc>
          <w:tcPr>
            <w:tcW w:w="2240" w:type="dxa"/>
          </w:tcPr>
          <w:p w:rsidR="006A18FD" w:rsidRDefault="002D29FC">
            <w:pPr>
              <w:spacing w:before="1"/>
              <w:ind w:left="52"/>
              <w:rPr>
                <w:rFonts w:ascii="Calibri"/>
                <w:sz w:val="18"/>
              </w:rPr>
            </w:pPr>
            <w:r>
              <w:rPr>
                <w:rFonts w:ascii="Calibri"/>
                <w:sz w:val="18"/>
              </w:rPr>
              <w:t>London multiplier</w:t>
            </w:r>
          </w:p>
        </w:tc>
        <w:tc>
          <w:tcPr>
            <w:tcW w:w="1688" w:type="dxa"/>
          </w:tcPr>
          <w:p w:rsidR="006A18FD" w:rsidRDefault="002D29FC">
            <w:pPr>
              <w:spacing w:before="1"/>
              <w:ind w:left="105"/>
              <w:rPr>
                <w:rFonts w:ascii="Calibri"/>
                <w:sz w:val="18"/>
              </w:rPr>
            </w:pPr>
            <w:r>
              <w:rPr>
                <w:rFonts w:ascii="Calibri"/>
                <w:sz w:val="18"/>
              </w:rPr>
              <w:t>1.18 x A</w:t>
            </w:r>
          </w:p>
        </w:tc>
        <w:tc>
          <w:tcPr>
            <w:tcW w:w="6116" w:type="dxa"/>
          </w:tcPr>
          <w:p w:rsidR="006A18FD" w:rsidRDefault="002D29FC">
            <w:pPr>
              <w:spacing w:before="1" w:line="220" w:lineRule="atLeast"/>
              <w:ind w:left="105"/>
              <w:rPr>
                <w:rFonts w:ascii="Calibri"/>
                <w:sz w:val="12"/>
              </w:rPr>
            </w:pPr>
            <w:r>
              <w:rPr>
                <w:rFonts w:ascii="Calibri"/>
                <w:sz w:val="18"/>
              </w:rPr>
              <w:t>Fees in London residential homes were 18 per cent higher than the national average.</w:t>
            </w:r>
            <w:r>
              <w:rPr>
                <w:rFonts w:ascii="Calibri"/>
                <w:position w:val="5"/>
                <w:sz w:val="12"/>
              </w:rPr>
              <w:t>6</w:t>
            </w:r>
          </w:p>
        </w:tc>
      </w:tr>
      <w:tr w:rsidR="006A18FD">
        <w:trPr>
          <w:trHeight w:val="640"/>
        </w:trPr>
        <w:tc>
          <w:tcPr>
            <w:tcW w:w="2240" w:type="dxa"/>
          </w:tcPr>
          <w:p w:rsidR="006A18FD" w:rsidRDefault="002D29FC">
            <w:pPr>
              <w:spacing w:line="218" w:lineRule="exact"/>
              <w:ind w:left="52"/>
              <w:rPr>
                <w:rFonts w:ascii="Calibri"/>
                <w:sz w:val="18"/>
              </w:rPr>
            </w:pPr>
            <w:r>
              <w:rPr>
                <w:rFonts w:ascii="Calibri"/>
                <w:sz w:val="18"/>
              </w:rPr>
              <w:t>Occupancy</w:t>
            </w:r>
          </w:p>
        </w:tc>
        <w:tc>
          <w:tcPr>
            <w:tcW w:w="1688" w:type="dxa"/>
          </w:tcPr>
          <w:p w:rsidR="006A18FD" w:rsidRDefault="002D29FC">
            <w:pPr>
              <w:spacing w:line="218" w:lineRule="exact"/>
              <w:ind w:left="105"/>
              <w:rPr>
                <w:rFonts w:ascii="Calibri"/>
                <w:sz w:val="18"/>
              </w:rPr>
            </w:pPr>
            <w:r>
              <w:rPr>
                <w:rFonts w:ascii="Calibri"/>
                <w:sz w:val="18"/>
              </w:rPr>
              <w:t>91 per cent</w:t>
            </w:r>
          </w:p>
        </w:tc>
        <w:tc>
          <w:tcPr>
            <w:tcW w:w="6116" w:type="dxa"/>
          </w:tcPr>
          <w:p w:rsidR="006A18FD" w:rsidRDefault="002D29FC">
            <w:pPr>
              <w:ind w:left="105" w:right="207"/>
              <w:rPr>
                <w:rFonts w:ascii="Calibri"/>
                <w:sz w:val="18"/>
              </w:rPr>
            </w:pPr>
            <w:r>
              <w:rPr>
                <w:rFonts w:ascii="Calibri"/>
                <w:sz w:val="18"/>
              </w:rPr>
              <w:t>The occupancy level in England for private and voluntary sector care homes for older people in 2016/2017 was 91 per cent.</w:t>
            </w:r>
            <w:r>
              <w:rPr>
                <w:rFonts w:ascii="Calibri"/>
                <w:position w:val="5"/>
                <w:sz w:val="12"/>
              </w:rPr>
              <w:t xml:space="preserve">11 </w:t>
            </w:r>
            <w:r>
              <w:rPr>
                <w:rFonts w:ascii="Calibri"/>
                <w:sz w:val="18"/>
              </w:rPr>
              <w:t>The occupancy rate for care</w:t>
            </w:r>
          </w:p>
          <w:p w:rsidR="006A18FD" w:rsidRDefault="002D29FC">
            <w:pPr>
              <w:spacing w:before="2" w:line="199" w:lineRule="exact"/>
              <w:ind w:left="105"/>
              <w:rPr>
                <w:rFonts w:ascii="Calibri"/>
                <w:sz w:val="12"/>
              </w:rPr>
            </w:pPr>
            <w:r>
              <w:rPr>
                <w:rFonts w:ascii="Calibri"/>
                <w:sz w:val="18"/>
              </w:rPr>
              <w:t>homes (for-profit sector) without nursing was 89.7 per cent (provisional).</w:t>
            </w:r>
            <w:r>
              <w:rPr>
                <w:rFonts w:ascii="Calibri"/>
                <w:position w:val="5"/>
                <w:sz w:val="12"/>
              </w:rPr>
              <w:t>11</w:t>
            </w:r>
          </w:p>
        </w:tc>
      </w:tr>
      <w:tr w:rsidR="006A18FD">
        <w:trPr>
          <w:trHeight w:val="320"/>
        </w:trPr>
        <w:tc>
          <w:tcPr>
            <w:tcW w:w="10044" w:type="dxa"/>
            <w:gridSpan w:val="3"/>
          </w:tcPr>
          <w:p w:rsidR="006A18FD" w:rsidRDefault="002D29FC">
            <w:pPr>
              <w:spacing w:before="1"/>
              <w:ind w:left="52"/>
              <w:rPr>
                <w:rFonts w:ascii="Calibri"/>
                <w:b/>
                <w:sz w:val="18"/>
              </w:rPr>
            </w:pPr>
            <w:r>
              <w:rPr>
                <w:rFonts w:ascii="Calibri"/>
                <w:b/>
                <w:sz w:val="18"/>
              </w:rPr>
              <w:t>Unit costs available 2018/2019</w:t>
            </w:r>
          </w:p>
        </w:tc>
      </w:tr>
      <w:tr w:rsidR="006A18FD">
        <w:trPr>
          <w:trHeight w:val="880"/>
        </w:trPr>
        <w:tc>
          <w:tcPr>
            <w:tcW w:w="10044" w:type="dxa"/>
            <w:gridSpan w:val="3"/>
          </w:tcPr>
          <w:p w:rsidR="006A18FD" w:rsidRDefault="002D29FC">
            <w:pPr>
              <w:spacing w:before="1"/>
              <w:ind w:left="52" w:right="90"/>
              <w:rPr>
                <w:rFonts w:ascii="Calibri" w:hAnsi="Calibri"/>
                <w:sz w:val="18"/>
              </w:rPr>
            </w:pPr>
            <w:r>
              <w:rPr>
                <w:rFonts w:ascii="Calibri" w:hAnsi="Calibri"/>
                <w:sz w:val="18"/>
              </w:rPr>
              <w:t>£691 establishment cost per permanent resident week (A); £741 establishment cost plus personal living expenses and external services per permanent resident week (A to E);</w:t>
            </w:r>
          </w:p>
          <w:p w:rsidR="006A18FD" w:rsidRDefault="002D29FC">
            <w:pPr>
              <w:spacing w:line="218" w:lineRule="exact"/>
              <w:ind w:left="52"/>
              <w:rPr>
                <w:rFonts w:ascii="Calibri" w:hAnsi="Calibri"/>
                <w:sz w:val="18"/>
              </w:rPr>
            </w:pPr>
            <w:r>
              <w:rPr>
                <w:rFonts w:ascii="Calibri" w:hAnsi="Calibri"/>
                <w:sz w:val="18"/>
              </w:rPr>
              <w:t>£99 establishment cost per permanent resident day (A); £106 establishment cost plus personal living expenses and external services</w:t>
            </w:r>
          </w:p>
          <w:p w:rsidR="006A18FD" w:rsidRDefault="002D29FC">
            <w:pPr>
              <w:spacing w:before="1" w:line="199" w:lineRule="exact"/>
              <w:ind w:left="52"/>
              <w:rPr>
                <w:rFonts w:ascii="Calibri"/>
                <w:sz w:val="18"/>
              </w:rPr>
            </w:pPr>
            <w:r>
              <w:rPr>
                <w:rFonts w:ascii="Calibri"/>
                <w:sz w:val="18"/>
              </w:rPr>
              <w:t>per permanent resident day (A to E).</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9"/>
        <w:rPr>
          <w:rFonts w:ascii="Calibri"/>
          <w:sz w:val="13"/>
        </w:rPr>
      </w:pPr>
    </w:p>
    <w:p w:rsidR="006A18FD" w:rsidRDefault="00E60AD2">
      <w:pPr>
        <w:ind w:left="436" w:right="509" w:hanging="284"/>
        <w:rPr>
          <w:rFonts w:ascii="Calibri"/>
          <w:sz w:val="16"/>
        </w:rPr>
      </w:pPr>
      <w:r>
        <w:rPr>
          <w:noProof/>
          <w:lang w:val="en-GB" w:eastAsia="en-GB"/>
        </w:rPr>
        <mc:AlternateContent>
          <mc:Choice Requires="wps">
            <w:drawing>
              <wp:anchor distT="0" distB="0" distL="114300" distR="114300" simplePos="0" relativeHeight="251604992" behindDoc="1" locked="0" layoutInCell="1" allowOverlap="1">
                <wp:simplePos x="0" y="0"/>
                <wp:positionH relativeFrom="page">
                  <wp:posOffset>899160</wp:posOffset>
                </wp:positionH>
                <wp:positionV relativeFrom="paragraph">
                  <wp:posOffset>235585</wp:posOffset>
                </wp:positionV>
                <wp:extent cx="3713480" cy="0"/>
                <wp:effectExtent l="13335" t="6985" r="6985" b="12065"/>
                <wp:wrapNone/>
                <wp:docPr id="37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E2F0C" id="Line 22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8.55pt" to="363.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0Q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" strokeweight=".48pt">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(2019) </w:t>
      </w:r>
      <w:r w:rsidR="002D29FC">
        <w:rPr>
          <w:rFonts w:ascii="Calibri"/>
          <w:i/>
          <w:sz w:val="16"/>
        </w:rPr>
        <w:t>Adult Social Care Finance Return (ASC-FR)</w:t>
      </w:r>
      <w:r w:rsidR="002D29FC">
        <w:rPr>
          <w:rFonts w:ascii="Calibri"/>
          <w:sz w:val="16"/>
        </w:rPr>
        <w:t xml:space="preserve">, NHS Digital 2018/19, </w:t>
      </w:r>
      <w:hyperlink r:id="rId90">
        <w:r w:rsidR="002D29FC">
          <w:rPr>
            <w:rFonts w:ascii="Calibri"/>
            <w:sz w:val="16"/>
            <w:u w:val="single"/>
          </w:rPr>
          <w:t>https://digital.nhs.uk/data-and-</w:t>
        </w:r>
      </w:hyperlink>
      <w:r w:rsidR="002D29FC">
        <w:rPr>
          <w:rFonts w:ascii="Calibri"/>
          <w:sz w:val="16"/>
        </w:rPr>
        <w:t xml:space="preserve"> </w:t>
      </w:r>
      <w:hyperlink r:id="rId91">
        <w:r w:rsidR="002D29FC">
          <w:rPr>
            <w:rFonts w:ascii="Calibri"/>
            <w:sz w:val="16"/>
          </w:rPr>
          <w:t xml:space="preserve">information/publications/statistical/adult-social-care-activity-and-finance-report/2018-19 </w:t>
        </w:r>
      </w:hyperlink>
      <w:r w:rsidR="002D29FC">
        <w:rPr>
          <w:rFonts w:ascii="Calibri"/>
          <w:sz w:val="16"/>
        </w:rPr>
        <w:t>[accessed 23 October, 2019], in collaboration with the Department of Health and Social Care.</w:t>
      </w:r>
    </w:p>
    <w:p w:rsidR="006A18FD" w:rsidRDefault="002D29FC">
      <w:pPr>
        <w:ind w:left="436" w:right="541" w:hanging="284"/>
        <w:rPr>
          <w:rFonts w:ascii="Calibri"/>
          <w:sz w:val="16"/>
        </w:rPr>
      </w:pPr>
      <w:r>
        <w:rPr>
          <w:rFonts w:ascii="Calibri"/>
          <w:position w:val="5"/>
          <w:sz w:val="10"/>
        </w:rPr>
        <w:t xml:space="preserve">2 </w:t>
      </w:r>
      <w:r>
        <w:rPr>
          <w:rFonts w:ascii="Calibri"/>
          <w:sz w:val="16"/>
        </w:rPr>
        <w:t xml:space="preserve">CMA Competition &amp; Markets Authority (2017) Care homes market study, Final report, </w:t>
      </w:r>
      <w:hyperlink r:id="rId92">
        <w:r>
          <w:rPr>
            <w:rFonts w:ascii="Calibri"/>
            <w:sz w:val="16"/>
            <w:u w:val="single"/>
          </w:rPr>
          <w:t>https://assets.publishing.service.gov.uk/media/5a1fdf30e5274a750b82533a/care-homes-market-study-final-report.pdf</w:t>
        </w:r>
        <w:r>
          <w:rPr>
            <w:rFonts w:ascii="Calibri"/>
            <w:sz w:val="16"/>
          </w:rPr>
          <w:t xml:space="preserve"> </w:t>
        </w:r>
      </w:hyperlink>
      <w:r>
        <w:rPr>
          <w:rFonts w:ascii="Calibri"/>
          <w:sz w:val="16"/>
        </w:rPr>
        <w:t>[accessed 19 November 2018].</w:t>
      </w:r>
    </w:p>
    <w:p w:rsidR="006A18FD" w:rsidRDefault="002D29FC">
      <w:pPr>
        <w:ind w:left="436" w:right="1177" w:hanging="284"/>
        <w:rPr>
          <w:rFonts w:ascii="Calibri"/>
          <w:sz w:val="16"/>
        </w:rPr>
      </w:pPr>
      <w:r>
        <w:rPr>
          <w:rFonts w:ascii="Calibri"/>
          <w:position w:val="5"/>
          <w:sz w:val="10"/>
        </w:rPr>
        <w:t xml:space="preserve">3 </w:t>
      </w:r>
      <w:r>
        <w:rPr>
          <w:rFonts w:ascii="Calibri"/>
          <w:sz w:val="16"/>
        </w:rPr>
        <w:t xml:space="preserve">Forder, J. &amp; Allen, S. (2011) </w:t>
      </w:r>
      <w:r>
        <w:rPr>
          <w:rFonts w:ascii="Calibri"/>
          <w:i/>
          <w:sz w:val="16"/>
        </w:rPr>
        <w:t>Competition in the care homes market</w:t>
      </w:r>
      <w:r>
        <w:rPr>
          <w:rFonts w:ascii="Calibri"/>
          <w:sz w:val="16"/>
        </w:rPr>
        <w:t xml:space="preserve">, </w:t>
      </w:r>
      <w:hyperlink r:id="rId93">
        <w:r>
          <w:rPr>
            <w:rFonts w:ascii="Calibri"/>
            <w:sz w:val="16"/>
            <w:u w:val="single"/>
          </w:rPr>
          <w:t>https://www.ohe.org/sites/default/files/Competition%20in%20care%20home%20market%202011.pdf</w:t>
        </w:r>
        <w:r>
          <w:rPr>
            <w:rFonts w:ascii="Calibri"/>
            <w:sz w:val="16"/>
          </w:rPr>
          <w:t xml:space="preserve"> </w:t>
        </w:r>
      </w:hyperlink>
      <w:r>
        <w:rPr>
          <w:rFonts w:ascii="Calibri"/>
          <w:sz w:val="16"/>
        </w:rPr>
        <w:t>[accessed 29 November 2016].</w:t>
      </w:r>
    </w:p>
    <w:p w:rsidR="006A18FD" w:rsidRDefault="002D29FC">
      <w:pPr>
        <w:ind w:left="436" w:right="1810" w:hanging="284"/>
        <w:rPr>
          <w:rFonts w:ascii="Calibri"/>
          <w:sz w:val="16"/>
        </w:rPr>
      </w:pPr>
      <w:r>
        <w:rPr>
          <w:rFonts w:ascii="Calibri"/>
          <w:position w:val="5"/>
          <w:sz w:val="10"/>
        </w:rPr>
        <w:t xml:space="preserve">4 </w:t>
      </w:r>
      <w:r>
        <w:rPr>
          <w:rFonts w:ascii="Calibri"/>
          <w:sz w:val="16"/>
        </w:rPr>
        <w:t xml:space="preserve">Institute of Public Care (2014) </w:t>
      </w:r>
      <w:r>
        <w:rPr>
          <w:rFonts w:ascii="Calibri"/>
          <w:i/>
          <w:sz w:val="16"/>
        </w:rPr>
        <w:t>The stability of the care market and market oversight in England</w:t>
      </w:r>
      <w:r>
        <w:rPr>
          <w:rFonts w:ascii="Calibri"/>
          <w:sz w:val="16"/>
        </w:rPr>
        <w:t xml:space="preserve">, Institute of Public Care, London. </w:t>
      </w:r>
      <w:hyperlink r:id="rId94">
        <w:r>
          <w:rPr>
            <w:rFonts w:ascii="Calibri"/>
            <w:sz w:val="16"/>
            <w:u w:val="single"/>
          </w:rPr>
          <w:t>http://www.cqc.org.uk/sites/default/files/201402-market-stability-report.pdf</w:t>
        </w:r>
        <w:r>
          <w:rPr>
            <w:rFonts w:ascii="Calibri"/>
            <w:sz w:val="16"/>
          </w:rPr>
          <w:t xml:space="preserve"> </w:t>
        </w:r>
      </w:hyperlink>
      <w:r>
        <w:rPr>
          <w:rFonts w:ascii="Calibri"/>
          <w:sz w:val="16"/>
        </w:rPr>
        <w:t>[28 November 2016].</w:t>
      </w:r>
    </w:p>
    <w:p w:rsidR="006A18FD" w:rsidRDefault="002D29FC">
      <w:pPr>
        <w:spacing w:before="3" w:line="195" w:lineRule="exact"/>
        <w:ind w:left="152"/>
        <w:rPr>
          <w:rFonts w:ascii="Calibri"/>
          <w:sz w:val="16"/>
        </w:rPr>
      </w:pPr>
      <w:r>
        <w:rPr>
          <w:rFonts w:ascii="Calibri"/>
          <w:position w:val="5"/>
          <w:sz w:val="10"/>
        </w:rPr>
        <w:t xml:space="preserve">5 </w:t>
      </w:r>
      <w:r>
        <w:rPr>
          <w:rFonts w:ascii="Calibri"/>
          <w:sz w:val="16"/>
        </w:rPr>
        <w:t xml:space="preserve">Drummond, M. &amp; McGuire, A. (2001, p.71) </w:t>
      </w:r>
      <w:r>
        <w:rPr>
          <w:rFonts w:ascii="Calibri"/>
          <w:i/>
          <w:sz w:val="16"/>
        </w:rPr>
        <w:t>Economic evaluation in health care</w:t>
      </w:r>
      <w:r>
        <w:rPr>
          <w:rFonts w:ascii="Calibri"/>
          <w:sz w:val="16"/>
        </w:rPr>
        <w:t>, Oxford University Press.</w:t>
      </w:r>
    </w:p>
    <w:p w:rsidR="006A18FD" w:rsidRDefault="002D29FC">
      <w:pPr>
        <w:spacing w:line="194" w:lineRule="exact"/>
        <w:ind w:left="152"/>
        <w:rPr>
          <w:rFonts w:ascii="Calibri"/>
          <w:sz w:val="16"/>
        </w:rPr>
      </w:pPr>
      <w:r>
        <w:rPr>
          <w:rFonts w:ascii="Calibri"/>
          <w:position w:val="5"/>
          <w:sz w:val="10"/>
        </w:rPr>
        <w:t xml:space="preserve">6 </w:t>
      </w:r>
      <w:r>
        <w:rPr>
          <w:rFonts w:ascii="Calibri"/>
          <w:sz w:val="16"/>
        </w:rPr>
        <w:t xml:space="preserve">Laing &amp; Buisson (2015) </w:t>
      </w:r>
      <w:r>
        <w:rPr>
          <w:rFonts w:ascii="Calibri"/>
          <w:i/>
          <w:sz w:val="16"/>
        </w:rPr>
        <w:t>Care of older people: UK market report 2014/2015</w:t>
      </w:r>
      <w:r>
        <w:rPr>
          <w:rFonts w:ascii="Calibri"/>
          <w:sz w:val="16"/>
        </w:rPr>
        <w:t>, Laing &amp; Buisson, London.</w:t>
      </w:r>
    </w:p>
    <w:p w:rsidR="006A18FD" w:rsidRDefault="002D29FC">
      <w:pPr>
        <w:ind w:left="436" w:right="2832" w:hanging="284"/>
        <w:rPr>
          <w:rFonts w:ascii="Calibri" w:hAnsi="Calibri"/>
          <w:sz w:val="16"/>
        </w:rPr>
      </w:pPr>
      <w:r>
        <w:rPr>
          <w:rFonts w:ascii="Calibri" w:hAnsi="Calibri"/>
          <w:position w:val="5"/>
          <w:sz w:val="10"/>
        </w:rPr>
        <w:t xml:space="preserve">7 </w:t>
      </w:r>
      <w:r>
        <w:rPr>
          <w:rFonts w:ascii="Calibri" w:hAnsi="Calibri"/>
          <w:sz w:val="16"/>
        </w:rPr>
        <w:t>Laing &amp; Buisson (2012</w:t>
      </w:r>
      <w:r>
        <w:rPr>
          <w:rFonts w:ascii="Calibri" w:hAnsi="Calibri"/>
          <w:i/>
          <w:sz w:val="16"/>
        </w:rPr>
        <w:t>) ‘Fair Fees’ for care placements left behind amidst council cuts</w:t>
      </w:r>
      <w:r>
        <w:rPr>
          <w:rFonts w:ascii="Calibri" w:hAnsi="Calibri"/>
          <w:sz w:val="16"/>
        </w:rPr>
        <w:t xml:space="preserve">, Laing &amp; Buisson, London. </w:t>
      </w:r>
      <w:hyperlink r:id="rId95">
        <w:r>
          <w:rPr>
            <w:rFonts w:ascii="Calibri" w:hAnsi="Calibri"/>
            <w:color w:val="0000FF"/>
            <w:sz w:val="16"/>
            <w:u w:val="single" w:color="0000FF"/>
          </w:rPr>
          <w:t>http://www.laingbuisson.co.uk/Portals/1/PressReleases/FairPrice_12_PR.pdf</w:t>
        </w:r>
        <w:r>
          <w:rPr>
            <w:rFonts w:ascii="Calibri" w:hAnsi="Calibri"/>
            <w:color w:val="0000FF"/>
            <w:sz w:val="16"/>
          </w:rPr>
          <w:t xml:space="preserve"> </w:t>
        </w:r>
      </w:hyperlink>
      <w:r>
        <w:rPr>
          <w:rFonts w:ascii="Calibri" w:hAnsi="Calibri"/>
          <w:sz w:val="16"/>
        </w:rPr>
        <w:t>[accessed 29 November 2016].</w:t>
      </w:r>
    </w:p>
    <w:p w:rsidR="006A18FD" w:rsidRDefault="002D29FC">
      <w:pPr>
        <w:spacing w:line="194" w:lineRule="exact"/>
        <w:ind w:left="152"/>
        <w:rPr>
          <w:rFonts w:ascii="Calibri"/>
          <w:sz w:val="16"/>
        </w:rPr>
      </w:pPr>
      <w:r>
        <w:rPr>
          <w:rFonts w:ascii="Calibri"/>
          <w:position w:val="5"/>
          <w:sz w:val="10"/>
        </w:rPr>
        <w:t xml:space="preserve">8 </w:t>
      </w:r>
      <w:r>
        <w:rPr>
          <w:rFonts w:ascii="Calibri"/>
          <w:sz w:val="16"/>
        </w:rPr>
        <w:t xml:space="preserve">Laing &amp; Buisson (2018) </w:t>
      </w:r>
      <w:r>
        <w:rPr>
          <w:rFonts w:ascii="Calibri"/>
          <w:i/>
          <w:sz w:val="16"/>
        </w:rPr>
        <w:t>Laing &amp; Buisson Care Homes Complete Dataset 2017/18</w:t>
      </w:r>
      <w:r>
        <w:rPr>
          <w:rFonts w:ascii="Calibri"/>
          <w:sz w:val="16"/>
        </w:rPr>
        <w:t>, Laing &amp; Buisson, London.</w:t>
      </w:r>
    </w:p>
    <w:p w:rsidR="006A18FD" w:rsidRDefault="002D29FC">
      <w:pPr>
        <w:spacing w:before="1" w:line="195" w:lineRule="exact"/>
        <w:ind w:left="152"/>
        <w:rPr>
          <w:rFonts w:ascii="Calibri"/>
          <w:sz w:val="16"/>
        </w:rPr>
      </w:pPr>
      <w:r>
        <w:rPr>
          <w:rFonts w:ascii="Calibri"/>
          <w:position w:val="5"/>
          <w:sz w:val="10"/>
        </w:rPr>
        <w:t xml:space="preserve">9 </w:t>
      </w:r>
      <w:r>
        <w:rPr>
          <w:rFonts w:ascii="Calibri"/>
          <w:sz w:val="16"/>
        </w:rPr>
        <w:t xml:space="preserve">Laing &amp; Buisson (2019) </w:t>
      </w:r>
      <w:r>
        <w:rPr>
          <w:rFonts w:ascii="Calibri"/>
          <w:i/>
          <w:sz w:val="16"/>
        </w:rPr>
        <w:t>Care Cost Benchmarks</w:t>
      </w:r>
      <w:r>
        <w:rPr>
          <w:rFonts w:ascii="Calibri"/>
          <w:sz w:val="16"/>
        </w:rPr>
        <w:t>, Laing &amp; Buisson, London.</w:t>
      </w:r>
    </w:p>
    <w:p w:rsidR="006A18FD" w:rsidRDefault="002D29FC">
      <w:pPr>
        <w:ind w:left="436" w:right="188" w:hanging="284"/>
        <w:rPr>
          <w:rFonts w:ascii="Calibri" w:hAnsi="Calibri"/>
          <w:sz w:val="16"/>
        </w:rPr>
      </w:pPr>
      <w:r>
        <w:rPr>
          <w:rFonts w:ascii="Calibri" w:hAnsi="Calibri"/>
          <w:position w:val="5"/>
          <w:sz w:val="10"/>
        </w:rPr>
        <w:t xml:space="preserve">10 </w:t>
      </w:r>
      <w:r>
        <w:rPr>
          <w:rFonts w:ascii="Calibri" w:hAnsi="Calibri"/>
          <w:sz w:val="16"/>
        </w:rPr>
        <w:t xml:space="preserve">Department of Health &amp; Social Care (2019) Social Care – Charging for care and support, Department of Health &amp; Social Care, London. </w:t>
      </w:r>
      <w:hyperlink r:id="rId96">
        <w:r>
          <w:rPr>
            <w:rFonts w:ascii="Calibri" w:hAnsi="Calibri"/>
            <w:sz w:val="16"/>
            <w:u w:val="single"/>
          </w:rPr>
          <w:t>https://assets.publishing.service.gov.uk/government/uploads/system/uploads/attachment_data/file/772969/Social_care_charging_for_care_and_su</w:t>
        </w:r>
      </w:hyperlink>
      <w:r>
        <w:rPr>
          <w:rFonts w:ascii="Calibri" w:hAnsi="Calibri"/>
          <w:sz w:val="16"/>
        </w:rPr>
        <w:t xml:space="preserve"> </w:t>
      </w:r>
      <w:hyperlink r:id="rId97">
        <w:r>
          <w:rPr>
            <w:rFonts w:ascii="Calibri" w:hAnsi="Calibri"/>
            <w:sz w:val="16"/>
            <w:u w:val="single"/>
          </w:rPr>
          <w:t>pport_-_LAC_2019.pdf</w:t>
        </w:r>
        <w:r>
          <w:rPr>
            <w:rFonts w:ascii="Calibri" w:hAnsi="Calibri"/>
            <w:sz w:val="16"/>
          </w:rPr>
          <w:t xml:space="preserve"> </w:t>
        </w:r>
      </w:hyperlink>
      <w:r>
        <w:rPr>
          <w:rFonts w:ascii="Calibri" w:hAnsi="Calibri"/>
          <w:sz w:val="16"/>
        </w:rPr>
        <w:t>[accessed 20 May 2019].</w:t>
      </w:r>
    </w:p>
    <w:p w:rsidR="006A18FD" w:rsidRDefault="002D29FC">
      <w:pPr>
        <w:ind w:left="436" w:right="2249" w:hanging="284"/>
        <w:rPr>
          <w:rFonts w:ascii="Calibri"/>
          <w:sz w:val="16"/>
        </w:rPr>
      </w:pPr>
      <w:r>
        <w:rPr>
          <w:rFonts w:ascii="Calibri"/>
          <w:position w:val="5"/>
          <w:sz w:val="10"/>
        </w:rPr>
        <w:t xml:space="preserve">11 </w:t>
      </w:r>
      <w:r>
        <w:rPr>
          <w:rFonts w:ascii="Calibri"/>
          <w:sz w:val="16"/>
        </w:rPr>
        <w:t xml:space="preserve">Laing, W. (2017) </w:t>
      </w:r>
      <w:r>
        <w:rPr>
          <w:rFonts w:ascii="Calibri"/>
          <w:i/>
          <w:sz w:val="16"/>
        </w:rPr>
        <w:t>Care homes for Older People market analysis and projections</w:t>
      </w:r>
      <w:r>
        <w:rPr>
          <w:rFonts w:ascii="Calibri"/>
          <w:sz w:val="16"/>
        </w:rPr>
        <w:t xml:space="preserve">, </w:t>
      </w:r>
      <w:hyperlink r:id="rId98">
        <w:r>
          <w:rPr>
            <w:rFonts w:ascii="Calibri"/>
            <w:sz w:val="16"/>
            <w:u w:val="single"/>
          </w:rPr>
          <w:t>http://www.laingbuissonevents.com/wp-</w:t>
        </w:r>
      </w:hyperlink>
      <w:r>
        <w:rPr>
          <w:rFonts w:ascii="Calibri"/>
          <w:sz w:val="16"/>
        </w:rPr>
        <w:t xml:space="preserve"> </w:t>
      </w:r>
      <w:hyperlink r:id="rId99">
        <w:r>
          <w:rPr>
            <w:rFonts w:ascii="Calibri"/>
            <w:sz w:val="16"/>
            <w:u w:val="single"/>
          </w:rPr>
          <w:t>content/uploads/2017/05/William-COP.pdf</w:t>
        </w:r>
        <w:r>
          <w:rPr>
            <w:rFonts w:ascii="Calibri"/>
            <w:sz w:val="16"/>
          </w:rPr>
          <w:t xml:space="preserve"> </w:t>
        </w:r>
      </w:hyperlink>
      <w:r>
        <w:rPr>
          <w:rFonts w:ascii="Calibri"/>
          <w:sz w:val="16"/>
        </w:rPr>
        <w:t>[accessed 17 October 2017].</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6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70" name="Line 22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9C8BF" id="Group 22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">
                <v:line id="Line 22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w10:anchorlock/>
              </v:group>
            </w:pict>
          </mc:Fallback>
        </mc:AlternateContent>
      </w:r>
    </w:p>
    <w:p w:rsidR="006A18FD" w:rsidRDefault="00EE3E6C" w:rsidP="00EE3E6C">
      <w:pPr>
        <w:pStyle w:val="Heading2"/>
      </w:pPr>
      <w:r>
        <w:t xml:space="preserve">1.3 </w:t>
      </w:r>
      <w:r w:rsidR="002D29FC">
        <w:t>Local authority own-provision residential care for older people (age</w:t>
      </w:r>
      <w:r w:rsidR="002D29FC">
        <w:rPr>
          <w:spacing w:val="-35"/>
        </w:rPr>
        <w:t xml:space="preserve"> </w:t>
      </w:r>
      <w:r w:rsidR="002D29FC">
        <w:t>65+)</w:t>
      </w:r>
    </w:p>
    <w:p w:rsidR="006A18FD" w:rsidRDefault="002D29FC">
      <w:pPr>
        <w:spacing w:before="170"/>
        <w:ind w:left="140"/>
        <w:rPr>
          <w:rFonts w:ascii="Calibri"/>
          <w:sz w:val="18"/>
        </w:rPr>
      </w:pPr>
      <w:r>
        <w:rPr>
          <w:rFonts w:ascii="Calibri"/>
          <w:sz w:val="18"/>
        </w:rPr>
        <w:t xml:space="preserve">This table uses data from the Adult Social Care Finance Return (ASC-FR) </w:t>
      </w:r>
      <w:r>
        <w:rPr>
          <w:rFonts w:ascii="Calibri"/>
          <w:position w:val="5"/>
          <w:sz w:val="12"/>
        </w:rPr>
        <w:t xml:space="preserve">1 </w:t>
      </w:r>
      <w:r>
        <w:rPr>
          <w:rFonts w:ascii="Calibri"/>
          <w:sz w:val="18"/>
        </w:rPr>
        <w:t>return for 2018/2019 for local authority expenditure.</w:t>
      </w:r>
    </w:p>
    <w:p w:rsidR="006A18FD" w:rsidRDefault="006A18FD">
      <w:pPr>
        <w:spacing w:before="6" w:after="1"/>
        <w:rPr>
          <w:rFonts w:ascii="Calibri"/>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685"/>
        <w:gridCol w:w="6122"/>
      </w:tblGrid>
      <w:tr w:rsidR="006A18FD" w:rsidTr="0053166C">
        <w:trPr>
          <w:trHeight w:val="220"/>
          <w:tblHeader/>
        </w:trPr>
        <w:tc>
          <w:tcPr>
            <w:tcW w:w="2237" w:type="dxa"/>
          </w:tcPr>
          <w:p w:rsidR="006A18FD" w:rsidRDefault="002D29FC">
            <w:pPr>
              <w:spacing w:before="1" w:line="199" w:lineRule="exact"/>
              <w:ind w:left="52"/>
              <w:rPr>
                <w:rFonts w:ascii="Calibri"/>
                <w:b/>
                <w:sz w:val="18"/>
              </w:rPr>
            </w:pPr>
            <w:r>
              <w:rPr>
                <w:rFonts w:ascii="Calibri"/>
                <w:b/>
                <w:sz w:val="18"/>
              </w:rPr>
              <w:t>Costs and unit estimation</w:t>
            </w:r>
          </w:p>
        </w:tc>
        <w:tc>
          <w:tcPr>
            <w:tcW w:w="1685" w:type="dxa"/>
          </w:tcPr>
          <w:p w:rsidR="006A18FD" w:rsidRDefault="002D29FC">
            <w:pPr>
              <w:spacing w:before="1" w:line="199" w:lineRule="exact"/>
              <w:ind w:left="102"/>
              <w:rPr>
                <w:rFonts w:ascii="Calibri"/>
                <w:b/>
                <w:sz w:val="18"/>
              </w:rPr>
            </w:pPr>
            <w:r>
              <w:rPr>
                <w:rFonts w:ascii="Calibri"/>
                <w:b/>
                <w:sz w:val="18"/>
              </w:rPr>
              <w:t>2018/2019 value</w:t>
            </w:r>
          </w:p>
        </w:tc>
        <w:tc>
          <w:tcPr>
            <w:tcW w:w="6121" w:type="dxa"/>
          </w:tcPr>
          <w:p w:rsidR="006A18FD" w:rsidRDefault="002D29FC">
            <w:pPr>
              <w:spacing w:before="1" w:line="199" w:lineRule="exact"/>
              <w:ind w:left="103"/>
              <w:rPr>
                <w:rFonts w:ascii="Calibri"/>
                <w:b/>
                <w:sz w:val="18"/>
              </w:rPr>
            </w:pPr>
            <w:r>
              <w:rPr>
                <w:rFonts w:ascii="Calibri"/>
                <w:b/>
                <w:sz w:val="18"/>
              </w:rPr>
              <w:t>Notes</w:t>
            </w:r>
          </w:p>
        </w:tc>
      </w:tr>
      <w:tr w:rsidR="006A18FD">
        <w:trPr>
          <w:trHeight w:val="860"/>
        </w:trPr>
        <w:tc>
          <w:tcPr>
            <w:tcW w:w="2237" w:type="dxa"/>
          </w:tcPr>
          <w:p w:rsidR="006A18FD" w:rsidRDefault="002D29FC">
            <w:pPr>
              <w:spacing w:before="1"/>
              <w:ind w:left="52"/>
              <w:rPr>
                <w:rFonts w:ascii="Calibri"/>
                <w:sz w:val="18"/>
              </w:rPr>
            </w:pPr>
            <w:r>
              <w:rPr>
                <w:rFonts w:ascii="Calibri"/>
                <w:sz w:val="18"/>
              </w:rPr>
              <w:t>Capital costs</w:t>
            </w:r>
          </w:p>
          <w:p w:rsidR="006A18FD" w:rsidRDefault="002D29FC">
            <w:pPr>
              <w:spacing w:before="37"/>
              <w:ind w:left="52"/>
              <w:rPr>
                <w:rFonts w:ascii="Calibri"/>
                <w:sz w:val="18"/>
              </w:rPr>
            </w:pPr>
            <w:r>
              <w:rPr>
                <w:rFonts w:ascii="Calibri"/>
                <w:sz w:val="18"/>
              </w:rPr>
              <w:t>A. Buildings and oncosts</w:t>
            </w:r>
          </w:p>
        </w:tc>
        <w:tc>
          <w:tcPr>
            <w:tcW w:w="1685" w:type="dxa"/>
          </w:tcPr>
          <w:p w:rsidR="006A18FD" w:rsidRDefault="006A18FD">
            <w:pPr>
              <w:spacing w:before="1"/>
              <w:rPr>
                <w:rFonts w:ascii="Calibri"/>
                <w:sz w:val="21"/>
              </w:rPr>
            </w:pPr>
          </w:p>
          <w:p w:rsidR="006A18FD" w:rsidRDefault="002D29FC">
            <w:pPr>
              <w:ind w:left="102"/>
              <w:rPr>
                <w:rFonts w:ascii="Calibri" w:hAnsi="Calibri"/>
                <w:sz w:val="18"/>
              </w:rPr>
            </w:pPr>
            <w:r>
              <w:rPr>
                <w:rFonts w:ascii="Calibri" w:hAnsi="Calibri"/>
                <w:sz w:val="18"/>
              </w:rPr>
              <w:t>£95 per week</w:t>
            </w:r>
          </w:p>
        </w:tc>
        <w:tc>
          <w:tcPr>
            <w:tcW w:w="6121" w:type="dxa"/>
          </w:tcPr>
          <w:p w:rsidR="006A18FD" w:rsidRDefault="002D29FC">
            <w:pPr>
              <w:spacing w:before="1"/>
              <w:ind w:left="103" w:right="395"/>
              <w:jc w:val="both"/>
              <w:rPr>
                <w:rFonts w:ascii="Calibri"/>
                <w:sz w:val="18"/>
              </w:rPr>
            </w:pPr>
            <w:r>
              <w:rPr>
                <w:rFonts w:ascii="Calibri"/>
                <w:sz w:val="18"/>
              </w:rPr>
              <w:t>Based on the new-build and land requirements for local authority residential care establishments. These allow for 57.3 square metres per person.</w:t>
            </w:r>
            <w:r>
              <w:rPr>
                <w:rFonts w:ascii="Calibri"/>
                <w:position w:val="5"/>
                <w:sz w:val="12"/>
              </w:rPr>
              <w:t xml:space="preserve">2 </w:t>
            </w:r>
            <w:r>
              <w:rPr>
                <w:rFonts w:ascii="Calibri"/>
                <w:sz w:val="18"/>
              </w:rPr>
              <w:t>Capital costs have been annuitised over 60 years at a discount rate of 3.5 per cent,</w:t>
            </w:r>
          </w:p>
          <w:p w:rsidR="006A18FD" w:rsidRDefault="002D29FC">
            <w:pPr>
              <w:spacing w:line="198" w:lineRule="exact"/>
              <w:ind w:left="103"/>
              <w:jc w:val="both"/>
              <w:rPr>
                <w:rFonts w:ascii="Calibri"/>
                <w:sz w:val="18"/>
              </w:rPr>
            </w:pPr>
            <w:r>
              <w:rPr>
                <w:rFonts w:ascii="Calibri"/>
                <w:sz w:val="18"/>
              </w:rPr>
              <w:t>declining to 3 per cent after 30 years.</w:t>
            </w:r>
          </w:p>
        </w:tc>
      </w:tr>
      <w:tr w:rsidR="006A18FD">
        <w:trPr>
          <w:trHeight w:val="640"/>
        </w:trPr>
        <w:tc>
          <w:tcPr>
            <w:tcW w:w="2237" w:type="dxa"/>
          </w:tcPr>
          <w:p w:rsidR="006A18FD" w:rsidRDefault="002D29FC">
            <w:pPr>
              <w:spacing w:before="1"/>
              <w:ind w:left="52"/>
              <w:rPr>
                <w:rFonts w:ascii="Calibri"/>
                <w:sz w:val="18"/>
              </w:rPr>
            </w:pPr>
            <w:r>
              <w:rPr>
                <w:rFonts w:ascii="Calibri"/>
                <w:sz w:val="18"/>
              </w:rPr>
              <w:t>B. Land</w:t>
            </w:r>
          </w:p>
        </w:tc>
        <w:tc>
          <w:tcPr>
            <w:tcW w:w="1685" w:type="dxa"/>
          </w:tcPr>
          <w:p w:rsidR="006A18FD" w:rsidRDefault="002D29FC">
            <w:pPr>
              <w:spacing w:before="1"/>
              <w:ind w:left="102"/>
              <w:rPr>
                <w:rFonts w:ascii="Calibri" w:hAnsi="Calibri"/>
                <w:sz w:val="18"/>
              </w:rPr>
            </w:pPr>
            <w:r>
              <w:rPr>
                <w:rFonts w:ascii="Calibri" w:hAnsi="Calibri"/>
                <w:sz w:val="18"/>
              </w:rPr>
              <w:t>£28 per week</w:t>
            </w:r>
          </w:p>
        </w:tc>
        <w:tc>
          <w:tcPr>
            <w:tcW w:w="6121" w:type="dxa"/>
          </w:tcPr>
          <w:p w:rsidR="006A18FD" w:rsidRDefault="002D29FC">
            <w:pPr>
              <w:spacing w:before="1"/>
              <w:ind w:left="103" w:right="253"/>
              <w:rPr>
                <w:rFonts w:ascii="Calibri"/>
                <w:sz w:val="18"/>
              </w:rPr>
            </w:pPr>
            <w:r>
              <w:rPr>
                <w:rFonts w:ascii="Calibri"/>
                <w:sz w:val="18"/>
              </w:rPr>
              <w:t>Based on a report published by the Ministry of Housing, Communities &amp; Local Government.</w:t>
            </w:r>
            <w:r>
              <w:rPr>
                <w:rFonts w:ascii="Calibri"/>
                <w:position w:val="5"/>
                <w:sz w:val="12"/>
              </w:rPr>
              <w:t xml:space="preserve">3 </w:t>
            </w:r>
            <w:r>
              <w:rPr>
                <w:rFonts w:ascii="Calibri"/>
                <w:sz w:val="18"/>
              </w:rPr>
              <w:t>The cost of land has been annuitised over 60 years at a discount</w:t>
            </w:r>
          </w:p>
          <w:p w:rsidR="006A18FD" w:rsidRDefault="002D29FC">
            <w:pPr>
              <w:spacing w:line="198" w:lineRule="exact"/>
              <w:ind w:left="103"/>
              <w:rPr>
                <w:rFonts w:ascii="Calibri"/>
                <w:sz w:val="18"/>
              </w:rPr>
            </w:pPr>
            <w:r>
              <w:rPr>
                <w:rFonts w:ascii="Calibri"/>
                <w:sz w:val="18"/>
              </w:rPr>
              <w:t>rate of 3.5 per cent, declining to 3 per cent after 30 years.</w:t>
            </w:r>
          </w:p>
        </w:tc>
      </w:tr>
      <w:tr w:rsidR="006A18FD">
        <w:trPr>
          <w:trHeight w:val="640"/>
        </w:trPr>
        <w:tc>
          <w:tcPr>
            <w:tcW w:w="2237" w:type="dxa"/>
          </w:tcPr>
          <w:p w:rsidR="006A18FD" w:rsidRDefault="002D29FC">
            <w:pPr>
              <w:spacing w:before="1"/>
              <w:ind w:left="52"/>
              <w:rPr>
                <w:rFonts w:ascii="Calibri"/>
                <w:sz w:val="18"/>
              </w:rPr>
            </w:pPr>
            <w:r>
              <w:rPr>
                <w:rFonts w:ascii="Calibri"/>
                <w:sz w:val="18"/>
              </w:rPr>
              <w:t>C. Other capital costs</w:t>
            </w:r>
          </w:p>
        </w:tc>
        <w:tc>
          <w:tcPr>
            <w:tcW w:w="1685" w:type="dxa"/>
          </w:tcPr>
          <w:p w:rsidR="006A18FD" w:rsidRDefault="006A18FD">
            <w:pPr>
              <w:rPr>
                <w:rFonts w:ascii="Times New Roman"/>
                <w:sz w:val="16"/>
              </w:rPr>
            </w:pPr>
          </w:p>
        </w:tc>
        <w:tc>
          <w:tcPr>
            <w:tcW w:w="6121" w:type="dxa"/>
          </w:tcPr>
          <w:p w:rsidR="006A18FD" w:rsidRDefault="002D29FC">
            <w:pPr>
              <w:spacing w:before="1"/>
              <w:ind w:left="103"/>
              <w:rPr>
                <w:rFonts w:ascii="Calibri"/>
                <w:sz w:val="18"/>
              </w:rPr>
            </w:pPr>
            <w:r>
              <w:rPr>
                <w:rFonts w:ascii="Calibri"/>
                <w:sz w:val="18"/>
              </w:rPr>
              <w:t>Capital costs not relating to buildings and oncosts are included in the local authority expenditure costs, therefore no additional cost has been added for</w:t>
            </w:r>
          </w:p>
          <w:p w:rsidR="006A18FD" w:rsidRDefault="002D29FC">
            <w:pPr>
              <w:spacing w:line="198" w:lineRule="exact"/>
              <w:ind w:left="103"/>
              <w:rPr>
                <w:rFonts w:ascii="Calibri"/>
                <w:sz w:val="18"/>
              </w:rPr>
            </w:pPr>
            <w:r>
              <w:rPr>
                <w:rFonts w:ascii="Calibri"/>
                <w:sz w:val="18"/>
              </w:rPr>
              <w:t>items such as equipment and durables.</w:t>
            </w:r>
          </w:p>
        </w:tc>
      </w:tr>
      <w:tr w:rsidR="006A18FD">
        <w:trPr>
          <w:trHeight w:val="1080"/>
        </w:trPr>
        <w:tc>
          <w:tcPr>
            <w:tcW w:w="2237" w:type="dxa"/>
          </w:tcPr>
          <w:p w:rsidR="006A18FD" w:rsidRDefault="002D29FC">
            <w:pPr>
              <w:spacing w:before="1"/>
              <w:ind w:left="52"/>
              <w:rPr>
                <w:rFonts w:ascii="Calibri"/>
                <w:sz w:val="18"/>
              </w:rPr>
            </w:pPr>
            <w:r>
              <w:rPr>
                <w:rFonts w:ascii="Calibri"/>
                <w:sz w:val="18"/>
              </w:rPr>
              <w:t>D. Total local authority expenditure (minus capital)</w:t>
            </w:r>
          </w:p>
        </w:tc>
        <w:tc>
          <w:tcPr>
            <w:tcW w:w="1685" w:type="dxa"/>
          </w:tcPr>
          <w:p w:rsidR="006A18FD" w:rsidRDefault="002D29FC">
            <w:pPr>
              <w:spacing w:before="1"/>
              <w:ind w:left="102"/>
              <w:rPr>
                <w:rFonts w:ascii="Calibri" w:hAnsi="Calibri"/>
                <w:sz w:val="18"/>
              </w:rPr>
            </w:pPr>
            <w:r>
              <w:rPr>
                <w:rFonts w:ascii="Calibri" w:hAnsi="Calibri"/>
                <w:sz w:val="18"/>
              </w:rPr>
              <w:t>£1,115 per week</w:t>
            </w:r>
          </w:p>
        </w:tc>
        <w:tc>
          <w:tcPr>
            <w:tcW w:w="6121" w:type="dxa"/>
          </w:tcPr>
          <w:p w:rsidR="006A18FD" w:rsidRDefault="002D29FC">
            <w:pPr>
              <w:spacing w:before="1"/>
              <w:ind w:left="103" w:right="195"/>
              <w:rPr>
                <w:rFonts w:ascii="Calibri" w:hAnsi="Calibri"/>
                <w:sz w:val="18"/>
              </w:rPr>
            </w:pPr>
            <w:r>
              <w:rPr>
                <w:rFonts w:ascii="Calibri" w:hAnsi="Calibri"/>
                <w:sz w:val="18"/>
              </w:rPr>
              <w:t>The median estimate is taken from ASC-FR 2018/2019.</w:t>
            </w:r>
            <w:r>
              <w:rPr>
                <w:rFonts w:ascii="Calibri" w:hAnsi="Calibri"/>
                <w:position w:val="5"/>
                <w:sz w:val="12"/>
              </w:rPr>
              <w:t xml:space="preserve">1 </w:t>
            </w:r>
            <w:r>
              <w:rPr>
                <w:rFonts w:ascii="Calibri" w:hAnsi="Calibri"/>
                <w:sz w:val="18"/>
              </w:rPr>
              <w:t>Capital charges relating to buildings and oncosts have been deducted. The mean cost is lower at £939 per week [using unique identifiers: 8713701, 8714301, 8714901, 8715501,</w:t>
            </w:r>
          </w:p>
          <w:p w:rsidR="006A18FD" w:rsidRDefault="002D29FC">
            <w:pPr>
              <w:spacing w:before="1" w:line="219" w:lineRule="exact"/>
              <w:ind w:left="103"/>
              <w:rPr>
                <w:rFonts w:ascii="Calibri"/>
                <w:sz w:val="18"/>
              </w:rPr>
            </w:pPr>
            <w:r>
              <w:rPr>
                <w:rFonts w:ascii="Calibri"/>
                <w:sz w:val="18"/>
              </w:rPr>
              <w:t>8716101 (numerators in thousands of pounds), 8713702, 8714302, 8714902,</w:t>
            </w:r>
          </w:p>
          <w:p w:rsidR="006A18FD" w:rsidRDefault="002D29FC">
            <w:pPr>
              <w:spacing w:line="199" w:lineRule="exact"/>
              <w:ind w:left="103"/>
              <w:rPr>
                <w:rFonts w:ascii="Calibri"/>
                <w:sz w:val="18"/>
              </w:rPr>
            </w:pPr>
            <w:r>
              <w:rPr>
                <w:rFonts w:ascii="Calibri"/>
                <w:sz w:val="18"/>
              </w:rPr>
              <w:t>8715502, 8716102 (denominators)].</w:t>
            </w:r>
          </w:p>
        </w:tc>
      </w:tr>
      <w:tr w:rsidR="006A18FD">
        <w:trPr>
          <w:trHeight w:val="640"/>
        </w:trPr>
        <w:tc>
          <w:tcPr>
            <w:tcW w:w="2237" w:type="dxa"/>
          </w:tcPr>
          <w:p w:rsidR="006A18FD" w:rsidRDefault="002D29FC">
            <w:pPr>
              <w:spacing w:before="1"/>
              <w:ind w:left="52"/>
              <w:rPr>
                <w:rFonts w:ascii="Calibri"/>
                <w:sz w:val="18"/>
              </w:rPr>
            </w:pPr>
            <w:r>
              <w:rPr>
                <w:rFonts w:ascii="Calibri"/>
                <w:sz w:val="18"/>
              </w:rPr>
              <w:t>E. Overheads</w:t>
            </w:r>
          </w:p>
        </w:tc>
        <w:tc>
          <w:tcPr>
            <w:tcW w:w="1685" w:type="dxa"/>
          </w:tcPr>
          <w:p w:rsidR="006A18FD" w:rsidRDefault="006A18FD">
            <w:pPr>
              <w:rPr>
                <w:rFonts w:ascii="Times New Roman"/>
                <w:sz w:val="16"/>
              </w:rPr>
            </w:pPr>
          </w:p>
        </w:tc>
        <w:tc>
          <w:tcPr>
            <w:tcW w:w="6121" w:type="dxa"/>
          </w:tcPr>
          <w:p w:rsidR="006A18FD" w:rsidRDefault="002D29FC">
            <w:pPr>
              <w:spacing w:before="1"/>
              <w:ind w:left="103" w:right="189"/>
              <w:rPr>
                <w:rFonts w:ascii="Calibri"/>
                <w:sz w:val="18"/>
              </w:rPr>
            </w:pPr>
            <w:r>
              <w:rPr>
                <w:rFonts w:ascii="Calibri"/>
                <w:sz w:val="18"/>
              </w:rPr>
              <w:t>Social services management and support services (SSMSS) costs are included in ASC-FR total expenditure figures, therefore no additional overheads have been</w:t>
            </w:r>
          </w:p>
          <w:p w:rsidR="006A18FD" w:rsidRDefault="002D29FC">
            <w:pPr>
              <w:spacing w:before="1" w:line="199" w:lineRule="exact"/>
              <w:ind w:left="103"/>
              <w:rPr>
                <w:rFonts w:ascii="Calibri"/>
                <w:sz w:val="18"/>
              </w:rPr>
            </w:pPr>
            <w:r>
              <w:rPr>
                <w:rFonts w:ascii="Calibri"/>
                <w:sz w:val="18"/>
              </w:rPr>
              <w:t>added.</w:t>
            </w:r>
          </w:p>
        </w:tc>
      </w:tr>
      <w:tr w:rsidR="006A18FD">
        <w:trPr>
          <w:trHeight w:val="1300"/>
        </w:trPr>
        <w:tc>
          <w:tcPr>
            <w:tcW w:w="2237" w:type="dxa"/>
          </w:tcPr>
          <w:p w:rsidR="006A18FD" w:rsidRDefault="002D29FC">
            <w:pPr>
              <w:spacing w:before="1"/>
              <w:ind w:left="52"/>
              <w:rPr>
                <w:rFonts w:ascii="Calibri"/>
                <w:sz w:val="18"/>
              </w:rPr>
            </w:pPr>
            <w:r>
              <w:rPr>
                <w:rFonts w:ascii="Calibri"/>
                <w:sz w:val="18"/>
              </w:rPr>
              <w:t>External services</w:t>
            </w:r>
          </w:p>
          <w:p w:rsidR="006A18FD" w:rsidRDefault="002D29FC" w:rsidP="008E3FA8">
            <w:pPr>
              <w:numPr>
                <w:ilvl w:val="0"/>
                <w:numId w:val="20"/>
              </w:numPr>
              <w:tabs>
                <w:tab w:val="left" w:pos="221"/>
              </w:tabs>
              <w:spacing w:before="34"/>
              <w:rPr>
                <w:rFonts w:ascii="Calibri"/>
                <w:sz w:val="18"/>
              </w:rPr>
            </w:pPr>
            <w:r>
              <w:rPr>
                <w:rFonts w:ascii="Calibri"/>
                <w:sz w:val="18"/>
              </w:rPr>
              <w:t>Community</w:t>
            </w:r>
            <w:r>
              <w:rPr>
                <w:rFonts w:ascii="Calibri"/>
                <w:spacing w:val="-5"/>
                <w:sz w:val="18"/>
              </w:rPr>
              <w:t xml:space="preserve"> </w:t>
            </w:r>
            <w:r>
              <w:rPr>
                <w:rFonts w:ascii="Calibri"/>
                <w:sz w:val="18"/>
              </w:rPr>
              <w:t>nursing</w:t>
            </w:r>
          </w:p>
          <w:p w:rsidR="006A18FD" w:rsidRDefault="002D29FC" w:rsidP="008E3FA8">
            <w:pPr>
              <w:numPr>
                <w:ilvl w:val="0"/>
                <w:numId w:val="20"/>
              </w:numPr>
              <w:tabs>
                <w:tab w:val="left" w:pos="252"/>
              </w:tabs>
              <w:spacing w:before="34"/>
              <w:ind w:left="251" w:hanging="199"/>
              <w:rPr>
                <w:rFonts w:ascii="Calibri"/>
                <w:sz w:val="18"/>
              </w:rPr>
            </w:pPr>
            <w:r>
              <w:rPr>
                <w:rFonts w:ascii="Calibri"/>
                <w:sz w:val="18"/>
              </w:rPr>
              <w:t>GP</w:t>
            </w:r>
            <w:r>
              <w:rPr>
                <w:rFonts w:ascii="Calibri"/>
                <w:spacing w:val="-3"/>
                <w:sz w:val="18"/>
              </w:rPr>
              <w:t xml:space="preserve"> </w:t>
            </w:r>
            <w:r>
              <w:rPr>
                <w:rFonts w:ascii="Calibri"/>
                <w:sz w:val="18"/>
              </w:rPr>
              <w:t>services</w:t>
            </w:r>
          </w:p>
          <w:p w:rsidR="006A18FD" w:rsidRDefault="002D29FC" w:rsidP="008E3FA8">
            <w:pPr>
              <w:numPr>
                <w:ilvl w:val="0"/>
                <w:numId w:val="20"/>
              </w:numPr>
              <w:tabs>
                <w:tab w:val="left" w:pos="252"/>
              </w:tabs>
              <w:spacing w:before="32"/>
              <w:ind w:left="251" w:hanging="199"/>
              <w:rPr>
                <w:rFonts w:ascii="Calibri"/>
                <w:sz w:val="18"/>
              </w:rPr>
            </w:pPr>
            <w:r>
              <w:rPr>
                <w:rFonts w:ascii="Calibri"/>
                <w:sz w:val="18"/>
              </w:rPr>
              <w:t>Other external</w:t>
            </w:r>
            <w:r>
              <w:rPr>
                <w:rFonts w:ascii="Calibri"/>
                <w:spacing w:val="-9"/>
                <w:sz w:val="18"/>
              </w:rPr>
              <w:t xml:space="preserve"> </w:t>
            </w:r>
            <w:r>
              <w:rPr>
                <w:rFonts w:ascii="Calibri"/>
                <w:sz w:val="18"/>
              </w:rPr>
              <w:t>services</w:t>
            </w:r>
          </w:p>
        </w:tc>
        <w:tc>
          <w:tcPr>
            <w:tcW w:w="1685" w:type="dxa"/>
          </w:tcPr>
          <w:p w:rsidR="006A18FD" w:rsidRDefault="006A18FD">
            <w:pPr>
              <w:spacing w:before="11"/>
              <w:rPr>
                <w:rFonts w:ascii="Calibri"/>
                <w:sz w:val="20"/>
              </w:rPr>
            </w:pPr>
          </w:p>
          <w:p w:rsidR="006A18FD" w:rsidRDefault="002D29FC">
            <w:pPr>
              <w:ind w:left="102"/>
              <w:rPr>
                <w:rFonts w:ascii="Calibri" w:hAnsi="Calibri"/>
                <w:sz w:val="18"/>
              </w:rPr>
            </w:pPr>
            <w:r>
              <w:rPr>
                <w:rFonts w:ascii="Calibri" w:hAnsi="Calibri"/>
                <w:sz w:val="18"/>
              </w:rPr>
              <w:t>£8 per week</w:t>
            </w:r>
          </w:p>
          <w:p w:rsidR="006A18FD" w:rsidRDefault="002D29FC">
            <w:pPr>
              <w:spacing w:before="34"/>
              <w:ind w:left="102"/>
              <w:rPr>
                <w:rFonts w:ascii="Calibri" w:hAnsi="Calibri"/>
                <w:sz w:val="18"/>
              </w:rPr>
            </w:pPr>
            <w:r>
              <w:rPr>
                <w:rFonts w:ascii="Calibri" w:hAnsi="Calibri"/>
                <w:sz w:val="18"/>
              </w:rPr>
              <w:t>£11 per week</w:t>
            </w:r>
          </w:p>
          <w:p w:rsidR="006A18FD" w:rsidRDefault="002D29FC">
            <w:pPr>
              <w:spacing w:before="32"/>
              <w:ind w:left="102"/>
              <w:rPr>
                <w:rFonts w:ascii="Calibri" w:hAnsi="Calibri"/>
                <w:sz w:val="18"/>
              </w:rPr>
            </w:pPr>
            <w:r>
              <w:rPr>
                <w:rFonts w:ascii="Calibri" w:hAnsi="Calibri"/>
                <w:sz w:val="18"/>
              </w:rPr>
              <w:t>£6 per week</w:t>
            </w:r>
          </w:p>
        </w:tc>
        <w:tc>
          <w:tcPr>
            <w:tcW w:w="6121" w:type="dxa"/>
          </w:tcPr>
          <w:p w:rsidR="006A18FD" w:rsidRDefault="002D29FC">
            <w:pPr>
              <w:spacing w:before="1"/>
              <w:ind w:left="103" w:right="192"/>
              <w:rPr>
                <w:rFonts w:ascii="Calibri" w:hAnsi="Calibri"/>
                <w:sz w:val="18"/>
              </w:rPr>
            </w:pPr>
            <w:r>
              <w:rPr>
                <w:rFonts w:ascii="Calibri" w:hAnsi="Calibri"/>
                <w:sz w:val="18"/>
              </w:rPr>
              <w:t>Information has been drawn from the article in the 2018 volume by Sach &amp; colleagues which compares the mean cost of contacts per resident using data collected from GP records compared to care home records over a seven-month period. Using the mid-point between the two data sources, total costs incurred per resident week were £24 (£21 using GP records and £26 using care home</w:t>
            </w:r>
          </w:p>
          <w:p w:rsidR="006A18FD" w:rsidRDefault="002D29FC">
            <w:pPr>
              <w:spacing w:line="198" w:lineRule="exact"/>
              <w:ind w:left="103"/>
              <w:rPr>
                <w:rFonts w:ascii="Calibri"/>
                <w:sz w:val="18"/>
              </w:rPr>
            </w:pPr>
            <w:r>
              <w:rPr>
                <w:rFonts w:ascii="Calibri"/>
                <w:sz w:val="18"/>
              </w:rPr>
              <w:t>data). Costs have been uprated using the NHS cost inflation index.</w:t>
            </w:r>
          </w:p>
        </w:tc>
      </w:tr>
      <w:tr w:rsidR="006A18FD">
        <w:trPr>
          <w:trHeight w:val="640"/>
        </w:trPr>
        <w:tc>
          <w:tcPr>
            <w:tcW w:w="2237" w:type="dxa"/>
          </w:tcPr>
          <w:p w:rsidR="006A18FD" w:rsidRDefault="002D29FC">
            <w:pPr>
              <w:spacing w:before="1"/>
              <w:ind w:left="52"/>
              <w:rPr>
                <w:rFonts w:ascii="Calibri"/>
                <w:sz w:val="18"/>
              </w:rPr>
            </w:pPr>
            <w:r>
              <w:rPr>
                <w:rFonts w:ascii="Calibri"/>
                <w:sz w:val="18"/>
              </w:rPr>
              <w:t>I. Personal living expenses</w:t>
            </w:r>
          </w:p>
        </w:tc>
        <w:tc>
          <w:tcPr>
            <w:tcW w:w="1685" w:type="dxa"/>
          </w:tcPr>
          <w:p w:rsidR="006A18FD" w:rsidRDefault="002D29FC">
            <w:pPr>
              <w:spacing w:before="1"/>
              <w:ind w:left="102"/>
              <w:rPr>
                <w:rFonts w:ascii="Calibri" w:hAnsi="Calibri"/>
                <w:sz w:val="18"/>
              </w:rPr>
            </w:pPr>
            <w:r>
              <w:rPr>
                <w:rFonts w:ascii="Calibri" w:hAnsi="Calibri"/>
                <w:sz w:val="18"/>
              </w:rPr>
              <w:t>£24.90 per week</w:t>
            </w:r>
          </w:p>
        </w:tc>
        <w:tc>
          <w:tcPr>
            <w:tcW w:w="6121" w:type="dxa"/>
          </w:tcPr>
          <w:p w:rsidR="006A18FD" w:rsidRDefault="002D29FC">
            <w:pPr>
              <w:spacing w:before="1"/>
              <w:ind w:left="103"/>
              <w:rPr>
                <w:rFonts w:ascii="Calibri" w:hAnsi="Calibri"/>
                <w:sz w:val="18"/>
              </w:rPr>
            </w:pPr>
            <w:r>
              <w:rPr>
                <w:rFonts w:ascii="Calibri" w:hAnsi="Calibri"/>
                <w:sz w:val="18"/>
              </w:rPr>
              <w:t>The Department for Work and Pensions (DWP) personal allowance for people in residential care or a nursing home is £24.90.</w:t>
            </w:r>
            <w:r>
              <w:rPr>
                <w:rFonts w:ascii="Calibri" w:hAnsi="Calibri"/>
                <w:position w:val="5"/>
                <w:sz w:val="12"/>
              </w:rPr>
              <w:t xml:space="preserve">4 </w:t>
            </w:r>
            <w:r>
              <w:rPr>
                <w:rFonts w:ascii="Calibri" w:hAnsi="Calibri"/>
                <w:sz w:val="18"/>
              </w:rPr>
              <w:t>This has been used as a proxy for</w:t>
            </w:r>
          </w:p>
          <w:p w:rsidR="006A18FD" w:rsidRDefault="002D29FC">
            <w:pPr>
              <w:spacing w:line="198" w:lineRule="exact"/>
              <w:ind w:left="103"/>
              <w:rPr>
                <w:rFonts w:ascii="Calibri"/>
                <w:sz w:val="18"/>
              </w:rPr>
            </w:pPr>
            <w:r>
              <w:rPr>
                <w:rFonts w:ascii="Calibri"/>
                <w:sz w:val="18"/>
              </w:rPr>
              <w:t>personal consumption.</w:t>
            </w:r>
          </w:p>
        </w:tc>
      </w:tr>
      <w:tr w:rsidR="006A18FD">
        <w:trPr>
          <w:trHeight w:val="420"/>
        </w:trPr>
        <w:tc>
          <w:tcPr>
            <w:tcW w:w="2237" w:type="dxa"/>
          </w:tcPr>
          <w:p w:rsidR="006A18FD" w:rsidRDefault="002D29FC">
            <w:pPr>
              <w:spacing w:before="1"/>
              <w:ind w:left="52"/>
              <w:rPr>
                <w:rFonts w:ascii="Calibri"/>
                <w:sz w:val="18"/>
              </w:rPr>
            </w:pPr>
            <w:r>
              <w:rPr>
                <w:rFonts w:ascii="Calibri"/>
                <w:sz w:val="18"/>
              </w:rPr>
              <w:t>Use of facility by client</w:t>
            </w:r>
          </w:p>
        </w:tc>
        <w:tc>
          <w:tcPr>
            <w:tcW w:w="1685" w:type="dxa"/>
          </w:tcPr>
          <w:p w:rsidR="006A18FD" w:rsidRDefault="002D29FC">
            <w:pPr>
              <w:spacing w:before="1" w:line="219" w:lineRule="exact"/>
              <w:ind w:left="102"/>
              <w:rPr>
                <w:rFonts w:ascii="Calibri"/>
                <w:sz w:val="18"/>
              </w:rPr>
            </w:pPr>
            <w:r>
              <w:rPr>
                <w:rFonts w:ascii="Calibri"/>
                <w:sz w:val="18"/>
              </w:rPr>
              <w:t>52.18 weeks per</w:t>
            </w:r>
          </w:p>
          <w:p w:rsidR="006A18FD" w:rsidRDefault="002D29FC">
            <w:pPr>
              <w:spacing w:line="199" w:lineRule="exact"/>
              <w:ind w:left="102"/>
              <w:rPr>
                <w:rFonts w:ascii="Calibri"/>
                <w:sz w:val="18"/>
              </w:rPr>
            </w:pPr>
            <w:r>
              <w:rPr>
                <w:rFonts w:ascii="Calibri"/>
                <w:sz w:val="18"/>
              </w:rPr>
              <w:t>year</w:t>
            </w:r>
          </w:p>
        </w:tc>
        <w:tc>
          <w:tcPr>
            <w:tcW w:w="6121" w:type="dxa"/>
          </w:tcPr>
          <w:p w:rsidR="006A18FD" w:rsidRDefault="006A18FD">
            <w:pPr>
              <w:rPr>
                <w:rFonts w:ascii="Times New Roman"/>
                <w:sz w:val="16"/>
              </w:rPr>
            </w:pPr>
          </w:p>
        </w:tc>
      </w:tr>
      <w:tr w:rsidR="006A18FD">
        <w:trPr>
          <w:trHeight w:val="640"/>
        </w:trPr>
        <w:tc>
          <w:tcPr>
            <w:tcW w:w="2237" w:type="dxa"/>
          </w:tcPr>
          <w:p w:rsidR="006A18FD" w:rsidRDefault="002D29FC">
            <w:pPr>
              <w:spacing w:before="1"/>
              <w:ind w:left="52"/>
              <w:rPr>
                <w:rFonts w:ascii="Calibri"/>
                <w:sz w:val="18"/>
              </w:rPr>
            </w:pPr>
            <w:r>
              <w:rPr>
                <w:rFonts w:ascii="Calibri"/>
                <w:sz w:val="18"/>
              </w:rPr>
              <w:t>Occupancy</w:t>
            </w:r>
          </w:p>
        </w:tc>
        <w:tc>
          <w:tcPr>
            <w:tcW w:w="1685" w:type="dxa"/>
          </w:tcPr>
          <w:p w:rsidR="006A18FD" w:rsidRDefault="002D29FC">
            <w:pPr>
              <w:spacing w:before="1"/>
              <w:ind w:left="102"/>
              <w:rPr>
                <w:rFonts w:ascii="Calibri"/>
                <w:sz w:val="18"/>
              </w:rPr>
            </w:pPr>
            <w:r>
              <w:rPr>
                <w:rFonts w:ascii="Calibri"/>
                <w:sz w:val="18"/>
              </w:rPr>
              <w:t>92.6 per cent</w:t>
            </w:r>
          </w:p>
        </w:tc>
        <w:tc>
          <w:tcPr>
            <w:tcW w:w="6121" w:type="dxa"/>
          </w:tcPr>
          <w:p w:rsidR="006A18FD" w:rsidRDefault="002D29FC">
            <w:pPr>
              <w:spacing w:before="1"/>
              <w:ind w:left="103" w:right="115"/>
              <w:rPr>
                <w:rFonts w:ascii="Calibri"/>
                <w:sz w:val="18"/>
              </w:rPr>
            </w:pPr>
            <w:r>
              <w:rPr>
                <w:rFonts w:ascii="Calibri"/>
                <w:sz w:val="18"/>
              </w:rPr>
              <w:t>Based on information reported by Laing &amp; Buisson, occupancy rates for the not- for-profit sector care homes without nursing in 2015 (provisional) were 92.6 per</w:t>
            </w:r>
          </w:p>
          <w:p w:rsidR="006A18FD" w:rsidRDefault="002D29FC">
            <w:pPr>
              <w:spacing w:line="198" w:lineRule="exact"/>
              <w:ind w:left="103"/>
              <w:rPr>
                <w:rFonts w:ascii="Calibri"/>
                <w:sz w:val="12"/>
              </w:rPr>
            </w:pPr>
            <w:r>
              <w:rPr>
                <w:rFonts w:ascii="Calibri"/>
                <w:sz w:val="18"/>
              </w:rPr>
              <w:t>cent.</w:t>
            </w:r>
            <w:r>
              <w:rPr>
                <w:rFonts w:ascii="Calibri"/>
                <w:position w:val="5"/>
                <w:sz w:val="12"/>
              </w:rPr>
              <w:t>5</w:t>
            </w:r>
          </w:p>
        </w:tc>
      </w:tr>
      <w:tr w:rsidR="006A18FD">
        <w:trPr>
          <w:trHeight w:val="640"/>
        </w:trPr>
        <w:tc>
          <w:tcPr>
            <w:tcW w:w="2237" w:type="dxa"/>
          </w:tcPr>
          <w:p w:rsidR="006A18FD" w:rsidRDefault="002D29FC">
            <w:pPr>
              <w:spacing w:before="1"/>
              <w:ind w:left="52"/>
              <w:rPr>
                <w:rFonts w:ascii="Calibri"/>
                <w:sz w:val="18"/>
              </w:rPr>
            </w:pPr>
            <w:r>
              <w:rPr>
                <w:rFonts w:ascii="Calibri"/>
                <w:sz w:val="18"/>
              </w:rPr>
              <w:t>Short-term care</w:t>
            </w:r>
          </w:p>
        </w:tc>
        <w:tc>
          <w:tcPr>
            <w:tcW w:w="1685" w:type="dxa"/>
          </w:tcPr>
          <w:p w:rsidR="006A18FD" w:rsidRDefault="006A18FD">
            <w:pPr>
              <w:rPr>
                <w:rFonts w:ascii="Times New Roman"/>
                <w:sz w:val="16"/>
              </w:rPr>
            </w:pPr>
          </w:p>
        </w:tc>
        <w:tc>
          <w:tcPr>
            <w:tcW w:w="6121" w:type="dxa"/>
          </w:tcPr>
          <w:p w:rsidR="006A18FD" w:rsidRDefault="002D29FC">
            <w:pPr>
              <w:spacing w:before="1"/>
              <w:ind w:left="103"/>
              <w:rPr>
                <w:rFonts w:ascii="Calibri"/>
                <w:sz w:val="18"/>
              </w:rPr>
            </w:pPr>
            <w:r>
              <w:rPr>
                <w:rFonts w:ascii="Calibri"/>
                <w:sz w:val="18"/>
              </w:rPr>
              <w:t>No current information is available on whether residents in short-term care are less costly than those who live full-time in a residential care home. See previous</w:t>
            </w:r>
          </w:p>
          <w:p w:rsidR="006A18FD" w:rsidRDefault="002D29FC">
            <w:pPr>
              <w:spacing w:line="198" w:lineRule="exact"/>
              <w:ind w:left="103"/>
              <w:rPr>
                <w:rFonts w:ascii="Calibri"/>
                <w:sz w:val="18"/>
              </w:rPr>
            </w:pPr>
            <w:r>
              <w:rPr>
                <w:rFonts w:ascii="Calibri"/>
                <w:sz w:val="18"/>
              </w:rPr>
              <w:t>editions of this volume for sources of information.</w:t>
            </w:r>
          </w:p>
        </w:tc>
      </w:tr>
      <w:tr w:rsidR="006A18FD">
        <w:trPr>
          <w:trHeight w:val="420"/>
        </w:trPr>
        <w:tc>
          <w:tcPr>
            <w:tcW w:w="2237" w:type="dxa"/>
          </w:tcPr>
          <w:p w:rsidR="006A18FD" w:rsidRDefault="002D29FC">
            <w:pPr>
              <w:spacing w:before="1"/>
              <w:ind w:left="52"/>
              <w:rPr>
                <w:rFonts w:ascii="Calibri"/>
                <w:sz w:val="18"/>
              </w:rPr>
            </w:pPr>
            <w:r>
              <w:rPr>
                <w:rFonts w:ascii="Calibri"/>
                <w:sz w:val="18"/>
              </w:rPr>
              <w:t>Dependency</w:t>
            </w:r>
          </w:p>
        </w:tc>
        <w:tc>
          <w:tcPr>
            <w:tcW w:w="1685" w:type="dxa"/>
          </w:tcPr>
          <w:p w:rsidR="006A18FD" w:rsidRDefault="006A18FD">
            <w:pPr>
              <w:rPr>
                <w:rFonts w:ascii="Times New Roman"/>
                <w:sz w:val="16"/>
              </w:rPr>
            </w:pPr>
          </w:p>
        </w:tc>
        <w:tc>
          <w:tcPr>
            <w:tcW w:w="6121" w:type="dxa"/>
          </w:tcPr>
          <w:p w:rsidR="006A18FD" w:rsidRDefault="002D29FC">
            <w:pPr>
              <w:spacing w:before="1" w:line="219" w:lineRule="exact"/>
              <w:ind w:left="103"/>
              <w:rPr>
                <w:rFonts w:ascii="Calibri"/>
                <w:sz w:val="18"/>
              </w:rPr>
            </w:pPr>
            <w:r>
              <w:rPr>
                <w:rFonts w:ascii="Calibri"/>
                <w:sz w:val="18"/>
              </w:rPr>
              <w:t>No current information is available on the relationship of dependency with cost.</w:t>
            </w:r>
          </w:p>
          <w:p w:rsidR="006A18FD" w:rsidRDefault="002D29FC">
            <w:pPr>
              <w:spacing w:line="199" w:lineRule="exact"/>
              <w:ind w:left="103"/>
              <w:rPr>
                <w:rFonts w:ascii="Calibri"/>
                <w:sz w:val="18"/>
              </w:rPr>
            </w:pPr>
            <w:r>
              <w:rPr>
                <w:rFonts w:ascii="Calibri"/>
                <w:sz w:val="18"/>
              </w:rPr>
              <w:t>See previous editions of this volume for sources of information.</w:t>
            </w:r>
          </w:p>
        </w:tc>
      </w:tr>
      <w:tr w:rsidR="006A18FD">
        <w:trPr>
          <w:trHeight w:val="440"/>
        </w:trPr>
        <w:tc>
          <w:tcPr>
            <w:tcW w:w="2237" w:type="dxa"/>
          </w:tcPr>
          <w:p w:rsidR="006A18FD" w:rsidRDefault="002D29FC">
            <w:pPr>
              <w:spacing w:before="1"/>
              <w:ind w:left="52"/>
              <w:rPr>
                <w:rFonts w:ascii="Calibri"/>
                <w:sz w:val="18"/>
              </w:rPr>
            </w:pPr>
            <w:r>
              <w:rPr>
                <w:rFonts w:ascii="Calibri"/>
                <w:sz w:val="18"/>
              </w:rPr>
              <w:t>London multiplier</w:t>
            </w:r>
          </w:p>
        </w:tc>
        <w:tc>
          <w:tcPr>
            <w:tcW w:w="1685" w:type="dxa"/>
          </w:tcPr>
          <w:p w:rsidR="006A18FD" w:rsidRDefault="006A18FD">
            <w:pPr>
              <w:rPr>
                <w:rFonts w:ascii="Times New Roman"/>
                <w:sz w:val="16"/>
              </w:rPr>
            </w:pPr>
          </w:p>
        </w:tc>
        <w:tc>
          <w:tcPr>
            <w:tcW w:w="6121" w:type="dxa"/>
          </w:tcPr>
          <w:p w:rsidR="006A18FD" w:rsidRDefault="002D29FC">
            <w:pPr>
              <w:spacing w:before="1"/>
              <w:ind w:left="103"/>
              <w:rPr>
                <w:rFonts w:ascii="Calibri"/>
                <w:sz w:val="18"/>
              </w:rPr>
            </w:pPr>
            <w:r>
              <w:rPr>
                <w:rFonts w:ascii="Calibri"/>
                <w:sz w:val="18"/>
              </w:rPr>
              <w:t>See previous volume for information on multipliers</w:t>
            </w:r>
          </w:p>
        </w:tc>
      </w:tr>
      <w:tr w:rsidR="006A18FD">
        <w:trPr>
          <w:trHeight w:val="320"/>
        </w:trPr>
        <w:tc>
          <w:tcPr>
            <w:tcW w:w="10044" w:type="dxa"/>
            <w:gridSpan w:val="3"/>
          </w:tcPr>
          <w:p w:rsidR="006A18FD" w:rsidRDefault="002D29FC">
            <w:pPr>
              <w:spacing w:before="1"/>
              <w:ind w:left="52"/>
              <w:rPr>
                <w:rFonts w:ascii="Calibri"/>
                <w:b/>
                <w:sz w:val="18"/>
              </w:rPr>
            </w:pPr>
            <w:r>
              <w:rPr>
                <w:rFonts w:ascii="Calibri"/>
                <w:b/>
                <w:sz w:val="18"/>
              </w:rPr>
              <w:t>Unit costs available 2018/2019</w:t>
            </w:r>
          </w:p>
        </w:tc>
      </w:tr>
      <w:tr w:rsidR="006A18FD">
        <w:trPr>
          <w:trHeight w:val="1060"/>
        </w:trPr>
        <w:tc>
          <w:tcPr>
            <w:tcW w:w="10044" w:type="dxa"/>
            <w:gridSpan w:val="3"/>
          </w:tcPr>
          <w:p w:rsidR="006A18FD" w:rsidRDefault="002D29FC">
            <w:pPr>
              <w:spacing w:before="61"/>
              <w:ind w:left="52" w:right="115"/>
              <w:rPr>
                <w:rFonts w:ascii="Calibri" w:hAnsi="Calibri"/>
                <w:sz w:val="18"/>
              </w:rPr>
            </w:pPr>
            <w:r>
              <w:rPr>
                <w:rFonts w:ascii="Calibri" w:hAnsi="Calibri"/>
                <w:sz w:val="18"/>
              </w:rPr>
              <w:t>£1,238 establishment cost per permanent resident week (includes A to E); £1,288 establishment cost plus personal living expenses and external services per permanent resident week (includes A to I).</w:t>
            </w:r>
          </w:p>
          <w:p w:rsidR="006A18FD" w:rsidRDefault="002D29FC">
            <w:pPr>
              <w:spacing w:before="58"/>
              <w:ind w:left="52" w:right="515"/>
              <w:rPr>
                <w:rFonts w:ascii="Calibri" w:hAnsi="Calibri"/>
                <w:sz w:val="18"/>
              </w:rPr>
            </w:pPr>
            <w:r>
              <w:rPr>
                <w:rFonts w:ascii="Calibri" w:hAnsi="Calibri"/>
                <w:sz w:val="18"/>
              </w:rPr>
              <w:t>£177 establishment cost per permanent resident day (includes A to E); £184 establishment cost plus personal living expenses and external services per permanent resident day (includes A to I).</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E60AD2">
      <w:pPr>
        <w:spacing w:before="155"/>
        <w:ind w:left="423" w:right="522" w:hanging="284"/>
        <w:rPr>
          <w:rFonts w:ascii="Calibri"/>
          <w:sz w:val="16"/>
        </w:rPr>
      </w:pPr>
      <w:r>
        <w:rPr>
          <w:noProof/>
          <w:lang w:val="en-GB" w:eastAsia="en-GB"/>
        </w:rPr>
        <mc:AlternateContent>
          <mc:Choice Requires="wps">
            <w:drawing>
              <wp:anchor distT="0" distB="0" distL="114300" distR="114300" simplePos="0" relativeHeight="251606016" behindDoc="1" locked="0" layoutInCell="1" allowOverlap="1">
                <wp:simplePos x="0" y="0"/>
                <wp:positionH relativeFrom="page">
                  <wp:posOffset>636905</wp:posOffset>
                </wp:positionH>
                <wp:positionV relativeFrom="paragraph">
                  <wp:posOffset>335280</wp:posOffset>
                </wp:positionV>
                <wp:extent cx="3713480" cy="0"/>
                <wp:effectExtent l="8255" t="11430" r="12065" b="7620"/>
                <wp:wrapNone/>
                <wp:docPr id="36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6272C" id="Line 225"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26.4pt" to="342.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rp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" strokeweight=".16936mm">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(2019) </w:t>
      </w:r>
      <w:r w:rsidR="002D29FC">
        <w:rPr>
          <w:rFonts w:ascii="Calibri"/>
          <w:i/>
          <w:sz w:val="16"/>
        </w:rPr>
        <w:t>Adult Social Care Finance Return (ASC-FR)</w:t>
      </w:r>
      <w:r w:rsidR="002D29FC">
        <w:rPr>
          <w:rFonts w:ascii="Calibri"/>
          <w:sz w:val="16"/>
        </w:rPr>
        <w:t xml:space="preserve">, NHS Digital 2018/19, </w:t>
      </w:r>
      <w:hyperlink r:id="rId100">
        <w:r w:rsidR="002D29FC">
          <w:rPr>
            <w:rFonts w:ascii="Calibri"/>
            <w:sz w:val="16"/>
            <w:u w:val="single"/>
          </w:rPr>
          <w:t>https://digital.nhs.uk/data-and-</w:t>
        </w:r>
      </w:hyperlink>
      <w:r w:rsidR="002D29FC">
        <w:rPr>
          <w:rFonts w:ascii="Calibri"/>
          <w:sz w:val="16"/>
        </w:rPr>
        <w:t xml:space="preserve"> </w:t>
      </w:r>
      <w:hyperlink r:id="rId101">
        <w:r w:rsidR="002D29FC">
          <w:rPr>
            <w:rFonts w:ascii="Calibri"/>
            <w:sz w:val="16"/>
          </w:rPr>
          <w:t xml:space="preserve">information/publications/statistical/adult-social-care-activity-and-finance-report/2018-19 </w:t>
        </w:r>
      </w:hyperlink>
      <w:r w:rsidR="002D29FC">
        <w:rPr>
          <w:rFonts w:ascii="Calibri"/>
          <w:sz w:val="16"/>
        </w:rPr>
        <w:t>[accessed 23 October, 2019], in collaboration with the Department of Health and Social Care.</w:t>
      </w:r>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2"/>
        <w:ind w:left="423" w:right="1717" w:hanging="284"/>
        <w:rPr>
          <w:rFonts w:ascii="Calibri"/>
          <w:sz w:val="16"/>
        </w:rPr>
      </w:pPr>
      <w:r>
        <w:rPr>
          <w:rFonts w:ascii="Calibri"/>
          <w:position w:val="5"/>
          <w:sz w:val="10"/>
        </w:rPr>
        <w:t xml:space="preserve">3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02">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1"/>
        <w:ind w:left="423" w:right="203" w:hanging="284"/>
        <w:rPr>
          <w:rFonts w:ascii="Calibri" w:hAnsi="Calibri"/>
          <w:sz w:val="16"/>
        </w:rPr>
      </w:pPr>
      <w:r>
        <w:rPr>
          <w:rFonts w:ascii="Calibri" w:hAnsi="Calibri"/>
          <w:position w:val="5"/>
          <w:sz w:val="10"/>
        </w:rPr>
        <w:t xml:space="preserve">4 </w:t>
      </w:r>
      <w:r>
        <w:rPr>
          <w:rFonts w:ascii="Calibri" w:hAnsi="Calibri"/>
          <w:sz w:val="16"/>
        </w:rPr>
        <w:t xml:space="preserve">Department of Health &amp; Social Care (2019) Social Care – Charging for care and support, Department of Health &amp; Social Care, London. </w:t>
      </w:r>
      <w:hyperlink r:id="rId103">
        <w:r>
          <w:rPr>
            <w:rFonts w:ascii="Calibri" w:hAnsi="Calibri"/>
            <w:sz w:val="16"/>
            <w:u w:val="single"/>
          </w:rPr>
          <w:t>https://assets.publishing.service.gov.uk/government/uploads/system/uploads/attachment_data/file/772969/Social_care_charging_for_care_and_su</w:t>
        </w:r>
      </w:hyperlink>
      <w:r>
        <w:rPr>
          <w:rFonts w:ascii="Calibri" w:hAnsi="Calibri"/>
          <w:sz w:val="16"/>
        </w:rPr>
        <w:t xml:space="preserve"> </w:t>
      </w:r>
      <w:hyperlink r:id="rId104">
        <w:r>
          <w:rPr>
            <w:rFonts w:ascii="Calibri" w:hAnsi="Calibri"/>
            <w:sz w:val="16"/>
            <w:u w:val="single"/>
          </w:rPr>
          <w:t>pport_-_LAC_2019.pdf</w:t>
        </w:r>
        <w:r>
          <w:rPr>
            <w:rFonts w:ascii="Calibri" w:hAnsi="Calibri"/>
            <w:sz w:val="16"/>
          </w:rPr>
          <w:t xml:space="preserve"> </w:t>
        </w:r>
      </w:hyperlink>
      <w:r>
        <w:rPr>
          <w:rFonts w:ascii="Calibri" w:hAnsi="Calibri"/>
          <w:sz w:val="16"/>
        </w:rPr>
        <w:t>[accessed 20 May 2019].</w:t>
      </w:r>
    </w:p>
    <w:p w:rsidR="006A18FD" w:rsidRDefault="002D29FC">
      <w:pPr>
        <w:spacing w:before="1"/>
        <w:ind w:left="140"/>
        <w:rPr>
          <w:rFonts w:ascii="Calibri"/>
          <w:sz w:val="16"/>
        </w:rPr>
      </w:pPr>
      <w:r>
        <w:rPr>
          <w:rFonts w:ascii="Calibri"/>
          <w:position w:val="5"/>
          <w:sz w:val="10"/>
        </w:rPr>
        <w:t xml:space="preserve">5 </w:t>
      </w:r>
      <w:r>
        <w:rPr>
          <w:rFonts w:ascii="Calibri"/>
          <w:sz w:val="16"/>
        </w:rPr>
        <w:t xml:space="preserve">Laing &amp; Buisson (2015) </w:t>
      </w:r>
      <w:r>
        <w:rPr>
          <w:rFonts w:ascii="Calibri"/>
          <w:i/>
          <w:sz w:val="16"/>
        </w:rPr>
        <w:t>Care of older people: UK market report 2015</w:t>
      </w:r>
      <w:r>
        <w:rPr>
          <w:rFonts w:ascii="Calibri"/>
          <w:sz w:val="16"/>
        </w:rPr>
        <w:t>, twenty-seventh edition, Laing &amp; Buisson, London.</w:t>
      </w:r>
    </w:p>
    <w:p w:rsidR="006A18FD" w:rsidRDefault="006A18FD">
      <w:pPr>
        <w:rPr>
          <w:rFonts w:ascii="Calibri"/>
          <w:sz w:val="16"/>
        </w:rPr>
        <w:sectPr w:rsidR="006A18FD">
          <w:headerReference w:type="even" r:id="rId105"/>
          <w:headerReference w:type="default" r:id="rId106"/>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6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67" name="Line 22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F47E44" id="Group 22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M0eUld/AgAAgQUA&#10;AA4AAAAAAAAAAAAAAAAALgIAAGRycy9lMm9Eb2MueG1sUEsBAi0AFAAGAAgAAAAhAC135FzaAAAA&#10;BAEAAA8AAAAAAAAAAAAAAAAA2QQAAGRycy9kb3ducmV2LnhtbFBLBQYAAAAABAAEAPMAAADgBQAA&#10;AAA=&#10;">
                <v:line id="Line 22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w10:anchorlock/>
              </v:group>
            </w:pict>
          </mc:Fallback>
        </mc:AlternateContent>
      </w:r>
    </w:p>
    <w:p w:rsidR="006A18FD" w:rsidRDefault="00EE3E6C" w:rsidP="00EE3E6C">
      <w:pPr>
        <w:pStyle w:val="Heading2"/>
      </w:pPr>
      <w:r>
        <w:t xml:space="preserve">1.4 </w:t>
      </w:r>
      <w:r w:rsidR="002D29FC">
        <w:t>Local authority own-provision day care for older people (age</w:t>
      </w:r>
      <w:r w:rsidR="002D29FC">
        <w:rPr>
          <w:spacing w:val="-33"/>
        </w:rPr>
        <w:t xml:space="preserve"> </w:t>
      </w:r>
      <w:r w:rsidR="002D29FC">
        <w:t>65+)</w:t>
      </w:r>
    </w:p>
    <w:p w:rsidR="006A18FD" w:rsidRDefault="002D29FC">
      <w:pPr>
        <w:spacing w:before="169" w:line="276" w:lineRule="auto"/>
        <w:ind w:left="152" w:right="353"/>
        <w:rPr>
          <w:rFonts w:ascii="Calibri" w:hAnsi="Calibri"/>
          <w:sz w:val="20"/>
        </w:rPr>
      </w:pPr>
      <w:r>
        <w:rPr>
          <w:rFonts w:ascii="Calibri" w:hAnsi="Calibri"/>
          <w:sz w:val="20"/>
        </w:rPr>
        <w:t>As day care expenditure is now combined with other expenditure in the ASC-FR data collection,</w:t>
      </w:r>
      <w:r>
        <w:rPr>
          <w:rFonts w:ascii="Calibri" w:hAnsi="Calibri"/>
          <w:position w:val="7"/>
          <w:sz w:val="13"/>
        </w:rPr>
        <w:t xml:space="preserve">1 </w:t>
      </w:r>
      <w:r>
        <w:rPr>
          <w:rFonts w:ascii="Calibri" w:hAnsi="Calibri"/>
          <w:sz w:val="20"/>
        </w:rPr>
        <w:t>this table uses data from the Personal Social Services Expenditure return (PSS EX1) for 2013/14,</w:t>
      </w:r>
      <w:r>
        <w:rPr>
          <w:rFonts w:ascii="Calibri" w:hAnsi="Calibri"/>
          <w:position w:val="5"/>
          <w:sz w:val="12"/>
        </w:rPr>
        <w:t xml:space="preserve">2 </w:t>
      </w:r>
      <w:r>
        <w:rPr>
          <w:rFonts w:ascii="Calibri" w:hAnsi="Calibri"/>
          <w:sz w:val="20"/>
        </w:rPr>
        <w:t>which has been uprated using the PSS pay and prices inflator. The median and mean cost was £145 per client week (including capital costs). These data do not report on the number of sessions clients attended each week.</w:t>
      </w:r>
    </w:p>
    <w:p w:rsidR="006A18FD" w:rsidRDefault="002D29FC">
      <w:pPr>
        <w:spacing w:before="120" w:line="276" w:lineRule="auto"/>
        <w:ind w:left="152" w:right="323"/>
        <w:rPr>
          <w:rFonts w:ascii="Calibri" w:hAnsi="Calibri"/>
          <w:sz w:val="20"/>
        </w:rPr>
      </w:pPr>
      <w:r>
        <w:rPr>
          <w:rFonts w:ascii="Calibri" w:hAnsi="Calibri"/>
          <w:sz w:val="20"/>
        </w:rPr>
        <w:t>To determine the best unit of activity, we submitted a Freedom of Information request to ask local authorities the duration of a ‘unit of activity’ and to provide approximate guidance on how many times a week clients attend.</w:t>
      </w:r>
    </w:p>
    <w:p w:rsidR="006A18FD" w:rsidRDefault="002D29FC">
      <w:pPr>
        <w:spacing w:before="117" w:line="276" w:lineRule="auto"/>
        <w:ind w:left="152" w:right="283"/>
        <w:rPr>
          <w:rFonts w:ascii="Calibri"/>
          <w:sz w:val="20"/>
        </w:rPr>
      </w:pPr>
      <w:r>
        <w:rPr>
          <w:rFonts w:ascii="Calibri"/>
          <w:sz w:val="20"/>
        </w:rPr>
        <w:t>Based on information provided by ten local authorities,</w:t>
      </w:r>
      <w:r>
        <w:rPr>
          <w:rFonts w:ascii="Calibri"/>
          <w:position w:val="7"/>
          <w:sz w:val="13"/>
        </w:rPr>
        <w:t xml:space="preserve">3  </w:t>
      </w:r>
      <w:r>
        <w:rPr>
          <w:rFonts w:ascii="Calibri"/>
          <w:sz w:val="20"/>
        </w:rPr>
        <w:t>we have calculated an average cost per client attendance and also a cost per client hour. We have then used this information to calculate the cost of a client session lasting 3.5 hours, which is a typical standard unit of day care for most local authorities responding to our information request.</w:t>
      </w:r>
    </w:p>
    <w:p w:rsidR="006A18FD" w:rsidRDefault="006A18FD">
      <w:pPr>
        <w:spacing w:before="8"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53166C">
        <w:trPr>
          <w:trHeight w:val="360"/>
          <w:tblHeader/>
        </w:trPr>
        <w:tc>
          <w:tcPr>
            <w:tcW w:w="2268" w:type="dxa"/>
          </w:tcPr>
          <w:p w:rsidR="006A18FD" w:rsidRDefault="002D29FC">
            <w:pPr>
              <w:spacing w:before="1"/>
              <w:ind w:left="52"/>
              <w:rPr>
                <w:rFonts w:ascii="Calibri"/>
                <w:b/>
                <w:sz w:val="20"/>
              </w:rPr>
            </w:pPr>
            <w:r>
              <w:rPr>
                <w:rFonts w:ascii="Calibri"/>
                <w:b/>
                <w:sz w:val="20"/>
              </w:rPr>
              <w:t>Costs and unit estimation</w:t>
            </w:r>
          </w:p>
        </w:tc>
        <w:tc>
          <w:tcPr>
            <w:tcW w:w="1702" w:type="dxa"/>
          </w:tcPr>
          <w:p w:rsidR="006A18FD" w:rsidRDefault="002D29FC">
            <w:pPr>
              <w:spacing w:before="1"/>
              <w:ind w:left="105"/>
              <w:rPr>
                <w:rFonts w:ascii="Calibri"/>
                <w:b/>
                <w:sz w:val="20"/>
              </w:rPr>
            </w:pPr>
            <w:r>
              <w:rPr>
                <w:rFonts w:ascii="Calibri"/>
                <w:b/>
                <w:sz w:val="20"/>
              </w:rPr>
              <w:t>2018/2019 value</w:t>
            </w:r>
          </w:p>
        </w:tc>
        <w:tc>
          <w:tcPr>
            <w:tcW w:w="6236" w:type="dxa"/>
          </w:tcPr>
          <w:p w:rsidR="006A18FD" w:rsidRDefault="002D29FC">
            <w:pPr>
              <w:spacing w:before="1"/>
              <w:ind w:left="103"/>
              <w:rPr>
                <w:rFonts w:ascii="Calibri"/>
                <w:b/>
                <w:sz w:val="20"/>
              </w:rPr>
            </w:pPr>
            <w:r>
              <w:rPr>
                <w:rFonts w:ascii="Calibri"/>
                <w:b/>
                <w:sz w:val="20"/>
              </w:rPr>
              <w:t>Notes</w:t>
            </w:r>
          </w:p>
        </w:tc>
      </w:tr>
      <w:tr w:rsidR="006A18FD">
        <w:trPr>
          <w:trHeight w:val="240"/>
        </w:trPr>
        <w:tc>
          <w:tcPr>
            <w:tcW w:w="2268" w:type="dxa"/>
            <w:tcBorders>
              <w:bottom w:val="nil"/>
            </w:tcBorders>
          </w:tcPr>
          <w:p w:rsidR="006A18FD" w:rsidRDefault="002D29FC">
            <w:pPr>
              <w:spacing w:before="2" w:line="233" w:lineRule="exact"/>
              <w:ind w:left="52"/>
              <w:rPr>
                <w:rFonts w:ascii="Calibri"/>
                <w:sz w:val="20"/>
              </w:rPr>
            </w:pPr>
            <w:r>
              <w:rPr>
                <w:rFonts w:ascii="Calibri"/>
                <w:sz w:val="20"/>
              </w:rPr>
              <w:t>Capital costs</w:t>
            </w:r>
          </w:p>
        </w:tc>
        <w:tc>
          <w:tcPr>
            <w:tcW w:w="1702" w:type="dxa"/>
            <w:tcBorders>
              <w:bottom w:val="nil"/>
            </w:tcBorders>
          </w:tcPr>
          <w:p w:rsidR="006A18FD" w:rsidRDefault="006A18FD">
            <w:pPr>
              <w:rPr>
                <w:rFonts w:ascii="Times New Roman"/>
                <w:sz w:val="18"/>
              </w:rPr>
            </w:pPr>
          </w:p>
        </w:tc>
        <w:tc>
          <w:tcPr>
            <w:tcW w:w="6236" w:type="dxa"/>
            <w:tcBorders>
              <w:bottom w:val="nil"/>
            </w:tcBorders>
          </w:tcPr>
          <w:p w:rsidR="006A18FD" w:rsidRDefault="002D29FC">
            <w:pPr>
              <w:spacing w:before="2" w:line="233" w:lineRule="exact"/>
              <w:ind w:left="103"/>
              <w:rPr>
                <w:rFonts w:ascii="Calibri"/>
                <w:sz w:val="20"/>
              </w:rPr>
            </w:pPr>
            <w:r>
              <w:rPr>
                <w:rFonts w:ascii="Calibri"/>
                <w:sz w:val="20"/>
              </w:rPr>
              <w:t>Based on the new-build and land requirements for local authority day</w:t>
            </w:r>
          </w:p>
        </w:tc>
      </w:tr>
      <w:tr w:rsidR="006A18FD">
        <w:trPr>
          <w:trHeight w:val="240"/>
        </w:trPr>
        <w:tc>
          <w:tcPr>
            <w:tcW w:w="2268" w:type="dxa"/>
            <w:tcBorders>
              <w:top w:val="nil"/>
              <w:bottom w:val="nil"/>
            </w:tcBorders>
          </w:tcPr>
          <w:p w:rsidR="006A18FD" w:rsidRDefault="002D29FC">
            <w:pPr>
              <w:spacing w:before="1" w:line="237" w:lineRule="exact"/>
              <w:ind w:left="52"/>
              <w:rPr>
                <w:rFonts w:ascii="Calibri"/>
                <w:sz w:val="20"/>
              </w:rPr>
            </w:pPr>
            <w:r>
              <w:rPr>
                <w:rFonts w:ascii="Calibri"/>
                <w:sz w:val="20"/>
              </w:rPr>
              <w:t>A. Buildings and oncosts</w:t>
            </w:r>
          </w:p>
        </w:tc>
        <w:tc>
          <w:tcPr>
            <w:tcW w:w="1702" w:type="dxa"/>
            <w:tcBorders>
              <w:top w:val="nil"/>
              <w:bottom w:val="nil"/>
            </w:tcBorders>
          </w:tcPr>
          <w:p w:rsidR="006A18FD" w:rsidRDefault="002D29FC">
            <w:pPr>
              <w:spacing w:before="1" w:line="237" w:lineRule="exact"/>
              <w:ind w:left="105"/>
              <w:rPr>
                <w:rFonts w:ascii="Calibri" w:hAnsi="Calibri"/>
                <w:sz w:val="20"/>
              </w:rPr>
            </w:pPr>
            <w:r>
              <w:rPr>
                <w:rFonts w:ascii="Calibri" w:hAnsi="Calibri"/>
                <w:sz w:val="20"/>
              </w:rPr>
              <w:t>£6.30 per client</w:t>
            </w:r>
          </w:p>
        </w:tc>
        <w:tc>
          <w:tcPr>
            <w:tcW w:w="6236" w:type="dxa"/>
            <w:tcBorders>
              <w:top w:val="nil"/>
              <w:bottom w:val="nil"/>
            </w:tcBorders>
          </w:tcPr>
          <w:p w:rsidR="006A18FD" w:rsidRDefault="002D29FC">
            <w:pPr>
              <w:spacing w:line="233" w:lineRule="exact"/>
              <w:ind w:left="103"/>
              <w:rPr>
                <w:rFonts w:ascii="Calibri"/>
                <w:sz w:val="20"/>
              </w:rPr>
            </w:pPr>
            <w:r>
              <w:rPr>
                <w:rFonts w:ascii="Calibri"/>
                <w:sz w:val="20"/>
              </w:rPr>
              <w:t>care facilities (which do not distinguish client group).</w:t>
            </w:r>
            <w:r>
              <w:rPr>
                <w:rFonts w:ascii="Calibri"/>
                <w:position w:val="7"/>
                <w:sz w:val="13"/>
              </w:rPr>
              <w:t xml:space="preserve">4 </w:t>
            </w:r>
            <w:r>
              <w:rPr>
                <w:rFonts w:ascii="Calibri"/>
                <w:sz w:val="20"/>
              </w:rPr>
              <w:t>Capital costs have</w:t>
            </w:r>
          </w:p>
        </w:tc>
      </w:tr>
      <w:tr w:rsidR="006A18FD">
        <w:trPr>
          <w:trHeight w:val="240"/>
        </w:trPr>
        <w:tc>
          <w:tcPr>
            <w:tcW w:w="2268"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2D29FC">
            <w:pPr>
              <w:spacing w:line="225" w:lineRule="exact"/>
              <w:ind w:left="105"/>
              <w:rPr>
                <w:rFonts w:ascii="Calibri"/>
                <w:sz w:val="20"/>
              </w:rPr>
            </w:pPr>
            <w:r>
              <w:rPr>
                <w:rFonts w:ascii="Calibri"/>
                <w:sz w:val="20"/>
              </w:rPr>
              <w:t>attendance</w:t>
            </w:r>
          </w:p>
        </w:tc>
        <w:tc>
          <w:tcPr>
            <w:tcW w:w="6236" w:type="dxa"/>
            <w:tcBorders>
              <w:top w:val="nil"/>
              <w:bottom w:val="nil"/>
            </w:tcBorders>
          </w:tcPr>
          <w:p w:rsidR="006A18FD" w:rsidRDefault="002D29FC">
            <w:pPr>
              <w:spacing w:line="220" w:lineRule="exact"/>
              <w:ind w:left="103"/>
              <w:rPr>
                <w:rFonts w:ascii="Calibri"/>
                <w:sz w:val="20"/>
              </w:rPr>
            </w:pPr>
            <w:r>
              <w:rPr>
                <w:rFonts w:ascii="Calibri"/>
                <w:sz w:val="20"/>
              </w:rPr>
              <w:t>been annuitised over 60 years at a discount rate of 3.5 per cent</w:t>
            </w:r>
            <w:r>
              <w:rPr>
                <w:rFonts w:ascii="Calibri"/>
                <w:sz w:val="19"/>
              </w:rPr>
              <w:t xml:space="preserve">, </w:t>
            </w:r>
            <w:r>
              <w:rPr>
                <w:rFonts w:ascii="Calibri"/>
                <w:sz w:val="20"/>
              </w:rPr>
              <w:t>declining</w:t>
            </w:r>
          </w:p>
        </w:tc>
      </w:tr>
      <w:tr w:rsidR="006A18FD">
        <w:trPr>
          <w:trHeight w:val="220"/>
        </w:trPr>
        <w:tc>
          <w:tcPr>
            <w:tcW w:w="2268"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6236" w:type="dxa"/>
            <w:tcBorders>
              <w:top w:val="nil"/>
              <w:bottom w:val="nil"/>
            </w:tcBorders>
          </w:tcPr>
          <w:p w:rsidR="006A18FD" w:rsidRDefault="002D29FC">
            <w:pPr>
              <w:spacing w:line="218" w:lineRule="exact"/>
              <w:ind w:left="103"/>
              <w:rPr>
                <w:rFonts w:ascii="Calibri"/>
                <w:sz w:val="20"/>
              </w:rPr>
            </w:pPr>
            <w:r>
              <w:rPr>
                <w:rFonts w:ascii="Calibri"/>
                <w:sz w:val="20"/>
              </w:rPr>
              <w:t>to 3 per cent after 30 years.</w:t>
            </w:r>
          </w:p>
        </w:tc>
      </w:tr>
      <w:tr w:rsidR="006A18FD">
        <w:trPr>
          <w:trHeight w:val="220"/>
        </w:trPr>
        <w:tc>
          <w:tcPr>
            <w:tcW w:w="2268" w:type="dxa"/>
            <w:tcBorders>
              <w:top w:val="nil"/>
              <w:bottom w:val="nil"/>
            </w:tcBorders>
          </w:tcPr>
          <w:p w:rsidR="006A18FD" w:rsidRDefault="002D29FC">
            <w:pPr>
              <w:spacing w:line="218" w:lineRule="exact"/>
              <w:ind w:left="52"/>
              <w:rPr>
                <w:rFonts w:ascii="Calibri"/>
                <w:sz w:val="20"/>
              </w:rPr>
            </w:pPr>
            <w:r>
              <w:rPr>
                <w:rFonts w:ascii="Calibri"/>
                <w:sz w:val="20"/>
              </w:rPr>
              <w:t>B. Land</w:t>
            </w:r>
          </w:p>
        </w:tc>
        <w:tc>
          <w:tcPr>
            <w:tcW w:w="1702" w:type="dxa"/>
            <w:tcBorders>
              <w:top w:val="nil"/>
              <w:bottom w:val="nil"/>
            </w:tcBorders>
          </w:tcPr>
          <w:p w:rsidR="006A18FD" w:rsidRDefault="002D29FC">
            <w:pPr>
              <w:spacing w:line="218" w:lineRule="exact"/>
              <w:ind w:left="105"/>
              <w:rPr>
                <w:rFonts w:ascii="Calibri" w:hAnsi="Calibri"/>
                <w:sz w:val="20"/>
              </w:rPr>
            </w:pPr>
            <w:r>
              <w:rPr>
                <w:rFonts w:ascii="Calibri" w:hAnsi="Calibri"/>
                <w:sz w:val="20"/>
              </w:rPr>
              <w:t>£2.20 per client</w:t>
            </w:r>
          </w:p>
        </w:tc>
        <w:tc>
          <w:tcPr>
            <w:tcW w:w="6236" w:type="dxa"/>
            <w:tcBorders>
              <w:top w:val="nil"/>
              <w:bottom w:val="nil"/>
            </w:tcBorders>
          </w:tcPr>
          <w:p w:rsidR="006A18FD" w:rsidRDefault="002D29FC">
            <w:pPr>
              <w:spacing w:line="215" w:lineRule="exact"/>
              <w:ind w:left="103"/>
              <w:rPr>
                <w:rFonts w:ascii="Calibri"/>
                <w:sz w:val="19"/>
              </w:rPr>
            </w:pPr>
            <w:r>
              <w:rPr>
                <w:rFonts w:ascii="Calibri"/>
                <w:sz w:val="19"/>
              </w:rPr>
              <w:t>Based on a report published by the Ministry of Housing, Communities &amp; Local</w:t>
            </w:r>
          </w:p>
        </w:tc>
      </w:tr>
      <w:tr w:rsidR="006A18FD">
        <w:trPr>
          <w:trHeight w:val="240"/>
        </w:trPr>
        <w:tc>
          <w:tcPr>
            <w:tcW w:w="2268"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2D29FC">
            <w:pPr>
              <w:spacing w:line="224" w:lineRule="exact"/>
              <w:ind w:left="105"/>
              <w:rPr>
                <w:rFonts w:ascii="Calibri"/>
                <w:sz w:val="20"/>
              </w:rPr>
            </w:pPr>
            <w:r>
              <w:rPr>
                <w:rFonts w:ascii="Calibri"/>
                <w:sz w:val="20"/>
              </w:rPr>
              <w:t>attendance</w:t>
            </w:r>
          </w:p>
        </w:tc>
        <w:tc>
          <w:tcPr>
            <w:tcW w:w="6236" w:type="dxa"/>
            <w:tcBorders>
              <w:top w:val="nil"/>
              <w:bottom w:val="nil"/>
            </w:tcBorders>
          </w:tcPr>
          <w:p w:rsidR="006A18FD" w:rsidRDefault="002D29FC">
            <w:pPr>
              <w:spacing w:line="219" w:lineRule="exact"/>
              <w:ind w:left="103"/>
              <w:rPr>
                <w:rFonts w:ascii="Calibri"/>
                <w:sz w:val="20"/>
              </w:rPr>
            </w:pPr>
            <w:r>
              <w:rPr>
                <w:rFonts w:ascii="Calibri"/>
                <w:sz w:val="19"/>
              </w:rPr>
              <w:t>Government.</w:t>
            </w:r>
            <w:r>
              <w:rPr>
                <w:rFonts w:ascii="Calibri"/>
                <w:position w:val="6"/>
                <w:sz w:val="12"/>
              </w:rPr>
              <w:t xml:space="preserve">5 </w:t>
            </w:r>
            <w:r>
              <w:rPr>
                <w:rFonts w:ascii="Calibri"/>
                <w:sz w:val="20"/>
              </w:rPr>
              <w:t>These allow for 33.4 square metres per person.  Land costs</w:t>
            </w:r>
          </w:p>
        </w:tc>
      </w:tr>
      <w:tr w:rsidR="006A18FD">
        <w:trPr>
          <w:trHeight w:val="220"/>
        </w:trPr>
        <w:tc>
          <w:tcPr>
            <w:tcW w:w="2268"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6236" w:type="dxa"/>
            <w:tcBorders>
              <w:top w:val="nil"/>
              <w:bottom w:val="nil"/>
            </w:tcBorders>
          </w:tcPr>
          <w:p w:rsidR="006A18FD" w:rsidRDefault="002D29FC">
            <w:pPr>
              <w:spacing w:line="219" w:lineRule="exact"/>
              <w:ind w:left="103"/>
              <w:rPr>
                <w:rFonts w:ascii="Calibri"/>
                <w:sz w:val="20"/>
              </w:rPr>
            </w:pPr>
            <w:r>
              <w:rPr>
                <w:rFonts w:ascii="Calibri"/>
                <w:sz w:val="20"/>
              </w:rPr>
              <w:t>have been annuitised over 60 years at a discount rate of 3.5 per cent,</w:t>
            </w:r>
          </w:p>
        </w:tc>
      </w:tr>
      <w:tr w:rsidR="006A18FD">
        <w:trPr>
          <w:trHeight w:val="220"/>
        </w:trPr>
        <w:tc>
          <w:tcPr>
            <w:tcW w:w="2268" w:type="dxa"/>
            <w:tcBorders>
              <w:top w:val="nil"/>
            </w:tcBorders>
          </w:tcPr>
          <w:p w:rsidR="006A18FD" w:rsidRDefault="006A18FD">
            <w:pPr>
              <w:rPr>
                <w:rFonts w:ascii="Times New Roman"/>
                <w:sz w:val="16"/>
              </w:rPr>
            </w:pPr>
          </w:p>
        </w:tc>
        <w:tc>
          <w:tcPr>
            <w:tcW w:w="1702" w:type="dxa"/>
            <w:tcBorders>
              <w:top w:val="nil"/>
            </w:tcBorders>
          </w:tcPr>
          <w:p w:rsidR="006A18FD" w:rsidRDefault="006A18FD">
            <w:pPr>
              <w:rPr>
                <w:rFonts w:ascii="Times New Roman"/>
                <w:sz w:val="16"/>
              </w:rPr>
            </w:pPr>
          </w:p>
        </w:tc>
        <w:tc>
          <w:tcPr>
            <w:tcW w:w="6236" w:type="dxa"/>
            <w:tcBorders>
              <w:top w:val="nil"/>
            </w:tcBorders>
          </w:tcPr>
          <w:p w:rsidR="006A18FD" w:rsidRDefault="002D29FC">
            <w:pPr>
              <w:spacing w:line="205" w:lineRule="exact"/>
              <w:ind w:left="103"/>
              <w:rPr>
                <w:rFonts w:ascii="Calibri"/>
                <w:sz w:val="20"/>
              </w:rPr>
            </w:pPr>
            <w:r>
              <w:rPr>
                <w:rFonts w:ascii="Calibri"/>
                <w:sz w:val="20"/>
              </w:rPr>
              <w:t>declining to 3 per cent after 30 years.</w:t>
            </w:r>
          </w:p>
        </w:tc>
      </w:tr>
      <w:tr w:rsidR="006A18FD">
        <w:trPr>
          <w:trHeight w:val="720"/>
        </w:trPr>
        <w:tc>
          <w:tcPr>
            <w:tcW w:w="2268" w:type="dxa"/>
          </w:tcPr>
          <w:p w:rsidR="006A18FD" w:rsidRDefault="002D29FC">
            <w:pPr>
              <w:spacing w:before="1"/>
              <w:ind w:left="52"/>
              <w:rPr>
                <w:rFonts w:ascii="Calibri"/>
                <w:sz w:val="20"/>
              </w:rPr>
            </w:pPr>
            <w:r>
              <w:rPr>
                <w:rFonts w:ascii="Calibri"/>
                <w:sz w:val="20"/>
              </w:rPr>
              <w:t>C. Other capital costs</w:t>
            </w:r>
          </w:p>
        </w:tc>
        <w:tc>
          <w:tcPr>
            <w:tcW w:w="1702" w:type="dxa"/>
          </w:tcPr>
          <w:p w:rsidR="006A18FD" w:rsidRDefault="006A18FD">
            <w:pPr>
              <w:rPr>
                <w:rFonts w:ascii="Times New Roman"/>
                <w:sz w:val="18"/>
              </w:rPr>
            </w:pPr>
          </w:p>
        </w:tc>
        <w:tc>
          <w:tcPr>
            <w:tcW w:w="6236" w:type="dxa"/>
          </w:tcPr>
          <w:p w:rsidR="006A18FD" w:rsidRDefault="002D29FC">
            <w:pPr>
              <w:spacing w:before="1"/>
              <w:ind w:left="103" w:right="90"/>
              <w:rPr>
                <w:rFonts w:ascii="Calibri"/>
                <w:sz w:val="20"/>
              </w:rPr>
            </w:pPr>
            <w:r>
              <w:rPr>
                <w:rFonts w:ascii="Calibri"/>
                <w:sz w:val="20"/>
              </w:rPr>
              <w:t>Capital costs not relating to buildings and oncosts are included in the local authority expenditure figures, therefore no additional cost has been</w:t>
            </w:r>
          </w:p>
          <w:p w:rsidR="006A18FD" w:rsidRDefault="002D29FC">
            <w:pPr>
              <w:spacing w:line="223" w:lineRule="exact"/>
              <w:ind w:left="103"/>
              <w:rPr>
                <w:rFonts w:ascii="Calibri"/>
                <w:sz w:val="20"/>
              </w:rPr>
            </w:pPr>
            <w:r>
              <w:rPr>
                <w:rFonts w:ascii="Calibri"/>
                <w:sz w:val="20"/>
              </w:rPr>
              <w:t>added for items such as equipment and durables.</w:t>
            </w:r>
          </w:p>
        </w:tc>
      </w:tr>
      <w:tr w:rsidR="006A18FD">
        <w:trPr>
          <w:trHeight w:val="1220"/>
        </w:trPr>
        <w:tc>
          <w:tcPr>
            <w:tcW w:w="2268" w:type="dxa"/>
          </w:tcPr>
          <w:p w:rsidR="006A18FD" w:rsidRDefault="002D29FC">
            <w:pPr>
              <w:spacing w:before="1"/>
              <w:ind w:left="52" w:right="336"/>
              <w:rPr>
                <w:rFonts w:ascii="Calibri"/>
                <w:sz w:val="20"/>
              </w:rPr>
            </w:pPr>
            <w:r>
              <w:rPr>
                <w:rFonts w:ascii="Calibri"/>
                <w:sz w:val="20"/>
              </w:rPr>
              <w:t>D. Total local authority expenditure (minus capital)</w:t>
            </w:r>
          </w:p>
        </w:tc>
        <w:tc>
          <w:tcPr>
            <w:tcW w:w="1702" w:type="dxa"/>
          </w:tcPr>
          <w:p w:rsidR="006A18FD" w:rsidRDefault="002D29FC">
            <w:pPr>
              <w:spacing w:before="1"/>
              <w:ind w:left="105" w:right="450"/>
              <w:rPr>
                <w:rFonts w:ascii="Calibri" w:hAnsi="Calibri"/>
                <w:sz w:val="20"/>
              </w:rPr>
            </w:pPr>
            <w:r>
              <w:rPr>
                <w:rFonts w:ascii="Calibri" w:hAnsi="Calibri"/>
                <w:sz w:val="20"/>
              </w:rPr>
              <w:t>£51 per client attendance</w:t>
            </w:r>
          </w:p>
        </w:tc>
        <w:tc>
          <w:tcPr>
            <w:tcW w:w="6236" w:type="dxa"/>
          </w:tcPr>
          <w:p w:rsidR="006A18FD" w:rsidRDefault="002D29FC">
            <w:pPr>
              <w:spacing w:before="4" w:line="237" w:lineRule="auto"/>
              <w:ind w:left="103" w:right="140"/>
              <w:rPr>
                <w:rFonts w:ascii="Calibri"/>
                <w:sz w:val="20"/>
              </w:rPr>
            </w:pPr>
            <w:r>
              <w:rPr>
                <w:rFonts w:ascii="Calibri"/>
                <w:sz w:val="20"/>
              </w:rPr>
              <w:t>The median and mean cost per week is taken from PSS EX1 2013/14 and has been uprated using the PSS pay &amp; prices index.</w:t>
            </w:r>
            <w:r>
              <w:rPr>
                <w:rFonts w:ascii="Calibri"/>
                <w:position w:val="7"/>
                <w:sz w:val="13"/>
              </w:rPr>
              <w:t xml:space="preserve">2 </w:t>
            </w:r>
            <w:r>
              <w:rPr>
                <w:rFonts w:ascii="Calibri"/>
                <w:sz w:val="20"/>
              </w:rPr>
              <w:t>Based on PSSRU research,</w:t>
            </w:r>
            <w:r>
              <w:rPr>
                <w:rFonts w:ascii="Calibri"/>
                <w:position w:val="7"/>
                <w:sz w:val="13"/>
              </w:rPr>
              <w:t xml:space="preserve">3 </w:t>
            </w:r>
            <w:r>
              <w:rPr>
                <w:rFonts w:ascii="Calibri"/>
                <w:sz w:val="20"/>
              </w:rPr>
              <w:t>older people attend on average 2.5 times per week (4.6 hours in duration) resulting in a median and mean cost per day care attendance</w:t>
            </w:r>
          </w:p>
          <w:p w:rsidR="006A18FD" w:rsidRDefault="002D29FC">
            <w:pPr>
              <w:spacing w:before="1" w:line="223" w:lineRule="exact"/>
              <w:ind w:left="103"/>
              <w:rPr>
                <w:rFonts w:ascii="Calibri" w:hAnsi="Calibri"/>
                <w:sz w:val="20"/>
              </w:rPr>
            </w:pPr>
            <w:r>
              <w:rPr>
                <w:rFonts w:ascii="Calibri" w:hAnsi="Calibri"/>
                <w:sz w:val="20"/>
              </w:rPr>
              <w:t>of £51. Capital charges relating to buildings have been deducted.</w:t>
            </w:r>
          </w:p>
        </w:tc>
      </w:tr>
      <w:tr w:rsidR="006A18FD">
        <w:trPr>
          <w:trHeight w:val="720"/>
        </w:trPr>
        <w:tc>
          <w:tcPr>
            <w:tcW w:w="2268" w:type="dxa"/>
          </w:tcPr>
          <w:p w:rsidR="006A18FD" w:rsidRDefault="002D29FC">
            <w:pPr>
              <w:spacing w:before="1"/>
              <w:ind w:left="52"/>
              <w:rPr>
                <w:rFonts w:ascii="Calibri"/>
                <w:sz w:val="20"/>
              </w:rPr>
            </w:pPr>
            <w:r>
              <w:rPr>
                <w:rFonts w:ascii="Calibri"/>
                <w:sz w:val="20"/>
              </w:rPr>
              <w:t>E. Overheads</w:t>
            </w:r>
          </w:p>
        </w:tc>
        <w:tc>
          <w:tcPr>
            <w:tcW w:w="1702" w:type="dxa"/>
          </w:tcPr>
          <w:p w:rsidR="006A18FD" w:rsidRDefault="006A18FD">
            <w:pPr>
              <w:rPr>
                <w:rFonts w:ascii="Times New Roman"/>
                <w:sz w:val="18"/>
              </w:rPr>
            </w:pPr>
          </w:p>
        </w:tc>
        <w:tc>
          <w:tcPr>
            <w:tcW w:w="6236" w:type="dxa"/>
          </w:tcPr>
          <w:p w:rsidR="006A18FD" w:rsidRDefault="002D29FC">
            <w:pPr>
              <w:spacing w:before="1"/>
              <w:ind w:left="103" w:right="482"/>
              <w:rPr>
                <w:rFonts w:ascii="Calibri"/>
                <w:sz w:val="20"/>
              </w:rPr>
            </w:pPr>
            <w:r>
              <w:rPr>
                <w:rFonts w:ascii="Calibri"/>
                <w:sz w:val="20"/>
              </w:rPr>
              <w:t>Social services management and support services (SSMSS) costs are included in PSS EX1 total expenditure figures, therefore no additional</w:t>
            </w:r>
          </w:p>
          <w:p w:rsidR="006A18FD" w:rsidRDefault="002D29FC">
            <w:pPr>
              <w:spacing w:line="223" w:lineRule="exact"/>
              <w:ind w:left="103"/>
              <w:rPr>
                <w:rFonts w:ascii="Calibri"/>
                <w:sz w:val="20"/>
              </w:rPr>
            </w:pPr>
            <w:r>
              <w:rPr>
                <w:rFonts w:ascii="Calibri"/>
                <w:sz w:val="20"/>
              </w:rPr>
              <w:t>overheads have been added.</w:t>
            </w:r>
          </w:p>
        </w:tc>
      </w:tr>
      <w:tr w:rsidR="006A18FD">
        <w:trPr>
          <w:trHeight w:val="240"/>
        </w:trPr>
        <w:tc>
          <w:tcPr>
            <w:tcW w:w="2268" w:type="dxa"/>
          </w:tcPr>
          <w:p w:rsidR="006A18FD" w:rsidRDefault="002D29FC">
            <w:pPr>
              <w:spacing w:before="1" w:line="223" w:lineRule="exact"/>
              <w:ind w:left="52"/>
              <w:rPr>
                <w:rFonts w:ascii="Calibri"/>
                <w:sz w:val="20"/>
              </w:rPr>
            </w:pPr>
            <w:r>
              <w:rPr>
                <w:rFonts w:ascii="Calibri"/>
                <w:sz w:val="20"/>
              </w:rPr>
              <w:t>Use of facility by client</w:t>
            </w:r>
          </w:p>
        </w:tc>
        <w:tc>
          <w:tcPr>
            <w:tcW w:w="1702" w:type="dxa"/>
          </w:tcPr>
          <w:p w:rsidR="006A18FD" w:rsidRDefault="006A18FD">
            <w:pPr>
              <w:rPr>
                <w:rFonts w:ascii="Times New Roman"/>
                <w:sz w:val="16"/>
              </w:rPr>
            </w:pPr>
          </w:p>
        </w:tc>
        <w:tc>
          <w:tcPr>
            <w:tcW w:w="6236" w:type="dxa"/>
          </w:tcPr>
          <w:p w:rsidR="006A18FD" w:rsidRDefault="002D29FC">
            <w:pPr>
              <w:spacing w:line="224" w:lineRule="exact"/>
              <w:ind w:left="103"/>
              <w:rPr>
                <w:rFonts w:ascii="Calibri"/>
                <w:sz w:val="13"/>
              </w:rPr>
            </w:pPr>
            <w:r>
              <w:rPr>
                <w:rFonts w:ascii="Calibri"/>
                <w:sz w:val="20"/>
              </w:rPr>
              <w:t>Assumes clients attend 2.5 times per week.</w:t>
            </w:r>
            <w:r>
              <w:rPr>
                <w:rFonts w:ascii="Calibri"/>
                <w:position w:val="7"/>
                <w:sz w:val="13"/>
              </w:rPr>
              <w:t>3</w:t>
            </w:r>
          </w:p>
        </w:tc>
      </w:tr>
      <w:tr w:rsidR="006A18FD">
        <w:trPr>
          <w:trHeight w:val="240"/>
        </w:trPr>
        <w:tc>
          <w:tcPr>
            <w:tcW w:w="2268" w:type="dxa"/>
          </w:tcPr>
          <w:p w:rsidR="006A18FD" w:rsidRDefault="002D29FC">
            <w:pPr>
              <w:spacing w:before="1" w:line="223" w:lineRule="exact"/>
              <w:ind w:left="52"/>
              <w:rPr>
                <w:rFonts w:ascii="Calibri"/>
                <w:sz w:val="20"/>
              </w:rPr>
            </w:pPr>
            <w:r>
              <w:rPr>
                <w:rFonts w:ascii="Calibri"/>
                <w:sz w:val="20"/>
              </w:rPr>
              <w:t>Occupancy</w:t>
            </w:r>
          </w:p>
        </w:tc>
        <w:tc>
          <w:tcPr>
            <w:tcW w:w="1702" w:type="dxa"/>
          </w:tcPr>
          <w:p w:rsidR="006A18FD" w:rsidRDefault="006A18FD">
            <w:pPr>
              <w:rPr>
                <w:rFonts w:ascii="Times New Roman"/>
                <w:sz w:val="16"/>
              </w:rPr>
            </w:pPr>
          </w:p>
        </w:tc>
        <w:tc>
          <w:tcPr>
            <w:tcW w:w="6236" w:type="dxa"/>
          </w:tcPr>
          <w:p w:rsidR="006A18FD" w:rsidRDefault="006A18FD">
            <w:pPr>
              <w:rPr>
                <w:rFonts w:ascii="Times New Roman"/>
                <w:sz w:val="16"/>
              </w:rPr>
            </w:pPr>
          </w:p>
        </w:tc>
      </w:tr>
      <w:tr w:rsidR="006A18FD">
        <w:trPr>
          <w:trHeight w:val="480"/>
        </w:trPr>
        <w:tc>
          <w:tcPr>
            <w:tcW w:w="2268" w:type="dxa"/>
          </w:tcPr>
          <w:p w:rsidR="006A18FD" w:rsidRDefault="002D29FC">
            <w:pPr>
              <w:spacing w:before="1"/>
              <w:ind w:left="52"/>
              <w:rPr>
                <w:rFonts w:ascii="Calibri"/>
                <w:sz w:val="20"/>
              </w:rPr>
            </w:pPr>
            <w:r>
              <w:rPr>
                <w:rFonts w:ascii="Calibri"/>
                <w:sz w:val="20"/>
              </w:rPr>
              <w:t>London multiplier</w:t>
            </w:r>
          </w:p>
        </w:tc>
        <w:tc>
          <w:tcPr>
            <w:tcW w:w="1702" w:type="dxa"/>
          </w:tcPr>
          <w:p w:rsidR="006A18FD" w:rsidRDefault="006A18FD">
            <w:pPr>
              <w:rPr>
                <w:rFonts w:ascii="Times New Roman"/>
                <w:sz w:val="18"/>
              </w:rPr>
            </w:pPr>
          </w:p>
        </w:tc>
        <w:tc>
          <w:tcPr>
            <w:tcW w:w="6236" w:type="dxa"/>
          </w:tcPr>
          <w:p w:rsidR="006A18FD" w:rsidRDefault="002D29FC">
            <w:pPr>
              <w:spacing w:before="1"/>
              <w:ind w:left="103"/>
              <w:rPr>
                <w:rFonts w:ascii="Calibri"/>
                <w:sz w:val="20"/>
              </w:rPr>
            </w:pPr>
            <w:r>
              <w:rPr>
                <w:rFonts w:ascii="Calibri"/>
                <w:sz w:val="20"/>
              </w:rPr>
              <w:t>See previous volume for information on multipliers</w:t>
            </w:r>
          </w:p>
        </w:tc>
      </w:tr>
      <w:tr w:rsidR="006A18FD">
        <w:trPr>
          <w:trHeight w:val="360"/>
        </w:trPr>
        <w:tc>
          <w:tcPr>
            <w:tcW w:w="10207" w:type="dxa"/>
            <w:gridSpan w:val="3"/>
          </w:tcPr>
          <w:p w:rsidR="006A18FD" w:rsidRDefault="002D29FC">
            <w:pPr>
              <w:spacing w:before="3"/>
              <w:ind w:left="52"/>
              <w:rPr>
                <w:rFonts w:ascii="Calibri"/>
                <w:b/>
                <w:sz w:val="20"/>
              </w:rPr>
            </w:pPr>
            <w:r>
              <w:rPr>
                <w:rFonts w:ascii="Calibri"/>
                <w:b/>
                <w:sz w:val="20"/>
              </w:rPr>
              <w:t>Unit costs available 2018/2019</w:t>
            </w:r>
          </w:p>
        </w:tc>
      </w:tr>
      <w:tr w:rsidR="006A18FD">
        <w:trPr>
          <w:trHeight w:val="240"/>
        </w:trPr>
        <w:tc>
          <w:tcPr>
            <w:tcW w:w="10207" w:type="dxa"/>
            <w:gridSpan w:val="3"/>
          </w:tcPr>
          <w:p w:rsidR="006A18FD" w:rsidRDefault="002D29FC">
            <w:pPr>
              <w:spacing w:before="1" w:line="223" w:lineRule="exact"/>
              <w:ind w:left="52"/>
              <w:rPr>
                <w:rFonts w:ascii="Calibri" w:hAnsi="Calibri"/>
                <w:sz w:val="20"/>
              </w:rPr>
            </w:pPr>
            <w:r>
              <w:rPr>
                <w:rFonts w:ascii="Calibri" w:hAnsi="Calibri"/>
                <w:sz w:val="20"/>
              </w:rPr>
              <w:t>£60 per client attendance (includes A to D); £13 per client hour; £45 per client session lasting 3.5 hours.</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
        <w:rPr>
          <w:rFonts w:ascii="Calibri"/>
          <w:sz w:val="16"/>
        </w:rPr>
      </w:pPr>
    </w:p>
    <w:p w:rsidR="006A18FD" w:rsidRDefault="002D29FC">
      <w:pPr>
        <w:spacing w:line="195" w:lineRule="exact"/>
        <w:ind w:left="152"/>
        <w:rPr>
          <w:rFonts w:ascii="Calibri"/>
          <w:sz w:val="16"/>
        </w:rPr>
      </w:pPr>
      <w:r>
        <w:rPr>
          <w:rFonts w:ascii="Calibri"/>
          <w:position w:val="5"/>
          <w:sz w:val="10"/>
        </w:rPr>
        <w:t xml:space="preserve">1 </w:t>
      </w:r>
      <w:r>
        <w:rPr>
          <w:rFonts w:ascii="Calibri"/>
          <w:sz w:val="16"/>
        </w:rPr>
        <w:t xml:space="preserve">NHS Digital (2016) </w:t>
      </w:r>
      <w:r>
        <w:rPr>
          <w:rFonts w:ascii="Calibri"/>
          <w:i/>
          <w:sz w:val="16"/>
        </w:rPr>
        <w:t>Adult Social Care Finance Return (ASC-FR)</w:t>
      </w:r>
      <w:r>
        <w:rPr>
          <w:rFonts w:ascii="Calibri"/>
          <w:sz w:val="16"/>
        </w:rPr>
        <w:t>, NHS Digital, Leeds.</w:t>
      </w:r>
    </w:p>
    <w:p w:rsidR="006A18FD" w:rsidRDefault="002D29FC">
      <w:pPr>
        <w:spacing w:line="194" w:lineRule="exact"/>
        <w:ind w:left="152"/>
        <w:rPr>
          <w:rFonts w:ascii="Calibri"/>
          <w:sz w:val="16"/>
        </w:rPr>
      </w:pPr>
      <w:r>
        <w:rPr>
          <w:rFonts w:ascii="Calibri"/>
          <w:position w:val="5"/>
          <w:sz w:val="10"/>
        </w:rPr>
        <w:t xml:space="preserve">2 </w:t>
      </w:r>
      <w:r>
        <w:rPr>
          <w:rFonts w:ascii="Calibri"/>
          <w:sz w:val="16"/>
        </w:rPr>
        <w:t xml:space="preserve">NHS Digital (2014) </w:t>
      </w:r>
      <w:r>
        <w:rPr>
          <w:rFonts w:ascii="Calibri"/>
          <w:i/>
          <w:sz w:val="16"/>
        </w:rPr>
        <w:t>PSS EX1 2013/14</w:t>
      </w:r>
      <w:r>
        <w:rPr>
          <w:rFonts w:ascii="Calibri"/>
          <w:sz w:val="16"/>
        </w:rPr>
        <w:t>, NHS Digital, Leeds.</w:t>
      </w:r>
    </w:p>
    <w:p w:rsidR="006A18FD" w:rsidRDefault="002D29FC">
      <w:pPr>
        <w:spacing w:line="195" w:lineRule="exact"/>
        <w:ind w:left="152"/>
        <w:rPr>
          <w:rFonts w:ascii="Calibri"/>
          <w:sz w:val="16"/>
        </w:rPr>
      </w:pPr>
      <w:r>
        <w:rPr>
          <w:rFonts w:ascii="Calibri"/>
          <w:position w:val="5"/>
          <w:sz w:val="10"/>
        </w:rPr>
        <w:t xml:space="preserve">3  </w:t>
      </w:r>
      <w:r>
        <w:rPr>
          <w:rFonts w:ascii="Calibri"/>
          <w:sz w:val="16"/>
        </w:rPr>
        <w:t>Based on research carried out by PSSRU in 2014.</w:t>
      </w:r>
    </w:p>
    <w:p w:rsidR="006A18FD" w:rsidRDefault="002D29FC">
      <w:pPr>
        <w:spacing w:before="1" w:line="195" w:lineRule="exact"/>
        <w:ind w:left="152"/>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1844"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07">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6A18FD">
      <w:pPr>
        <w:rPr>
          <w:rFonts w:ascii="Calibri"/>
          <w:sz w:val="16"/>
        </w:rPr>
        <w:sectPr w:rsidR="006A18FD">
          <w:pgSz w:w="11910" w:h="16840"/>
          <w:pgMar w:top="960" w:right="44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6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65" name="Line 22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99CF8B" id="Group 22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KLyaBfQIAAIEFAAAO&#10;AAAAAAAAAAAAAAAAAC4CAABkcnMvZTJvRG9jLnhtbFBLAQItABQABgAIAAAAIQAtd+Rc2gAAAAQB&#10;AAAPAAAAAAAAAAAAAAAAANcEAABkcnMvZG93bnJldi54bWxQSwUGAAAAAAQABADzAAAA3gUAAAAA&#10;">
                <v:line id="Line 22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w10:anchorlock/>
              </v:group>
            </w:pict>
          </mc:Fallback>
        </mc:AlternateContent>
      </w:r>
    </w:p>
    <w:p w:rsidR="006A18FD" w:rsidRDefault="00EE3E6C" w:rsidP="00EE3E6C">
      <w:pPr>
        <w:pStyle w:val="Heading2"/>
      </w:pPr>
      <w:r>
        <w:t xml:space="preserve">1.5 </w:t>
      </w:r>
      <w:r w:rsidR="002D29FC">
        <w:t>Dementia memory</w:t>
      </w:r>
      <w:r w:rsidR="002D29FC">
        <w:rPr>
          <w:spacing w:val="-6"/>
        </w:rPr>
        <w:t xml:space="preserve"> </w:t>
      </w:r>
      <w:r w:rsidR="002D29FC">
        <w:t>service</w:t>
      </w:r>
    </w:p>
    <w:p w:rsidR="006A18FD" w:rsidRDefault="002D29FC">
      <w:pPr>
        <w:spacing w:before="172" w:line="276" w:lineRule="auto"/>
        <w:ind w:left="140" w:right="301"/>
        <w:rPr>
          <w:rFonts w:ascii="Calibri" w:hAnsi="Calibri"/>
          <w:sz w:val="19"/>
        </w:rPr>
      </w:pPr>
      <w:r>
        <w:rPr>
          <w:rFonts w:ascii="Calibri" w:hAnsi="Calibri"/>
          <w:sz w:val="19"/>
        </w:rPr>
        <w:t>Memory assessment services support the early identification and care of people with dementia. They offer a comprehensive assessment</w:t>
      </w:r>
      <w:r>
        <w:rPr>
          <w:rFonts w:ascii="Calibri" w:hAnsi="Calibri"/>
          <w:spacing w:val="-5"/>
          <w:sz w:val="19"/>
        </w:rPr>
        <w:t xml:space="preserve"> </w:t>
      </w:r>
      <w:r>
        <w:rPr>
          <w:rFonts w:ascii="Calibri" w:hAnsi="Calibri"/>
          <w:sz w:val="19"/>
        </w:rPr>
        <w:t>of</w:t>
      </w:r>
      <w:r>
        <w:rPr>
          <w:rFonts w:ascii="Calibri" w:hAnsi="Calibri"/>
          <w:spacing w:val="-4"/>
          <w:sz w:val="19"/>
        </w:rPr>
        <w:t xml:space="preserve"> </w:t>
      </w:r>
      <w:r>
        <w:rPr>
          <w:rFonts w:ascii="Calibri" w:hAnsi="Calibri"/>
          <w:sz w:val="19"/>
        </w:rPr>
        <w:t>an</w:t>
      </w:r>
      <w:r>
        <w:rPr>
          <w:rFonts w:ascii="Calibri" w:hAnsi="Calibri"/>
          <w:spacing w:val="-2"/>
          <w:sz w:val="19"/>
        </w:rPr>
        <w:t xml:space="preserve"> </w:t>
      </w:r>
      <w:r>
        <w:rPr>
          <w:rFonts w:ascii="Calibri" w:hAnsi="Calibri"/>
          <w:sz w:val="19"/>
        </w:rPr>
        <w:t>individual’s</w:t>
      </w:r>
      <w:r>
        <w:rPr>
          <w:rFonts w:ascii="Calibri" w:hAnsi="Calibri"/>
          <w:spacing w:val="-6"/>
          <w:sz w:val="19"/>
        </w:rPr>
        <w:t xml:space="preserve"> </w:t>
      </w:r>
      <w:r>
        <w:rPr>
          <w:rFonts w:ascii="Calibri" w:hAnsi="Calibri"/>
          <w:sz w:val="19"/>
        </w:rPr>
        <w:t>current</w:t>
      </w:r>
      <w:r>
        <w:rPr>
          <w:rFonts w:ascii="Calibri" w:hAnsi="Calibri"/>
          <w:spacing w:val="-5"/>
          <w:sz w:val="19"/>
        </w:rPr>
        <w:t xml:space="preserve"> </w:t>
      </w:r>
      <w:r>
        <w:rPr>
          <w:rFonts w:ascii="Calibri" w:hAnsi="Calibri"/>
          <w:sz w:val="19"/>
        </w:rPr>
        <w:t>memory</w:t>
      </w:r>
      <w:r>
        <w:rPr>
          <w:rFonts w:ascii="Calibri" w:hAnsi="Calibri"/>
          <w:spacing w:val="-3"/>
          <w:sz w:val="19"/>
        </w:rPr>
        <w:t xml:space="preserve"> </w:t>
      </w:r>
      <w:r>
        <w:rPr>
          <w:rFonts w:ascii="Calibri" w:hAnsi="Calibri"/>
          <w:sz w:val="19"/>
        </w:rPr>
        <w:t>abilities</w:t>
      </w:r>
      <w:r>
        <w:rPr>
          <w:rFonts w:ascii="Calibri" w:hAnsi="Calibri"/>
          <w:spacing w:val="-3"/>
          <w:sz w:val="19"/>
        </w:rPr>
        <w:t xml:space="preserve"> </w:t>
      </w:r>
      <w:r>
        <w:rPr>
          <w:rFonts w:ascii="Calibri" w:hAnsi="Calibri"/>
          <w:sz w:val="19"/>
        </w:rPr>
        <w:t>and</w:t>
      </w:r>
      <w:r>
        <w:rPr>
          <w:rFonts w:ascii="Calibri" w:hAnsi="Calibri"/>
          <w:spacing w:val="-3"/>
          <w:sz w:val="19"/>
        </w:rPr>
        <w:t xml:space="preserve"> </w:t>
      </w:r>
      <w:r>
        <w:rPr>
          <w:rFonts w:ascii="Calibri" w:hAnsi="Calibri"/>
          <w:sz w:val="19"/>
        </w:rPr>
        <w:t>attempt</w:t>
      </w:r>
      <w:r>
        <w:rPr>
          <w:rFonts w:ascii="Calibri" w:hAnsi="Calibri"/>
          <w:spacing w:val="-5"/>
          <w:sz w:val="19"/>
        </w:rPr>
        <w:t xml:space="preserve"> </w:t>
      </w:r>
      <w:r>
        <w:rPr>
          <w:rFonts w:ascii="Calibri" w:hAnsi="Calibri"/>
          <w:sz w:val="19"/>
        </w:rPr>
        <w:t>to</w:t>
      </w:r>
      <w:r>
        <w:rPr>
          <w:rFonts w:ascii="Calibri" w:hAnsi="Calibri"/>
          <w:spacing w:val="-3"/>
          <w:sz w:val="19"/>
        </w:rPr>
        <w:t xml:space="preserve"> </w:t>
      </w:r>
      <w:r>
        <w:rPr>
          <w:rFonts w:ascii="Calibri" w:hAnsi="Calibri"/>
          <w:sz w:val="19"/>
        </w:rPr>
        <w:t>determine</w:t>
      </w:r>
      <w:r>
        <w:rPr>
          <w:rFonts w:ascii="Calibri" w:hAnsi="Calibri"/>
          <w:spacing w:val="-4"/>
          <w:sz w:val="19"/>
        </w:rPr>
        <w:t xml:space="preserve"> </w:t>
      </w:r>
      <w:r>
        <w:rPr>
          <w:rFonts w:ascii="Calibri" w:hAnsi="Calibri"/>
          <w:sz w:val="19"/>
        </w:rPr>
        <w:t>whether</w:t>
      </w:r>
      <w:r>
        <w:rPr>
          <w:rFonts w:ascii="Calibri" w:hAnsi="Calibri"/>
          <w:spacing w:val="-3"/>
          <w:sz w:val="19"/>
        </w:rPr>
        <w:t xml:space="preserve"> </w:t>
      </w:r>
      <w:r>
        <w:rPr>
          <w:rFonts w:ascii="Calibri" w:hAnsi="Calibri"/>
          <w:sz w:val="19"/>
        </w:rPr>
        <w:t>they</w:t>
      </w:r>
      <w:r>
        <w:rPr>
          <w:rFonts w:ascii="Calibri" w:hAnsi="Calibri"/>
          <w:spacing w:val="-3"/>
          <w:sz w:val="19"/>
        </w:rPr>
        <w:t xml:space="preserve"> </w:t>
      </w:r>
      <w:r>
        <w:rPr>
          <w:rFonts w:ascii="Calibri" w:hAnsi="Calibri"/>
          <w:sz w:val="19"/>
        </w:rPr>
        <w:t>have</w:t>
      </w:r>
      <w:r>
        <w:rPr>
          <w:rFonts w:ascii="Calibri" w:hAnsi="Calibri"/>
          <w:spacing w:val="-4"/>
          <w:sz w:val="19"/>
        </w:rPr>
        <w:t xml:space="preserve"> </w:t>
      </w:r>
      <w:r>
        <w:rPr>
          <w:rFonts w:ascii="Calibri" w:hAnsi="Calibri"/>
          <w:sz w:val="19"/>
        </w:rPr>
        <w:t>experienced</w:t>
      </w:r>
      <w:r>
        <w:rPr>
          <w:rFonts w:ascii="Calibri" w:hAnsi="Calibri"/>
          <w:spacing w:val="-3"/>
          <w:sz w:val="19"/>
        </w:rPr>
        <w:t xml:space="preserve"> </w:t>
      </w:r>
      <w:r>
        <w:rPr>
          <w:rFonts w:ascii="Calibri" w:hAnsi="Calibri"/>
          <w:sz w:val="19"/>
        </w:rPr>
        <w:t>greater</w:t>
      </w:r>
      <w:r>
        <w:rPr>
          <w:rFonts w:ascii="Calibri" w:hAnsi="Calibri"/>
          <w:spacing w:val="-3"/>
          <w:sz w:val="19"/>
        </w:rPr>
        <w:t xml:space="preserve"> </w:t>
      </w:r>
      <w:r>
        <w:rPr>
          <w:rFonts w:ascii="Calibri" w:hAnsi="Calibri"/>
          <w:sz w:val="19"/>
        </w:rPr>
        <w:t>memory impairment than would be expected for their age. Memory assessment services are typically provided in community centres by community mental health teams, but also are available in psychiatric and general hospitals. Some commissioners consider locating services (or aspects of such services) in primary care, where they are provided by practitioners with a special interest in dementia.</w:t>
      </w:r>
      <w:r>
        <w:rPr>
          <w:rFonts w:ascii="Calibri" w:hAnsi="Calibri"/>
          <w:position w:val="6"/>
          <w:sz w:val="12"/>
        </w:rPr>
        <w:t xml:space="preserve">1 </w:t>
      </w:r>
      <w:r>
        <w:rPr>
          <w:rFonts w:ascii="Calibri" w:hAnsi="Calibri"/>
          <w:sz w:val="19"/>
        </w:rPr>
        <w:t xml:space="preserve">The goal is to help people, from the first sign of memory problems, to maintain their health and their independence. See </w:t>
      </w:r>
      <w:r>
        <w:rPr>
          <w:rFonts w:ascii="Calibri" w:hAnsi="Calibri"/>
          <w:i/>
          <w:sz w:val="19"/>
        </w:rPr>
        <w:t>Commissioning a memory assessment service for the early identification and care of people with dementia</w:t>
      </w:r>
      <w:r>
        <w:rPr>
          <w:rFonts w:ascii="Calibri" w:hAnsi="Calibri"/>
          <w:i/>
          <w:position w:val="6"/>
          <w:sz w:val="12"/>
        </w:rPr>
        <w:t xml:space="preserve">2 </w:t>
      </w:r>
      <w:r>
        <w:rPr>
          <w:rFonts w:ascii="Calibri" w:hAnsi="Calibri"/>
          <w:sz w:val="19"/>
        </w:rPr>
        <w:t>for more information on this</w:t>
      </w:r>
      <w:r>
        <w:rPr>
          <w:rFonts w:ascii="Calibri" w:hAnsi="Calibri"/>
          <w:spacing w:val="-11"/>
          <w:sz w:val="19"/>
        </w:rPr>
        <w:t xml:space="preserve"> </w:t>
      </w:r>
      <w:r>
        <w:rPr>
          <w:rFonts w:ascii="Calibri" w:hAnsi="Calibri"/>
          <w:sz w:val="19"/>
        </w:rPr>
        <w:t>service.</w:t>
      </w:r>
    </w:p>
    <w:p w:rsidR="006A18FD" w:rsidRDefault="002D29FC">
      <w:pPr>
        <w:spacing w:before="119" w:line="276" w:lineRule="auto"/>
        <w:ind w:left="140" w:right="419"/>
        <w:rPr>
          <w:rFonts w:ascii="Calibri" w:hAnsi="Calibri"/>
          <w:sz w:val="20"/>
        </w:rPr>
      </w:pPr>
      <w:r>
        <w:rPr>
          <w:rFonts w:ascii="Calibri" w:hAnsi="Calibri"/>
          <w:sz w:val="19"/>
        </w:rPr>
        <w:t xml:space="preserve">Information for this service has been provided by the South London and Maudsley (SLAM) NHS Foundation Trust. Based in the Heavers Resource Centre, Croydon, the service provides early assessment, treatment and care for people aged 65 and over who have memory problems that may be associated with dementia. The initial assessment is provided in the client’s own home wherever possible. The average annual cost per client is £1,266. Two further dementia memory services provided by SLAM (but not providing assessments) had average annual costs per client of £1,065 (Lambeth and Southwark) and £805 (Lewisham). The costs of another London dementia memory service can be found in </w:t>
      </w:r>
      <w:hyperlink r:id="rId108">
        <w:r>
          <w:rPr>
            <w:rFonts w:ascii="Calibri" w:hAnsi="Calibri"/>
            <w:sz w:val="19"/>
            <w:u w:val="single"/>
          </w:rPr>
          <w:t>http://www.londonhp.nhs.uk/wp-</w:t>
        </w:r>
      </w:hyperlink>
      <w:r>
        <w:rPr>
          <w:rFonts w:ascii="Calibri" w:hAnsi="Calibri"/>
          <w:sz w:val="19"/>
        </w:rPr>
        <w:t xml:space="preserve"> </w:t>
      </w:r>
      <w:hyperlink r:id="rId109">
        <w:r>
          <w:rPr>
            <w:rFonts w:ascii="Calibri" w:hAnsi="Calibri"/>
            <w:sz w:val="19"/>
            <w:u w:val="single"/>
          </w:rPr>
          <w:t>content/uploads/2011/03/Dementia-Services-Guide.pdf</w:t>
        </w:r>
        <w:r>
          <w:rPr>
            <w:rFonts w:ascii="Calibri" w:hAnsi="Calibri"/>
            <w:sz w:val="20"/>
          </w:rPr>
          <w:t xml:space="preserve">. </w:t>
        </w:r>
      </w:hyperlink>
      <w:r>
        <w:rPr>
          <w:rFonts w:ascii="Calibri" w:hAnsi="Calibri"/>
          <w:sz w:val="20"/>
        </w:rPr>
        <w:t>See 8.2 for the cost of diagnosis and early support in patients with cognitive decline.</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53166C">
        <w:trPr>
          <w:trHeight w:val="340"/>
          <w:tblHeader/>
        </w:trPr>
        <w:tc>
          <w:tcPr>
            <w:tcW w:w="2268" w:type="dxa"/>
          </w:tcPr>
          <w:p w:rsidR="006A18FD" w:rsidRDefault="002D29FC">
            <w:pPr>
              <w:spacing w:before="1"/>
              <w:ind w:left="52"/>
              <w:rPr>
                <w:rFonts w:ascii="Calibri"/>
                <w:b/>
                <w:sz w:val="18"/>
              </w:rPr>
            </w:pPr>
            <w:r>
              <w:rPr>
                <w:rFonts w:ascii="Calibri"/>
                <w:b/>
                <w:sz w:val="18"/>
              </w:rPr>
              <w:t>Costs and unit estimation</w:t>
            </w:r>
          </w:p>
        </w:tc>
        <w:tc>
          <w:tcPr>
            <w:tcW w:w="1702" w:type="dxa"/>
          </w:tcPr>
          <w:p w:rsidR="006A18FD" w:rsidRDefault="002D29FC">
            <w:pPr>
              <w:spacing w:before="1"/>
              <w:ind w:left="102"/>
              <w:rPr>
                <w:rFonts w:ascii="Calibri"/>
                <w:b/>
                <w:sz w:val="18"/>
              </w:rPr>
            </w:pPr>
            <w:r>
              <w:rPr>
                <w:rFonts w:ascii="Calibri"/>
                <w:b/>
                <w:sz w:val="18"/>
              </w:rPr>
              <w:t>2018/2019 value</w:t>
            </w:r>
          </w:p>
        </w:tc>
        <w:tc>
          <w:tcPr>
            <w:tcW w:w="6236" w:type="dxa"/>
          </w:tcPr>
          <w:p w:rsidR="006A18FD" w:rsidRDefault="002D29FC">
            <w:pPr>
              <w:spacing w:before="1"/>
              <w:ind w:left="103"/>
              <w:rPr>
                <w:rFonts w:ascii="Calibri"/>
                <w:b/>
                <w:sz w:val="18"/>
              </w:rPr>
            </w:pPr>
            <w:r>
              <w:rPr>
                <w:rFonts w:ascii="Calibri"/>
                <w:b/>
                <w:sz w:val="18"/>
              </w:rPr>
              <w:t>Notes</w:t>
            </w:r>
          </w:p>
        </w:tc>
      </w:tr>
      <w:tr w:rsidR="006A18FD">
        <w:trPr>
          <w:trHeight w:val="860"/>
        </w:trPr>
        <w:tc>
          <w:tcPr>
            <w:tcW w:w="2268" w:type="dxa"/>
          </w:tcPr>
          <w:p w:rsidR="006A18FD" w:rsidRDefault="002D29FC">
            <w:pPr>
              <w:spacing w:line="219" w:lineRule="exact"/>
              <w:ind w:left="52"/>
              <w:rPr>
                <w:rFonts w:ascii="Calibri"/>
                <w:sz w:val="18"/>
              </w:rPr>
            </w:pPr>
            <w:r>
              <w:rPr>
                <w:rFonts w:ascii="Calibri"/>
                <w:sz w:val="18"/>
              </w:rPr>
              <w:t>A. Wages/salary</w:t>
            </w:r>
          </w:p>
        </w:tc>
        <w:tc>
          <w:tcPr>
            <w:tcW w:w="1702" w:type="dxa"/>
          </w:tcPr>
          <w:p w:rsidR="006A18FD" w:rsidRDefault="002D29FC">
            <w:pPr>
              <w:spacing w:line="219" w:lineRule="exact"/>
              <w:ind w:left="102"/>
              <w:rPr>
                <w:rFonts w:ascii="Calibri" w:hAnsi="Calibri"/>
                <w:sz w:val="18"/>
              </w:rPr>
            </w:pPr>
            <w:r>
              <w:rPr>
                <w:rFonts w:ascii="Calibri" w:hAnsi="Calibri"/>
                <w:sz w:val="18"/>
              </w:rPr>
              <w:t>£462,760 per year</w:t>
            </w:r>
          </w:p>
        </w:tc>
        <w:tc>
          <w:tcPr>
            <w:tcW w:w="6236" w:type="dxa"/>
          </w:tcPr>
          <w:p w:rsidR="006A18FD" w:rsidRDefault="002D29FC">
            <w:pPr>
              <w:ind w:left="103" w:right="61"/>
              <w:rPr>
                <w:rFonts w:ascii="Calibri"/>
                <w:sz w:val="18"/>
              </w:rPr>
            </w:pPr>
            <w:r>
              <w:rPr>
                <w:rFonts w:ascii="Calibri"/>
                <w:sz w:val="18"/>
              </w:rPr>
              <w:t>Based on mean salaries for Agenda for Change (AfC) bands.</w:t>
            </w:r>
            <w:r>
              <w:rPr>
                <w:rFonts w:ascii="Calibri"/>
                <w:position w:val="5"/>
                <w:sz w:val="12"/>
              </w:rPr>
              <w:t xml:space="preserve">3 </w:t>
            </w:r>
            <w:r>
              <w:rPr>
                <w:rFonts w:ascii="Calibri"/>
                <w:sz w:val="18"/>
              </w:rPr>
              <w:t>Weighted to reflect the input of 1 FTE associate specialist, 0.40 FTE consultant, 2 FTE occupational therapists (bands 6 &amp; 7), 2.8 FTE psychologists (bands 5, 7 &amp; 8) and nurses (band 6</w:t>
            </w:r>
          </w:p>
          <w:p w:rsidR="006A18FD" w:rsidRDefault="002D29FC">
            <w:pPr>
              <w:spacing w:before="1" w:line="198" w:lineRule="exact"/>
              <w:ind w:left="103"/>
              <w:rPr>
                <w:rFonts w:ascii="Calibri"/>
                <w:sz w:val="18"/>
              </w:rPr>
            </w:pPr>
            <w:r>
              <w:rPr>
                <w:rFonts w:ascii="Calibri"/>
                <w:sz w:val="18"/>
              </w:rPr>
              <w:t>&amp; two nurses on band 7).</w:t>
            </w:r>
          </w:p>
        </w:tc>
      </w:tr>
      <w:tr w:rsidR="006A18FD">
        <w:trPr>
          <w:trHeight w:val="420"/>
        </w:trPr>
        <w:tc>
          <w:tcPr>
            <w:tcW w:w="2268" w:type="dxa"/>
          </w:tcPr>
          <w:p w:rsidR="006A18FD" w:rsidRDefault="002D29FC">
            <w:pPr>
              <w:spacing w:before="1"/>
              <w:ind w:left="52"/>
              <w:rPr>
                <w:rFonts w:ascii="Calibri"/>
                <w:sz w:val="18"/>
              </w:rPr>
            </w:pPr>
            <w:r>
              <w:rPr>
                <w:rFonts w:ascii="Calibri"/>
                <w:sz w:val="18"/>
              </w:rPr>
              <w:t>B. Salary oncosts</w:t>
            </w:r>
          </w:p>
        </w:tc>
        <w:tc>
          <w:tcPr>
            <w:tcW w:w="1702" w:type="dxa"/>
          </w:tcPr>
          <w:p w:rsidR="006A18FD" w:rsidRDefault="002D29FC">
            <w:pPr>
              <w:spacing w:before="1"/>
              <w:ind w:left="102"/>
              <w:rPr>
                <w:rFonts w:ascii="Calibri" w:hAnsi="Calibri"/>
                <w:sz w:val="18"/>
              </w:rPr>
            </w:pPr>
            <w:r>
              <w:rPr>
                <w:rFonts w:ascii="Calibri" w:hAnsi="Calibri"/>
                <w:sz w:val="18"/>
              </w:rPr>
              <w:t>£118,655 per year</w:t>
            </w:r>
          </w:p>
        </w:tc>
        <w:tc>
          <w:tcPr>
            <w:tcW w:w="6236" w:type="dxa"/>
          </w:tcPr>
          <w:p w:rsidR="006A18FD" w:rsidRDefault="002D29FC">
            <w:pPr>
              <w:spacing w:before="1" w:line="219" w:lineRule="exact"/>
              <w:ind w:left="103"/>
              <w:rPr>
                <w:rFonts w:ascii="Calibri" w:hAnsi="Calibri"/>
                <w:sz w:val="18"/>
              </w:rPr>
            </w:pPr>
            <w:r>
              <w:rPr>
                <w:rFonts w:ascii="Calibri" w:hAnsi="Calibri"/>
                <w:sz w:val="18"/>
              </w:rPr>
              <w:t>Employer’s national insurance is included plus 14.38 per cent of salary for</w:t>
            </w:r>
          </w:p>
          <w:p w:rsidR="006A18FD" w:rsidRDefault="002D29FC">
            <w:pPr>
              <w:spacing w:line="199" w:lineRule="exact"/>
              <w:ind w:left="103"/>
              <w:rPr>
                <w:rFonts w:ascii="Calibri" w:hAnsi="Calibri"/>
                <w:sz w:val="18"/>
              </w:rPr>
            </w:pPr>
            <w:r>
              <w:rPr>
                <w:rFonts w:ascii="Calibri" w:hAnsi="Calibri"/>
                <w:sz w:val="18"/>
              </w:rPr>
              <w:t>employer’s contribution to superannuation.</w:t>
            </w:r>
          </w:p>
        </w:tc>
      </w:tr>
      <w:tr w:rsidR="006A18FD">
        <w:trPr>
          <w:trHeight w:val="240"/>
        </w:trPr>
        <w:tc>
          <w:tcPr>
            <w:tcW w:w="2268" w:type="dxa"/>
            <w:tcBorders>
              <w:bottom w:val="nil"/>
            </w:tcBorders>
          </w:tcPr>
          <w:p w:rsidR="006A18FD" w:rsidRDefault="002D29FC">
            <w:pPr>
              <w:spacing w:before="1"/>
              <w:ind w:left="52"/>
              <w:rPr>
                <w:rFonts w:ascii="Calibri"/>
                <w:sz w:val="18"/>
              </w:rPr>
            </w:pPr>
            <w:r>
              <w:rPr>
                <w:rFonts w:ascii="Calibri"/>
                <w:sz w:val="18"/>
              </w:rPr>
              <w:t>C. Overheads</w:t>
            </w:r>
          </w:p>
        </w:tc>
        <w:tc>
          <w:tcPr>
            <w:tcW w:w="1702" w:type="dxa"/>
            <w:tcBorders>
              <w:bottom w:val="nil"/>
            </w:tcBorders>
          </w:tcPr>
          <w:p w:rsidR="006A18FD" w:rsidRDefault="006A18FD">
            <w:pPr>
              <w:rPr>
                <w:rFonts w:ascii="Times New Roman"/>
                <w:sz w:val="16"/>
              </w:rPr>
            </w:pPr>
          </w:p>
        </w:tc>
        <w:tc>
          <w:tcPr>
            <w:tcW w:w="6236" w:type="dxa"/>
            <w:tcBorders>
              <w:bottom w:val="nil"/>
            </w:tcBorders>
          </w:tcPr>
          <w:p w:rsidR="006A18FD" w:rsidRDefault="006A18FD">
            <w:pPr>
              <w:rPr>
                <w:rFonts w:ascii="Times New Roman"/>
                <w:sz w:val="16"/>
              </w:rPr>
            </w:pPr>
          </w:p>
        </w:tc>
      </w:tr>
      <w:tr w:rsidR="006A18FD">
        <w:trPr>
          <w:trHeight w:val="220"/>
        </w:trPr>
        <w:tc>
          <w:tcPr>
            <w:tcW w:w="2268" w:type="dxa"/>
            <w:tcBorders>
              <w:top w:val="nil"/>
              <w:bottom w:val="nil"/>
            </w:tcBorders>
          </w:tcPr>
          <w:p w:rsidR="006A18FD" w:rsidRDefault="002D29FC">
            <w:pPr>
              <w:spacing w:line="201" w:lineRule="exact"/>
              <w:ind w:left="52"/>
              <w:rPr>
                <w:rFonts w:ascii="Calibri"/>
                <w:sz w:val="18"/>
              </w:rPr>
            </w:pPr>
            <w:r>
              <w:rPr>
                <w:rFonts w:ascii="Calibri"/>
                <w:sz w:val="18"/>
              </w:rPr>
              <w:t>Management and</w:t>
            </w:r>
          </w:p>
        </w:tc>
        <w:tc>
          <w:tcPr>
            <w:tcW w:w="1702" w:type="dxa"/>
            <w:tcBorders>
              <w:top w:val="nil"/>
              <w:bottom w:val="nil"/>
            </w:tcBorders>
          </w:tcPr>
          <w:p w:rsidR="006A18FD" w:rsidRDefault="002D29FC">
            <w:pPr>
              <w:spacing w:line="201" w:lineRule="exact"/>
              <w:ind w:left="102"/>
              <w:rPr>
                <w:rFonts w:ascii="Calibri" w:hAnsi="Calibri"/>
                <w:sz w:val="18"/>
              </w:rPr>
            </w:pPr>
            <w:r>
              <w:rPr>
                <w:rFonts w:ascii="Calibri" w:hAnsi="Calibri"/>
                <w:sz w:val="18"/>
              </w:rPr>
              <w:t>£117,499 per year</w:t>
            </w:r>
          </w:p>
        </w:tc>
        <w:tc>
          <w:tcPr>
            <w:tcW w:w="6236" w:type="dxa"/>
            <w:tcBorders>
              <w:top w:val="nil"/>
              <w:bottom w:val="nil"/>
            </w:tcBorders>
          </w:tcPr>
          <w:p w:rsidR="006A18FD" w:rsidRDefault="002D29FC">
            <w:pPr>
              <w:spacing w:line="201" w:lineRule="exact"/>
              <w:ind w:left="103"/>
              <w:rPr>
                <w:rFonts w:ascii="Calibri"/>
                <w:sz w:val="18"/>
              </w:rPr>
            </w:pPr>
            <w:r>
              <w:rPr>
                <w:rFonts w:ascii="Calibri"/>
                <w:color w:val="221F1F"/>
                <w:sz w:val="18"/>
              </w:rPr>
              <w:t>Provided by the South London and Maudsley NHS Foundation Trust and based on</w:t>
            </w:r>
          </w:p>
        </w:tc>
      </w:tr>
      <w:tr w:rsidR="006A18FD">
        <w:trPr>
          <w:trHeight w:val="220"/>
        </w:trPr>
        <w:tc>
          <w:tcPr>
            <w:tcW w:w="2268" w:type="dxa"/>
            <w:tcBorders>
              <w:top w:val="nil"/>
              <w:bottom w:val="nil"/>
            </w:tcBorders>
          </w:tcPr>
          <w:p w:rsidR="006A18FD" w:rsidRDefault="002D29FC">
            <w:pPr>
              <w:spacing w:line="203" w:lineRule="exact"/>
              <w:ind w:left="52"/>
              <w:rPr>
                <w:rFonts w:ascii="Calibri"/>
                <w:sz w:val="18"/>
              </w:rPr>
            </w:pPr>
            <w:r>
              <w:rPr>
                <w:rFonts w:ascii="Calibri"/>
                <w:sz w:val="18"/>
              </w:rPr>
              <w:t>administration</w:t>
            </w: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3" w:lineRule="exact"/>
              <w:ind w:left="103"/>
              <w:rPr>
                <w:rFonts w:ascii="Calibri"/>
                <w:sz w:val="12"/>
              </w:rPr>
            </w:pPr>
            <w:r>
              <w:rPr>
                <w:rFonts w:ascii="Calibri"/>
                <w:color w:val="221F1F"/>
                <w:sz w:val="18"/>
              </w:rPr>
              <w:t>median salaries for Agenda for Change (AfC) administrative and clerical grades.</w:t>
            </w:r>
            <w:r>
              <w:rPr>
                <w:rFonts w:ascii="Calibri"/>
                <w:color w:val="221F1F"/>
                <w:position w:val="5"/>
                <w:sz w:val="12"/>
              </w:rPr>
              <w:t>3</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0" w:lineRule="exact"/>
              <w:ind w:left="103"/>
              <w:rPr>
                <w:rFonts w:ascii="Calibri"/>
                <w:sz w:val="18"/>
              </w:rPr>
            </w:pPr>
            <w:r>
              <w:rPr>
                <w:rFonts w:ascii="Calibri"/>
                <w:color w:val="221F1F"/>
                <w:sz w:val="18"/>
              </w:rPr>
              <w:t>Includes 3 FTE administrative and clerical assistants (bands 3, 4 &amp; 5) and</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0" w:lineRule="exact"/>
              <w:ind w:left="103"/>
              <w:rPr>
                <w:rFonts w:ascii="Calibri"/>
                <w:sz w:val="18"/>
              </w:rPr>
            </w:pPr>
            <w:r>
              <w:rPr>
                <w:rFonts w:ascii="Calibri"/>
                <w:color w:val="221F1F"/>
                <w:sz w:val="18"/>
              </w:rPr>
              <w:t>management provided by 0.2 FTE psychologist (band 8).</w:t>
            </w:r>
          </w:p>
        </w:tc>
      </w:tr>
      <w:tr w:rsidR="006A18FD">
        <w:trPr>
          <w:trHeight w:val="200"/>
        </w:trPr>
        <w:tc>
          <w:tcPr>
            <w:tcW w:w="2268" w:type="dxa"/>
            <w:tcBorders>
              <w:top w:val="nil"/>
              <w:bottom w:val="nil"/>
            </w:tcBorders>
          </w:tcPr>
          <w:p w:rsidR="006A18FD" w:rsidRDefault="002D29FC">
            <w:pPr>
              <w:spacing w:line="200" w:lineRule="exact"/>
              <w:ind w:left="52"/>
              <w:rPr>
                <w:rFonts w:ascii="Calibri"/>
                <w:sz w:val="18"/>
              </w:rPr>
            </w:pPr>
            <w:r>
              <w:rPr>
                <w:rFonts w:ascii="Calibri"/>
                <w:sz w:val="18"/>
              </w:rPr>
              <w:t>Non-staff</w:t>
            </w:r>
          </w:p>
        </w:tc>
        <w:tc>
          <w:tcPr>
            <w:tcW w:w="1702" w:type="dxa"/>
            <w:tcBorders>
              <w:top w:val="nil"/>
              <w:bottom w:val="nil"/>
            </w:tcBorders>
          </w:tcPr>
          <w:p w:rsidR="006A18FD" w:rsidRDefault="002D29FC">
            <w:pPr>
              <w:spacing w:line="200" w:lineRule="exact"/>
              <w:ind w:left="102"/>
              <w:rPr>
                <w:rFonts w:ascii="Calibri" w:hAnsi="Calibri"/>
                <w:sz w:val="18"/>
              </w:rPr>
            </w:pPr>
            <w:r>
              <w:rPr>
                <w:rFonts w:ascii="Calibri" w:hAnsi="Calibri"/>
                <w:sz w:val="18"/>
              </w:rPr>
              <w:t>£192,741 per year</w:t>
            </w:r>
          </w:p>
        </w:tc>
        <w:tc>
          <w:tcPr>
            <w:tcW w:w="6236" w:type="dxa"/>
            <w:tcBorders>
              <w:top w:val="nil"/>
              <w:bottom w:val="nil"/>
            </w:tcBorders>
          </w:tcPr>
          <w:p w:rsidR="006A18FD" w:rsidRDefault="002D29FC">
            <w:pPr>
              <w:spacing w:line="200" w:lineRule="exact"/>
              <w:ind w:left="103"/>
              <w:rPr>
                <w:rFonts w:ascii="Calibri"/>
                <w:sz w:val="18"/>
              </w:rPr>
            </w:pPr>
            <w:r>
              <w:rPr>
                <w:rFonts w:ascii="Calibri"/>
                <w:color w:val="221F1F"/>
                <w:sz w:val="18"/>
              </w:rPr>
              <w:t>Provided by the South London and Maudsley NHS Foundation Trust. This includes</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0" w:lineRule="exact"/>
              <w:ind w:left="103"/>
              <w:rPr>
                <w:rFonts w:ascii="Calibri"/>
                <w:sz w:val="18"/>
              </w:rPr>
            </w:pPr>
            <w:r>
              <w:rPr>
                <w:rFonts w:ascii="Calibri"/>
                <w:color w:val="221F1F"/>
                <w:sz w:val="18"/>
              </w:rPr>
              <w:t>expenditure to the provider for travel/transport and telephone, education and</w:t>
            </w:r>
          </w:p>
        </w:tc>
      </w:tr>
      <w:tr w:rsidR="006A18FD">
        <w:trPr>
          <w:trHeight w:val="22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1" w:lineRule="exact"/>
              <w:ind w:left="103"/>
              <w:rPr>
                <w:rFonts w:ascii="Calibri"/>
                <w:sz w:val="18"/>
              </w:rPr>
            </w:pPr>
            <w:r>
              <w:rPr>
                <w:rFonts w:ascii="Calibri"/>
                <w:color w:val="221F1F"/>
                <w:sz w:val="18"/>
              </w:rPr>
              <w:t>training, office supplies and services (clinical and general), as well as utilities such</w:t>
            </w:r>
          </w:p>
        </w:tc>
      </w:tr>
      <w:tr w:rsidR="006A18FD">
        <w:trPr>
          <w:trHeight w:val="200"/>
        </w:trPr>
        <w:tc>
          <w:tcPr>
            <w:tcW w:w="2268" w:type="dxa"/>
            <w:tcBorders>
              <w:top w:val="nil"/>
            </w:tcBorders>
          </w:tcPr>
          <w:p w:rsidR="006A18FD" w:rsidRDefault="006A18FD">
            <w:pPr>
              <w:rPr>
                <w:rFonts w:ascii="Times New Roman"/>
                <w:sz w:val="14"/>
              </w:rPr>
            </w:pPr>
          </w:p>
        </w:tc>
        <w:tc>
          <w:tcPr>
            <w:tcW w:w="1702" w:type="dxa"/>
            <w:tcBorders>
              <w:top w:val="nil"/>
            </w:tcBorders>
          </w:tcPr>
          <w:p w:rsidR="006A18FD" w:rsidRDefault="006A18FD">
            <w:pPr>
              <w:rPr>
                <w:rFonts w:ascii="Times New Roman"/>
                <w:sz w:val="14"/>
              </w:rPr>
            </w:pPr>
          </w:p>
        </w:tc>
        <w:tc>
          <w:tcPr>
            <w:tcW w:w="6236" w:type="dxa"/>
            <w:tcBorders>
              <w:top w:val="nil"/>
            </w:tcBorders>
          </w:tcPr>
          <w:p w:rsidR="006A18FD" w:rsidRDefault="002D29FC">
            <w:pPr>
              <w:spacing w:line="183" w:lineRule="exact"/>
              <w:ind w:left="103"/>
              <w:rPr>
                <w:rFonts w:ascii="Calibri"/>
                <w:sz w:val="18"/>
              </w:rPr>
            </w:pPr>
            <w:r>
              <w:rPr>
                <w:rFonts w:ascii="Calibri"/>
                <w:color w:val="221F1F"/>
                <w:sz w:val="18"/>
              </w:rPr>
              <w:t>as water, gas and electricity.</w:t>
            </w:r>
          </w:p>
        </w:tc>
      </w:tr>
      <w:tr w:rsidR="006A18FD">
        <w:trPr>
          <w:trHeight w:val="640"/>
        </w:trPr>
        <w:tc>
          <w:tcPr>
            <w:tcW w:w="2268" w:type="dxa"/>
          </w:tcPr>
          <w:p w:rsidR="006A18FD" w:rsidRDefault="002D29FC">
            <w:pPr>
              <w:spacing w:line="219" w:lineRule="exact"/>
              <w:ind w:left="52"/>
              <w:rPr>
                <w:rFonts w:ascii="Calibri"/>
                <w:sz w:val="18"/>
              </w:rPr>
            </w:pPr>
            <w:r>
              <w:rPr>
                <w:rFonts w:ascii="Calibri"/>
                <w:sz w:val="18"/>
              </w:rPr>
              <w:t>D. Capital overheads</w:t>
            </w:r>
          </w:p>
        </w:tc>
        <w:tc>
          <w:tcPr>
            <w:tcW w:w="1702" w:type="dxa"/>
          </w:tcPr>
          <w:p w:rsidR="006A18FD" w:rsidRDefault="002D29FC">
            <w:pPr>
              <w:spacing w:line="219" w:lineRule="exact"/>
              <w:ind w:left="143"/>
              <w:rPr>
                <w:rFonts w:ascii="Calibri" w:hAnsi="Calibri"/>
                <w:sz w:val="18"/>
              </w:rPr>
            </w:pPr>
            <w:r>
              <w:rPr>
                <w:rFonts w:ascii="Calibri" w:hAnsi="Calibri"/>
                <w:sz w:val="18"/>
              </w:rPr>
              <w:t>£4,450 per year</w:t>
            </w:r>
          </w:p>
        </w:tc>
        <w:tc>
          <w:tcPr>
            <w:tcW w:w="6236" w:type="dxa"/>
          </w:tcPr>
          <w:p w:rsidR="006A18FD" w:rsidRDefault="002D29FC">
            <w:pPr>
              <w:ind w:left="103" w:right="151"/>
              <w:rPr>
                <w:rFonts w:ascii="Calibri"/>
                <w:sz w:val="18"/>
              </w:rPr>
            </w:pPr>
            <w:r>
              <w:rPr>
                <w:rFonts w:ascii="Calibri"/>
                <w:sz w:val="18"/>
              </w:rPr>
              <w:t>Based on the new-build and land requirements of 4 NHS offices and a large open- plan area for shared use.</w:t>
            </w:r>
            <w:r>
              <w:rPr>
                <w:rFonts w:ascii="Calibri"/>
                <w:position w:val="5"/>
                <w:sz w:val="12"/>
              </w:rPr>
              <w:t xml:space="preserve">4,5 </w:t>
            </w:r>
            <w:r>
              <w:rPr>
                <w:rFonts w:ascii="Calibri"/>
                <w:sz w:val="18"/>
              </w:rPr>
              <w:t>Capital costs have been annuitised over 60 years at a</w:t>
            </w:r>
          </w:p>
          <w:p w:rsidR="006A18FD" w:rsidRDefault="002D29FC">
            <w:pPr>
              <w:spacing w:before="1" w:line="198" w:lineRule="exact"/>
              <w:ind w:left="103"/>
              <w:rPr>
                <w:rFonts w:ascii="Calibri"/>
                <w:sz w:val="18"/>
              </w:rPr>
            </w:pPr>
            <w:r>
              <w:rPr>
                <w:rFonts w:ascii="Calibri"/>
                <w:sz w:val="18"/>
              </w:rPr>
              <w:t>discount rate of 3.5 per cent, declining to 3 per cent after 30 years.</w:t>
            </w:r>
          </w:p>
        </w:tc>
      </w:tr>
      <w:tr w:rsidR="006A18FD">
        <w:trPr>
          <w:trHeight w:val="440"/>
        </w:trPr>
        <w:tc>
          <w:tcPr>
            <w:tcW w:w="2268" w:type="dxa"/>
          </w:tcPr>
          <w:p w:rsidR="006A18FD" w:rsidRDefault="002D29FC">
            <w:pPr>
              <w:spacing w:before="1"/>
              <w:ind w:left="52"/>
              <w:rPr>
                <w:rFonts w:ascii="Calibri"/>
                <w:sz w:val="18"/>
              </w:rPr>
            </w:pPr>
            <w:r>
              <w:rPr>
                <w:rFonts w:ascii="Calibri"/>
                <w:sz w:val="18"/>
              </w:rPr>
              <w:t>Working time</w:t>
            </w:r>
          </w:p>
        </w:tc>
        <w:tc>
          <w:tcPr>
            <w:tcW w:w="1702" w:type="dxa"/>
          </w:tcPr>
          <w:p w:rsidR="006A18FD" w:rsidRDefault="002D29FC">
            <w:pPr>
              <w:spacing w:before="1" w:line="220" w:lineRule="atLeast"/>
              <w:ind w:left="102" w:right="102"/>
              <w:rPr>
                <w:rFonts w:ascii="Calibri"/>
                <w:sz w:val="18"/>
              </w:rPr>
            </w:pPr>
            <w:r>
              <w:rPr>
                <w:rFonts w:ascii="Calibri"/>
                <w:sz w:val="18"/>
              </w:rPr>
              <w:t>50.4 weeks per year 40 hours per week</w:t>
            </w:r>
          </w:p>
        </w:tc>
        <w:tc>
          <w:tcPr>
            <w:tcW w:w="6236" w:type="dxa"/>
          </w:tcPr>
          <w:p w:rsidR="006A18FD" w:rsidRDefault="002D29FC">
            <w:pPr>
              <w:spacing w:before="1" w:line="220" w:lineRule="atLeast"/>
              <w:ind w:left="103"/>
              <w:rPr>
                <w:rFonts w:ascii="Calibri"/>
                <w:sz w:val="18"/>
              </w:rPr>
            </w:pPr>
            <w:r>
              <w:rPr>
                <w:rFonts w:ascii="Calibri"/>
                <w:sz w:val="18"/>
              </w:rPr>
              <w:t>Unit costs are based on 2,016 hours per year: 260 working days (8 hours per day) minus bank holidays.</w:t>
            </w:r>
          </w:p>
        </w:tc>
      </w:tr>
      <w:tr w:rsidR="006A18FD">
        <w:trPr>
          <w:trHeight w:val="200"/>
        </w:trPr>
        <w:tc>
          <w:tcPr>
            <w:tcW w:w="2268" w:type="dxa"/>
          </w:tcPr>
          <w:p w:rsidR="006A18FD" w:rsidRDefault="002D29FC">
            <w:pPr>
              <w:spacing w:line="198" w:lineRule="exact"/>
              <w:ind w:left="52"/>
              <w:rPr>
                <w:rFonts w:ascii="Calibri"/>
                <w:sz w:val="18"/>
              </w:rPr>
            </w:pPr>
            <w:r>
              <w:rPr>
                <w:rFonts w:ascii="Calibri"/>
                <w:sz w:val="18"/>
              </w:rPr>
              <w:t>Caseload</w:t>
            </w:r>
          </w:p>
        </w:tc>
        <w:tc>
          <w:tcPr>
            <w:tcW w:w="1702" w:type="dxa"/>
          </w:tcPr>
          <w:p w:rsidR="006A18FD" w:rsidRDefault="002D29FC">
            <w:pPr>
              <w:spacing w:line="198" w:lineRule="exact"/>
              <w:ind w:left="102"/>
              <w:rPr>
                <w:rFonts w:ascii="Calibri"/>
                <w:sz w:val="18"/>
              </w:rPr>
            </w:pPr>
            <w:r>
              <w:rPr>
                <w:rFonts w:ascii="Calibri"/>
                <w:sz w:val="18"/>
              </w:rPr>
              <w:t>708 clients per year</w:t>
            </w:r>
          </w:p>
        </w:tc>
        <w:tc>
          <w:tcPr>
            <w:tcW w:w="6236" w:type="dxa"/>
          </w:tcPr>
          <w:p w:rsidR="006A18FD" w:rsidRDefault="002D29FC">
            <w:pPr>
              <w:spacing w:line="198" w:lineRule="exact"/>
              <w:ind w:left="103"/>
              <w:rPr>
                <w:rFonts w:ascii="Calibri"/>
                <w:sz w:val="18"/>
              </w:rPr>
            </w:pPr>
            <w:r>
              <w:rPr>
                <w:rFonts w:ascii="Calibri"/>
                <w:sz w:val="18"/>
              </w:rPr>
              <w:t>Provided by the South London and Maudsley NHS Foundation Trust.</w:t>
            </w:r>
          </w:p>
        </w:tc>
      </w:tr>
      <w:tr w:rsidR="006A18FD">
        <w:trPr>
          <w:trHeight w:val="340"/>
        </w:trPr>
        <w:tc>
          <w:tcPr>
            <w:tcW w:w="10207" w:type="dxa"/>
            <w:gridSpan w:val="3"/>
          </w:tcPr>
          <w:p w:rsidR="006A18FD" w:rsidRDefault="002D29FC">
            <w:pPr>
              <w:spacing w:before="1"/>
              <w:ind w:left="52"/>
              <w:rPr>
                <w:rFonts w:ascii="Calibri"/>
                <w:b/>
                <w:sz w:val="18"/>
              </w:rPr>
            </w:pPr>
            <w:r>
              <w:rPr>
                <w:rFonts w:ascii="Calibri"/>
                <w:b/>
                <w:sz w:val="18"/>
              </w:rPr>
              <w:t>Unit costs available 2018/2019</w:t>
            </w:r>
          </w:p>
        </w:tc>
      </w:tr>
      <w:tr w:rsidR="006A18FD">
        <w:trPr>
          <w:trHeight w:val="220"/>
        </w:trPr>
        <w:tc>
          <w:tcPr>
            <w:tcW w:w="10207" w:type="dxa"/>
            <w:gridSpan w:val="3"/>
          </w:tcPr>
          <w:p w:rsidR="006A18FD" w:rsidRDefault="002D29FC">
            <w:pPr>
              <w:spacing w:before="2" w:line="199" w:lineRule="exact"/>
              <w:ind w:left="52"/>
              <w:rPr>
                <w:rFonts w:ascii="Calibri" w:hAnsi="Calibri"/>
                <w:sz w:val="18"/>
              </w:rPr>
            </w:pPr>
            <w:r>
              <w:rPr>
                <w:rFonts w:ascii="Calibri" w:hAnsi="Calibri"/>
                <w:sz w:val="18"/>
              </w:rPr>
              <w:t>Total annual cost £896,106; total cost per hour £445; cost per client £1,266.</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1"/>
        <w:rPr>
          <w:rFonts w:ascii="Calibri"/>
          <w:sz w:val="24"/>
        </w:rPr>
      </w:pPr>
    </w:p>
    <w:p w:rsidR="006A18FD" w:rsidRDefault="002D29FC">
      <w:pPr>
        <w:spacing w:before="1"/>
        <w:ind w:left="423" w:right="282" w:hanging="284"/>
        <w:rPr>
          <w:rFonts w:ascii="Calibri"/>
          <w:sz w:val="16"/>
        </w:rPr>
      </w:pPr>
      <w:r>
        <w:rPr>
          <w:rFonts w:ascii="Calibri"/>
          <w:position w:val="5"/>
          <w:sz w:val="10"/>
        </w:rPr>
        <w:t xml:space="preserve">1 </w:t>
      </w:r>
      <w:r>
        <w:rPr>
          <w:rFonts w:ascii="Calibri"/>
          <w:sz w:val="16"/>
        </w:rPr>
        <w:t>Department of Health (2011</w:t>
      </w:r>
      <w:r>
        <w:rPr>
          <w:rFonts w:ascii="Calibri"/>
          <w:i/>
          <w:sz w:val="16"/>
        </w:rPr>
        <w:t>) Commissioning services for people with dementia</w:t>
      </w:r>
      <w:r>
        <w:rPr>
          <w:rFonts w:ascii="Calibri"/>
          <w:sz w:val="16"/>
        </w:rPr>
        <w:t xml:space="preserve">, Department of Health, London. </w:t>
      </w:r>
      <w:hyperlink r:id="rId110">
        <w:r>
          <w:rPr>
            <w:rFonts w:ascii="Calibri"/>
            <w:sz w:val="16"/>
            <w:u w:val="single"/>
          </w:rPr>
          <w:t>http://webarchive.nationalarchives.gov.uk/+/www.dh.gov.uk/en/Publicationsandstatistics/Publications/PublicationsPolicyAndGuidance/Browsable/D</w:t>
        </w:r>
      </w:hyperlink>
      <w:r>
        <w:rPr>
          <w:rFonts w:ascii="Calibri"/>
          <w:sz w:val="16"/>
        </w:rPr>
        <w:t xml:space="preserve"> </w:t>
      </w:r>
      <w:hyperlink r:id="rId111">
        <w:r>
          <w:rPr>
            <w:rFonts w:ascii="Calibri"/>
            <w:sz w:val="16"/>
            <w:u w:val="single"/>
          </w:rPr>
          <w:t>H_127381</w:t>
        </w:r>
        <w:r>
          <w:rPr>
            <w:rFonts w:ascii="Calibri"/>
            <w:sz w:val="16"/>
          </w:rPr>
          <w:t xml:space="preserve"> </w:t>
        </w:r>
      </w:hyperlink>
      <w:r>
        <w:rPr>
          <w:rFonts w:ascii="Calibri"/>
          <w:sz w:val="16"/>
        </w:rPr>
        <w:t>[accessed 9 October 2014].</w:t>
      </w:r>
    </w:p>
    <w:p w:rsidR="006A18FD" w:rsidRDefault="002D29FC">
      <w:pPr>
        <w:ind w:left="423" w:right="537" w:hanging="284"/>
        <w:jc w:val="both"/>
        <w:rPr>
          <w:rFonts w:ascii="Calibri"/>
          <w:sz w:val="16"/>
        </w:rPr>
      </w:pPr>
      <w:r>
        <w:rPr>
          <w:rFonts w:ascii="Calibri"/>
          <w:position w:val="5"/>
          <w:sz w:val="10"/>
        </w:rPr>
        <w:t xml:space="preserve">2 </w:t>
      </w:r>
      <w:r>
        <w:rPr>
          <w:rFonts w:ascii="Calibri"/>
          <w:sz w:val="16"/>
        </w:rPr>
        <w:t xml:space="preserve">National Institute for Health and Clinical Excellence (NICE) (2007) </w:t>
      </w:r>
      <w:r>
        <w:rPr>
          <w:rFonts w:ascii="Calibri"/>
          <w:i/>
          <w:sz w:val="16"/>
        </w:rPr>
        <w:t>Commissioning a memory assessment service for the early identification and care of people with dementia</w:t>
      </w:r>
      <w:r>
        <w:rPr>
          <w:rFonts w:ascii="Calibri"/>
          <w:sz w:val="16"/>
        </w:rPr>
        <w:t xml:space="preserve">, NICE, London. </w:t>
      </w:r>
      <w:hyperlink r:id="rId112">
        <w:r>
          <w:rPr>
            <w:rFonts w:ascii="Calibri"/>
            <w:sz w:val="16"/>
            <w:u w:val="single"/>
          </w:rPr>
          <w:t>http://dementianews.wordpress.com/2011/05/12/nice-commissioning-guide-memory-assessment-services/</w:t>
        </w:r>
      </w:hyperlink>
      <w:r>
        <w:rPr>
          <w:rFonts w:ascii="Calibri"/>
          <w:sz w:val="16"/>
        </w:rPr>
        <w:t xml:space="preserve"> [accessed 9 October 2014].</w:t>
      </w:r>
    </w:p>
    <w:p w:rsidR="006A18FD" w:rsidRDefault="002D29FC">
      <w:pPr>
        <w:spacing w:line="194" w:lineRule="exact"/>
        <w:ind w:left="140"/>
        <w:rPr>
          <w:rFonts w:ascii="Times New Roman" w:hAnsi="Times New Roman"/>
          <w:sz w:val="16"/>
        </w:rPr>
      </w:pPr>
      <w:r>
        <w:rPr>
          <w:rFonts w:ascii="Calibri" w:hAnsi="Calibri"/>
          <w:position w:val="4"/>
          <w:sz w:val="10"/>
        </w:rPr>
        <w:t xml:space="preserve">3 </w:t>
      </w:r>
      <w:r>
        <w:rPr>
          <w:rFonts w:ascii="Calibri" w:hAnsi="Calibri"/>
          <w:sz w:val="16"/>
        </w:rPr>
        <w:t xml:space="preserve">NHS Digital (2019) </w:t>
      </w:r>
      <w:r>
        <w:rPr>
          <w:rFonts w:ascii="Calibri" w:hAnsi="Calibri"/>
          <w:i/>
          <w:sz w:val="16"/>
        </w:rPr>
        <w:t xml:space="preserve">NHS staff earnings estimates, 12-month period from May 2018 – April 2019 </w:t>
      </w:r>
      <w:r>
        <w:rPr>
          <w:rFonts w:ascii="Calibri" w:hAnsi="Calibri"/>
          <w:sz w:val="16"/>
        </w:rPr>
        <w:t>(not publicly available), NHS Digital, Leeds</w:t>
      </w:r>
      <w:r>
        <w:rPr>
          <w:rFonts w:ascii="Times New Roman" w:hAnsi="Times New Roman"/>
          <w:sz w:val="16"/>
        </w:rPr>
        <w:t>.</w:t>
      </w:r>
    </w:p>
    <w:p w:rsidR="006A18FD" w:rsidRDefault="002D29FC">
      <w:pPr>
        <w:spacing w:line="195" w:lineRule="exact"/>
        <w:ind w:left="140"/>
        <w:rPr>
          <w:rFonts w:ascii="Calibri"/>
          <w:sz w:val="16"/>
        </w:rPr>
      </w:pPr>
      <w:r>
        <w:rPr>
          <w:rFonts w:ascii="Calibri"/>
          <w:position w:val="4"/>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837" w:hanging="284"/>
        <w:rPr>
          <w:rFonts w:ascii="Calibri"/>
          <w:sz w:val="16"/>
        </w:rPr>
      </w:pPr>
      <w:r>
        <w:rPr>
          <w:rFonts w:ascii="Calibri"/>
          <w:position w:val="4"/>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13">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6A18FD">
      <w:pPr>
        <w:rPr>
          <w:rFonts w:ascii="Calibri"/>
          <w:sz w:val="16"/>
        </w:rPr>
        <w:sectPr w:rsidR="006A18FD">
          <w:headerReference w:type="even" r:id="rId114"/>
          <w:headerReference w:type="default" r:id="rId115"/>
          <w:pgSz w:w="11910" w:h="16840"/>
          <w:pgMar w:top="960" w:right="86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6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63" name="Line 22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FA0D7D" id="Group 21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AR4yekgAIAAIEF&#10;AAAOAAAAAAAAAAAAAAAAAC4CAABkcnMvZTJvRG9jLnhtbFBLAQItABQABgAIAAAAIQAtd+Rc2gAA&#10;AAQBAAAPAAAAAAAAAAAAAAAAANoEAABkcnMvZG93bnJldi54bWxQSwUGAAAAAAQABADzAAAA4QUA&#10;AAAA&#10;">
                <v:line id="Line 22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w10:anchorlock/>
              </v:group>
            </w:pict>
          </mc:Fallback>
        </mc:AlternateContent>
      </w:r>
    </w:p>
    <w:p w:rsidR="006A18FD" w:rsidRDefault="00EE3E6C" w:rsidP="00EE3E6C">
      <w:pPr>
        <w:pStyle w:val="Heading2"/>
      </w:pPr>
      <w:r>
        <w:t xml:space="preserve">1.6 </w:t>
      </w:r>
      <w:r w:rsidR="002D29FC">
        <w:t>Multi-professional clinical medication reviews in care homes for older people</w:t>
      </w:r>
    </w:p>
    <w:p w:rsidR="006A18FD" w:rsidRDefault="002D29FC">
      <w:pPr>
        <w:spacing w:before="123" w:line="276" w:lineRule="auto"/>
        <w:ind w:left="152" w:right="195"/>
        <w:rPr>
          <w:rFonts w:ascii="Calibri"/>
          <w:sz w:val="20"/>
        </w:rPr>
      </w:pPr>
      <w:r>
        <w:rPr>
          <w:rFonts w:ascii="Calibri"/>
          <w:sz w:val="20"/>
        </w:rPr>
        <w:t>Information for this schema was drawn from a study conducted in two counties in Eastern England (Cambridgeshire and Norfolk)</w:t>
      </w:r>
      <w:r>
        <w:rPr>
          <w:rFonts w:ascii="Calibri"/>
          <w:position w:val="7"/>
          <w:sz w:val="13"/>
        </w:rPr>
        <w:t xml:space="preserve">1 </w:t>
      </w:r>
      <w:r>
        <w:rPr>
          <w:rFonts w:ascii="Calibri"/>
          <w:sz w:val="20"/>
        </w:rPr>
        <w:t>in collaboration with the primary care Medicines Management Teams (MMTs). It aimed to illustrate the methods of micro-costing within the pharmacy context for patients in care homes in order to raise awareness and use of this approach in pharmacy research.</w:t>
      </w:r>
    </w:p>
    <w:p w:rsidR="006A18FD" w:rsidRDefault="002D29FC">
      <w:pPr>
        <w:spacing w:before="120" w:line="276" w:lineRule="auto"/>
        <w:ind w:left="152"/>
        <w:rPr>
          <w:rFonts w:ascii="Calibri" w:hAnsi="Calibri"/>
          <w:sz w:val="20"/>
        </w:rPr>
      </w:pPr>
      <w:r>
        <w:rPr>
          <w:rFonts w:ascii="Calibri" w:hAnsi="Calibri"/>
          <w:sz w:val="20"/>
        </w:rPr>
        <w:t>Medication review meetings are attended by the relevant GP(s), care home staff (manager and/or deputy manager, and/or senior carer/nurse), clinical pharmacist and pharmacy technician from the medicines management team (MMT). The pharmacy technician did not attend every meeting however. The meeting consisted of a review of each individual resident and some discussion of general issues arising out of the individual’s review. Each resident was reviewed at one meeting at each time point (T1 and at T2 6 months later).</w:t>
      </w:r>
    </w:p>
    <w:p w:rsidR="006A18FD" w:rsidRDefault="002D29FC">
      <w:pPr>
        <w:spacing w:before="120"/>
        <w:ind w:left="152"/>
        <w:rPr>
          <w:rFonts w:ascii="Calibri"/>
          <w:sz w:val="20"/>
        </w:rPr>
      </w:pPr>
      <w:r>
        <w:rPr>
          <w:rFonts w:ascii="Calibri"/>
          <w:sz w:val="20"/>
        </w:rPr>
        <w:t>Five broad steps to the medication review process were identified:</w:t>
      </w:r>
    </w:p>
    <w:p w:rsidR="006A18FD" w:rsidRDefault="002D29FC" w:rsidP="008E3FA8">
      <w:pPr>
        <w:numPr>
          <w:ilvl w:val="2"/>
          <w:numId w:val="23"/>
        </w:numPr>
        <w:tabs>
          <w:tab w:val="left" w:pos="873"/>
          <w:tab w:val="left" w:pos="874"/>
        </w:tabs>
        <w:spacing w:before="156" w:line="276" w:lineRule="auto"/>
        <w:ind w:right="708"/>
        <w:rPr>
          <w:rFonts w:ascii="Calibri"/>
          <w:sz w:val="20"/>
        </w:rPr>
      </w:pPr>
      <w:r>
        <w:rPr>
          <w:rFonts w:ascii="Calibri"/>
          <w:sz w:val="20"/>
        </w:rPr>
        <w:t>Step</w:t>
      </w:r>
      <w:r>
        <w:rPr>
          <w:rFonts w:ascii="Calibri"/>
          <w:spacing w:val="-3"/>
          <w:sz w:val="20"/>
        </w:rPr>
        <w:t xml:space="preserve"> </w:t>
      </w:r>
      <w:r>
        <w:rPr>
          <w:rFonts w:ascii="Calibri"/>
          <w:sz w:val="20"/>
        </w:rPr>
        <w:t>1:</w:t>
      </w:r>
      <w:r>
        <w:rPr>
          <w:rFonts w:ascii="Calibri"/>
          <w:spacing w:val="-4"/>
          <w:sz w:val="20"/>
        </w:rPr>
        <w:t xml:space="preserve"> </w:t>
      </w:r>
      <w:r>
        <w:rPr>
          <w:rFonts w:ascii="Calibri"/>
          <w:sz w:val="20"/>
        </w:rPr>
        <w:t>undertaken</w:t>
      </w:r>
      <w:r>
        <w:rPr>
          <w:rFonts w:ascii="Calibri"/>
          <w:spacing w:val="-3"/>
          <w:sz w:val="20"/>
        </w:rPr>
        <w:t xml:space="preserve"> </w:t>
      </w:r>
      <w:r>
        <w:rPr>
          <w:rFonts w:ascii="Calibri"/>
          <w:sz w:val="20"/>
        </w:rPr>
        <w:t>by</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pharmacy</w:t>
      </w:r>
      <w:r>
        <w:rPr>
          <w:rFonts w:ascii="Calibri"/>
          <w:spacing w:val="-3"/>
          <w:sz w:val="20"/>
        </w:rPr>
        <w:t xml:space="preserve"> </w:t>
      </w:r>
      <w:r>
        <w:rPr>
          <w:rFonts w:ascii="Calibri"/>
          <w:sz w:val="20"/>
        </w:rPr>
        <w:t>technician</w:t>
      </w:r>
      <w:r>
        <w:rPr>
          <w:rFonts w:ascii="Calibri"/>
          <w:spacing w:val="-2"/>
          <w:sz w:val="20"/>
        </w:rPr>
        <w:t xml:space="preserve"> </w:t>
      </w:r>
      <w:r>
        <w:rPr>
          <w:rFonts w:ascii="Calibri"/>
          <w:sz w:val="20"/>
        </w:rPr>
        <w:t>and/or</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clinical</w:t>
      </w:r>
      <w:r>
        <w:rPr>
          <w:rFonts w:ascii="Calibri"/>
          <w:spacing w:val="-3"/>
          <w:sz w:val="20"/>
        </w:rPr>
        <w:t xml:space="preserve"> </w:t>
      </w:r>
      <w:r>
        <w:rPr>
          <w:rFonts w:ascii="Calibri"/>
          <w:sz w:val="20"/>
        </w:rPr>
        <w:t>pharmacist</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set</w:t>
      </w:r>
      <w:r>
        <w:rPr>
          <w:rFonts w:ascii="Calibri"/>
          <w:spacing w:val="-3"/>
          <w:sz w:val="20"/>
        </w:rPr>
        <w:t xml:space="preserve"> </w:t>
      </w:r>
      <w:r>
        <w:rPr>
          <w:rFonts w:ascii="Calibri"/>
          <w:sz w:val="20"/>
        </w:rPr>
        <w:t>up</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medication</w:t>
      </w:r>
      <w:r>
        <w:rPr>
          <w:rFonts w:ascii="Calibri"/>
          <w:spacing w:val="-3"/>
          <w:sz w:val="20"/>
        </w:rPr>
        <w:t xml:space="preserve"> </w:t>
      </w:r>
      <w:r>
        <w:rPr>
          <w:rFonts w:ascii="Calibri"/>
          <w:sz w:val="20"/>
        </w:rPr>
        <w:t>review meeting by liaising with the care home and GP</w:t>
      </w:r>
      <w:r>
        <w:rPr>
          <w:rFonts w:ascii="Calibri"/>
          <w:spacing w:val="-21"/>
          <w:sz w:val="20"/>
        </w:rPr>
        <w:t xml:space="preserve"> </w:t>
      </w:r>
      <w:r>
        <w:rPr>
          <w:rFonts w:ascii="Calibri"/>
          <w:sz w:val="20"/>
        </w:rPr>
        <w:t>practice.</w:t>
      </w:r>
    </w:p>
    <w:p w:rsidR="006A18FD" w:rsidRDefault="002D29FC" w:rsidP="008E3FA8">
      <w:pPr>
        <w:numPr>
          <w:ilvl w:val="2"/>
          <w:numId w:val="23"/>
        </w:numPr>
        <w:tabs>
          <w:tab w:val="left" w:pos="873"/>
          <w:tab w:val="left" w:pos="874"/>
        </w:tabs>
        <w:spacing w:line="276" w:lineRule="auto"/>
        <w:ind w:right="221"/>
        <w:rPr>
          <w:rFonts w:ascii="Calibri" w:hAnsi="Calibri"/>
          <w:sz w:val="20"/>
        </w:rPr>
      </w:pPr>
      <w:r>
        <w:rPr>
          <w:rFonts w:ascii="Calibri" w:hAnsi="Calibri"/>
          <w:sz w:val="20"/>
        </w:rPr>
        <w:t>Step</w:t>
      </w:r>
      <w:r>
        <w:rPr>
          <w:rFonts w:ascii="Calibri" w:hAnsi="Calibri"/>
          <w:spacing w:val="-3"/>
          <w:sz w:val="20"/>
        </w:rPr>
        <w:t xml:space="preserve"> </w:t>
      </w:r>
      <w:r>
        <w:rPr>
          <w:rFonts w:ascii="Calibri" w:hAnsi="Calibri"/>
          <w:sz w:val="20"/>
        </w:rPr>
        <w:t>2:</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pharmacy</w:t>
      </w:r>
      <w:r>
        <w:rPr>
          <w:rFonts w:ascii="Calibri" w:hAnsi="Calibri"/>
          <w:spacing w:val="-3"/>
          <w:sz w:val="20"/>
        </w:rPr>
        <w:t xml:space="preserve"> </w:t>
      </w:r>
      <w:r>
        <w:rPr>
          <w:rFonts w:ascii="Calibri" w:hAnsi="Calibri"/>
          <w:sz w:val="20"/>
        </w:rPr>
        <w:t>technician</w:t>
      </w:r>
      <w:r>
        <w:rPr>
          <w:rFonts w:ascii="Calibri" w:hAnsi="Calibri"/>
          <w:spacing w:val="-2"/>
          <w:sz w:val="20"/>
        </w:rPr>
        <w:t xml:space="preserve"> </w:t>
      </w:r>
      <w:r>
        <w:rPr>
          <w:rFonts w:ascii="Calibri" w:hAnsi="Calibri"/>
          <w:sz w:val="20"/>
        </w:rPr>
        <w:t>undertakes</w:t>
      </w:r>
      <w:r>
        <w:rPr>
          <w:rFonts w:ascii="Calibri" w:hAnsi="Calibri"/>
          <w:spacing w:val="-5"/>
          <w:sz w:val="20"/>
        </w:rPr>
        <w:t xml:space="preserve"> </w:t>
      </w:r>
      <w:r>
        <w:rPr>
          <w:rFonts w:ascii="Calibri" w:hAnsi="Calibri"/>
          <w:sz w:val="20"/>
        </w:rPr>
        <w:t>data</w:t>
      </w:r>
      <w:r>
        <w:rPr>
          <w:rFonts w:ascii="Calibri" w:hAnsi="Calibri"/>
          <w:spacing w:val="-3"/>
          <w:sz w:val="20"/>
        </w:rPr>
        <w:t xml:space="preserve"> </w:t>
      </w:r>
      <w:r>
        <w:rPr>
          <w:rFonts w:ascii="Calibri" w:hAnsi="Calibri"/>
          <w:sz w:val="20"/>
        </w:rPr>
        <w:t>extraction</w:t>
      </w:r>
      <w:r>
        <w:rPr>
          <w:rFonts w:ascii="Calibri" w:hAnsi="Calibri"/>
          <w:spacing w:val="-3"/>
          <w:sz w:val="20"/>
        </w:rPr>
        <w:t xml:space="preserve"> </w:t>
      </w:r>
      <w:r>
        <w:rPr>
          <w:rFonts w:ascii="Calibri" w:hAnsi="Calibri"/>
          <w:sz w:val="20"/>
        </w:rPr>
        <w:t>at</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GP</w:t>
      </w:r>
      <w:r>
        <w:rPr>
          <w:rFonts w:ascii="Calibri" w:hAnsi="Calibri"/>
          <w:spacing w:val="-4"/>
          <w:sz w:val="20"/>
        </w:rPr>
        <w:t xml:space="preserve"> </w:t>
      </w:r>
      <w:r>
        <w:rPr>
          <w:rFonts w:ascii="Calibri" w:hAnsi="Calibri"/>
          <w:sz w:val="20"/>
        </w:rPr>
        <w:t>surgery</w:t>
      </w:r>
      <w:r>
        <w:rPr>
          <w:rFonts w:ascii="Calibri" w:hAnsi="Calibri"/>
          <w:spacing w:val="-3"/>
          <w:sz w:val="20"/>
        </w:rPr>
        <w:t xml:space="preserve"> </w:t>
      </w:r>
      <w:r>
        <w:rPr>
          <w:rFonts w:ascii="Calibri" w:hAnsi="Calibri"/>
          <w:sz w:val="20"/>
        </w:rPr>
        <w:t>prior</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medication</w:t>
      </w:r>
      <w:r>
        <w:rPr>
          <w:rFonts w:ascii="Calibri" w:hAnsi="Calibri"/>
          <w:spacing w:val="-3"/>
          <w:sz w:val="20"/>
        </w:rPr>
        <w:t xml:space="preserve"> </w:t>
      </w:r>
      <w:r>
        <w:rPr>
          <w:rFonts w:ascii="Calibri" w:hAnsi="Calibri"/>
          <w:sz w:val="20"/>
        </w:rPr>
        <w:t>review.</w:t>
      </w:r>
      <w:r>
        <w:rPr>
          <w:rFonts w:ascii="Calibri" w:hAnsi="Calibri"/>
          <w:spacing w:val="-3"/>
          <w:sz w:val="20"/>
        </w:rPr>
        <w:t xml:space="preserve"> </w:t>
      </w:r>
      <w:r>
        <w:rPr>
          <w:rFonts w:ascii="Calibri" w:hAnsi="Calibri"/>
          <w:sz w:val="20"/>
        </w:rPr>
        <w:t>This includes extraction of medical history, medications data and latest test results and completion of paperwork (individual resident medication review – MR1 –</w:t>
      </w:r>
      <w:r>
        <w:rPr>
          <w:rFonts w:ascii="Calibri" w:hAnsi="Calibri"/>
          <w:spacing w:val="-21"/>
          <w:sz w:val="20"/>
        </w:rPr>
        <w:t xml:space="preserve"> </w:t>
      </w:r>
      <w:r>
        <w:rPr>
          <w:rFonts w:ascii="Calibri" w:hAnsi="Calibri"/>
          <w:sz w:val="20"/>
        </w:rPr>
        <w:t>forms.</w:t>
      </w:r>
    </w:p>
    <w:p w:rsidR="006A18FD" w:rsidRDefault="002D29FC" w:rsidP="008E3FA8">
      <w:pPr>
        <w:numPr>
          <w:ilvl w:val="2"/>
          <w:numId w:val="23"/>
        </w:numPr>
        <w:tabs>
          <w:tab w:val="left" w:pos="873"/>
          <w:tab w:val="left" w:pos="874"/>
        </w:tabs>
        <w:spacing w:line="273" w:lineRule="auto"/>
        <w:ind w:right="387"/>
        <w:rPr>
          <w:rFonts w:ascii="Calibri"/>
          <w:sz w:val="20"/>
        </w:rPr>
      </w:pPr>
      <w:r>
        <w:rPr>
          <w:rFonts w:ascii="Calibri"/>
          <w:sz w:val="20"/>
        </w:rPr>
        <w:t>Step</w:t>
      </w:r>
      <w:r>
        <w:rPr>
          <w:rFonts w:ascii="Calibri"/>
          <w:spacing w:val="-2"/>
          <w:sz w:val="20"/>
        </w:rPr>
        <w:t xml:space="preserve"> </w:t>
      </w:r>
      <w:r>
        <w:rPr>
          <w:rFonts w:ascii="Calibri"/>
          <w:sz w:val="20"/>
        </w:rPr>
        <w:t>3:</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MR1 forms</w:t>
      </w:r>
      <w:r>
        <w:rPr>
          <w:rFonts w:ascii="Calibri"/>
          <w:spacing w:val="-4"/>
          <w:sz w:val="20"/>
        </w:rPr>
        <w:t xml:space="preserve"> </w:t>
      </w:r>
      <w:r>
        <w:rPr>
          <w:rFonts w:ascii="Calibri"/>
          <w:sz w:val="20"/>
        </w:rPr>
        <w:t>are</w:t>
      </w:r>
      <w:r>
        <w:rPr>
          <w:rFonts w:ascii="Calibri"/>
          <w:spacing w:val="-3"/>
          <w:sz w:val="20"/>
        </w:rPr>
        <w:t xml:space="preserve"> </w:t>
      </w:r>
      <w:r>
        <w:rPr>
          <w:rFonts w:ascii="Calibri"/>
          <w:sz w:val="20"/>
        </w:rPr>
        <w:t>passed</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clinical</w:t>
      </w:r>
      <w:r>
        <w:rPr>
          <w:rFonts w:ascii="Calibri"/>
          <w:spacing w:val="-2"/>
          <w:sz w:val="20"/>
        </w:rPr>
        <w:t xml:space="preserve"> </w:t>
      </w:r>
      <w:r>
        <w:rPr>
          <w:rFonts w:ascii="Calibri"/>
          <w:sz w:val="20"/>
        </w:rPr>
        <w:t>pharmacist</w:t>
      </w:r>
      <w:r>
        <w:rPr>
          <w:rFonts w:ascii="Calibri"/>
          <w:spacing w:val="-2"/>
          <w:sz w:val="20"/>
        </w:rPr>
        <w:t xml:space="preserve"> </w:t>
      </w:r>
      <w:r>
        <w:rPr>
          <w:rFonts w:ascii="Calibri"/>
          <w:sz w:val="20"/>
        </w:rPr>
        <w:t>ahead</w:t>
      </w:r>
      <w:r>
        <w:rPr>
          <w:rFonts w:ascii="Calibri"/>
          <w:spacing w:val="-1"/>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3"/>
          <w:sz w:val="20"/>
        </w:rPr>
        <w:t xml:space="preserve"> </w:t>
      </w:r>
      <w:r>
        <w:rPr>
          <w:rFonts w:ascii="Calibri"/>
          <w:sz w:val="20"/>
        </w:rPr>
        <w:t>medication</w:t>
      </w:r>
      <w:r>
        <w:rPr>
          <w:rFonts w:ascii="Calibri"/>
          <w:spacing w:val="-2"/>
          <w:sz w:val="20"/>
        </w:rPr>
        <w:t xml:space="preserve"> </w:t>
      </w:r>
      <w:r>
        <w:rPr>
          <w:rFonts w:ascii="Calibri"/>
          <w:sz w:val="20"/>
        </w:rPr>
        <w:t>review</w:t>
      </w:r>
      <w:r>
        <w:rPr>
          <w:rFonts w:ascii="Calibri"/>
          <w:spacing w:val="-3"/>
          <w:sz w:val="20"/>
        </w:rPr>
        <w:t xml:space="preserve"> </w:t>
      </w:r>
      <w:r>
        <w:rPr>
          <w:rFonts w:ascii="Calibri"/>
          <w:sz w:val="20"/>
        </w:rPr>
        <w:t>meeting</w:t>
      </w:r>
      <w:r>
        <w:rPr>
          <w:rFonts w:ascii="Calibri"/>
          <w:spacing w:val="-3"/>
          <w:sz w:val="20"/>
        </w:rPr>
        <w:t xml:space="preserve"> </w:t>
      </w:r>
      <w:r>
        <w:rPr>
          <w:rFonts w:ascii="Calibri"/>
          <w:sz w:val="20"/>
        </w:rPr>
        <w:t>at</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care home.</w:t>
      </w:r>
    </w:p>
    <w:p w:rsidR="006A18FD" w:rsidRDefault="002D29FC" w:rsidP="008E3FA8">
      <w:pPr>
        <w:numPr>
          <w:ilvl w:val="2"/>
          <w:numId w:val="23"/>
        </w:numPr>
        <w:tabs>
          <w:tab w:val="left" w:pos="873"/>
          <w:tab w:val="left" w:pos="874"/>
        </w:tabs>
        <w:spacing w:before="1" w:line="276" w:lineRule="auto"/>
        <w:ind w:right="463"/>
        <w:rPr>
          <w:rFonts w:ascii="Calibri" w:hAnsi="Calibri"/>
          <w:sz w:val="20"/>
        </w:rPr>
      </w:pPr>
      <w:r>
        <w:rPr>
          <w:rFonts w:ascii="Calibri" w:hAnsi="Calibri"/>
          <w:sz w:val="20"/>
        </w:rPr>
        <w:t>Step 4: hold the multi-professional medication review meeting at which each resident’s medication history and medication is</w:t>
      </w:r>
      <w:r>
        <w:rPr>
          <w:rFonts w:ascii="Calibri" w:hAnsi="Calibri"/>
          <w:spacing w:val="-12"/>
          <w:sz w:val="20"/>
        </w:rPr>
        <w:t xml:space="preserve"> </w:t>
      </w:r>
      <w:r>
        <w:rPr>
          <w:rFonts w:ascii="Calibri" w:hAnsi="Calibri"/>
          <w:sz w:val="20"/>
        </w:rPr>
        <w:t>discussed.</w:t>
      </w:r>
    </w:p>
    <w:p w:rsidR="006A18FD" w:rsidRDefault="002D29FC" w:rsidP="008E3FA8">
      <w:pPr>
        <w:numPr>
          <w:ilvl w:val="2"/>
          <w:numId w:val="23"/>
        </w:numPr>
        <w:tabs>
          <w:tab w:val="left" w:pos="873"/>
          <w:tab w:val="left" w:pos="874"/>
        </w:tabs>
        <w:spacing w:line="273" w:lineRule="auto"/>
        <w:ind w:right="353"/>
        <w:rPr>
          <w:rFonts w:ascii="Calibri"/>
          <w:sz w:val="20"/>
        </w:rPr>
      </w:pPr>
      <w:r>
        <w:rPr>
          <w:rFonts w:ascii="Calibri"/>
          <w:sz w:val="20"/>
        </w:rPr>
        <w:t>Step 5: the pharmacy technician followed up the meeting to make sure all action points and medication changes had been</w:t>
      </w:r>
      <w:r>
        <w:rPr>
          <w:rFonts w:ascii="Calibri"/>
          <w:spacing w:val="-8"/>
          <w:sz w:val="20"/>
        </w:rPr>
        <w:t xml:space="preserve"> </w:t>
      </w:r>
      <w:r>
        <w:rPr>
          <w:rFonts w:ascii="Calibri"/>
          <w:sz w:val="20"/>
        </w:rPr>
        <w:t>implemented.</w:t>
      </w:r>
    </w:p>
    <w:p w:rsidR="006A18FD" w:rsidRDefault="002D29FC">
      <w:pPr>
        <w:spacing w:before="124" w:line="276" w:lineRule="auto"/>
        <w:ind w:left="152" w:right="340"/>
        <w:rPr>
          <w:rFonts w:ascii="Calibri" w:hAnsi="Calibri"/>
          <w:sz w:val="20"/>
        </w:rPr>
      </w:pPr>
      <w:r>
        <w:rPr>
          <w:rFonts w:ascii="Calibri" w:hAnsi="Calibri"/>
          <w:sz w:val="20"/>
        </w:rPr>
        <w:t>The costs for these steps are tabulated below and travel costs have been added. The average cost per resident of the multi-professional medication review intervention was £114. All costs have been uprated using the appropriate inflators.</w:t>
      </w:r>
    </w:p>
    <w:p w:rsidR="006A18FD" w:rsidRDefault="002D29FC">
      <w:pPr>
        <w:spacing w:before="120"/>
        <w:ind w:left="152"/>
        <w:rPr>
          <w:rFonts w:ascii="Calibri"/>
          <w:b/>
          <w:sz w:val="20"/>
        </w:rPr>
      </w:pPr>
      <w:r>
        <w:rPr>
          <w:rFonts w:ascii="Calibri"/>
          <w:b/>
          <w:sz w:val="20"/>
        </w:rPr>
        <w:t>Table 1 Cost per resident for a multi-professional clinical medication review in care homes for older people</w:t>
      </w:r>
    </w:p>
    <w:p w:rsidR="006A18FD" w:rsidRDefault="006A18FD">
      <w:pPr>
        <w:spacing w:before="9"/>
        <w:rPr>
          <w:rFonts w:ascii="Calibri"/>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1416"/>
        <w:gridCol w:w="1416"/>
        <w:gridCol w:w="1418"/>
        <w:gridCol w:w="1417"/>
        <w:gridCol w:w="1418"/>
      </w:tblGrid>
      <w:tr w:rsidR="006A18FD" w:rsidTr="0053166C">
        <w:trPr>
          <w:trHeight w:val="840"/>
          <w:tblHeader/>
        </w:trPr>
        <w:tc>
          <w:tcPr>
            <w:tcW w:w="2780" w:type="dxa"/>
          </w:tcPr>
          <w:p w:rsidR="006A18FD" w:rsidRDefault="006A18FD">
            <w:pPr>
              <w:rPr>
                <w:rFonts w:ascii="Times New Roman"/>
                <w:sz w:val="18"/>
              </w:rPr>
            </w:pPr>
          </w:p>
        </w:tc>
        <w:tc>
          <w:tcPr>
            <w:tcW w:w="1416" w:type="dxa"/>
          </w:tcPr>
          <w:p w:rsidR="006A18FD" w:rsidRDefault="002D29FC">
            <w:pPr>
              <w:spacing w:before="1"/>
              <w:ind w:left="102" w:right="292"/>
              <w:rPr>
                <w:rFonts w:ascii="Calibri"/>
                <w:b/>
                <w:sz w:val="20"/>
              </w:rPr>
            </w:pPr>
            <w:r>
              <w:rPr>
                <w:rFonts w:ascii="Calibri"/>
                <w:b/>
                <w:sz w:val="20"/>
              </w:rPr>
              <w:t>Meeting set up</w:t>
            </w:r>
          </w:p>
        </w:tc>
        <w:tc>
          <w:tcPr>
            <w:tcW w:w="1416" w:type="dxa"/>
          </w:tcPr>
          <w:p w:rsidR="006A18FD" w:rsidRDefault="002D29FC">
            <w:pPr>
              <w:spacing w:before="1"/>
              <w:ind w:left="102" w:right="190"/>
              <w:rPr>
                <w:rFonts w:ascii="Calibri"/>
                <w:b/>
                <w:sz w:val="20"/>
              </w:rPr>
            </w:pPr>
            <w:r>
              <w:rPr>
                <w:rFonts w:ascii="Calibri"/>
                <w:b/>
                <w:sz w:val="20"/>
              </w:rPr>
              <w:t>Data extraction T1 &amp; T2</w:t>
            </w:r>
          </w:p>
        </w:tc>
        <w:tc>
          <w:tcPr>
            <w:tcW w:w="1418" w:type="dxa"/>
          </w:tcPr>
          <w:p w:rsidR="006A18FD" w:rsidRDefault="002D29FC">
            <w:pPr>
              <w:spacing w:before="1"/>
              <w:ind w:left="105" w:right="295"/>
              <w:rPr>
                <w:rFonts w:ascii="Calibri"/>
                <w:b/>
                <w:sz w:val="20"/>
              </w:rPr>
            </w:pPr>
            <w:r>
              <w:rPr>
                <w:rFonts w:ascii="Calibri"/>
                <w:b/>
                <w:sz w:val="20"/>
              </w:rPr>
              <w:t>Preparation</w:t>
            </w:r>
            <w:r>
              <w:rPr>
                <w:rFonts w:ascii="Calibri"/>
                <w:b/>
                <w:w w:val="99"/>
                <w:sz w:val="20"/>
              </w:rPr>
              <w:t xml:space="preserve"> </w:t>
            </w:r>
            <w:r>
              <w:rPr>
                <w:rFonts w:ascii="Calibri"/>
                <w:b/>
                <w:sz w:val="20"/>
              </w:rPr>
              <w:t>T1 &amp; T2</w:t>
            </w:r>
          </w:p>
        </w:tc>
        <w:tc>
          <w:tcPr>
            <w:tcW w:w="1417" w:type="dxa"/>
          </w:tcPr>
          <w:p w:rsidR="006A18FD" w:rsidRDefault="002D29FC">
            <w:pPr>
              <w:spacing w:before="1"/>
              <w:ind w:left="103"/>
              <w:rPr>
                <w:rFonts w:ascii="Calibri"/>
                <w:b/>
                <w:sz w:val="20"/>
              </w:rPr>
            </w:pPr>
            <w:r>
              <w:rPr>
                <w:rFonts w:ascii="Calibri"/>
                <w:b/>
                <w:sz w:val="20"/>
              </w:rPr>
              <w:t>Meeting</w:t>
            </w:r>
          </w:p>
        </w:tc>
        <w:tc>
          <w:tcPr>
            <w:tcW w:w="1418" w:type="dxa"/>
          </w:tcPr>
          <w:p w:rsidR="006A18FD" w:rsidRDefault="002D29FC">
            <w:pPr>
              <w:spacing w:before="1"/>
              <w:ind w:left="105" w:right="136"/>
              <w:rPr>
                <w:rFonts w:ascii="Calibri"/>
                <w:b/>
                <w:sz w:val="20"/>
              </w:rPr>
            </w:pPr>
            <w:r>
              <w:rPr>
                <w:rFonts w:ascii="Calibri"/>
                <w:b/>
                <w:sz w:val="20"/>
              </w:rPr>
              <w:t>Follow up 1 &amp; 2</w:t>
            </w:r>
          </w:p>
        </w:tc>
      </w:tr>
      <w:tr w:rsidR="006A18FD">
        <w:trPr>
          <w:trHeight w:val="480"/>
        </w:trPr>
        <w:tc>
          <w:tcPr>
            <w:tcW w:w="2780" w:type="dxa"/>
          </w:tcPr>
          <w:p w:rsidR="006A18FD" w:rsidRDefault="002D29FC">
            <w:pPr>
              <w:spacing w:before="1"/>
              <w:ind w:left="105"/>
              <w:rPr>
                <w:rFonts w:ascii="Calibri"/>
                <w:b/>
                <w:sz w:val="20"/>
              </w:rPr>
            </w:pPr>
            <w:r>
              <w:rPr>
                <w:rFonts w:ascii="Calibri"/>
                <w:b/>
                <w:sz w:val="20"/>
              </w:rPr>
              <w:t>Mean cost per resident</w:t>
            </w:r>
          </w:p>
        </w:tc>
        <w:tc>
          <w:tcPr>
            <w:tcW w:w="1416" w:type="dxa"/>
          </w:tcPr>
          <w:p w:rsidR="006A18FD" w:rsidRDefault="002D29FC">
            <w:pPr>
              <w:spacing w:before="121"/>
              <w:ind w:left="341" w:right="342"/>
              <w:jc w:val="center"/>
              <w:rPr>
                <w:rFonts w:ascii="Calibri" w:hAnsi="Calibri"/>
                <w:sz w:val="20"/>
              </w:rPr>
            </w:pPr>
            <w:r>
              <w:rPr>
                <w:rFonts w:ascii="Calibri" w:hAnsi="Calibri"/>
                <w:sz w:val="20"/>
              </w:rPr>
              <w:t>£1.80</w:t>
            </w:r>
          </w:p>
        </w:tc>
        <w:tc>
          <w:tcPr>
            <w:tcW w:w="1416" w:type="dxa"/>
          </w:tcPr>
          <w:p w:rsidR="006A18FD" w:rsidRDefault="002D29FC">
            <w:pPr>
              <w:spacing w:before="121"/>
              <w:ind w:left="424"/>
              <w:rPr>
                <w:rFonts w:ascii="Calibri" w:hAnsi="Calibri"/>
                <w:sz w:val="20"/>
              </w:rPr>
            </w:pPr>
            <w:r>
              <w:rPr>
                <w:rFonts w:ascii="Calibri" w:hAnsi="Calibri"/>
                <w:sz w:val="20"/>
              </w:rPr>
              <w:t>£22.50</w:t>
            </w:r>
          </w:p>
        </w:tc>
        <w:tc>
          <w:tcPr>
            <w:tcW w:w="1418" w:type="dxa"/>
          </w:tcPr>
          <w:p w:rsidR="006A18FD" w:rsidRDefault="002D29FC">
            <w:pPr>
              <w:spacing w:before="121"/>
              <w:ind w:right="424"/>
              <w:jc w:val="right"/>
              <w:rPr>
                <w:rFonts w:ascii="Calibri" w:hAnsi="Calibri"/>
                <w:sz w:val="20"/>
              </w:rPr>
            </w:pPr>
            <w:r>
              <w:rPr>
                <w:rFonts w:ascii="Calibri" w:hAnsi="Calibri"/>
                <w:w w:val="95"/>
                <w:sz w:val="20"/>
              </w:rPr>
              <w:t>£10.30</w:t>
            </w:r>
          </w:p>
        </w:tc>
        <w:tc>
          <w:tcPr>
            <w:tcW w:w="1417" w:type="dxa"/>
          </w:tcPr>
          <w:p w:rsidR="006A18FD" w:rsidRDefault="002D29FC">
            <w:pPr>
              <w:spacing w:before="121"/>
              <w:ind w:right="424"/>
              <w:jc w:val="right"/>
              <w:rPr>
                <w:rFonts w:ascii="Calibri" w:hAnsi="Calibri"/>
                <w:sz w:val="20"/>
              </w:rPr>
            </w:pPr>
            <w:r>
              <w:rPr>
                <w:rFonts w:ascii="Calibri" w:hAnsi="Calibri"/>
                <w:w w:val="95"/>
                <w:sz w:val="20"/>
              </w:rPr>
              <w:t>£45.90</w:t>
            </w:r>
          </w:p>
        </w:tc>
        <w:tc>
          <w:tcPr>
            <w:tcW w:w="1418" w:type="dxa"/>
          </w:tcPr>
          <w:p w:rsidR="006A18FD" w:rsidRDefault="002D29FC">
            <w:pPr>
              <w:spacing w:before="121"/>
              <w:ind w:left="426"/>
              <w:rPr>
                <w:rFonts w:ascii="Calibri" w:hAnsi="Calibri"/>
                <w:sz w:val="20"/>
              </w:rPr>
            </w:pPr>
            <w:r>
              <w:rPr>
                <w:rFonts w:ascii="Calibri" w:hAnsi="Calibri"/>
                <w:sz w:val="20"/>
              </w:rPr>
              <w:t>£12.40</w:t>
            </w:r>
          </w:p>
        </w:tc>
      </w:tr>
      <w:tr w:rsidR="006A18FD">
        <w:trPr>
          <w:trHeight w:val="600"/>
        </w:trPr>
        <w:tc>
          <w:tcPr>
            <w:tcW w:w="2780" w:type="dxa"/>
          </w:tcPr>
          <w:p w:rsidR="006A18FD" w:rsidRDefault="002D29FC">
            <w:pPr>
              <w:spacing w:before="1"/>
              <w:ind w:left="105" w:right="124"/>
              <w:rPr>
                <w:rFonts w:ascii="Calibri"/>
                <w:b/>
                <w:sz w:val="20"/>
              </w:rPr>
            </w:pPr>
            <w:r>
              <w:rPr>
                <w:rFonts w:ascii="Calibri"/>
                <w:b/>
                <w:sz w:val="20"/>
              </w:rPr>
              <w:t>Travel costs for review meeting 1</w:t>
            </w:r>
          </w:p>
        </w:tc>
        <w:tc>
          <w:tcPr>
            <w:tcW w:w="1416" w:type="dxa"/>
          </w:tcPr>
          <w:p w:rsidR="006A18FD" w:rsidRDefault="006A18FD">
            <w:pPr>
              <w:rPr>
                <w:rFonts w:ascii="Times New Roman"/>
                <w:sz w:val="18"/>
              </w:rPr>
            </w:pPr>
          </w:p>
        </w:tc>
        <w:tc>
          <w:tcPr>
            <w:tcW w:w="1416" w:type="dxa"/>
          </w:tcPr>
          <w:p w:rsidR="006A18FD" w:rsidRDefault="006A18FD">
            <w:pPr>
              <w:rPr>
                <w:rFonts w:ascii="Calibri"/>
                <w:b/>
                <w:sz w:val="15"/>
              </w:rPr>
            </w:pPr>
          </w:p>
          <w:p w:rsidR="006A18FD" w:rsidRDefault="002D29FC">
            <w:pPr>
              <w:ind w:left="474"/>
              <w:rPr>
                <w:rFonts w:ascii="Calibri" w:hAnsi="Calibri"/>
                <w:sz w:val="20"/>
              </w:rPr>
            </w:pPr>
            <w:r>
              <w:rPr>
                <w:rFonts w:ascii="Calibri" w:hAnsi="Calibri"/>
                <w:sz w:val="20"/>
              </w:rPr>
              <w:t>£3.10</w:t>
            </w:r>
          </w:p>
        </w:tc>
        <w:tc>
          <w:tcPr>
            <w:tcW w:w="1418" w:type="dxa"/>
          </w:tcPr>
          <w:p w:rsidR="006A18FD" w:rsidRDefault="006A18FD">
            <w:pPr>
              <w:rPr>
                <w:rFonts w:ascii="Times New Roman"/>
                <w:sz w:val="18"/>
              </w:rPr>
            </w:pPr>
          </w:p>
        </w:tc>
        <w:tc>
          <w:tcPr>
            <w:tcW w:w="1417" w:type="dxa"/>
          </w:tcPr>
          <w:p w:rsidR="006A18FD" w:rsidRDefault="006A18FD">
            <w:pPr>
              <w:rPr>
                <w:rFonts w:ascii="Calibri"/>
                <w:b/>
                <w:sz w:val="15"/>
              </w:rPr>
            </w:pPr>
          </w:p>
          <w:p w:rsidR="006A18FD" w:rsidRDefault="002D29FC">
            <w:pPr>
              <w:ind w:right="424"/>
              <w:jc w:val="right"/>
              <w:rPr>
                <w:rFonts w:ascii="Calibri" w:hAnsi="Calibri"/>
                <w:sz w:val="20"/>
              </w:rPr>
            </w:pPr>
            <w:r>
              <w:rPr>
                <w:rFonts w:ascii="Calibri" w:hAnsi="Calibri"/>
                <w:w w:val="95"/>
                <w:sz w:val="20"/>
              </w:rPr>
              <w:t>£12.40</w:t>
            </w:r>
          </w:p>
        </w:tc>
        <w:tc>
          <w:tcPr>
            <w:tcW w:w="1418" w:type="dxa"/>
          </w:tcPr>
          <w:p w:rsidR="006A18FD" w:rsidRDefault="006A18FD">
            <w:pPr>
              <w:rPr>
                <w:rFonts w:ascii="Calibri"/>
                <w:b/>
                <w:sz w:val="15"/>
              </w:rPr>
            </w:pPr>
          </w:p>
          <w:p w:rsidR="006A18FD" w:rsidRDefault="002D29FC">
            <w:pPr>
              <w:ind w:left="477"/>
              <w:rPr>
                <w:rFonts w:ascii="Calibri" w:hAnsi="Calibri"/>
                <w:sz w:val="20"/>
              </w:rPr>
            </w:pPr>
            <w:r>
              <w:rPr>
                <w:rFonts w:ascii="Calibri" w:hAnsi="Calibri"/>
                <w:sz w:val="20"/>
              </w:rPr>
              <w:t>£3.20</w:t>
            </w:r>
          </w:p>
        </w:tc>
      </w:tr>
      <w:tr w:rsidR="006A18FD">
        <w:trPr>
          <w:trHeight w:val="600"/>
        </w:trPr>
        <w:tc>
          <w:tcPr>
            <w:tcW w:w="2780" w:type="dxa"/>
          </w:tcPr>
          <w:p w:rsidR="006A18FD" w:rsidRDefault="002D29FC">
            <w:pPr>
              <w:spacing w:before="2"/>
              <w:ind w:left="105" w:right="769"/>
              <w:rPr>
                <w:rFonts w:ascii="Calibri"/>
                <w:b/>
                <w:sz w:val="20"/>
              </w:rPr>
            </w:pPr>
            <w:r>
              <w:rPr>
                <w:rFonts w:ascii="Calibri"/>
                <w:b/>
                <w:sz w:val="20"/>
              </w:rPr>
              <w:t>Travel costs for review meeting 2</w:t>
            </w:r>
          </w:p>
        </w:tc>
        <w:tc>
          <w:tcPr>
            <w:tcW w:w="1416" w:type="dxa"/>
          </w:tcPr>
          <w:p w:rsidR="006A18FD" w:rsidRDefault="006A18FD">
            <w:pPr>
              <w:rPr>
                <w:rFonts w:ascii="Times New Roman"/>
                <w:sz w:val="18"/>
              </w:rPr>
            </w:pPr>
          </w:p>
        </w:tc>
        <w:tc>
          <w:tcPr>
            <w:tcW w:w="1416" w:type="dxa"/>
          </w:tcPr>
          <w:p w:rsidR="006A18FD" w:rsidRDefault="006A18FD">
            <w:pPr>
              <w:spacing w:before="1"/>
              <w:rPr>
                <w:rFonts w:ascii="Calibri"/>
                <w:b/>
                <w:sz w:val="15"/>
              </w:rPr>
            </w:pPr>
          </w:p>
          <w:p w:rsidR="006A18FD" w:rsidRDefault="002D29FC">
            <w:pPr>
              <w:ind w:left="474"/>
              <w:rPr>
                <w:rFonts w:ascii="Calibri" w:hAnsi="Calibri"/>
                <w:sz w:val="20"/>
              </w:rPr>
            </w:pPr>
            <w:r>
              <w:rPr>
                <w:rFonts w:ascii="Calibri" w:hAnsi="Calibri"/>
                <w:sz w:val="20"/>
              </w:rPr>
              <w:t>£2.10</w:t>
            </w: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8" w:type="dxa"/>
          </w:tcPr>
          <w:p w:rsidR="006A18FD" w:rsidRDefault="006A18FD">
            <w:pPr>
              <w:rPr>
                <w:rFonts w:ascii="Times New Roman"/>
                <w:sz w:val="18"/>
              </w:rPr>
            </w:pPr>
          </w:p>
        </w:tc>
      </w:tr>
      <w:tr w:rsidR="006A18FD">
        <w:trPr>
          <w:trHeight w:val="480"/>
        </w:trPr>
        <w:tc>
          <w:tcPr>
            <w:tcW w:w="2780" w:type="dxa"/>
          </w:tcPr>
          <w:p w:rsidR="006A18FD" w:rsidRDefault="002D29FC">
            <w:pPr>
              <w:spacing w:before="3"/>
              <w:ind w:left="105"/>
              <w:rPr>
                <w:rFonts w:ascii="Calibri"/>
                <w:b/>
                <w:sz w:val="20"/>
              </w:rPr>
            </w:pPr>
            <w:r>
              <w:rPr>
                <w:rFonts w:ascii="Calibri"/>
                <w:b/>
                <w:sz w:val="20"/>
              </w:rPr>
              <w:t>Total Costs</w:t>
            </w:r>
          </w:p>
        </w:tc>
        <w:tc>
          <w:tcPr>
            <w:tcW w:w="1416" w:type="dxa"/>
          </w:tcPr>
          <w:p w:rsidR="006A18FD" w:rsidRDefault="002D29FC">
            <w:pPr>
              <w:spacing w:before="123"/>
              <w:ind w:left="341" w:right="342"/>
              <w:jc w:val="center"/>
              <w:rPr>
                <w:rFonts w:ascii="Calibri" w:hAnsi="Calibri"/>
                <w:sz w:val="20"/>
              </w:rPr>
            </w:pPr>
            <w:r>
              <w:rPr>
                <w:rFonts w:ascii="Calibri" w:hAnsi="Calibri"/>
                <w:sz w:val="20"/>
              </w:rPr>
              <w:t>£1.80</w:t>
            </w:r>
          </w:p>
        </w:tc>
        <w:tc>
          <w:tcPr>
            <w:tcW w:w="1416" w:type="dxa"/>
          </w:tcPr>
          <w:p w:rsidR="006A18FD" w:rsidRDefault="002D29FC">
            <w:pPr>
              <w:spacing w:before="123"/>
              <w:ind w:left="424"/>
              <w:rPr>
                <w:rFonts w:ascii="Calibri" w:hAnsi="Calibri"/>
                <w:sz w:val="20"/>
              </w:rPr>
            </w:pPr>
            <w:r>
              <w:rPr>
                <w:rFonts w:ascii="Calibri" w:hAnsi="Calibri"/>
                <w:sz w:val="20"/>
              </w:rPr>
              <w:t>£27.70</w:t>
            </w:r>
          </w:p>
        </w:tc>
        <w:tc>
          <w:tcPr>
            <w:tcW w:w="1418" w:type="dxa"/>
          </w:tcPr>
          <w:p w:rsidR="006A18FD" w:rsidRDefault="002D29FC">
            <w:pPr>
              <w:spacing w:before="123"/>
              <w:ind w:right="424"/>
              <w:jc w:val="right"/>
              <w:rPr>
                <w:rFonts w:ascii="Calibri" w:hAnsi="Calibri"/>
                <w:sz w:val="20"/>
              </w:rPr>
            </w:pPr>
            <w:r>
              <w:rPr>
                <w:rFonts w:ascii="Calibri" w:hAnsi="Calibri"/>
                <w:w w:val="95"/>
                <w:sz w:val="20"/>
              </w:rPr>
              <w:t>£10.30</w:t>
            </w:r>
          </w:p>
        </w:tc>
        <w:tc>
          <w:tcPr>
            <w:tcW w:w="1417" w:type="dxa"/>
          </w:tcPr>
          <w:p w:rsidR="006A18FD" w:rsidRDefault="002D29FC">
            <w:pPr>
              <w:spacing w:before="123"/>
              <w:ind w:right="424"/>
              <w:jc w:val="right"/>
              <w:rPr>
                <w:rFonts w:ascii="Calibri" w:hAnsi="Calibri"/>
                <w:sz w:val="20"/>
              </w:rPr>
            </w:pPr>
            <w:r>
              <w:rPr>
                <w:rFonts w:ascii="Calibri" w:hAnsi="Calibri"/>
                <w:w w:val="95"/>
                <w:sz w:val="20"/>
              </w:rPr>
              <w:t>£58.30</w:t>
            </w:r>
          </w:p>
        </w:tc>
        <w:tc>
          <w:tcPr>
            <w:tcW w:w="1418" w:type="dxa"/>
          </w:tcPr>
          <w:p w:rsidR="006A18FD" w:rsidRDefault="002D29FC">
            <w:pPr>
              <w:spacing w:before="123"/>
              <w:ind w:left="426"/>
              <w:rPr>
                <w:rFonts w:ascii="Calibri" w:hAnsi="Calibri"/>
                <w:sz w:val="20"/>
              </w:rPr>
            </w:pPr>
            <w:r>
              <w:rPr>
                <w:rFonts w:ascii="Calibri" w:hAnsi="Calibri"/>
                <w:sz w:val="20"/>
              </w:rPr>
              <w:t>£15.60</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16"/>
        </w:rPr>
      </w:pPr>
    </w:p>
    <w:p w:rsidR="006A18FD" w:rsidRDefault="002D29FC">
      <w:pPr>
        <w:ind w:left="436" w:right="426" w:hanging="284"/>
        <w:rPr>
          <w:rFonts w:ascii="Calibri"/>
          <w:sz w:val="16"/>
        </w:rPr>
      </w:pPr>
      <w:r>
        <w:rPr>
          <w:rFonts w:ascii="Calibri"/>
          <w:position w:val="5"/>
          <w:sz w:val="10"/>
        </w:rPr>
        <w:t xml:space="preserve">1 </w:t>
      </w:r>
      <w:r>
        <w:rPr>
          <w:rFonts w:ascii="Calibri"/>
          <w:sz w:val="16"/>
        </w:rPr>
        <w:t>Sach, T., Desborough, J., Houghton, J. &amp; Holland, R. (2015) Applying micro-costing methods to estimate the costs of pharmacy interventions: an illustration using multi-professional clinical medication reviews in care homes for older people</w:t>
      </w:r>
      <w:r>
        <w:rPr>
          <w:rFonts w:ascii="Calibri"/>
          <w:i/>
          <w:sz w:val="16"/>
        </w:rPr>
        <w:t>, International Journal of Pharmacy Practice</w:t>
      </w:r>
      <w:r>
        <w:rPr>
          <w:rFonts w:ascii="Calibri"/>
          <w:sz w:val="16"/>
        </w:rPr>
        <w:t>, 23, pp. 237-247.</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116"/>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5"/>
        <w:rPr>
          <w:rFonts w:ascii="Times New Roman"/>
          <w:sz w:val="23"/>
        </w:rPr>
      </w:pPr>
    </w:p>
    <w:p w:rsidR="006A18FD" w:rsidRDefault="002D29FC" w:rsidP="008E3FA8">
      <w:pPr>
        <w:pStyle w:val="Heading1"/>
        <w:numPr>
          <w:ilvl w:val="0"/>
          <w:numId w:val="23"/>
        </w:numPr>
        <w:ind w:left="142" w:hanging="426"/>
      </w:pPr>
      <w:r>
        <w:t>Services for people with mental health</w:t>
      </w:r>
      <w:r>
        <w:rPr>
          <w:spacing w:val="-33"/>
        </w:rPr>
        <w:t xml:space="preserve"> </w:t>
      </w:r>
      <w:r>
        <w:t>problems</w:t>
      </w:r>
    </w:p>
    <w:p w:rsidR="006A18FD" w:rsidRPr="009C3814" w:rsidRDefault="002D29FC" w:rsidP="008E3FA8">
      <w:pPr>
        <w:pStyle w:val="ListParagraph"/>
        <w:numPr>
          <w:ilvl w:val="1"/>
          <w:numId w:val="23"/>
        </w:numPr>
        <w:tabs>
          <w:tab w:val="left" w:pos="531"/>
        </w:tabs>
        <w:spacing w:before="305"/>
        <w:rPr>
          <w:rFonts w:ascii="Calibri"/>
          <w:sz w:val="28"/>
        </w:rPr>
      </w:pPr>
      <w:r w:rsidRPr="009C3814">
        <w:rPr>
          <w:rFonts w:ascii="Calibri"/>
          <w:sz w:val="28"/>
        </w:rPr>
        <w:t>NHS reference costs for mental health</w:t>
      </w:r>
      <w:r w:rsidRPr="009C3814">
        <w:rPr>
          <w:rFonts w:ascii="Calibri"/>
          <w:spacing w:val="-22"/>
          <w:sz w:val="28"/>
        </w:rPr>
        <w:t xml:space="preserve"> </w:t>
      </w:r>
      <w:r w:rsidRPr="009C3814">
        <w:rPr>
          <w:rFonts w:ascii="Calibri"/>
          <w:sz w:val="28"/>
        </w:rPr>
        <w:t>services</w:t>
      </w:r>
    </w:p>
    <w:p w:rsidR="006A18FD" w:rsidRPr="009C3814" w:rsidRDefault="002D29FC" w:rsidP="008E3FA8">
      <w:pPr>
        <w:pStyle w:val="ListParagraph"/>
        <w:numPr>
          <w:ilvl w:val="1"/>
          <w:numId w:val="23"/>
        </w:numPr>
        <w:tabs>
          <w:tab w:val="left" w:pos="531"/>
        </w:tabs>
        <w:spacing w:before="168"/>
        <w:rPr>
          <w:rFonts w:ascii="Calibri"/>
          <w:sz w:val="28"/>
        </w:rPr>
      </w:pPr>
      <w:r w:rsidRPr="009C3814">
        <w:rPr>
          <w:rFonts w:ascii="Calibri"/>
          <w:sz w:val="28"/>
        </w:rPr>
        <w:t>Care homes for adults requiring long-term mental health support (age</w:t>
      </w:r>
      <w:r w:rsidRPr="009C3814">
        <w:rPr>
          <w:rFonts w:ascii="Calibri"/>
          <w:spacing w:val="-30"/>
          <w:sz w:val="28"/>
        </w:rPr>
        <w:t xml:space="preserve"> </w:t>
      </w:r>
      <w:r w:rsidRPr="009C3814">
        <w:rPr>
          <w:rFonts w:ascii="Calibri"/>
          <w:sz w:val="28"/>
        </w:rPr>
        <w:t>18-64)</w:t>
      </w:r>
    </w:p>
    <w:p w:rsidR="006A18FD" w:rsidRPr="009C3814" w:rsidRDefault="002D29FC" w:rsidP="008E3FA8">
      <w:pPr>
        <w:pStyle w:val="ListParagraph"/>
        <w:numPr>
          <w:ilvl w:val="1"/>
          <w:numId w:val="23"/>
        </w:numPr>
        <w:tabs>
          <w:tab w:val="left" w:pos="531"/>
        </w:tabs>
        <w:spacing w:before="171" w:line="276" w:lineRule="auto"/>
        <w:ind w:right="107"/>
        <w:rPr>
          <w:rFonts w:ascii="Calibri"/>
          <w:sz w:val="28"/>
        </w:rPr>
      </w:pPr>
      <w:r w:rsidRPr="009C3814">
        <w:rPr>
          <w:rFonts w:ascii="Calibri"/>
          <w:sz w:val="28"/>
        </w:rPr>
        <w:t>Local authority own-provision social services day care for adults requiring mental health support (age</w:t>
      </w:r>
      <w:r w:rsidRPr="009C3814">
        <w:rPr>
          <w:rFonts w:ascii="Calibri"/>
          <w:spacing w:val="-10"/>
          <w:sz w:val="28"/>
        </w:rPr>
        <w:t xml:space="preserve"> </w:t>
      </w:r>
      <w:r w:rsidRPr="009C3814">
        <w:rPr>
          <w:rFonts w:ascii="Calibri"/>
          <w:sz w:val="28"/>
        </w:rPr>
        <w:t>18-64)</w:t>
      </w:r>
    </w:p>
    <w:p w:rsidR="006A18FD" w:rsidRPr="009C3814" w:rsidRDefault="002D29FC" w:rsidP="008E3FA8">
      <w:pPr>
        <w:pStyle w:val="ListParagraph"/>
        <w:numPr>
          <w:ilvl w:val="1"/>
          <w:numId w:val="23"/>
        </w:numPr>
        <w:tabs>
          <w:tab w:val="left" w:pos="531"/>
        </w:tabs>
        <w:spacing w:before="120" w:line="273" w:lineRule="auto"/>
        <w:ind w:right="218"/>
        <w:rPr>
          <w:rFonts w:ascii="Calibri"/>
          <w:sz w:val="28"/>
        </w:rPr>
      </w:pPr>
      <w:r w:rsidRPr="009C3814">
        <w:rPr>
          <w:rFonts w:ascii="Calibri"/>
          <w:sz w:val="28"/>
        </w:rPr>
        <w:t>Private and voluntary sector day care for adults requiring mental health support (age</w:t>
      </w:r>
      <w:r w:rsidRPr="009C3814">
        <w:rPr>
          <w:rFonts w:ascii="Calibri"/>
          <w:spacing w:val="-7"/>
          <w:sz w:val="28"/>
        </w:rPr>
        <w:t xml:space="preserve"> </w:t>
      </w:r>
      <w:r w:rsidRPr="009C3814">
        <w:rPr>
          <w:rFonts w:ascii="Calibri"/>
          <w:sz w:val="28"/>
        </w:rPr>
        <w:t>18-64)</w:t>
      </w:r>
    </w:p>
    <w:p w:rsidR="006A18FD" w:rsidRPr="009C3814" w:rsidRDefault="002D29FC" w:rsidP="008E3FA8">
      <w:pPr>
        <w:pStyle w:val="ListParagraph"/>
        <w:numPr>
          <w:ilvl w:val="1"/>
          <w:numId w:val="23"/>
        </w:numPr>
        <w:tabs>
          <w:tab w:val="left" w:pos="531"/>
        </w:tabs>
        <w:spacing w:before="123"/>
        <w:rPr>
          <w:rFonts w:ascii="Calibri"/>
          <w:sz w:val="28"/>
        </w:rPr>
      </w:pPr>
      <w:r w:rsidRPr="009C3814">
        <w:rPr>
          <w:rFonts w:ascii="Calibri"/>
          <w:sz w:val="28"/>
        </w:rPr>
        <w:t>Behavioural activation delivered by a</w:t>
      </w:r>
      <w:r w:rsidRPr="009C3814">
        <w:rPr>
          <w:rFonts w:ascii="Calibri"/>
          <w:spacing w:val="-12"/>
          <w:sz w:val="28"/>
        </w:rPr>
        <w:t xml:space="preserve"> </w:t>
      </w:r>
      <w:r w:rsidRPr="009C3814">
        <w:rPr>
          <w:rFonts w:ascii="Calibri"/>
          <w:sz w:val="28"/>
        </w:rPr>
        <w:t>non-specialist</w:t>
      </w:r>
    </w:p>
    <w:p w:rsidR="006A18FD" w:rsidRPr="009C3814" w:rsidRDefault="002D29FC" w:rsidP="008E3FA8">
      <w:pPr>
        <w:pStyle w:val="ListParagraph"/>
        <w:numPr>
          <w:ilvl w:val="1"/>
          <w:numId w:val="23"/>
        </w:numPr>
        <w:tabs>
          <w:tab w:val="left" w:pos="531"/>
        </w:tabs>
        <w:spacing w:before="171"/>
        <w:rPr>
          <w:rFonts w:ascii="Calibri"/>
          <w:sz w:val="28"/>
        </w:rPr>
      </w:pPr>
      <w:r w:rsidRPr="009C3814">
        <w:rPr>
          <w:rFonts w:ascii="Calibri"/>
          <w:sz w:val="28"/>
        </w:rPr>
        <w:t>Deprivation of liberty safeguards in England: implementation</w:t>
      </w:r>
      <w:r w:rsidRPr="009C3814">
        <w:rPr>
          <w:rFonts w:ascii="Calibri"/>
          <w:spacing w:val="-23"/>
          <w:sz w:val="28"/>
        </w:rPr>
        <w:t xml:space="preserve"> </w:t>
      </w:r>
      <w:r w:rsidRPr="009C3814">
        <w:rPr>
          <w:rFonts w:ascii="Calibri"/>
          <w:sz w:val="28"/>
        </w:rPr>
        <w:t>costs</w:t>
      </w:r>
    </w:p>
    <w:p w:rsidR="006A18FD" w:rsidRPr="009C3814" w:rsidRDefault="002D29FC" w:rsidP="008E3FA8">
      <w:pPr>
        <w:pStyle w:val="ListParagraph"/>
        <w:numPr>
          <w:ilvl w:val="1"/>
          <w:numId w:val="23"/>
        </w:numPr>
        <w:tabs>
          <w:tab w:val="left" w:pos="531"/>
        </w:tabs>
        <w:spacing w:before="171"/>
        <w:rPr>
          <w:rFonts w:ascii="Calibri"/>
          <w:sz w:val="28"/>
        </w:rPr>
      </w:pPr>
      <w:r w:rsidRPr="009C3814">
        <w:rPr>
          <w:rFonts w:ascii="Calibri"/>
          <w:sz w:val="28"/>
        </w:rPr>
        <w:t>Interventions for mental health promotion and mental illness</w:t>
      </w:r>
      <w:r w:rsidRPr="009C3814">
        <w:rPr>
          <w:rFonts w:ascii="Calibri"/>
          <w:spacing w:val="-12"/>
          <w:sz w:val="28"/>
        </w:rPr>
        <w:t xml:space="preserve"> </w:t>
      </w:r>
      <w:r w:rsidRPr="009C3814">
        <w:rPr>
          <w:rFonts w:ascii="Calibri"/>
          <w:sz w:val="28"/>
        </w:rPr>
        <w:t>prevention</w:t>
      </w:r>
    </w:p>
    <w:p w:rsidR="006A18FD" w:rsidRPr="009C3814" w:rsidRDefault="002D29FC" w:rsidP="008E3FA8">
      <w:pPr>
        <w:pStyle w:val="ListParagraph"/>
        <w:numPr>
          <w:ilvl w:val="1"/>
          <w:numId w:val="23"/>
        </w:numPr>
        <w:tabs>
          <w:tab w:val="left" w:pos="531"/>
        </w:tabs>
        <w:spacing w:before="171"/>
        <w:rPr>
          <w:rFonts w:ascii="Calibri"/>
          <w:sz w:val="28"/>
        </w:rPr>
      </w:pPr>
      <w:r w:rsidRPr="009C3814">
        <w:rPr>
          <w:rFonts w:ascii="Calibri"/>
          <w:sz w:val="28"/>
        </w:rPr>
        <w:t>Lifetime costs of perinatal</w:t>
      </w:r>
      <w:r w:rsidRPr="009C3814">
        <w:rPr>
          <w:rFonts w:ascii="Calibri"/>
          <w:spacing w:val="-17"/>
          <w:sz w:val="28"/>
        </w:rPr>
        <w:t xml:space="preserve"> </w:t>
      </w:r>
      <w:r w:rsidRPr="009C3814">
        <w:rPr>
          <w:rFonts w:ascii="Calibri"/>
          <w:sz w:val="28"/>
        </w:rPr>
        <w:t>depression</w:t>
      </w:r>
    </w:p>
    <w:p w:rsidR="006A18FD" w:rsidRPr="009C3814" w:rsidRDefault="002D29FC" w:rsidP="008E3FA8">
      <w:pPr>
        <w:pStyle w:val="ListParagraph"/>
        <w:numPr>
          <w:ilvl w:val="1"/>
          <w:numId w:val="23"/>
        </w:numPr>
        <w:tabs>
          <w:tab w:val="left" w:pos="531"/>
        </w:tabs>
        <w:spacing w:before="169"/>
        <w:rPr>
          <w:rFonts w:ascii="Calibri"/>
          <w:sz w:val="28"/>
        </w:rPr>
      </w:pPr>
      <w:r w:rsidRPr="009C3814">
        <w:rPr>
          <w:rFonts w:ascii="Calibri"/>
          <w:sz w:val="28"/>
        </w:rPr>
        <w:t>Lifetime costs of perinatal</w:t>
      </w:r>
      <w:r w:rsidRPr="009C3814">
        <w:rPr>
          <w:rFonts w:ascii="Calibri"/>
          <w:spacing w:val="-18"/>
          <w:sz w:val="28"/>
        </w:rPr>
        <w:t xml:space="preserve"> </w:t>
      </w:r>
      <w:r w:rsidRPr="009C3814">
        <w:rPr>
          <w:rFonts w:ascii="Calibri"/>
          <w:sz w:val="28"/>
        </w:rPr>
        <w:t>anxiety</w:t>
      </w:r>
    </w:p>
    <w:p w:rsidR="006A18FD" w:rsidRDefault="006A18FD">
      <w:pPr>
        <w:rPr>
          <w:rFonts w:ascii="Calibri"/>
          <w:sz w:val="28"/>
        </w:rPr>
        <w:sectPr w:rsidR="006A18FD">
          <w:headerReference w:type="default" r:id="rId117"/>
          <w:pgSz w:w="11910" w:h="16840"/>
          <w:pgMar w:top="1580" w:right="104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6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61" name="Line 21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039FE6" id="Group 21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zwMMZn4CAACBBQAA&#10;DgAAAAAAAAAAAAAAAAAuAgAAZHJzL2Uyb0RvYy54bWxQSwECLQAUAAYACAAAACEALXfkXNoAAAAE&#10;AQAADwAAAAAAAAAAAAAAAADYBAAAZHJzL2Rvd25yZXYueG1sUEsFBgAAAAAEAAQA8wAAAN8FAAAA&#10;AA==&#10;">
                <v:line id="Line 21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w10:anchorlock/>
              </v:group>
            </w:pict>
          </mc:Fallback>
        </mc:AlternateContent>
      </w:r>
    </w:p>
    <w:p w:rsidR="006A18FD" w:rsidRDefault="009C3814" w:rsidP="009C3814">
      <w:pPr>
        <w:pStyle w:val="Heading2"/>
      </w:pPr>
      <w:r>
        <w:t xml:space="preserve">2.1 </w:t>
      </w:r>
      <w:r w:rsidR="002D29FC">
        <w:t>NHS reference costs for mental health</w:t>
      </w:r>
      <w:r w:rsidR="002D29FC">
        <w:rPr>
          <w:spacing w:val="-27"/>
        </w:rPr>
        <w:t xml:space="preserve"> </w:t>
      </w:r>
      <w:r w:rsidR="002D29FC">
        <w:t>services</w:t>
      </w:r>
    </w:p>
    <w:p w:rsidR="006A18FD" w:rsidRDefault="002D29FC">
      <w:pPr>
        <w:spacing w:before="172" w:line="273" w:lineRule="auto"/>
        <w:ind w:left="140" w:right="478"/>
        <w:jc w:val="both"/>
        <w:rPr>
          <w:rFonts w:ascii="Calibri" w:hAnsi="Calibri"/>
          <w:sz w:val="20"/>
        </w:rPr>
      </w:pPr>
      <w:r>
        <w:rPr>
          <w:rFonts w:ascii="Calibri" w:hAnsi="Calibri"/>
          <w:sz w:val="20"/>
        </w:rPr>
        <w:t>‘Reference</w:t>
      </w:r>
      <w:r>
        <w:rPr>
          <w:rFonts w:ascii="Calibri" w:hAnsi="Calibri"/>
          <w:spacing w:val="-1"/>
          <w:sz w:val="20"/>
        </w:rPr>
        <w:t xml:space="preserve"> </w:t>
      </w:r>
      <w:r>
        <w:rPr>
          <w:rFonts w:ascii="Calibri" w:hAnsi="Calibri"/>
          <w:sz w:val="20"/>
        </w:rPr>
        <w:t>costs</w:t>
      </w:r>
      <w:r>
        <w:rPr>
          <w:rFonts w:ascii="Calibri" w:hAnsi="Calibri"/>
          <w:spacing w:val="-4"/>
          <w:sz w:val="20"/>
        </w:rPr>
        <w:t xml:space="preserve"> </w:t>
      </w:r>
      <w:r>
        <w:rPr>
          <w:rFonts w:ascii="Calibri" w:hAnsi="Calibri"/>
          <w:sz w:val="20"/>
        </w:rPr>
        <w:t>are</w:t>
      </w:r>
      <w:r>
        <w:rPr>
          <w:rFonts w:ascii="Calibri" w:hAnsi="Calibri"/>
          <w:spacing w:val="-3"/>
          <w:sz w:val="20"/>
        </w:rPr>
        <w:t xml:space="preserve"> </w:t>
      </w:r>
      <w:r>
        <w:rPr>
          <w:rFonts w:ascii="Calibri" w:hAnsi="Calibri"/>
          <w:sz w:val="20"/>
        </w:rPr>
        <w:t>the</w:t>
      </w:r>
      <w:r>
        <w:rPr>
          <w:rFonts w:ascii="Calibri" w:hAnsi="Calibri"/>
          <w:spacing w:val="-3"/>
          <w:sz w:val="20"/>
        </w:rPr>
        <w:t xml:space="preserve"> </w:t>
      </w:r>
      <w:r>
        <w:rPr>
          <w:rFonts w:ascii="Calibri" w:hAnsi="Calibri"/>
          <w:sz w:val="20"/>
        </w:rPr>
        <w:t>average</w:t>
      </w:r>
      <w:r>
        <w:rPr>
          <w:rFonts w:ascii="Calibri" w:hAnsi="Calibri"/>
          <w:spacing w:val="-3"/>
          <w:sz w:val="20"/>
        </w:rPr>
        <w:t xml:space="preserve"> </w:t>
      </w:r>
      <w:r>
        <w:rPr>
          <w:rFonts w:ascii="Calibri" w:hAnsi="Calibri"/>
          <w:sz w:val="20"/>
        </w:rPr>
        <w:t>unit</w:t>
      </w:r>
      <w:r>
        <w:rPr>
          <w:rFonts w:ascii="Calibri" w:hAnsi="Calibri"/>
          <w:spacing w:val="-2"/>
          <w:sz w:val="20"/>
        </w:rPr>
        <w:t xml:space="preserve"> </w:t>
      </w:r>
      <w:r>
        <w:rPr>
          <w:rFonts w:ascii="Calibri" w:hAnsi="Calibri"/>
          <w:sz w:val="20"/>
        </w:rPr>
        <w:t>cost</w:t>
      </w:r>
      <w:r>
        <w:rPr>
          <w:rFonts w:ascii="Calibri" w:hAnsi="Calibri"/>
          <w:spacing w:val="-2"/>
          <w:sz w:val="20"/>
        </w:rPr>
        <w:t xml:space="preserve"> </w:t>
      </w:r>
      <w:r>
        <w:rPr>
          <w:rFonts w:ascii="Calibri" w:hAnsi="Calibri"/>
          <w:sz w:val="20"/>
        </w:rPr>
        <w:t>to</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NHS</w:t>
      </w:r>
      <w:r>
        <w:rPr>
          <w:rFonts w:ascii="Calibri" w:hAnsi="Calibri"/>
          <w:spacing w:val="-3"/>
          <w:sz w:val="20"/>
        </w:rPr>
        <w:t xml:space="preserve"> </w:t>
      </w:r>
      <w:r>
        <w:rPr>
          <w:rFonts w:ascii="Calibri" w:hAnsi="Calibri"/>
          <w:sz w:val="20"/>
        </w:rPr>
        <w:t>of</w:t>
      </w:r>
      <w:r>
        <w:rPr>
          <w:rFonts w:ascii="Calibri" w:hAnsi="Calibri"/>
          <w:spacing w:val="-4"/>
          <w:sz w:val="20"/>
        </w:rPr>
        <w:t xml:space="preserve"> </w:t>
      </w:r>
      <w:r>
        <w:rPr>
          <w:rFonts w:ascii="Calibri" w:hAnsi="Calibri"/>
          <w:sz w:val="20"/>
        </w:rPr>
        <w:t>providing</w:t>
      </w:r>
      <w:r>
        <w:rPr>
          <w:rFonts w:ascii="Calibri" w:hAnsi="Calibri"/>
          <w:spacing w:val="-3"/>
          <w:sz w:val="20"/>
        </w:rPr>
        <w:t xml:space="preserve"> </w:t>
      </w:r>
      <w:r>
        <w:rPr>
          <w:rFonts w:ascii="Calibri" w:hAnsi="Calibri"/>
          <w:sz w:val="20"/>
        </w:rPr>
        <w:t>defined</w:t>
      </w:r>
      <w:r>
        <w:rPr>
          <w:rFonts w:ascii="Calibri" w:hAnsi="Calibri"/>
          <w:spacing w:val="-2"/>
          <w:sz w:val="20"/>
        </w:rPr>
        <w:t xml:space="preserve"> </w:t>
      </w:r>
      <w:r>
        <w:rPr>
          <w:rFonts w:ascii="Calibri" w:hAnsi="Calibri"/>
          <w:sz w:val="20"/>
        </w:rPr>
        <w:t>services</w:t>
      </w:r>
      <w:r>
        <w:rPr>
          <w:rFonts w:ascii="Calibri" w:hAnsi="Calibri"/>
          <w:spacing w:val="-4"/>
          <w:sz w:val="20"/>
        </w:rPr>
        <w:t xml:space="preserve"> </w:t>
      </w:r>
      <w:r>
        <w:rPr>
          <w:rFonts w:ascii="Calibri" w:hAnsi="Calibri"/>
          <w:sz w:val="20"/>
        </w:rPr>
        <w:t>to</w:t>
      </w:r>
      <w:r>
        <w:rPr>
          <w:rFonts w:ascii="Calibri" w:hAnsi="Calibri"/>
          <w:spacing w:val="-2"/>
          <w:sz w:val="20"/>
        </w:rPr>
        <w:t xml:space="preserve"> </w:t>
      </w:r>
      <w:r>
        <w:rPr>
          <w:rFonts w:ascii="Calibri" w:hAnsi="Calibri"/>
          <w:sz w:val="20"/>
        </w:rPr>
        <w:t>NHS</w:t>
      </w:r>
      <w:r>
        <w:rPr>
          <w:rFonts w:ascii="Calibri" w:hAnsi="Calibri"/>
          <w:spacing w:val="-3"/>
          <w:sz w:val="20"/>
        </w:rPr>
        <w:t xml:space="preserve"> </w:t>
      </w:r>
      <w:r>
        <w:rPr>
          <w:rFonts w:ascii="Calibri" w:hAnsi="Calibri"/>
          <w:sz w:val="20"/>
        </w:rPr>
        <w:t>patients</w:t>
      </w:r>
      <w:r>
        <w:rPr>
          <w:rFonts w:ascii="Calibri" w:hAnsi="Calibri"/>
          <w:spacing w:val="-3"/>
          <w:sz w:val="20"/>
        </w:rPr>
        <w:t xml:space="preserve"> </w:t>
      </w:r>
      <w:r>
        <w:rPr>
          <w:rFonts w:ascii="Calibri" w:hAnsi="Calibri"/>
          <w:sz w:val="20"/>
        </w:rPr>
        <w:t>in</w:t>
      </w:r>
      <w:r>
        <w:rPr>
          <w:rFonts w:ascii="Calibri" w:hAnsi="Calibri"/>
          <w:spacing w:val="-1"/>
          <w:sz w:val="20"/>
        </w:rPr>
        <w:t xml:space="preserve"> </w:t>
      </w:r>
      <w:r>
        <w:rPr>
          <w:rFonts w:ascii="Calibri" w:hAnsi="Calibri"/>
          <w:sz w:val="20"/>
        </w:rPr>
        <w:t>England</w:t>
      </w:r>
      <w:r>
        <w:rPr>
          <w:rFonts w:ascii="Calibri" w:hAnsi="Calibri"/>
          <w:spacing w:val="-2"/>
          <w:sz w:val="20"/>
        </w:rPr>
        <w:t xml:space="preserve"> </w:t>
      </w:r>
      <w:r>
        <w:rPr>
          <w:rFonts w:ascii="Calibri" w:hAnsi="Calibri"/>
          <w:sz w:val="20"/>
        </w:rPr>
        <w:t>in</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given financial year. They show how NHS providers spend money to provide health care to patients.</w:t>
      </w:r>
      <w:r>
        <w:rPr>
          <w:rFonts w:ascii="Calibri" w:hAnsi="Calibri"/>
          <w:position w:val="7"/>
          <w:sz w:val="13"/>
        </w:rPr>
        <w:t xml:space="preserve">1 </w:t>
      </w:r>
      <w:r>
        <w:rPr>
          <w:rFonts w:ascii="Calibri" w:hAnsi="Calibri"/>
          <w:sz w:val="20"/>
        </w:rPr>
        <w:t xml:space="preserve">We have drawn on </w:t>
      </w:r>
      <w:r>
        <w:rPr>
          <w:rFonts w:ascii="Calibri" w:hAnsi="Calibri"/>
          <w:i/>
          <w:sz w:val="20"/>
        </w:rPr>
        <w:t xml:space="preserve">NHS Improvement, Reference Costs 2017/2018 </w:t>
      </w:r>
      <w:r>
        <w:rPr>
          <w:rFonts w:ascii="Calibri" w:hAnsi="Calibri"/>
          <w:sz w:val="20"/>
        </w:rPr>
        <w:t>to report on the NHS reference costs for selected mental health services.</w:t>
      </w:r>
      <w:r>
        <w:rPr>
          <w:rFonts w:ascii="Calibri" w:hAnsi="Calibri"/>
          <w:position w:val="7"/>
          <w:sz w:val="13"/>
        </w:rPr>
        <w:t xml:space="preserve">1 </w:t>
      </w:r>
      <w:r>
        <w:rPr>
          <w:rFonts w:ascii="Calibri" w:hAnsi="Calibri"/>
          <w:sz w:val="20"/>
        </w:rPr>
        <w:t>All costs have been uprated to 2018/2019 prices using the NHS cost inflation index. Please note the source costs no longer include figures for lower and upper</w:t>
      </w:r>
      <w:r>
        <w:rPr>
          <w:rFonts w:ascii="Calibri" w:hAnsi="Calibri"/>
          <w:spacing w:val="-22"/>
          <w:sz w:val="20"/>
        </w:rPr>
        <w:t xml:space="preserve"> </w:t>
      </w:r>
      <w:r>
        <w:rPr>
          <w:rFonts w:ascii="Calibri" w:hAnsi="Calibri"/>
          <w:sz w:val="20"/>
        </w:rPr>
        <w:t>quartiles.</w:t>
      </w:r>
    </w:p>
    <w:p w:rsidR="006A18FD" w:rsidRDefault="002D29FC">
      <w:pPr>
        <w:spacing w:before="122" w:line="276" w:lineRule="auto"/>
        <w:ind w:left="140" w:right="311"/>
        <w:jc w:val="both"/>
        <w:rPr>
          <w:rFonts w:ascii="Calibri"/>
          <w:sz w:val="20"/>
        </w:rPr>
      </w:pPr>
      <w:r>
        <w:rPr>
          <w:rFonts w:ascii="Calibri"/>
          <w:sz w:val="20"/>
        </w:rPr>
        <w:t>In this schema, only individual services with more than ten data submissions have been included, but weighted costs have been provided for service groups which do include services with fewer than ten submissions. The costs of selected mental health care services for children can be found in table 6.1.</w:t>
      </w:r>
    </w:p>
    <w:p w:rsidR="006A18FD" w:rsidRDefault="006A18FD">
      <w:pPr>
        <w:rPr>
          <w:rFonts w:ascii="Calibri"/>
          <w:sz w:val="20"/>
        </w:rPr>
      </w:pPr>
    </w:p>
    <w:p w:rsidR="006A18FD" w:rsidRDefault="006A18FD">
      <w:pPr>
        <w:spacing w:before="6" w:after="1"/>
        <w:rPr>
          <w:rFonts w:ascii="Calibri"/>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4"/>
        <w:gridCol w:w="1983"/>
      </w:tblGrid>
      <w:tr w:rsidR="006A18FD" w:rsidTr="0053166C">
        <w:trPr>
          <w:trHeight w:val="220"/>
          <w:tblHeader/>
        </w:trPr>
        <w:tc>
          <w:tcPr>
            <w:tcW w:w="7794" w:type="dxa"/>
          </w:tcPr>
          <w:p w:rsidR="006A18FD" w:rsidRDefault="006A18FD">
            <w:pPr>
              <w:rPr>
                <w:rFonts w:ascii="Times New Roman"/>
                <w:sz w:val="16"/>
              </w:rPr>
            </w:pPr>
          </w:p>
        </w:tc>
        <w:tc>
          <w:tcPr>
            <w:tcW w:w="1983" w:type="dxa"/>
          </w:tcPr>
          <w:p w:rsidR="006A18FD" w:rsidRDefault="002D29FC">
            <w:pPr>
              <w:spacing w:before="1" w:line="211" w:lineRule="exact"/>
              <w:ind w:left="689"/>
              <w:rPr>
                <w:rFonts w:ascii="Calibri" w:hAnsi="Calibri"/>
                <w:b/>
                <w:sz w:val="19"/>
              </w:rPr>
            </w:pPr>
            <w:r>
              <w:rPr>
                <w:rFonts w:ascii="Calibri" w:hAnsi="Calibri"/>
                <w:b/>
                <w:sz w:val="19"/>
              </w:rPr>
              <w:t>Mean £</w:t>
            </w:r>
          </w:p>
        </w:tc>
      </w:tr>
      <w:tr w:rsidR="006A18FD">
        <w:trPr>
          <w:trHeight w:val="360"/>
        </w:trPr>
        <w:tc>
          <w:tcPr>
            <w:tcW w:w="7794" w:type="dxa"/>
            <w:tcBorders>
              <w:bottom w:val="nil"/>
            </w:tcBorders>
          </w:tcPr>
          <w:p w:rsidR="006A18FD" w:rsidRDefault="002D29FC">
            <w:pPr>
              <w:spacing w:before="1"/>
              <w:ind w:left="103"/>
              <w:rPr>
                <w:rFonts w:ascii="Calibri"/>
                <w:b/>
                <w:sz w:val="19"/>
              </w:rPr>
            </w:pPr>
            <w:r>
              <w:rPr>
                <w:rFonts w:ascii="Calibri"/>
                <w:b/>
                <w:sz w:val="19"/>
              </w:rPr>
              <w:t>MENTAL HEALTH SERVICES</w:t>
            </w:r>
          </w:p>
        </w:tc>
        <w:tc>
          <w:tcPr>
            <w:tcW w:w="1983" w:type="dxa"/>
            <w:tcBorders>
              <w:bottom w:val="nil"/>
            </w:tcBorders>
          </w:tcPr>
          <w:p w:rsidR="006A18FD" w:rsidRDefault="006A18FD">
            <w:pPr>
              <w:rPr>
                <w:rFonts w:ascii="Times New Roman"/>
                <w:sz w:val="18"/>
              </w:rPr>
            </w:pPr>
          </w:p>
        </w:tc>
      </w:tr>
      <w:tr w:rsidR="006A18FD">
        <w:trPr>
          <w:trHeight w:val="340"/>
        </w:trPr>
        <w:tc>
          <w:tcPr>
            <w:tcW w:w="7794" w:type="dxa"/>
            <w:tcBorders>
              <w:top w:val="nil"/>
              <w:bottom w:val="nil"/>
            </w:tcBorders>
          </w:tcPr>
          <w:p w:rsidR="006A18FD" w:rsidRDefault="002D29FC">
            <w:pPr>
              <w:spacing w:before="98" w:line="225" w:lineRule="exact"/>
              <w:ind w:left="103"/>
              <w:rPr>
                <w:rFonts w:ascii="Calibri"/>
                <w:sz w:val="19"/>
              </w:rPr>
            </w:pPr>
            <w:r>
              <w:rPr>
                <w:rFonts w:ascii="Calibri"/>
                <w:sz w:val="19"/>
              </w:rPr>
              <w:t>Mental health care clusters (per bed day)</w:t>
            </w:r>
          </w:p>
        </w:tc>
        <w:tc>
          <w:tcPr>
            <w:tcW w:w="1983" w:type="dxa"/>
            <w:tcBorders>
              <w:top w:val="nil"/>
              <w:bottom w:val="nil"/>
            </w:tcBorders>
          </w:tcPr>
          <w:p w:rsidR="006A18FD" w:rsidRDefault="002D29FC">
            <w:pPr>
              <w:spacing w:before="98" w:line="225" w:lineRule="exact"/>
              <w:ind w:left="720"/>
              <w:rPr>
                <w:rFonts w:ascii="Calibri" w:hAnsi="Calibri"/>
                <w:sz w:val="19"/>
              </w:rPr>
            </w:pPr>
            <w:r>
              <w:rPr>
                <w:rFonts w:ascii="Calibri" w:hAnsi="Calibri"/>
                <w:sz w:val="19"/>
              </w:rPr>
              <w:t>£430</w:t>
            </w:r>
          </w:p>
        </w:tc>
      </w:tr>
      <w:tr w:rsidR="006A18FD">
        <w:trPr>
          <w:trHeight w:val="340"/>
        </w:trPr>
        <w:tc>
          <w:tcPr>
            <w:tcW w:w="7794" w:type="dxa"/>
            <w:tcBorders>
              <w:top w:val="nil"/>
              <w:bottom w:val="nil"/>
            </w:tcBorders>
          </w:tcPr>
          <w:p w:rsidR="006A18FD" w:rsidRDefault="002D29FC">
            <w:pPr>
              <w:spacing w:line="218" w:lineRule="exact"/>
              <w:ind w:left="103"/>
              <w:rPr>
                <w:rFonts w:ascii="Calibri"/>
                <w:sz w:val="12"/>
              </w:rPr>
            </w:pPr>
            <w:r>
              <w:rPr>
                <w:rFonts w:ascii="Calibri"/>
                <w:sz w:val="19"/>
              </w:rPr>
              <w:t>Mental health care clusters (per bed day), including carbon emissions 51 kgCO2e</w:t>
            </w:r>
            <w:r>
              <w:rPr>
                <w:rFonts w:ascii="Calibri"/>
                <w:position w:val="6"/>
                <w:sz w:val="12"/>
              </w:rPr>
              <w:t>2</w:t>
            </w:r>
          </w:p>
        </w:tc>
        <w:tc>
          <w:tcPr>
            <w:tcW w:w="1983" w:type="dxa"/>
            <w:tcBorders>
              <w:top w:val="nil"/>
              <w:bottom w:val="nil"/>
            </w:tcBorders>
          </w:tcPr>
          <w:p w:rsidR="006A18FD" w:rsidRDefault="002D29FC">
            <w:pPr>
              <w:spacing w:line="218" w:lineRule="exact"/>
              <w:ind w:left="720"/>
              <w:rPr>
                <w:rFonts w:ascii="Calibri" w:hAnsi="Calibri"/>
                <w:sz w:val="19"/>
              </w:rPr>
            </w:pPr>
            <w:r>
              <w:rPr>
                <w:rFonts w:ascii="Calibri" w:hAnsi="Calibri"/>
                <w:sz w:val="19"/>
              </w:rPr>
              <w:t>£432</w:t>
            </w:r>
          </w:p>
        </w:tc>
      </w:tr>
      <w:tr w:rsidR="006A18FD">
        <w:trPr>
          <w:trHeight w:val="340"/>
        </w:trPr>
        <w:tc>
          <w:tcPr>
            <w:tcW w:w="7794" w:type="dxa"/>
            <w:tcBorders>
              <w:top w:val="nil"/>
              <w:bottom w:val="nil"/>
            </w:tcBorders>
          </w:tcPr>
          <w:p w:rsidR="006A18FD" w:rsidRDefault="002D29FC">
            <w:pPr>
              <w:spacing w:before="99" w:line="225" w:lineRule="exact"/>
              <w:ind w:left="103"/>
              <w:rPr>
                <w:rFonts w:ascii="Calibri"/>
                <w:sz w:val="19"/>
              </w:rPr>
            </w:pPr>
            <w:r>
              <w:rPr>
                <w:rFonts w:ascii="Calibri"/>
                <w:sz w:val="19"/>
              </w:rPr>
              <w:t>Mental health care clusters (initial assessment)</w:t>
            </w:r>
          </w:p>
        </w:tc>
        <w:tc>
          <w:tcPr>
            <w:tcW w:w="1983" w:type="dxa"/>
            <w:tcBorders>
              <w:top w:val="nil"/>
              <w:bottom w:val="nil"/>
            </w:tcBorders>
          </w:tcPr>
          <w:p w:rsidR="006A18FD" w:rsidRDefault="002D29FC">
            <w:pPr>
              <w:spacing w:before="99" w:line="225" w:lineRule="exact"/>
              <w:ind w:left="720"/>
              <w:rPr>
                <w:rFonts w:ascii="Calibri" w:hAnsi="Calibri"/>
                <w:sz w:val="19"/>
              </w:rPr>
            </w:pPr>
            <w:r>
              <w:rPr>
                <w:rFonts w:ascii="Calibri" w:hAnsi="Calibri"/>
                <w:sz w:val="19"/>
              </w:rPr>
              <w:t>£314</w:t>
            </w:r>
          </w:p>
        </w:tc>
      </w:tr>
      <w:tr w:rsidR="006A18FD">
        <w:trPr>
          <w:trHeight w:val="460"/>
        </w:trPr>
        <w:tc>
          <w:tcPr>
            <w:tcW w:w="7794" w:type="dxa"/>
            <w:tcBorders>
              <w:top w:val="nil"/>
              <w:bottom w:val="nil"/>
            </w:tcBorders>
          </w:tcPr>
          <w:p w:rsidR="006A18FD" w:rsidRDefault="002D29FC">
            <w:pPr>
              <w:spacing w:line="218" w:lineRule="exact"/>
              <w:ind w:left="103"/>
              <w:rPr>
                <w:rFonts w:ascii="Calibri"/>
                <w:sz w:val="12"/>
              </w:rPr>
            </w:pPr>
            <w:r>
              <w:rPr>
                <w:rFonts w:ascii="Calibri"/>
                <w:sz w:val="19"/>
              </w:rPr>
              <w:t>Mental health care clusters (initial assessment), including carbon emissions 37 kgCO2e</w:t>
            </w:r>
            <w:r>
              <w:rPr>
                <w:rFonts w:ascii="Calibri"/>
                <w:position w:val="6"/>
                <w:sz w:val="12"/>
              </w:rPr>
              <w:t>3</w:t>
            </w:r>
          </w:p>
        </w:tc>
        <w:tc>
          <w:tcPr>
            <w:tcW w:w="1983" w:type="dxa"/>
            <w:tcBorders>
              <w:top w:val="nil"/>
              <w:bottom w:val="nil"/>
            </w:tcBorders>
          </w:tcPr>
          <w:p w:rsidR="006A18FD" w:rsidRDefault="002D29FC">
            <w:pPr>
              <w:spacing w:line="218" w:lineRule="exact"/>
              <w:ind w:left="720"/>
              <w:rPr>
                <w:rFonts w:ascii="Calibri" w:hAnsi="Calibri"/>
                <w:sz w:val="19"/>
              </w:rPr>
            </w:pPr>
            <w:r>
              <w:rPr>
                <w:rFonts w:ascii="Calibri" w:hAnsi="Calibri"/>
                <w:sz w:val="19"/>
              </w:rPr>
              <w:t>£316</w:t>
            </w:r>
          </w:p>
        </w:tc>
      </w:tr>
      <w:tr w:rsidR="006A18FD">
        <w:trPr>
          <w:trHeight w:val="460"/>
        </w:trPr>
        <w:tc>
          <w:tcPr>
            <w:tcW w:w="7794" w:type="dxa"/>
            <w:tcBorders>
              <w:top w:val="nil"/>
              <w:bottom w:val="nil"/>
            </w:tcBorders>
          </w:tcPr>
          <w:p w:rsidR="006A18FD" w:rsidRDefault="006A18FD">
            <w:pPr>
              <w:spacing w:before="6"/>
              <w:rPr>
                <w:rFonts w:ascii="Calibri"/>
                <w:sz w:val="17"/>
              </w:rPr>
            </w:pPr>
          </w:p>
          <w:p w:rsidR="006A18FD" w:rsidRDefault="002D29FC">
            <w:pPr>
              <w:spacing w:before="1" w:line="230" w:lineRule="exact"/>
              <w:ind w:left="103"/>
              <w:rPr>
                <w:rFonts w:ascii="Calibri"/>
                <w:b/>
                <w:sz w:val="19"/>
              </w:rPr>
            </w:pPr>
            <w:r>
              <w:rPr>
                <w:rFonts w:ascii="Calibri"/>
                <w:b/>
                <w:sz w:val="19"/>
              </w:rPr>
              <w:t>Mental health specialist teams (per care contact)</w:t>
            </w:r>
          </w:p>
        </w:tc>
        <w:tc>
          <w:tcPr>
            <w:tcW w:w="1983" w:type="dxa"/>
            <w:tcBorders>
              <w:top w:val="nil"/>
              <w:bottom w:val="nil"/>
            </w:tcBorders>
          </w:tcPr>
          <w:p w:rsidR="006A18FD" w:rsidRDefault="006A18FD">
            <w:pPr>
              <w:rPr>
                <w:rFonts w:ascii="Times New Roman"/>
                <w:sz w:val="18"/>
              </w:rPr>
            </w:pPr>
          </w:p>
        </w:tc>
      </w:tr>
      <w:tr w:rsidR="006A18FD">
        <w:trPr>
          <w:trHeight w:val="220"/>
        </w:trPr>
        <w:tc>
          <w:tcPr>
            <w:tcW w:w="7794" w:type="dxa"/>
            <w:tcBorders>
              <w:top w:val="nil"/>
              <w:bottom w:val="nil"/>
            </w:tcBorders>
          </w:tcPr>
          <w:p w:rsidR="006A18FD" w:rsidRDefault="002D29FC">
            <w:pPr>
              <w:spacing w:line="213" w:lineRule="exact"/>
              <w:ind w:left="103"/>
              <w:rPr>
                <w:rFonts w:ascii="Calibri"/>
                <w:sz w:val="19"/>
              </w:rPr>
            </w:pPr>
            <w:r>
              <w:rPr>
                <w:rFonts w:ascii="Calibri"/>
                <w:sz w:val="19"/>
              </w:rPr>
              <w:t>A&amp;E mental health liaison services</w:t>
            </w:r>
          </w:p>
        </w:tc>
        <w:tc>
          <w:tcPr>
            <w:tcW w:w="1983" w:type="dxa"/>
            <w:tcBorders>
              <w:top w:val="nil"/>
              <w:bottom w:val="nil"/>
            </w:tcBorders>
          </w:tcPr>
          <w:p w:rsidR="006A18FD" w:rsidRDefault="002D29FC">
            <w:pPr>
              <w:spacing w:line="213" w:lineRule="exact"/>
              <w:ind w:left="720"/>
              <w:rPr>
                <w:rFonts w:ascii="Calibri" w:hAnsi="Calibri"/>
                <w:sz w:val="19"/>
              </w:rPr>
            </w:pPr>
            <w:r>
              <w:rPr>
                <w:rFonts w:ascii="Calibri" w:hAnsi="Calibri"/>
                <w:sz w:val="19"/>
              </w:rPr>
              <w:t>£203</w:t>
            </w:r>
          </w:p>
        </w:tc>
      </w:tr>
      <w:tr w:rsidR="006A18FD">
        <w:trPr>
          <w:trHeight w:val="340"/>
        </w:trPr>
        <w:tc>
          <w:tcPr>
            <w:tcW w:w="7794" w:type="dxa"/>
            <w:tcBorders>
              <w:top w:val="nil"/>
              <w:bottom w:val="nil"/>
            </w:tcBorders>
          </w:tcPr>
          <w:p w:rsidR="006A18FD" w:rsidRDefault="002D29FC">
            <w:pPr>
              <w:spacing w:line="215" w:lineRule="exact"/>
              <w:ind w:left="103"/>
              <w:rPr>
                <w:rFonts w:ascii="Calibri"/>
                <w:sz w:val="19"/>
              </w:rPr>
            </w:pPr>
            <w:r>
              <w:rPr>
                <w:rFonts w:ascii="Calibri"/>
                <w:sz w:val="19"/>
              </w:rPr>
              <w:t>Criminal justice liaison services</w:t>
            </w:r>
          </w:p>
        </w:tc>
        <w:tc>
          <w:tcPr>
            <w:tcW w:w="1983" w:type="dxa"/>
            <w:tcBorders>
              <w:top w:val="nil"/>
              <w:bottom w:val="nil"/>
            </w:tcBorders>
          </w:tcPr>
          <w:p w:rsidR="006A18FD" w:rsidRDefault="002D29FC">
            <w:pPr>
              <w:spacing w:line="215" w:lineRule="exact"/>
              <w:ind w:left="720"/>
              <w:rPr>
                <w:rFonts w:ascii="Calibri" w:hAnsi="Calibri"/>
                <w:sz w:val="19"/>
              </w:rPr>
            </w:pPr>
            <w:r>
              <w:rPr>
                <w:rFonts w:ascii="Calibri" w:hAnsi="Calibri"/>
                <w:sz w:val="19"/>
              </w:rPr>
              <w:t>£239</w:t>
            </w:r>
          </w:p>
        </w:tc>
      </w:tr>
      <w:tr w:rsidR="006A18FD">
        <w:trPr>
          <w:trHeight w:val="340"/>
        </w:trPr>
        <w:tc>
          <w:tcPr>
            <w:tcW w:w="7794" w:type="dxa"/>
            <w:tcBorders>
              <w:top w:val="nil"/>
              <w:bottom w:val="nil"/>
            </w:tcBorders>
          </w:tcPr>
          <w:p w:rsidR="006A18FD" w:rsidRDefault="002D29FC">
            <w:pPr>
              <w:spacing w:before="98" w:line="230" w:lineRule="exact"/>
              <w:ind w:left="103"/>
              <w:rPr>
                <w:rFonts w:ascii="Calibri"/>
                <w:sz w:val="19"/>
              </w:rPr>
            </w:pPr>
            <w:r>
              <w:rPr>
                <w:rFonts w:ascii="Calibri"/>
                <w:sz w:val="19"/>
              </w:rPr>
              <w:t>Prison health adult and elderly</w:t>
            </w:r>
          </w:p>
        </w:tc>
        <w:tc>
          <w:tcPr>
            <w:tcW w:w="1983" w:type="dxa"/>
            <w:tcBorders>
              <w:top w:val="nil"/>
              <w:bottom w:val="nil"/>
            </w:tcBorders>
          </w:tcPr>
          <w:p w:rsidR="006A18FD" w:rsidRDefault="002D29FC">
            <w:pPr>
              <w:spacing w:before="98" w:line="230" w:lineRule="exact"/>
              <w:ind w:left="720"/>
              <w:rPr>
                <w:rFonts w:ascii="Calibri" w:hAnsi="Calibri"/>
                <w:sz w:val="19"/>
              </w:rPr>
            </w:pPr>
            <w:r>
              <w:rPr>
                <w:rFonts w:ascii="Calibri" w:hAnsi="Calibri"/>
                <w:sz w:val="19"/>
              </w:rPr>
              <w:t>£140</w:t>
            </w:r>
          </w:p>
        </w:tc>
      </w:tr>
      <w:tr w:rsidR="006A18FD">
        <w:trPr>
          <w:trHeight w:val="340"/>
        </w:trPr>
        <w:tc>
          <w:tcPr>
            <w:tcW w:w="7794" w:type="dxa"/>
            <w:tcBorders>
              <w:top w:val="nil"/>
              <w:bottom w:val="nil"/>
            </w:tcBorders>
          </w:tcPr>
          <w:p w:rsidR="006A18FD" w:rsidRDefault="002D29FC">
            <w:pPr>
              <w:spacing w:line="215" w:lineRule="exact"/>
              <w:ind w:left="103"/>
              <w:rPr>
                <w:rFonts w:ascii="Calibri"/>
                <w:sz w:val="19"/>
              </w:rPr>
            </w:pPr>
            <w:r>
              <w:rPr>
                <w:rFonts w:ascii="Calibri"/>
                <w:sz w:val="19"/>
              </w:rPr>
              <w:t>Forensic community, adult and elderly</w:t>
            </w:r>
          </w:p>
        </w:tc>
        <w:tc>
          <w:tcPr>
            <w:tcW w:w="1983" w:type="dxa"/>
            <w:tcBorders>
              <w:top w:val="nil"/>
              <w:bottom w:val="nil"/>
            </w:tcBorders>
          </w:tcPr>
          <w:p w:rsidR="006A18FD" w:rsidRDefault="002D29FC">
            <w:pPr>
              <w:spacing w:line="215" w:lineRule="exact"/>
              <w:ind w:left="720"/>
              <w:rPr>
                <w:rFonts w:ascii="Calibri" w:hAnsi="Calibri"/>
                <w:sz w:val="19"/>
              </w:rPr>
            </w:pPr>
            <w:r>
              <w:rPr>
                <w:rFonts w:ascii="Calibri" w:hAnsi="Calibri"/>
                <w:sz w:val="19"/>
              </w:rPr>
              <w:t>£254</w:t>
            </w:r>
          </w:p>
        </w:tc>
      </w:tr>
      <w:tr w:rsidR="006A18FD">
        <w:trPr>
          <w:trHeight w:val="460"/>
        </w:trPr>
        <w:tc>
          <w:tcPr>
            <w:tcW w:w="7794" w:type="dxa"/>
            <w:tcBorders>
              <w:top w:val="nil"/>
              <w:bottom w:val="nil"/>
            </w:tcBorders>
          </w:tcPr>
          <w:p w:rsidR="006A18FD" w:rsidRDefault="002D29FC">
            <w:pPr>
              <w:spacing w:before="98"/>
              <w:ind w:left="103"/>
              <w:rPr>
                <w:rFonts w:ascii="Calibri"/>
                <w:sz w:val="19"/>
              </w:rPr>
            </w:pPr>
            <w:r>
              <w:rPr>
                <w:rFonts w:ascii="Calibri"/>
                <w:sz w:val="19"/>
              </w:rPr>
              <w:t>IAPT, adult and elderly</w:t>
            </w:r>
          </w:p>
        </w:tc>
        <w:tc>
          <w:tcPr>
            <w:tcW w:w="1983" w:type="dxa"/>
            <w:tcBorders>
              <w:top w:val="nil"/>
              <w:bottom w:val="nil"/>
            </w:tcBorders>
          </w:tcPr>
          <w:p w:rsidR="006A18FD" w:rsidRDefault="002D29FC">
            <w:pPr>
              <w:spacing w:before="98"/>
              <w:ind w:left="799" w:right="844"/>
              <w:jc w:val="center"/>
              <w:rPr>
                <w:rFonts w:ascii="Calibri" w:hAnsi="Calibri"/>
                <w:sz w:val="19"/>
              </w:rPr>
            </w:pPr>
            <w:r>
              <w:rPr>
                <w:rFonts w:ascii="Calibri" w:hAnsi="Calibri"/>
                <w:sz w:val="19"/>
              </w:rPr>
              <w:t>£96</w:t>
            </w:r>
          </w:p>
        </w:tc>
      </w:tr>
      <w:tr w:rsidR="006A18FD">
        <w:trPr>
          <w:trHeight w:val="340"/>
        </w:trPr>
        <w:tc>
          <w:tcPr>
            <w:tcW w:w="7794" w:type="dxa"/>
            <w:tcBorders>
              <w:top w:val="nil"/>
              <w:bottom w:val="nil"/>
            </w:tcBorders>
          </w:tcPr>
          <w:p w:rsidR="006A18FD" w:rsidRDefault="002D29FC">
            <w:pPr>
              <w:spacing w:before="98" w:line="230" w:lineRule="exact"/>
              <w:ind w:left="103"/>
              <w:rPr>
                <w:rFonts w:ascii="Calibri"/>
                <w:b/>
                <w:sz w:val="19"/>
              </w:rPr>
            </w:pPr>
            <w:r>
              <w:rPr>
                <w:rFonts w:ascii="Calibri"/>
                <w:b/>
                <w:sz w:val="19"/>
              </w:rPr>
              <w:t>Secure mental health services</w:t>
            </w:r>
          </w:p>
        </w:tc>
        <w:tc>
          <w:tcPr>
            <w:tcW w:w="1983" w:type="dxa"/>
            <w:tcBorders>
              <w:top w:val="nil"/>
              <w:bottom w:val="nil"/>
            </w:tcBorders>
          </w:tcPr>
          <w:p w:rsidR="006A18FD" w:rsidRDefault="006A18FD">
            <w:pPr>
              <w:rPr>
                <w:rFonts w:ascii="Times New Roman"/>
                <w:sz w:val="18"/>
              </w:rPr>
            </w:pPr>
          </w:p>
        </w:tc>
      </w:tr>
      <w:tr w:rsidR="006A18FD">
        <w:trPr>
          <w:trHeight w:val="220"/>
        </w:trPr>
        <w:tc>
          <w:tcPr>
            <w:tcW w:w="7794" w:type="dxa"/>
            <w:tcBorders>
              <w:top w:val="nil"/>
              <w:bottom w:val="nil"/>
            </w:tcBorders>
          </w:tcPr>
          <w:p w:rsidR="006A18FD" w:rsidRDefault="002D29FC">
            <w:pPr>
              <w:spacing w:line="212" w:lineRule="exact"/>
              <w:ind w:left="103"/>
              <w:rPr>
                <w:rFonts w:ascii="Calibri"/>
                <w:sz w:val="19"/>
              </w:rPr>
            </w:pPr>
            <w:r>
              <w:rPr>
                <w:rFonts w:ascii="Calibri"/>
                <w:sz w:val="19"/>
              </w:rPr>
              <w:t>Low level</w:t>
            </w:r>
          </w:p>
        </w:tc>
        <w:tc>
          <w:tcPr>
            <w:tcW w:w="1983" w:type="dxa"/>
            <w:tcBorders>
              <w:top w:val="nil"/>
              <w:bottom w:val="nil"/>
            </w:tcBorders>
          </w:tcPr>
          <w:p w:rsidR="006A18FD" w:rsidRDefault="002D29FC">
            <w:pPr>
              <w:spacing w:line="212" w:lineRule="exact"/>
              <w:ind w:left="720"/>
              <w:rPr>
                <w:rFonts w:ascii="Calibri" w:hAnsi="Calibri"/>
                <w:sz w:val="19"/>
              </w:rPr>
            </w:pPr>
            <w:r>
              <w:rPr>
                <w:rFonts w:ascii="Calibri" w:hAnsi="Calibri"/>
                <w:sz w:val="19"/>
              </w:rPr>
              <w:t>£478</w:t>
            </w:r>
          </w:p>
        </w:tc>
      </w:tr>
      <w:tr w:rsidR="006A18FD">
        <w:trPr>
          <w:trHeight w:val="340"/>
        </w:trPr>
        <w:tc>
          <w:tcPr>
            <w:tcW w:w="7794" w:type="dxa"/>
            <w:tcBorders>
              <w:top w:val="nil"/>
              <w:bottom w:val="nil"/>
            </w:tcBorders>
          </w:tcPr>
          <w:p w:rsidR="006A18FD" w:rsidRDefault="002D29FC">
            <w:pPr>
              <w:spacing w:line="214" w:lineRule="exact"/>
              <w:ind w:left="103"/>
              <w:rPr>
                <w:rFonts w:ascii="Calibri"/>
                <w:sz w:val="19"/>
              </w:rPr>
            </w:pPr>
            <w:r>
              <w:rPr>
                <w:rFonts w:ascii="Calibri"/>
                <w:sz w:val="19"/>
              </w:rPr>
              <w:t>Medium level</w:t>
            </w:r>
          </w:p>
        </w:tc>
        <w:tc>
          <w:tcPr>
            <w:tcW w:w="1983" w:type="dxa"/>
            <w:tcBorders>
              <w:top w:val="nil"/>
              <w:bottom w:val="nil"/>
            </w:tcBorders>
          </w:tcPr>
          <w:p w:rsidR="006A18FD" w:rsidRDefault="002D29FC">
            <w:pPr>
              <w:spacing w:line="214" w:lineRule="exact"/>
              <w:ind w:left="720"/>
              <w:rPr>
                <w:rFonts w:ascii="Calibri" w:hAnsi="Calibri"/>
                <w:sz w:val="19"/>
              </w:rPr>
            </w:pPr>
            <w:r>
              <w:rPr>
                <w:rFonts w:ascii="Calibri" w:hAnsi="Calibri"/>
                <w:sz w:val="19"/>
              </w:rPr>
              <w:t>£520</w:t>
            </w:r>
          </w:p>
        </w:tc>
      </w:tr>
      <w:tr w:rsidR="006A18FD">
        <w:trPr>
          <w:trHeight w:val="340"/>
        </w:trPr>
        <w:tc>
          <w:tcPr>
            <w:tcW w:w="7794" w:type="dxa"/>
            <w:tcBorders>
              <w:top w:val="nil"/>
              <w:bottom w:val="nil"/>
            </w:tcBorders>
          </w:tcPr>
          <w:p w:rsidR="006A18FD" w:rsidRDefault="002D29FC">
            <w:pPr>
              <w:spacing w:before="99" w:line="229" w:lineRule="exact"/>
              <w:ind w:left="103"/>
              <w:rPr>
                <w:rFonts w:ascii="Calibri"/>
                <w:b/>
                <w:sz w:val="19"/>
              </w:rPr>
            </w:pPr>
            <w:r>
              <w:rPr>
                <w:rFonts w:ascii="Calibri"/>
                <w:b/>
                <w:sz w:val="19"/>
              </w:rPr>
              <w:t>Specialist mental health services (per bed day)</w:t>
            </w:r>
          </w:p>
        </w:tc>
        <w:tc>
          <w:tcPr>
            <w:tcW w:w="1983" w:type="dxa"/>
            <w:tcBorders>
              <w:top w:val="nil"/>
              <w:bottom w:val="nil"/>
            </w:tcBorders>
          </w:tcPr>
          <w:p w:rsidR="006A18FD" w:rsidRDefault="006A18FD">
            <w:pPr>
              <w:rPr>
                <w:rFonts w:ascii="Times New Roman"/>
                <w:sz w:val="18"/>
              </w:rPr>
            </w:pPr>
          </w:p>
        </w:tc>
      </w:tr>
      <w:tr w:rsidR="006A18FD">
        <w:trPr>
          <w:trHeight w:val="220"/>
        </w:trPr>
        <w:tc>
          <w:tcPr>
            <w:tcW w:w="7794" w:type="dxa"/>
            <w:tcBorders>
              <w:top w:val="nil"/>
              <w:bottom w:val="nil"/>
            </w:tcBorders>
          </w:tcPr>
          <w:p w:rsidR="006A18FD" w:rsidRDefault="002D29FC">
            <w:pPr>
              <w:spacing w:line="212" w:lineRule="exact"/>
              <w:ind w:left="103"/>
              <w:rPr>
                <w:rFonts w:ascii="Calibri" w:hAnsi="Calibri"/>
                <w:sz w:val="19"/>
              </w:rPr>
            </w:pPr>
            <w:r>
              <w:rPr>
                <w:rFonts w:ascii="Calibri" w:hAnsi="Calibri"/>
                <w:sz w:val="19"/>
              </w:rPr>
              <w:t>Eating disorder (adults) – admitted</w:t>
            </w:r>
          </w:p>
        </w:tc>
        <w:tc>
          <w:tcPr>
            <w:tcW w:w="1983" w:type="dxa"/>
            <w:tcBorders>
              <w:top w:val="nil"/>
              <w:bottom w:val="nil"/>
            </w:tcBorders>
          </w:tcPr>
          <w:p w:rsidR="006A18FD" w:rsidRDefault="002D29FC">
            <w:pPr>
              <w:spacing w:line="212" w:lineRule="exact"/>
              <w:ind w:left="720"/>
              <w:rPr>
                <w:rFonts w:ascii="Calibri" w:hAnsi="Calibri"/>
                <w:sz w:val="19"/>
              </w:rPr>
            </w:pPr>
            <w:r>
              <w:rPr>
                <w:rFonts w:ascii="Calibri" w:hAnsi="Calibri"/>
                <w:sz w:val="19"/>
              </w:rPr>
              <w:t>£473</w:t>
            </w:r>
          </w:p>
        </w:tc>
      </w:tr>
      <w:tr w:rsidR="006A18FD">
        <w:trPr>
          <w:trHeight w:val="200"/>
        </w:trPr>
        <w:tc>
          <w:tcPr>
            <w:tcW w:w="7794" w:type="dxa"/>
            <w:tcBorders>
              <w:top w:val="nil"/>
            </w:tcBorders>
          </w:tcPr>
          <w:p w:rsidR="006A18FD" w:rsidRDefault="002D29FC">
            <w:pPr>
              <w:spacing w:line="194" w:lineRule="exact"/>
              <w:ind w:left="103"/>
              <w:rPr>
                <w:rFonts w:ascii="Calibri" w:hAnsi="Calibri"/>
                <w:sz w:val="19"/>
              </w:rPr>
            </w:pPr>
            <w:r>
              <w:rPr>
                <w:rFonts w:ascii="Calibri" w:hAnsi="Calibri"/>
                <w:sz w:val="19"/>
              </w:rPr>
              <w:t>Specialist perinatal – admitted</w:t>
            </w:r>
          </w:p>
        </w:tc>
        <w:tc>
          <w:tcPr>
            <w:tcW w:w="1983" w:type="dxa"/>
            <w:tcBorders>
              <w:top w:val="nil"/>
            </w:tcBorders>
          </w:tcPr>
          <w:p w:rsidR="006A18FD" w:rsidRDefault="002D29FC">
            <w:pPr>
              <w:spacing w:line="194" w:lineRule="exact"/>
              <w:ind w:left="720"/>
              <w:rPr>
                <w:rFonts w:ascii="Calibri" w:hAnsi="Calibri"/>
                <w:sz w:val="19"/>
              </w:rPr>
            </w:pPr>
            <w:r>
              <w:rPr>
                <w:rFonts w:ascii="Calibri" w:hAnsi="Calibri"/>
                <w:sz w:val="19"/>
              </w:rPr>
              <w:t>£746</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
        <w:rPr>
          <w:rFonts w:ascii="Calibri"/>
          <w:sz w:val="18"/>
        </w:rPr>
      </w:pPr>
    </w:p>
    <w:p w:rsidR="006A18FD" w:rsidRDefault="002D29FC">
      <w:pPr>
        <w:spacing w:before="74"/>
        <w:ind w:left="423"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w:t>
      </w:r>
      <w:hyperlink r:id="rId118">
        <w:r>
          <w:rPr>
            <w:rFonts w:ascii="Calibri"/>
            <w:sz w:val="16"/>
            <w:u w:val="single"/>
          </w:rPr>
          <w:t>https://improvement.nhs.uk/resources/reference-costs/</w:t>
        </w:r>
      </w:hyperlink>
      <w:r>
        <w:rPr>
          <w:rFonts w:ascii="Calibri"/>
          <w:sz w:val="16"/>
        </w:rPr>
        <w:t xml:space="preserve"> [accessed 1 November 2019].</w:t>
      </w:r>
    </w:p>
    <w:p w:rsidR="006A18FD" w:rsidRDefault="002D29FC">
      <w:pPr>
        <w:spacing w:before="1"/>
        <w:ind w:left="423" w:right="237" w:hanging="284"/>
        <w:rPr>
          <w:rFonts w:ascii="Calibri"/>
          <w:sz w:val="16"/>
        </w:rPr>
      </w:pPr>
      <w:r>
        <w:rPr>
          <w:rFonts w:ascii="Calibri"/>
          <w:position w:val="5"/>
          <w:sz w:val="10"/>
        </w:rPr>
        <w:t xml:space="preserve">2 </w:t>
      </w:r>
      <w:r>
        <w:rPr>
          <w:rFonts w:ascii="Calibri"/>
          <w:sz w:val="16"/>
        </w:rPr>
        <w:t xml:space="preserve">The cost of carbon emissions from patient and staff travel, electricity and gas for the building, along with embedded emissions in the goods and services used to provide the appointment. Based on the Sustainable Development Unit carbon footprint of the health, social care and public health system: </w:t>
      </w:r>
      <w:hyperlink r:id="rId119">
        <w:r>
          <w:rPr>
            <w:rFonts w:ascii="Calibri"/>
            <w:sz w:val="16"/>
            <w:u w:val="single"/>
          </w:rPr>
          <w:t>https://www.sduhealth.org.uk/policy-strategy/reporting/natural-resource-footprint-2018.aspx</w:t>
        </w:r>
      </w:hyperlink>
    </w:p>
    <w:p w:rsidR="006A18FD" w:rsidRDefault="006A18FD">
      <w:pPr>
        <w:rPr>
          <w:rFonts w:ascii="Calibri"/>
          <w:sz w:val="16"/>
        </w:rPr>
        <w:sectPr w:rsidR="006A18FD">
          <w:headerReference w:type="even" r:id="rId120"/>
          <w:headerReference w:type="default" r:id="rId121"/>
          <w:pgSz w:w="11910" w:h="16840"/>
          <w:pgMar w:top="960" w:right="980" w:bottom="280" w:left="580" w:header="751" w:footer="0" w:gutter="0"/>
          <w:pgNumType w:start="36"/>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5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59" name="Line 21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C37EB" id="Group 21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ZL6BJX4CAACBBQAA&#10;DgAAAAAAAAAAAAAAAAAuAgAAZHJzL2Uyb0RvYy54bWxQSwECLQAUAAYACAAAACEALXfkXNoAAAAE&#10;AQAADwAAAAAAAAAAAAAAAADYBAAAZHJzL2Rvd25yZXYueG1sUEsFBgAAAAAEAAQA8wAAAN8FAAAA&#10;AA==&#10;">
                <v:line id="Line 21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w10:anchorlock/>
              </v:group>
            </w:pict>
          </mc:Fallback>
        </mc:AlternateContent>
      </w:r>
    </w:p>
    <w:p w:rsidR="006A18FD" w:rsidRDefault="009C3814" w:rsidP="009C3814">
      <w:pPr>
        <w:pStyle w:val="Heading2"/>
      </w:pPr>
      <w:r>
        <w:t xml:space="preserve">2.2 </w:t>
      </w:r>
      <w:r w:rsidR="002D29FC">
        <w:t>Care homes for adults requiring long-term mental health support (age 18- 64, summary provided for</w:t>
      </w:r>
      <w:r w:rsidR="002D29FC">
        <w:rPr>
          <w:spacing w:val="-18"/>
        </w:rPr>
        <w:t xml:space="preserve"> </w:t>
      </w:r>
      <w:r w:rsidR="002D29FC">
        <w:t>65+)</w:t>
      </w:r>
    </w:p>
    <w:p w:rsidR="006A18FD" w:rsidRDefault="002D29FC">
      <w:pPr>
        <w:spacing w:before="123" w:line="276" w:lineRule="auto"/>
        <w:ind w:left="152" w:right="518"/>
        <w:rPr>
          <w:rFonts w:ascii="Calibri" w:hAnsi="Calibri"/>
          <w:sz w:val="20"/>
        </w:rPr>
      </w:pPr>
      <w:r>
        <w:rPr>
          <w:rFonts w:ascii="Calibri" w:hAnsi="Calibri"/>
          <w:sz w:val="20"/>
        </w:rPr>
        <w:t xml:space="preserve">This table uses the Adult Social Care Finance Return (ASC-FR) </w:t>
      </w:r>
      <w:r>
        <w:rPr>
          <w:rFonts w:ascii="Calibri" w:hAnsi="Calibri"/>
          <w:position w:val="5"/>
          <w:sz w:val="12"/>
        </w:rPr>
        <w:t xml:space="preserve">1 </w:t>
      </w:r>
      <w:r>
        <w:rPr>
          <w:rFonts w:ascii="Calibri" w:hAnsi="Calibri"/>
          <w:sz w:val="20"/>
        </w:rPr>
        <w:t>returns for 2018/2019 for expenditure data. The median establishment cost per resident week in long-term residential care for adults aged 18-64 is £826.</w:t>
      </w:r>
    </w:p>
    <w:p w:rsidR="006A18FD" w:rsidRDefault="006A18FD">
      <w:pPr>
        <w:spacing w:before="8"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53166C">
        <w:trPr>
          <w:trHeight w:val="600"/>
          <w:tblHeader/>
        </w:trPr>
        <w:tc>
          <w:tcPr>
            <w:tcW w:w="2232" w:type="dxa"/>
          </w:tcPr>
          <w:p w:rsidR="006A18FD" w:rsidRDefault="002D29FC">
            <w:pPr>
              <w:spacing w:before="1"/>
              <w:ind w:left="52" w:right="971"/>
              <w:rPr>
                <w:rFonts w:ascii="Calibri"/>
                <w:b/>
                <w:sz w:val="20"/>
              </w:rPr>
            </w:pPr>
            <w:r>
              <w:rPr>
                <w:rFonts w:ascii="Calibri"/>
                <w:b/>
                <w:sz w:val="20"/>
              </w:rPr>
              <w:t>Costs and unit estimation</w:t>
            </w:r>
          </w:p>
        </w:tc>
        <w:tc>
          <w:tcPr>
            <w:tcW w:w="1673" w:type="dxa"/>
          </w:tcPr>
          <w:p w:rsidR="006A18FD" w:rsidRDefault="002D29FC">
            <w:pPr>
              <w:spacing w:before="3"/>
              <w:ind w:left="103"/>
              <w:rPr>
                <w:rFonts w:ascii="Calibri"/>
                <w:b/>
                <w:sz w:val="20"/>
              </w:rPr>
            </w:pPr>
            <w:r>
              <w:rPr>
                <w:rFonts w:ascii="Calibri"/>
                <w:b/>
                <w:sz w:val="20"/>
              </w:rPr>
              <w:t>2018/2019 value</w:t>
            </w:r>
          </w:p>
        </w:tc>
        <w:tc>
          <w:tcPr>
            <w:tcW w:w="6138" w:type="dxa"/>
          </w:tcPr>
          <w:p w:rsidR="006A18FD" w:rsidRDefault="002D29FC">
            <w:pPr>
              <w:spacing w:before="3"/>
              <w:ind w:left="102"/>
              <w:rPr>
                <w:rFonts w:ascii="Calibri"/>
                <w:b/>
                <w:sz w:val="20"/>
              </w:rPr>
            </w:pPr>
            <w:r>
              <w:rPr>
                <w:rFonts w:ascii="Calibri"/>
                <w:b/>
                <w:sz w:val="20"/>
              </w:rPr>
              <w:t>Notes</w:t>
            </w:r>
          </w:p>
        </w:tc>
      </w:tr>
      <w:tr w:rsidR="006A18FD">
        <w:trPr>
          <w:trHeight w:val="1220"/>
        </w:trPr>
        <w:tc>
          <w:tcPr>
            <w:tcW w:w="2232" w:type="dxa"/>
          </w:tcPr>
          <w:p w:rsidR="006A18FD" w:rsidRDefault="002D29FC">
            <w:pPr>
              <w:spacing w:before="1"/>
              <w:ind w:left="52"/>
              <w:rPr>
                <w:rFonts w:ascii="Calibri"/>
                <w:sz w:val="20"/>
              </w:rPr>
            </w:pPr>
            <w:r>
              <w:rPr>
                <w:rFonts w:ascii="Calibri"/>
                <w:sz w:val="20"/>
              </w:rPr>
              <w:t>Capital costs</w:t>
            </w:r>
          </w:p>
          <w:p w:rsidR="006A18FD" w:rsidRDefault="002D29FC">
            <w:pPr>
              <w:spacing w:before="10"/>
              <w:ind w:left="52"/>
              <w:rPr>
                <w:rFonts w:ascii="Calibri"/>
                <w:sz w:val="20"/>
              </w:rPr>
            </w:pPr>
            <w:r>
              <w:rPr>
                <w:rFonts w:ascii="Calibri"/>
                <w:sz w:val="20"/>
              </w:rPr>
              <w:t>A. Buildings and oncosts</w:t>
            </w:r>
          </w:p>
        </w:tc>
        <w:tc>
          <w:tcPr>
            <w:tcW w:w="1673" w:type="dxa"/>
          </w:tcPr>
          <w:p w:rsidR="006A18FD" w:rsidRDefault="006A18FD">
            <w:pPr>
              <w:spacing w:before="11"/>
              <w:rPr>
                <w:rFonts w:ascii="Calibri"/>
                <w:sz w:val="20"/>
              </w:rPr>
            </w:pPr>
          </w:p>
          <w:p w:rsidR="006A18FD" w:rsidRDefault="002D29FC">
            <w:pPr>
              <w:ind w:left="103"/>
              <w:rPr>
                <w:rFonts w:ascii="Calibri" w:hAnsi="Calibri"/>
                <w:sz w:val="20"/>
              </w:rPr>
            </w:pPr>
            <w:r>
              <w:rPr>
                <w:rFonts w:ascii="Calibri" w:hAnsi="Calibri"/>
                <w:sz w:val="20"/>
              </w:rPr>
              <w:t>£108 per resident week</w:t>
            </w:r>
          </w:p>
        </w:tc>
        <w:tc>
          <w:tcPr>
            <w:tcW w:w="6138" w:type="dxa"/>
          </w:tcPr>
          <w:p w:rsidR="006A18FD" w:rsidRDefault="006A18FD">
            <w:pPr>
              <w:spacing w:before="4"/>
              <w:rPr>
                <w:rFonts w:ascii="Calibri"/>
                <w:sz w:val="20"/>
              </w:rPr>
            </w:pPr>
          </w:p>
          <w:p w:rsidR="006A18FD" w:rsidRDefault="002D29FC">
            <w:pPr>
              <w:spacing w:line="237" w:lineRule="auto"/>
              <w:ind w:left="102" w:right="275"/>
              <w:rPr>
                <w:rFonts w:ascii="Calibri"/>
                <w:sz w:val="20"/>
              </w:rPr>
            </w:pPr>
            <w:r>
              <w:rPr>
                <w:rFonts w:ascii="Calibri"/>
                <w:sz w:val="20"/>
              </w:rPr>
              <w:t>Based on the new-build and land requirements for homes for people with mental health problems.</w:t>
            </w:r>
            <w:r>
              <w:rPr>
                <w:rFonts w:ascii="Calibri"/>
                <w:position w:val="7"/>
                <w:sz w:val="13"/>
              </w:rPr>
              <w:t xml:space="preserve">2 </w:t>
            </w:r>
            <w:r>
              <w:rPr>
                <w:rFonts w:ascii="Calibri"/>
                <w:sz w:val="20"/>
              </w:rPr>
              <w:t>Capital costs have been annuitised over 60 years at a discount rate of 3.5 per cent, declining to 3 per cent after</w:t>
            </w:r>
          </w:p>
          <w:p w:rsidR="006A18FD" w:rsidRDefault="002D29FC">
            <w:pPr>
              <w:spacing w:line="223" w:lineRule="exact"/>
              <w:ind w:left="102"/>
              <w:rPr>
                <w:rFonts w:ascii="Calibri"/>
                <w:sz w:val="20"/>
              </w:rPr>
            </w:pPr>
            <w:r>
              <w:rPr>
                <w:rFonts w:ascii="Calibri"/>
                <w:sz w:val="20"/>
              </w:rPr>
              <w:t>30 years.</w:t>
            </w:r>
          </w:p>
        </w:tc>
      </w:tr>
      <w:tr w:rsidR="006A18FD">
        <w:trPr>
          <w:trHeight w:val="260"/>
        </w:trPr>
        <w:tc>
          <w:tcPr>
            <w:tcW w:w="2232" w:type="dxa"/>
            <w:tcBorders>
              <w:bottom w:val="nil"/>
            </w:tcBorders>
          </w:tcPr>
          <w:p w:rsidR="006A18FD" w:rsidRDefault="002D29FC">
            <w:pPr>
              <w:spacing w:before="1" w:line="242" w:lineRule="exact"/>
              <w:ind w:left="52"/>
              <w:rPr>
                <w:rFonts w:ascii="Calibri"/>
                <w:sz w:val="20"/>
              </w:rPr>
            </w:pPr>
            <w:r>
              <w:rPr>
                <w:rFonts w:ascii="Calibri"/>
                <w:sz w:val="20"/>
              </w:rPr>
              <w:t>B. Total local authority</w:t>
            </w:r>
          </w:p>
        </w:tc>
        <w:tc>
          <w:tcPr>
            <w:tcW w:w="1673" w:type="dxa"/>
            <w:tcBorders>
              <w:bottom w:val="nil"/>
            </w:tcBorders>
          </w:tcPr>
          <w:p w:rsidR="006A18FD" w:rsidRDefault="002D29FC">
            <w:pPr>
              <w:spacing w:before="1" w:line="242" w:lineRule="exact"/>
              <w:ind w:left="103"/>
              <w:rPr>
                <w:rFonts w:ascii="Calibri" w:hAnsi="Calibri"/>
                <w:sz w:val="20"/>
              </w:rPr>
            </w:pPr>
            <w:r>
              <w:rPr>
                <w:rFonts w:ascii="Calibri" w:hAnsi="Calibri"/>
                <w:sz w:val="20"/>
              </w:rPr>
              <w:t>£718 per resident</w:t>
            </w:r>
          </w:p>
        </w:tc>
        <w:tc>
          <w:tcPr>
            <w:tcW w:w="6138" w:type="dxa"/>
            <w:tcBorders>
              <w:bottom w:val="nil"/>
            </w:tcBorders>
          </w:tcPr>
          <w:p w:rsidR="006A18FD" w:rsidRDefault="002D29FC">
            <w:pPr>
              <w:spacing w:before="1" w:line="242" w:lineRule="exact"/>
              <w:ind w:left="102"/>
              <w:rPr>
                <w:rFonts w:ascii="Calibri" w:hAnsi="Calibri"/>
                <w:sz w:val="20"/>
              </w:rPr>
            </w:pPr>
            <w:r>
              <w:rPr>
                <w:rFonts w:ascii="Calibri" w:hAnsi="Calibri"/>
                <w:sz w:val="20"/>
              </w:rPr>
              <w:t>The median revenue weekly cost estimate (£718) for adults age 18-64</w:t>
            </w:r>
          </w:p>
        </w:tc>
      </w:tr>
      <w:tr w:rsidR="006A18FD">
        <w:trPr>
          <w:trHeight w:val="220"/>
        </w:trPr>
        <w:tc>
          <w:tcPr>
            <w:tcW w:w="2232" w:type="dxa"/>
            <w:tcBorders>
              <w:top w:val="nil"/>
              <w:bottom w:val="nil"/>
            </w:tcBorders>
          </w:tcPr>
          <w:p w:rsidR="006A18FD" w:rsidRDefault="002D29FC">
            <w:pPr>
              <w:spacing w:line="215" w:lineRule="exact"/>
              <w:ind w:left="52"/>
              <w:rPr>
                <w:rFonts w:ascii="Calibri"/>
                <w:sz w:val="20"/>
              </w:rPr>
            </w:pPr>
            <w:r>
              <w:rPr>
                <w:rFonts w:ascii="Calibri"/>
                <w:sz w:val="20"/>
              </w:rPr>
              <w:t>expenditure (minus</w:t>
            </w:r>
          </w:p>
        </w:tc>
        <w:tc>
          <w:tcPr>
            <w:tcW w:w="1673" w:type="dxa"/>
            <w:tcBorders>
              <w:top w:val="nil"/>
              <w:bottom w:val="nil"/>
            </w:tcBorders>
          </w:tcPr>
          <w:p w:rsidR="006A18FD" w:rsidRDefault="002D29FC">
            <w:pPr>
              <w:spacing w:line="215" w:lineRule="exact"/>
              <w:ind w:left="103"/>
              <w:rPr>
                <w:rFonts w:ascii="Calibri"/>
                <w:sz w:val="20"/>
              </w:rPr>
            </w:pPr>
            <w:r>
              <w:rPr>
                <w:rFonts w:ascii="Calibri"/>
                <w:sz w:val="20"/>
              </w:rPr>
              <w:t>week</w:t>
            </w:r>
          </w:p>
        </w:tc>
        <w:tc>
          <w:tcPr>
            <w:tcW w:w="6138" w:type="dxa"/>
            <w:tcBorders>
              <w:top w:val="nil"/>
              <w:bottom w:val="nil"/>
            </w:tcBorders>
          </w:tcPr>
          <w:p w:rsidR="006A18FD" w:rsidRDefault="002D29FC">
            <w:pPr>
              <w:spacing w:line="215" w:lineRule="exact"/>
              <w:ind w:left="102"/>
              <w:rPr>
                <w:rFonts w:ascii="Calibri"/>
                <w:sz w:val="20"/>
              </w:rPr>
            </w:pPr>
            <w:r>
              <w:rPr>
                <w:rFonts w:ascii="Calibri"/>
                <w:sz w:val="20"/>
              </w:rPr>
              <w:t>requiring long-term mental health support [using unique identifier:</w:t>
            </w:r>
          </w:p>
        </w:tc>
      </w:tr>
      <w:tr w:rsidR="006A18FD">
        <w:trPr>
          <w:trHeight w:val="240"/>
        </w:trPr>
        <w:tc>
          <w:tcPr>
            <w:tcW w:w="2232" w:type="dxa"/>
            <w:tcBorders>
              <w:top w:val="nil"/>
              <w:bottom w:val="nil"/>
            </w:tcBorders>
          </w:tcPr>
          <w:p w:rsidR="006A18FD" w:rsidRDefault="002D29FC">
            <w:pPr>
              <w:spacing w:line="234" w:lineRule="exact"/>
              <w:ind w:left="52"/>
              <w:rPr>
                <w:rFonts w:ascii="Calibri"/>
                <w:sz w:val="20"/>
              </w:rPr>
            </w:pPr>
            <w:r>
              <w:rPr>
                <w:rFonts w:ascii="Calibri"/>
                <w:sz w:val="20"/>
              </w:rPr>
              <w:t>capital)</w:t>
            </w: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34" w:lineRule="exact"/>
              <w:ind w:left="102"/>
              <w:rPr>
                <w:rFonts w:ascii="Calibri"/>
                <w:sz w:val="13"/>
              </w:rPr>
            </w:pPr>
            <w:r>
              <w:rPr>
                <w:rFonts w:ascii="Calibri"/>
                <w:sz w:val="20"/>
              </w:rPr>
              <w:t>8713001 (numerator in thousands of pounds), 8713002 (denominator)].</w:t>
            </w:r>
            <w:r>
              <w:rPr>
                <w:rFonts w:ascii="Calibri"/>
                <w:position w:val="7"/>
                <w:sz w:val="13"/>
              </w:rPr>
              <w:t>1</w:t>
            </w:r>
          </w:p>
        </w:tc>
      </w:tr>
      <w:tr w:rsidR="006A18FD">
        <w:trPr>
          <w:trHeight w:val="22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16" w:lineRule="exact"/>
              <w:ind w:left="102"/>
              <w:rPr>
                <w:rFonts w:ascii="Calibri"/>
                <w:sz w:val="20"/>
              </w:rPr>
            </w:pPr>
            <w:r>
              <w:rPr>
                <w:rFonts w:ascii="Calibri"/>
                <w:sz w:val="20"/>
              </w:rPr>
              <w:t>Capital costs have been deducted. The mean cost per client per week in</w:t>
            </w:r>
          </w:p>
        </w:tc>
      </w:tr>
      <w:tr w:rsidR="006A18FD">
        <w:trPr>
          <w:trHeight w:val="320"/>
        </w:trPr>
        <w:tc>
          <w:tcPr>
            <w:tcW w:w="2232" w:type="dxa"/>
            <w:tcBorders>
              <w:top w:val="nil"/>
              <w:bottom w:val="nil"/>
            </w:tcBorders>
          </w:tcPr>
          <w:p w:rsidR="006A18FD" w:rsidRDefault="006A18FD">
            <w:pPr>
              <w:rPr>
                <w:rFonts w:ascii="Times New Roman"/>
                <w:sz w:val="18"/>
              </w:rPr>
            </w:pP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35" w:lineRule="exact"/>
              <w:ind w:left="102"/>
              <w:rPr>
                <w:rFonts w:ascii="Calibri" w:hAnsi="Calibri"/>
                <w:sz w:val="20"/>
              </w:rPr>
            </w:pPr>
            <w:r>
              <w:rPr>
                <w:rFonts w:ascii="Calibri" w:hAnsi="Calibri"/>
                <w:sz w:val="20"/>
              </w:rPr>
              <w:t>the ASC-FR is £778</w:t>
            </w:r>
            <w:r>
              <w:rPr>
                <w:rFonts w:ascii="Calibri" w:hAnsi="Calibri"/>
                <w:position w:val="7"/>
                <w:sz w:val="13"/>
              </w:rPr>
              <w:t xml:space="preserve">1  </w:t>
            </w:r>
            <w:r>
              <w:rPr>
                <w:rFonts w:ascii="Calibri" w:hAnsi="Calibri"/>
                <w:sz w:val="20"/>
              </w:rPr>
              <w:t>after deducting capital costs.</w:t>
            </w:r>
          </w:p>
        </w:tc>
      </w:tr>
      <w:tr w:rsidR="006A18FD">
        <w:trPr>
          <w:trHeight w:val="300"/>
        </w:trPr>
        <w:tc>
          <w:tcPr>
            <w:tcW w:w="2232" w:type="dxa"/>
            <w:tcBorders>
              <w:top w:val="nil"/>
              <w:bottom w:val="nil"/>
            </w:tcBorders>
          </w:tcPr>
          <w:p w:rsidR="006A18FD" w:rsidRDefault="002D29FC">
            <w:pPr>
              <w:spacing w:before="55" w:line="243" w:lineRule="exact"/>
              <w:ind w:left="52"/>
              <w:rPr>
                <w:rFonts w:ascii="Calibri"/>
                <w:sz w:val="20"/>
              </w:rPr>
            </w:pPr>
            <w:r>
              <w:rPr>
                <w:rFonts w:ascii="Calibri"/>
                <w:sz w:val="20"/>
              </w:rPr>
              <w:t>C. Overheads</w:t>
            </w: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before="55" w:line="243" w:lineRule="exact"/>
              <w:ind w:left="102"/>
              <w:rPr>
                <w:rFonts w:ascii="Calibri"/>
                <w:sz w:val="20"/>
              </w:rPr>
            </w:pPr>
            <w:r>
              <w:rPr>
                <w:rFonts w:ascii="Calibri"/>
                <w:sz w:val="20"/>
              </w:rPr>
              <w:t>Social services management and support services (SSMSS) costs are</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25" w:lineRule="exact"/>
              <w:ind w:left="102"/>
              <w:rPr>
                <w:rFonts w:ascii="Calibri"/>
                <w:sz w:val="20"/>
              </w:rPr>
            </w:pPr>
            <w:r>
              <w:rPr>
                <w:rFonts w:ascii="Calibri"/>
                <w:sz w:val="20"/>
              </w:rPr>
              <w:t>included in ASC-FR expenditure figures, so no additional overheads have</w:t>
            </w:r>
          </w:p>
        </w:tc>
      </w:tr>
      <w:tr w:rsidR="006A18FD">
        <w:trPr>
          <w:trHeight w:val="220"/>
        </w:trPr>
        <w:tc>
          <w:tcPr>
            <w:tcW w:w="2232" w:type="dxa"/>
            <w:tcBorders>
              <w:top w:val="nil"/>
            </w:tcBorders>
          </w:tcPr>
          <w:p w:rsidR="006A18FD" w:rsidRDefault="006A18FD">
            <w:pPr>
              <w:rPr>
                <w:rFonts w:ascii="Times New Roman"/>
                <w:sz w:val="16"/>
              </w:rPr>
            </w:pPr>
          </w:p>
        </w:tc>
        <w:tc>
          <w:tcPr>
            <w:tcW w:w="1673" w:type="dxa"/>
            <w:tcBorders>
              <w:top w:val="nil"/>
            </w:tcBorders>
          </w:tcPr>
          <w:p w:rsidR="006A18FD" w:rsidRDefault="006A18FD">
            <w:pPr>
              <w:rPr>
                <w:rFonts w:ascii="Times New Roman"/>
                <w:sz w:val="16"/>
              </w:rPr>
            </w:pPr>
          </w:p>
        </w:tc>
        <w:tc>
          <w:tcPr>
            <w:tcW w:w="6138" w:type="dxa"/>
            <w:tcBorders>
              <w:top w:val="nil"/>
            </w:tcBorders>
          </w:tcPr>
          <w:p w:rsidR="006A18FD" w:rsidRDefault="002D29FC">
            <w:pPr>
              <w:spacing w:line="205" w:lineRule="exact"/>
              <w:ind w:left="102"/>
              <w:rPr>
                <w:rFonts w:ascii="Calibri"/>
                <w:sz w:val="20"/>
              </w:rPr>
            </w:pPr>
            <w:r>
              <w:rPr>
                <w:rFonts w:ascii="Calibri"/>
                <w:sz w:val="20"/>
              </w:rPr>
              <w:t>been added.</w:t>
            </w:r>
          </w:p>
        </w:tc>
      </w:tr>
      <w:tr w:rsidR="006A18FD">
        <w:trPr>
          <w:trHeight w:val="960"/>
        </w:trPr>
        <w:tc>
          <w:tcPr>
            <w:tcW w:w="2232" w:type="dxa"/>
          </w:tcPr>
          <w:p w:rsidR="006A18FD" w:rsidRDefault="002D29FC">
            <w:pPr>
              <w:spacing w:line="243" w:lineRule="exact"/>
              <w:ind w:left="52"/>
              <w:rPr>
                <w:rFonts w:ascii="Calibri"/>
                <w:sz w:val="20"/>
              </w:rPr>
            </w:pPr>
            <w:r>
              <w:rPr>
                <w:rFonts w:ascii="Calibri"/>
                <w:sz w:val="20"/>
              </w:rPr>
              <w:t>Other costs</w:t>
            </w:r>
          </w:p>
          <w:p w:rsidR="006A18FD" w:rsidRDefault="002D29FC">
            <w:pPr>
              <w:ind w:left="52" w:right="756"/>
              <w:rPr>
                <w:rFonts w:ascii="Calibri"/>
                <w:sz w:val="20"/>
              </w:rPr>
            </w:pPr>
            <w:r>
              <w:rPr>
                <w:rFonts w:ascii="Calibri"/>
                <w:sz w:val="20"/>
              </w:rPr>
              <w:t>D. Personal living expenses</w:t>
            </w:r>
          </w:p>
        </w:tc>
        <w:tc>
          <w:tcPr>
            <w:tcW w:w="1673" w:type="dxa"/>
          </w:tcPr>
          <w:p w:rsidR="006A18FD" w:rsidRDefault="006A18FD">
            <w:pPr>
              <w:spacing w:before="11"/>
              <w:rPr>
                <w:rFonts w:ascii="Calibri"/>
                <w:sz w:val="19"/>
              </w:rPr>
            </w:pPr>
          </w:p>
          <w:p w:rsidR="006A18FD" w:rsidRDefault="002D29FC">
            <w:pPr>
              <w:spacing w:before="1"/>
              <w:ind w:left="103"/>
              <w:rPr>
                <w:rFonts w:ascii="Calibri" w:hAnsi="Calibri"/>
                <w:sz w:val="20"/>
              </w:rPr>
            </w:pPr>
            <w:r>
              <w:rPr>
                <w:rFonts w:ascii="Calibri" w:hAnsi="Calibri"/>
                <w:sz w:val="20"/>
              </w:rPr>
              <w:t>£24.90 per week</w:t>
            </w:r>
          </w:p>
        </w:tc>
        <w:tc>
          <w:tcPr>
            <w:tcW w:w="6138" w:type="dxa"/>
          </w:tcPr>
          <w:p w:rsidR="006A18FD" w:rsidRDefault="006A18FD">
            <w:pPr>
              <w:spacing w:before="7"/>
              <w:rPr>
                <w:rFonts w:ascii="Calibri"/>
                <w:sz w:val="19"/>
              </w:rPr>
            </w:pPr>
          </w:p>
          <w:p w:rsidR="006A18FD" w:rsidRDefault="002D29FC">
            <w:pPr>
              <w:spacing w:line="244" w:lineRule="exact"/>
              <w:ind w:left="102" w:right="124"/>
              <w:rPr>
                <w:rFonts w:ascii="Calibri" w:hAnsi="Calibri"/>
                <w:sz w:val="20"/>
              </w:rPr>
            </w:pPr>
            <w:r>
              <w:rPr>
                <w:rFonts w:ascii="Calibri" w:hAnsi="Calibri"/>
                <w:sz w:val="20"/>
              </w:rPr>
              <w:t>The DWP personal allowance for people in residential care or a nursing home is £24.90.</w:t>
            </w:r>
            <w:r>
              <w:rPr>
                <w:rFonts w:ascii="Calibri" w:hAnsi="Calibri"/>
                <w:position w:val="7"/>
                <w:sz w:val="13"/>
              </w:rPr>
              <w:t xml:space="preserve">3 </w:t>
            </w:r>
            <w:r>
              <w:rPr>
                <w:rFonts w:ascii="Calibri" w:hAnsi="Calibri"/>
                <w:sz w:val="20"/>
              </w:rPr>
              <w:t>This has been used as a proxy for personal consumption.</w:t>
            </w:r>
          </w:p>
        </w:tc>
      </w:tr>
      <w:tr w:rsidR="006A18FD">
        <w:trPr>
          <w:trHeight w:val="240"/>
        </w:trPr>
        <w:tc>
          <w:tcPr>
            <w:tcW w:w="2232" w:type="dxa"/>
          </w:tcPr>
          <w:p w:rsidR="006A18FD" w:rsidRDefault="002D29FC">
            <w:pPr>
              <w:spacing w:line="222" w:lineRule="exact"/>
              <w:ind w:left="52"/>
              <w:rPr>
                <w:rFonts w:ascii="Calibri"/>
                <w:sz w:val="20"/>
              </w:rPr>
            </w:pPr>
            <w:r>
              <w:rPr>
                <w:rFonts w:ascii="Calibri"/>
                <w:sz w:val="20"/>
              </w:rPr>
              <w:t>E. External services</w:t>
            </w:r>
          </w:p>
        </w:tc>
        <w:tc>
          <w:tcPr>
            <w:tcW w:w="1673" w:type="dxa"/>
          </w:tcPr>
          <w:p w:rsidR="006A18FD" w:rsidRDefault="006A18FD">
            <w:pPr>
              <w:rPr>
                <w:rFonts w:ascii="Times New Roman"/>
                <w:sz w:val="16"/>
              </w:rPr>
            </w:pPr>
          </w:p>
        </w:tc>
        <w:tc>
          <w:tcPr>
            <w:tcW w:w="6138" w:type="dxa"/>
          </w:tcPr>
          <w:p w:rsidR="006A18FD" w:rsidRDefault="002D29FC">
            <w:pPr>
              <w:spacing w:line="222" w:lineRule="exact"/>
              <w:ind w:left="102"/>
              <w:rPr>
                <w:rFonts w:ascii="Calibri"/>
                <w:sz w:val="20"/>
              </w:rPr>
            </w:pPr>
            <w:r>
              <w:rPr>
                <w:rFonts w:ascii="Calibri"/>
                <w:sz w:val="20"/>
              </w:rPr>
              <w:t>No information is available.</w:t>
            </w:r>
          </w:p>
        </w:tc>
      </w:tr>
      <w:tr w:rsidR="006A18FD">
        <w:trPr>
          <w:trHeight w:val="480"/>
        </w:trPr>
        <w:tc>
          <w:tcPr>
            <w:tcW w:w="2232" w:type="dxa"/>
          </w:tcPr>
          <w:p w:rsidR="006A18FD" w:rsidRDefault="002D29FC">
            <w:pPr>
              <w:spacing w:before="1"/>
              <w:ind w:left="52"/>
              <w:rPr>
                <w:rFonts w:ascii="Calibri"/>
                <w:sz w:val="20"/>
              </w:rPr>
            </w:pPr>
            <w:r>
              <w:rPr>
                <w:rFonts w:ascii="Calibri"/>
                <w:sz w:val="20"/>
              </w:rPr>
              <w:t>Use of facility by client</w:t>
            </w:r>
          </w:p>
        </w:tc>
        <w:tc>
          <w:tcPr>
            <w:tcW w:w="1673" w:type="dxa"/>
          </w:tcPr>
          <w:p w:rsidR="006A18FD" w:rsidRDefault="002D29FC">
            <w:pPr>
              <w:spacing w:before="1" w:line="240" w:lineRule="atLeast"/>
              <w:ind w:left="103"/>
              <w:rPr>
                <w:rFonts w:ascii="Calibri"/>
                <w:sz w:val="20"/>
              </w:rPr>
            </w:pPr>
            <w:r>
              <w:rPr>
                <w:rFonts w:ascii="Calibri"/>
                <w:sz w:val="20"/>
              </w:rPr>
              <w:t>365.25 days per year</w:t>
            </w:r>
          </w:p>
        </w:tc>
        <w:tc>
          <w:tcPr>
            <w:tcW w:w="6138" w:type="dxa"/>
          </w:tcPr>
          <w:p w:rsidR="006A18FD" w:rsidRDefault="006A18FD">
            <w:pPr>
              <w:rPr>
                <w:rFonts w:ascii="Times New Roman"/>
                <w:sz w:val="18"/>
              </w:rPr>
            </w:pPr>
          </w:p>
        </w:tc>
      </w:tr>
      <w:tr w:rsidR="006A18FD">
        <w:trPr>
          <w:trHeight w:val="239"/>
        </w:trPr>
        <w:tc>
          <w:tcPr>
            <w:tcW w:w="2232" w:type="dxa"/>
          </w:tcPr>
          <w:p w:rsidR="006A18FD" w:rsidRDefault="002D29FC">
            <w:pPr>
              <w:spacing w:line="223" w:lineRule="exact"/>
              <w:ind w:left="52"/>
              <w:rPr>
                <w:rFonts w:ascii="Calibri"/>
                <w:sz w:val="20"/>
              </w:rPr>
            </w:pPr>
            <w:r>
              <w:rPr>
                <w:rFonts w:ascii="Calibri"/>
                <w:sz w:val="20"/>
              </w:rPr>
              <w:t>Occupancy</w:t>
            </w:r>
          </w:p>
        </w:tc>
        <w:tc>
          <w:tcPr>
            <w:tcW w:w="1673" w:type="dxa"/>
          </w:tcPr>
          <w:p w:rsidR="006A18FD" w:rsidRDefault="002D29FC">
            <w:pPr>
              <w:spacing w:line="223" w:lineRule="exact"/>
              <w:ind w:left="103"/>
              <w:rPr>
                <w:rFonts w:ascii="Calibri"/>
                <w:sz w:val="20"/>
              </w:rPr>
            </w:pPr>
            <w:r>
              <w:rPr>
                <w:rFonts w:ascii="Calibri"/>
                <w:sz w:val="20"/>
              </w:rPr>
              <w:t>100 per cent</w:t>
            </w:r>
          </w:p>
        </w:tc>
        <w:tc>
          <w:tcPr>
            <w:tcW w:w="6138" w:type="dxa"/>
          </w:tcPr>
          <w:p w:rsidR="006A18FD" w:rsidRDefault="002D29FC">
            <w:pPr>
              <w:spacing w:line="223" w:lineRule="exact"/>
              <w:ind w:left="102"/>
              <w:rPr>
                <w:rFonts w:ascii="Calibri"/>
                <w:sz w:val="20"/>
              </w:rPr>
            </w:pPr>
            <w:r>
              <w:rPr>
                <w:rFonts w:ascii="Calibri"/>
                <w:sz w:val="20"/>
              </w:rPr>
              <w:t>No statistics available, therefore 100 per cent occupancy assumed.</w:t>
            </w:r>
          </w:p>
        </w:tc>
      </w:tr>
      <w:tr w:rsidR="006A18FD">
        <w:trPr>
          <w:trHeight w:val="240"/>
        </w:trPr>
        <w:tc>
          <w:tcPr>
            <w:tcW w:w="2232" w:type="dxa"/>
          </w:tcPr>
          <w:p w:rsidR="006A18FD" w:rsidRDefault="002D29FC">
            <w:pPr>
              <w:spacing w:before="1" w:line="223" w:lineRule="exact"/>
              <w:ind w:left="52"/>
              <w:rPr>
                <w:rFonts w:ascii="Calibri"/>
                <w:sz w:val="20"/>
              </w:rPr>
            </w:pPr>
            <w:r>
              <w:rPr>
                <w:rFonts w:ascii="Calibri"/>
                <w:sz w:val="20"/>
              </w:rPr>
              <w:t>London multiplier</w:t>
            </w:r>
          </w:p>
        </w:tc>
        <w:tc>
          <w:tcPr>
            <w:tcW w:w="1673" w:type="dxa"/>
          </w:tcPr>
          <w:p w:rsidR="006A18FD" w:rsidRDefault="006A18FD">
            <w:pPr>
              <w:rPr>
                <w:rFonts w:ascii="Times New Roman"/>
                <w:sz w:val="16"/>
              </w:rPr>
            </w:pPr>
          </w:p>
        </w:tc>
        <w:tc>
          <w:tcPr>
            <w:tcW w:w="6138" w:type="dxa"/>
          </w:tcPr>
          <w:p w:rsidR="006A18FD" w:rsidRDefault="002D29FC">
            <w:pPr>
              <w:spacing w:before="1"/>
              <w:ind w:left="102"/>
              <w:rPr>
                <w:rFonts w:ascii="Calibri"/>
                <w:sz w:val="18"/>
              </w:rPr>
            </w:pPr>
            <w:r>
              <w:rPr>
                <w:rFonts w:ascii="Calibri"/>
                <w:sz w:val="18"/>
              </w:rPr>
              <w:t>See previous volume for information on multipliers</w:t>
            </w:r>
          </w:p>
        </w:tc>
      </w:tr>
      <w:tr w:rsidR="006A18FD">
        <w:trPr>
          <w:trHeight w:val="360"/>
        </w:trPr>
        <w:tc>
          <w:tcPr>
            <w:tcW w:w="10044" w:type="dxa"/>
            <w:gridSpan w:val="3"/>
          </w:tcPr>
          <w:p w:rsidR="006A18FD" w:rsidRDefault="002D29FC">
            <w:pPr>
              <w:spacing w:before="1"/>
              <w:ind w:left="52"/>
              <w:rPr>
                <w:rFonts w:ascii="Calibri"/>
                <w:b/>
                <w:sz w:val="20"/>
              </w:rPr>
            </w:pPr>
            <w:r>
              <w:rPr>
                <w:rFonts w:ascii="Calibri"/>
                <w:b/>
                <w:sz w:val="20"/>
              </w:rPr>
              <w:t>Unit costs available 2018/2019</w:t>
            </w:r>
          </w:p>
        </w:tc>
      </w:tr>
      <w:tr w:rsidR="006A18FD">
        <w:trPr>
          <w:trHeight w:val="1700"/>
        </w:trPr>
        <w:tc>
          <w:tcPr>
            <w:tcW w:w="10044" w:type="dxa"/>
            <w:gridSpan w:val="3"/>
          </w:tcPr>
          <w:p w:rsidR="006A18FD" w:rsidRDefault="002D29FC">
            <w:pPr>
              <w:spacing w:before="1" w:line="243" w:lineRule="exact"/>
              <w:ind w:left="52"/>
              <w:rPr>
                <w:rFonts w:ascii="Calibri"/>
                <w:b/>
                <w:sz w:val="20"/>
              </w:rPr>
            </w:pPr>
            <w:r>
              <w:rPr>
                <w:rFonts w:ascii="Calibri"/>
                <w:b/>
                <w:sz w:val="20"/>
              </w:rPr>
              <w:t>Age 18-64 (using unique identifier 8713001; numerator in thousands of pounds, 8713002; denominator)</w:t>
            </w:r>
          </w:p>
          <w:p w:rsidR="006A18FD" w:rsidRDefault="002D29FC">
            <w:pPr>
              <w:spacing w:line="243" w:lineRule="exact"/>
              <w:ind w:left="52"/>
              <w:rPr>
                <w:rFonts w:ascii="Calibri" w:hAnsi="Calibri"/>
                <w:sz w:val="20"/>
              </w:rPr>
            </w:pPr>
            <w:r>
              <w:rPr>
                <w:rFonts w:ascii="Calibri" w:hAnsi="Calibri"/>
                <w:sz w:val="20"/>
              </w:rPr>
              <w:t>£826 per resident week establishment costs (includes A to B); £851 per resident week (includes A to D).</w:t>
            </w:r>
          </w:p>
          <w:p w:rsidR="006A18FD" w:rsidRDefault="002D29FC">
            <w:pPr>
              <w:spacing w:before="1"/>
              <w:ind w:left="52"/>
              <w:rPr>
                <w:rFonts w:ascii="Calibri" w:hAnsi="Calibri"/>
                <w:sz w:val="20"/>
              </w:rPr>
            </w:pPr>
            <w:r>
              <w:rPr>
                <w:rFonts w:ascii="Calibri" w:hAnsi="Calibri"/>
                <w:sz w:val="20"/>
              </w:rPr>
              <w:t>£118 per resident day establishment costs (includes A to B); £122 per resident day (includes A to D).</w:t>
            </w:r>
          </w:p>
          <w:p w:rsidR="006A18FD" w:rsidRDefault="006A18FD">
            <w:pPr>
              <w:spacing w:before="1"/>
              <w:rPr>
                <w:rFonts w:ascii="Calibri"/>
                <w:sz w:val="20"/>
              </w:rPr>
            </w:pPr>
          </w:p>
          <w:p w:rsidR="006A18FD" w:rsidRDefault="002D29FC">
            <w:pPr>
              <w:spacing w:line="243" w:lineRule="exact"/>
              <w:ind w:left="52"/>
              <w:rPr>
                <w:rFonts w:ascii="Calibri"/>
                <w:b/>
                <w:sz w:val="20"/>
              </w:rPr>
            </w:pPr>
            <w:r>
              <w:rPr>
                <w:rFonts w:ascii="Calibri"/>
                <w:b/>
                <w:sz w:val="20"/>
              </w:rPr>
              <w:t>Age 65+ (using unique identifier 8716001; numerator in thousands of pounds, 8716002; denominator)</w:t>
            </w:r>
          </w:p>
          <w:p w:rsidR="006A18FD" w:rsidRDefault="002D29FC">
            <w:pPr>
              <w:spacing w:line="243" w:lineRule="exact"/>
              <w:ind w:left="52"/>
              <w:rPr>
                <w:rFonts w:ascii="Calibri" w:hAnsi="Calibri"/>
                <w:sz w:val="20"/>
              </w:rPr>
            </w:pPr>
            <w:r>
              <w:rPr>
                <w:rFonts w:ascii="Calibri" w:hAnsi="Calibri"/>
                <w:sz w:val="20"/>
              </w:rPr>
              <w:t>£588 (£598) median (mean) establishment costs per resident week</w:t>
            </w:r>
          </w:p>
          <w:p w:rsidR="006A18FD" w:rsidRDefault="002D29FC">
            <w:pPr>
              <w:spacing w:before="1" w:line="223" w:lineRule="exact"/>
              <w:ind w:left="52"/>
              <w:rPr>
                <w:rFonts w:ascii="Calibri" w:hAnsi="Calibri"/>
                <w:sz w:val="20"/>
              </w:rPr>
            </w:pPr>
            <w:r>
              <w:rPr>
                <w:rFonts w:ascii="Calibri" w:hAnsi="Calibri"/>
                <w:sz w:val="20"/>
              </w:rPr>
              <w:t>£84 (£85) median (mean) establishment costs per resident day</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6"/>
        <w:rPr>
          <w:rFonts w:ascii="Calibri"/>
          <w:sz w:val="17"/>
        </w:rPr>
      </w:pPr>
    </w:p>
    <w:p w:rsidR="006A18FD" w:rsidRDefault="00E60AD2">
      <w:pPr>
        <w:ind w:left="436" w:right="509" w:hanging="284"/>
        <w:rPr>
          <w:rFonts w:ascii="Calibri"/>
          <w:sz w:val="16"/>
        </w:rPr>
      </w:pPr>
      <w:r>
        <w:rPr>
          <w:noProof/>
          <w:lang w:val="en-GB" w:eastAsia="en-GB"/>
        </w:rPr>
        <mc:AlternateContent>
          <mc:Choice Requires="wps">
            <w:drawing>
              <wp:anchor distT="0" distB="0" distL="114300" distR="114300" simplePos="0" relativeHeight="251607040" behindDoc="1" locked="0" layoutInCell="1" allowOverlap="1">
                <wp:simplePos x="0" y="0"/>
                <wp:positionH relativeFrom="page">
                  <wp:posOffset>899160</wp:posOffset>
                </wp:positionH>
                <wp:positionV relativeFrom="paragraph">
                  <wp:posOffset>236855</wp:posOffset>
                </wp:positionV>
                <wp:extent cx="3713480" cy="0"/>
                <wp:effectExtent l="13335" t="8255" r="6985" b="10795"/>
                <wp:wrapNone/>
                <wp:docPr id="35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5E57D" id="Line 214"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8.65pt" to="36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RL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" strokeweight=".48pt">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(2019) </w:t>
      </w:r>
      <w:r w:rsidR="002D29FC">
        <w:rPr>
          <w:rFonts w:ascii="Calibri"/>
          <w:i/>
          <w:sz w:val="16"/>
        </w:rPr>
        <w:t>Adult Social Care Finance Return (ASC-FR)</w:t>
      </w:r>
      <w:r w:rsidR="002D29FC">
        <w:rPr>
          <w:rFonts w:ascii="Calibri"/>
          <w:sz w:val="16"/>
        </w:rPr>
        <w:t xml:space="preserve">, NHS Digital 2018/19, </w:t>
      </w:r>
      <w:hyperlink r:id="rId122">
        <w:r w:rsidR="002D29FC">
          <w:rPr>
            <w:rFonts w:ascii="Calibri"/>
            <w:sz w:val="16"/>
            <w:u w:val="single"/>
          </w:rPr>
          <w:t>https://digital.nhs.uk/data-and-</w:t>
        </w:r>
      </w:hyperlink>
      <w:r w:rsidR="002D29FC">
        <w:rPr>
          <w:rFonts w:ascii="Calibri"/>
          <w:sz w:val="16"/>
        </w:rPr>
        <w:t xml:space="preserve"> </w:t>
      </w:r>
      <w:hyperlink r:id="rId123">
        <w:r w:rsidR="002D29FC">
          <w:rPr>
            <w:rFonts w:ascii="Calibri"/>
            <w:sz w:val="16"/>
          </w:rPr>
          <w:t xml:space="preserve">information/publications/statistical/adult-social-care-activity-and-finance-report/2018-19 </w:t>
        </w:r>
      </w:hyperlink>
      <w:r w:rsidR="002D29FC">
        <w:rPr>
          <w:rFonts w:ascii="Calibri"/>
          <w:sz w:val="16"/>
        </w:rPr>
        <w:t>[accessed 23 October, 2019], in collaboration with the Department of Health and Social Care.</w:t>
      </w:r>
    </w:p>
    <w:p w:rsidR="006A18FD" w:rsidRDefault="002D29FC">
      <w:pPr>
        <w:spacing w:line="194" w:lineRule="exact"/>
        <w:ind w:left="152"/>
        <w:rPr>
          <w:rFonts w:ascii="Calibri"/>
          <w:sz w:val="16"/>
        </w:rPr>
      </w:pPr>
      <w:r>
        <w:rPr>
          <w:rFonts w:ascii="Calibri"/>
          <w:position w:val="5"/>
          <w:sz w:val="10"/>
        </w:rPr>
        <w:t xml:space="preserve">2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36" w:right="434" w:hanging="284"/>
        <w:rPr>
          <w:rFonts w:ascii="Calibri"/>
          <w:sz w:val="16"/>
        </w:rPr>
      </w:pPr>
      <w:r>
        <w:rPr>
          <w:rFonts w:ascii="Calibri"/>
          <w:position w:val="5"/>
          <w:sz w:val="10"/>
        </w:rPr>
        <w:t xml:space="preserve">3 </w:t>
      </w:r>
      <w:r>
        <w:rPr>
          <w:rFonts w:ascii="Calibri"/>
          <w:sz w:val="16"/>
        </w:rPr>
        <w:t xml:space="preserve">Department for Work and Pensions (2016) </w:t>
      </w:r>
      <w:r>
        <w:rPr>
          <w:rFonts w:ascii="Calibri"/>
          <w:i/>
          <w:sz w:val="16"/>
        </w:rPr>
        <w:t>Proposed benefit and pension rates</w:t>
      </w:r>
      <w:r>
        <w:rPr>
          <w:rFonts w:ascii="Calibri"/>
          <w:sz w:val="16"/>
        </w:rPr>
        <w:t xml:space="preserve">, Department for Work and Pensions, London. </w:t>
      </w:r>
      <w:r>
        <w:rPr>
          <w:rFonts w:ascii="Calibri"/>
          <w:sz w:val="16"/>
          <w:u w:val="single"/>
        </w:rPr>
        <w:t>https://</w:t>
      </w:r>
      <w:hyperlink r:id="rId124">
        <w:r>
          <w:rPr>
            <w:rFonts w:ascii="Calibri"/>
            <w:sz w:val="16"/>
            <w:u w:val="single"/>
          </w:rPr>
          <w:t>www.gov.uk/government/uploads/system/uploads/attachment_data/file/572844/proposed-benefit-and-pension-rates-2017-to-2018.pdf</w:t>
        </w:r>
      </w:hyperlink>
      <w:r>
        <w:rPr>
          <w:rFonts w:ascii="Calibri"/>
          <w:sz w:val="16"/>
        </w:rPr>
        <w:t xml:space="preserve"> [accessed 13 September 2017].</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5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56" name="Line 21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39331C" id="Group 21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uzP/cfQIAAIEFAAAO&#10;AAAAAAAAAAAAAAAAAC4CAABkcnMvZTJvRG9jLnhtbFBLAQItABQABgAIAAAAIQAtd+Rc2gAAAAQB&#10;AAAPAAAAAAAAAAAAAAAAANcEAABkcnMvZG93bnJldi54bWxQSwUGAAAAAAQABADzAAAA3gUAAAAA&#10;">
                <v:line id="Line 21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w10:anchorlock/>
              </v:group>
            </w:pict>
          </mc:Fallback>
        </mc:AlternateContent>
      </w:r>
    </w:p>
    <w:p w:rsidR="006A18FD" w:rsidRDefault="009C3814" w:rsidP="009C3814">
      <w:pPr>
        <w:pStyle w:val="Heading2"/>
      </w:pPr>
      <w:r>
        <w:t xml:space="preserve">2.3 </w:t>
      </w:r>
      <w:r w:rsidR="002D29FC">
        <w:t>Local authority own-provision social services day care for adults requiring mental health support (age</w:t>
      </w:r>
      <w:r w:rsidR="002D29FC">
        <w:rPr>
          <w:spacing w:val="-13"/>
        </w:rPr>
        <w:t xml:space="preserve"> </w:t>
      </w:r>
      <w:r w:rsidR="002D29FC">
        <w:t>18-64)</w:t>
      </w:r>
    </w:p>
    <w:p w:rsidR="006A18FD" w:rsidRDefault="002D29FC">
      <w:pPr>
        <w:spacing w:before="120" w:line="276" w:lineRule="auto"/>
        <w:ind w:left="140" w:right="512"/>
        <w:rPr>
          <w:rFonts w:ascii="Calibri" w:hAnsi="Calibri"/>
          <w:sz w:val="18"/>
        </w:rPr>
      </w:pPr>
      <w:r>
        <w:rPr>
          <w:rFonts w:ascii="Calibri" w:hAnsi="Calibri"/>
          <w:sz w:val="18"/>
        </w:rPr>
        <w:t>As day care expenditure is now combined with other expenditure in the ASC-FR data collection,</w:t>
      </w:r>
      <w:r>
        <w:rPr>
          <w:rFonts w:ascii="Calibri" w:hAnsi="Calibri"/>
          <w:position w:val="5"/>
          <w:sz w:val="12"/>
        </w:rPr>
        <w:t xml:space="preserve">1 </w:t>
      </w:r>
      <w:r>
        <w:rPr>
          <w:rFonts w:ascii="Calibri" w:hAnsi="Calibri"/>
          <w:sz w:val="18"/>
        </w:rPr>
        <w:t>this table uses the Personal Social Services Expenditure return (PSS EX1)</w:t>
      </w:r>
      <w:r>
        <w:rPr>
          <w:rFonts w:ascii="Calibri" w:hAnsi="Calibri"/>
          <w:position w:val="5"/>
          <w:sz w:val="12"/>
        </w:rPr>
        <w:t xml:space="preserve">2 </w:t>
      </w:r>
      <w:r>
        <w:rPr>
          <w:rFonts w:ascii="Calibri" w:hAnsi="Calibri"/>
          <w:sz w:val="18"/>
        </w:rPr>
        <w:t>for 2013/2014 for local authority expenditure, which have been uprated using the PSS pay &amp; prices inflator. Councils reporting costs of more than £500 per client week have been excluded from these estimates. The median cost was £111 and mean cost was £115 per client week (including capital costs). These data do not include the number of sessions clients attended each week.</w:t>
      </w:r>
    </w:p>
    <w:p w:rsidR="006A18FD" w:rsidRDefault="002D29FC">
      <w:pPr>
        <w:spacing w:before="119" w:line="276" w:lineRule="auto"/>
        <w:ind w:left="140" w:right="430"/>
        <w:rPr>
          <w:rFonts w:ascii="Calibri" w:hAnsi="Calibri"/>
          <w:sz w:val="18"/>
        </w:rPr>
      </w:pPr>
      <w:r>
        <w:rPr>
          <w:rFonts w:ascii="Calibri" w:hAnsi="Calibri"/>
          <w:sz w:val="18"/>
        </w:rPr>
        <w:t>To determine the best unit of activity, we submitted a Freedom of Information request to ask local authorities the duration of a ‘unit of activity’ and to provide approximate guidance on how many units a week clients attend.</w:t>
      </w:r>
    </w:p>
    <w:p w:rsidR="006A18FD" w:rsidRDefault="002D29FC">
      <w:pPr>
        <w:spacing w:before="119" w:line="276" w:lineRule="auto"/>
        <w:ind w:left="140" w:right="364"/>
        <w:rPr>
          <w:rFonts w:ascii="Calibri"/>
          <w:sz w:val="18"/>
        </w:rPr>
      </w:pPr>
      <w:r>
        <w:rPr>
          <w:rFonts w:ascii="Calibri"/>
          <w:sz w:val="18"/>
        </w:rPr>
        <w:t>Based on information provided by ten local authorities,</w:t>
      </w:r>
      <w:r>
        <w:rPr>
          <w:rFonts w:ascii="Calibri"/>
          <w:position w:val="5"/>
          <w:sz w:val="12"/>
        </w:rPr>
        <w:t xml:space="preserve">3 </w:t>
      </w:r>
      <w:r>
        <w:rPr>
          <w:rFonts w:ascii="Calibri"/>
          <w:sz w:val="18"/>
        </w:rPr>
        <w:t>we have calculated an average cost per client attendance and also a cost per client hour. We have then used this information to calculate the cost of a client session lasting 3.5 hours, which is a typical standard unit of day care for most local authorities responding to our information request.</w:t>
      </w:r>
    </w:p>
    <w:p w:rsidR="006A18FD" w:rsidRDefault="002D29FC">
      <w:pPr>
        <w:spacing w:before="119" w:line="278" w:lineRule="auto"/>
        <w:ind w:left="140" w:right="646"/>
        <w:rPr>
          <w:rFonts w:ascii="Calibri"/>
          <w:sz w:val="12"/>
        </w:rPr>
      </w:pPr>
      <w:r>
        <w:rPr>
          <w:rFonts w:ascii="Calibri"/>
          <w:sz w:val="18"/>
        </w:rPr>
        <w:t>For day care for people requiring mental health support, the average number of sessions attended per week was 3, which is also the number of sessions recommended as part of a total recovery programme.</w:t>
      </w:r>
      <w:r>
        <w:rPr>
          <w:rFonts w:ascii="Calibri"/>
          <w:position w:val="5"/>
          <w:sz w:val="12"/>
        </w:rPr>
        <w:t>4</w:t>
      </w:r>
    </w:p>
    <w:p w:rsidR="006A18FD" w:rsidRDefault="006A18FD">
      <w:pPr>
        <w:spacing w:before="7"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53166C">
        <w:trPr>
          <w:trHeight w:val="340"/>
          <w:tblHeader/>
        </w:trPr>
        <w:tc>
          <w:tcPr>
            <w:tcW w:w="2268" w:type="dxa"/>
          </w:tcPr>
          <w:p w:rsidR="006A18FD" w:rsidRDefault="002D29FC">
            <w:pPr>
              <w:spacing w:before="1"/>
              <w:ind w:left="52"/>
              <w:rPr>
                <w:rFonts w:ascii="Calibri"/>
                <w:b/>
                <w:sz w:val="18"/>
              </w:rPr>
            </w:pPr>
            <w:r>
              <w:rPr>
                <w:rFonts w:ascii="Calibri"/>
                <w:b/>
                <w:sz w:val="18"/>
              </w:rPr>
              <w:t>Costs and unit estimation</w:t>
            </w:r>
          </w:p>
        </w:tc>
        <w:tc>
          <w:tcPr>
            <w:tcW w:w="1702" w:type="dxa"/>
          </w:tcPr>
          <w:p w:rsidR="006A18FD" w:rsidRDefault="002D29FC">
            <w:pPr>
              <w:spacing w:before="1"/>
              <w:ind w:left="102"/>
              <w:rPr>
                <w:rFonts w:ascii="Calibri"/>
                <w:b/>
                <w:sz w:val="18"/>
              </w:rPr>
            </w:pPr>
            <w:r>
              <w:rPr>
                <w:rFonts w:ascii="Calibri"/>
                <w:b/>
                <w:sz w:val="18"/>
              </w:rPr>
              <w:t>2018/2019 value</w:t>
            </w:r>
          </w:p>
        </w:tc>
        <w:tc>
          <w:tcPr>
            <w:tcW w:w="6236" w:type="dxa"/>
          </w:tcPr>
          <w:p w:rsidR="006A18FD" w:rsidRDefault="002D29FC">
            <w:pPr>
              <w:spacing w:before="1"/>
              <w:ind w:left="103"/>
              <w:rPr>
                <w:rFonts w:ascii="Calibri"/>
                <w:b/>
                <w:sz w:val="18"/>
              </w:rPr>
            </w:pPr>
            <w:r>
              <w:rPr>
                <w:rFonts w:ascii="Calibri"/>
                <w:b/>
                <w:sz w:val="18"/>
              </w:rPr>
              <w:t>Notes</w:t>
            </w:r>
          </w:p>
        </w:tc>
      </w:tr>
      <w:tr w:rsidR="006A18FD">
        <w:trPr>
          <w:trHeight w:val="220"/>
        </w:trPr>
        <w:tc>
          <w:tcPr>
            <w:tcW w:w="2268" w:type="dxa"/>
            <w:tcBorders>
              <w:bottom w:val="nil"/>
            </w:tcBorders>
          </w:tcPr>
          <w:p w:rsidR="006A18FD" w:rsidRDefault="002D29FC">
            <w:pPr>
              <w:spacing w:line="216" w:lineRule="exact"/>
              <w:ind w:left="103"/>
              <w:rPr>
                <w:rFonts w:ascii="Calibri"/>
                <w:sz w:val="18"/>
              </w:rPr>
            </w:pPr>
            <w:r>
              <w:rPr>
                <w:rFonts w:ascii="Calibri"/>
                <w:sz w:val="18"/>
              </w:rPr>
              <w:t>Capital costs</w:t>
            </w:r>
          </w:p>
        </w:tc>
        <w:tc>
          <w:tcPr>
            <w:tcW w:w="1702" w:type="dxa"/>
            <w:tcBorders>
              <w:bottom w:val="nil"/>
            </w:tcBorders>
          </w:tcPr>
          <w:p w:rsidR="006A18FD" w:rsidRDefault="006A18FD">
            <w:pPr>
              <w:rPr>
                <w:rFonts w:ascii="Times New Roman"/>
                <w:sz w:val="16"/>
              </w:rPr>
            </w:pPr>
          </w:p>
        </w:tc>
        <w:tc>
          <w:tcPr>
            <w:tcW w:w="6236" w:type="dxa"/>
            <w:tcBorders>
              <w:bottom w:val="nil"/>
            </w:tcBorders>
          </w:tcPr>
          <w:p w:rsidR="006A18FD" w:rsidRDefault="006A18FD">
            <w:pPr>
              <w:rPr>
                <w:rFonts w:ascii="Times New Roman"/>
                <w:sz w:val="16"/>
              </w:rPr>
            </w:pPr>
          </w:p>
        </w:tc>
      </w:tr>
      <w:tr w:rsidR="006A18FD">
        <w:trPr>
          <w:trHeight w:val="220"/>
        </w:trPr>
        <w:tc>
          <w:tcPr>
            <w:tcW w:w="2268" w:type="dxa"/>
            <w:tcBorders>
              <w:top w:val="nil"/>
              <w:bottom w:val="nil"/>
            </w:tcBorders>
          </w:tcPr>
          <w:p w:rsidR="006A18FD" w:rsidRDefault="002D29FC">
            <w:pPr>
              <w:spacing w:before="1" w:line="207" w:lineRule="exact"/>
              <w:ind w:left="103"/>
              <w:rPr>
                <w:rFonts w:ascii="Calibri"/>
                <w:sz w:val="18"/>
              </w:rPr>
            </w:pPr>
            <w:r>
              <w:rPr>
                <w:rFonts w:ascii="Calibri"/>
                <w:sz w:val="18"/>
              </w:rPr>
              <w:t>A. Buildings and oncosts</w:t>
            </w:r>
          </w:p>
        </w:tc>
        <w:tc>
          <w:tcPr>
            <w:tcW w:w="1702" w:type="dxa"/>
            <w:tcBorders>
              <w:top w:val="nil"/>
              <w:bottom w:val="nil"/>
            </w:tcBorders>
          </w:tcPr>
          <w:p w:rsidR="006A18FD" w:rsidRDefault="002D29FC">
            <w:pPr>
              <w:spacing w:before="1" w:line="207" w:lineRule="exact"/>
              <w:ind w:left="102"/>
              <w:rPr>
                <w:rFonts w:ascii="Calibri" w:hAnsi="Calibri"/>
                <w:sz w:val="18"/>
              </w:rPr>
            </w:pPr>
            <w:r>
              <w:rPr>
                <w:rFonts w:ascii="Calibri" w:hAnsi="Calibri"/>
                <w:sz w:val="18"/>
              </w:rPr>
              <w:t>£6.30 per client</w:t>
            </w:r>
          </w:p>
        </w:tc>
        <w:tc>
          <w:tcPr>
            <w:tcW w:w="6236" w:type="dxa"/>
            <w:tcBorders>
              <w:top w:val="nil"/>
              <w:bottom w:val="nil"/>
            </w:tcBorders>
          </w:tcPr>
          <w:p w:rsidR="006A18FD" w:rsidRDefault="002D29FC">
            <w:pPr>
              <w:spacing w:line="204" w:lineRule="exact"/>
              <w:ind w:left="103"/>
              <w:rPr>
                <w:rFonts w:ascii="Calibri"/>
                <w:sz w:val="18"/>
              </w:rPr>
            </w:pPr>
            <w:r>
              <w:rPr>
                <w:rFonts w:ascii="Calibri"/>
                <w:sz w:val="18"/>
              </w:rPr>
              <w:t>Based on the new-build and land requirements for local authority day care</w:t>
            </w:r>
          </w:p>
        </w:tc>
      </w:tr>
      <w:tr w:rsidR="006A18FD">
        <w:trPr>
          <w:trHeight w:val="22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2D29FC">
            <w:pPr>
              <w:spacing w:line="201" w:lineRule="exact"/>
              <w:ind w:left="102"/>
              <w:rPr>
                <w:rFonts w:ascii="Calibri"/>
                <w:sz w:val="18"/>
              </w:rPr>
            </w:pPr>
            <w:r>
              <w:rPr>
                <w:rFonts w:ascii="Calibri"/>
                <w:sz w:val="18"/>
              </w:rPr>
              <w:t>attendance</w:t>
            </w:r>
          </w:p>
        </w:tc>
        <w:tc>
          <w:tcPr>
            <w:tcW w:w="6236" w:type="dxa"/>
            <w:tcBorders>
              <w:top w:val="nil"/>
              <w:bottom w:val="nil"/>
            </w:tcBorders>
          </w:tcPr>
          <w:p w:rsidR="006A18FD" w:rsidRDefault="002D29FC">
            <w:pPr>
              <w:spacing w:line="194" w:lineRule="exact"/>
              <w:ind w:left="103"/>
              <w:rPr>
                <w:rFonts w:ascii="Calibri"/>
                <w:sz w:val="18"/>
              </w:rPr>
            </w:pPr>
            <w:r>
              <w:rPr>
                <w:rFonts w:ascii="Calibri"/>
                <w:sz w:val="18"/>
              </w:rPr>
              <w:t>facilities (which do not distinguish client group). Capital and land costs have been</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190" w:lineRule="exact"/>
              <w:ind w:left="103"/>
              <w:rPr>
                <w:rFonts w:ascii="Calibri"/>
                <w:sz w:val="18"/>
              </w:rPr>
            </w:pPr>
            <w:r>
              <w:rPr>
                <w:rFonts w:ascii="Calibri"/>
                <w:sz w:val="18"/>
              </w:rPr>
              <w:t>annuitised over 60 years at a discount rate of 3.5 per cent, declining to 3 per cent</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197" w:lineRule="exact"/>
              <w:ind w:left="103"/>
              <w:rPr>
                <w:rFonts w:ascii="Calibri"/>
                <w:sz w:val="18"/>
              </w:rPr>
            </w:pPr>
            <w:r>
              <w:rPr>
                <w:rFonts w:ascii="Calibri"/>
                <w:sz w:val="18"/>
              </w:rPr>
              <w:t>after 30 years.</w:t>
            </w:r>
          </w:p>
        </w:tc>
      </w:tr>
      <w:tr w:rsidR="006A18FD">
        <w:trPr>
          <w:trHeight w:val="220"/>
        </w:trPr>
        <w:tc>
          <w:tcPr>
            <w:tcW w:w="2268" w:type="dxa"/>
            <w:tcBorders>
              <w:top w:val="nil"/>
              <w:bottom w:val="nil"/>
            </w:tcBorders>
          </w:tcPr>
          <w:p w:rsidR="006A18FD" w:rsidRDefault="002D29FC">
            <w:pPr>
              <w:spacing w:line="201" w:lineRule="exact"/>
              <w:ind w:left="103"/>
              <w:rPr>
                <w:rFonts w:ascii="Calibri"/>
                <w:sz w:val="18"/>
              </w:rPr>
            </w:pPr>
            <w:r>
              <w:rPr>
                <w:rFonts w:ascii="Calibri"/>
                <w:sz w:val="18"/>
              </w:rPr>
              <w:t>B. Land</w:t>
            </w:r>
          </w:p>
        </w:tc>
        <w:tc>
          <w:tcPr>
            <w:tcW w:w="1702" w:type="dxa"/>
            <w:tcBorders>
              <w:top w:val="nil"/>
              <w:bottom w:val="nil"/>
            </w:tcBorders>
          </w:tcPr>
          <w:p w:rsidR="006A18FD" w:rsidRDefault="002D29FC">
            <w:pPr>
              <w:spacing w:line="201" w:lineRule="exact"/>
              <w:ind w:left="102"/>
              <w:rPr>
                <w:rFonts w:ascii="Calibri" w:hAnsi="Calibri"/>
                <w:sz w:val="18"/>
              </w:rPr>
            </w:pPr>
            <w:r>
              <w:rPr>
                <w:rFonts w:ascii="Calibri" w:hAnsi="Calibri"/>
                <w:sz w:val="18"/>
              </w:rPr>
              <w:t>£2.20 per client</w:t>
            </w:r>
          </w:p>
        </w:tc>
        <w:tc>
          <w:tcPr>
            <w:tcW w:w="6236" w:type="dxa"/>
            <w:tcBorders>
              <w:top w:val="nil"/>
              <w:bottom w:val="nil"/>
            </w:tcBorders>
          </w:tcPr>
          <w:p w:rsidR="006A18FD" w:rsidRDefault="002D29FC">
            <w:pPr>
              <w:spacing w:line="201" w:lineRule="exact"/>
              <w:ind w:left="103"/>
              <w:rPr>
                <w:rFonts w:ascii="Calibri"/>
                <w:sz w:val="12"/>
              </w:rPr>
            </w:pPr>
            <w:r>
              <w:rPr>
                <w:rFonts w:ascii="Calibri"/>
                <w:sz w:val="18"/>
              </w:rPr>
              <w:t>Based on Ministry of Housing, Communities &amp; Local Government land estimates.</w:t>
            </w:r>
            <w:r>
              <w:rPr>
                <w:rFonts w:ascii="Calibri"/>
                <w:position w:val="5"/>
                <w:sz w:val="12"/>
              </w:rPr>
              <w:t>5</w:t>
            </w:r>
          </w:p>
        </w:tc>
      </w:tr>
      <w:tr w:rsidR="006A18FD">
        <w:trPr>
          <w:trHeight w:val="200"/>
        </w:trPr>
        <w:tc>
          <w:tcPr>
            <w:tcW w:w="2268" w:type="dxa"/>
            <w:tcBorders>
              <w:top w:val="nil"/>
            </w:tcBorders>
          </w:tcPr>
          <w:p w:rsidR="006A18FD" w:rsidRDefault="006A18FD">
            <w:pPr>
              <w:rPr>
                <w:rFonts w:ascii="Times New Roman"/>
                <w:sz w:val="14"/>
              </w:rPr>
            </w:pPr>
          </w:p>
        </w:tc>
        <w:tc>
          <w:tcPr>
            <w:tcW w:w="1702" w:type="dxa"/>
            <w:tcBorders>
              <w:top w:val="nil"/>
            </w:tcBorders>
          </w:tcPr>
          <w:p w:rsidR="006A18FD" w:rsidRDefault="002D29FC">
            <w:pPr>
              <w:spacing w:line="186" w:lineRule="exact"/>
              <w:ind w:left="102"/>
              <w:rPr>
                <w:rFonts w:ascii="Calibri"/>
                <w:sz w:val="18"/>
              </w:rPr>
            </w:pPr>
            <w:r>
              <w:rPr>
                <w:rFonts w:ascii="Calibri"/>
                <w:sz w:val="18"/>
              </w:rPr>
              <w:t>attendance</w:t>
            </w:r>
          </w:p>
        </w:tc>
        <w:tc>
          <w:tcPr>
            <w:tcW w:w="6236" w:type="dxa"/>
            <w:tcBorders>
              <w:top w:val="nil"/>
            </w:tcBorders>
          </w:tcPr>
          <w:p w:rsidR="006A18FD" w:rsidRDefault="002D29FC">
            <w:pPr>
              <w:spacing w:line="186" w:lineRule="exact"/>
              <w:ind w:left="103"/>
              <w:rPr>
                <w:rFonts w:ascii="Calibri"/>
                <w:sz w:val="12"/>
              </w:rPr>
            </w:pPr>
            <w:r>
              <w:rPr>
                <w:rFonts w:ascii="Calibri"/>
                <w:sz w:val="18"/>
              </w:rPr>
              <w:t>These allow for 33.4 square metres per person.</w:t>
            </w:r>
            <w:r>
              <w:rPr>
                <w:rFonts w:ascii="Calibri"/>
                <w:position w:val="5"/>
                <w:sz w:val="12"/>
              </w:rPr>
              <w:t>6</w:t>
            </w:r>
          </w:p>
        </w:tc>
      </w:tr>
      <w:tr w:rsidR="006A18FD">
        <w:trPr>
          <w:trHeight w:val="640"/>
        </w:trPr>
        <w:tc>
          <w:tcPr>
            <w:tcW w:w="2268" w:type="dxa"/>
          </w:tcPr>
          <w:p w:rsidR="006A18FD" w:rsidRDefault="002D29FC">
            <w:pPr>
              <w:spacing w:line="219" w:lineRule="exact"/>
              <w:ind w:left="103"/>
              <w:rPr>
                <w:rFonts w:ascii="Calibri"/>
                <w:sz w:val="18"/>
              </w:rPr>
            </w:pPr>
            <w:r>
              <w:rPr>
                <w:rFonts w:ascii="Calibri"/>
                <w:sz w:val="18"/>
              </w:rPr>
              <w:t>C. Other capital</w:t>
            </w:r>
          </w:p>
        </w:tc>
        <w:tc>
          <w:tcPr>
            <w:tcW w:w="1702" w:type="dxa"/>
          </w:tcPr>
          <w:p w:rsidR="006A18FD" w:rsidRDefault="006A18FD">
            <w:pPr>
              <w:rPr>
                <w:rFonts w:ascii="Times New Roman"/>
                <w:sz w:val="16"/>
              </w:rPr>
            </w:pPr>
          </w:p>
        </w:tc>
        <w:tc>
          <w:tcPr>
            <w:tcW w:w="6236" w:type="dxa"/>
          </w:tcPr>
          <w:p w:rsidR="006A18FD" w:rsidRDefault="002D29FC">
            <w:pPr>
              <w:ind w:left="103" w:right="90"/>
              <w:rPr>
                <w:rFonts w:ascii="Calibri"/>
                <w:sz w:val="18"/>
              </w:rPr>
            </w:pPr>
            <w:r>
              <w:rPr>
                <w:rFonts w:ascii="Calibri"/>
                <w:sz w:val="18"/>
              </w:rPr>
              <w:t>Capital costs not relating to buildings and oncosts are included in the local authority expenditure figures, so no additional cost has been added for other</w:t>
            </w:r>
          </w:p>
          <w:p w:rsidR="006A18FD" w:rsidRDefault="002D29FC">
            <w:pPr>
              <w:spacing w:before="1" w:line="198" w:lineRule="exact"/>
              <w:ind w:left="103"/>
              <w:rPr>
                <w:rFonts w:ascii="Calibri"/>
                <w:sz w:val="18"/>
              </w:rPr>
            </w:pPr>
            <w:r>
              <w:rPr>
                <w:rFonts w:ascii="Calibri"/>
                <w:sz w:val="18"/>
              </w:rPr>
              <w:t>items such as equipment and durables.</w:t>
            </w:r>
          </w:p>
        </w:tc>
      </w:tr>
      <w:tr w:rsidR="006A18FD">
        <w:trPr>
          <w:trHeight w:val="1980"/>
        </w:trPr>
        <w:tc>
          <w:tcPr>
            <w:tcW w:w="2268" w:type="dxa"/>
          </w:tcPr>
          <w:p w:rsidR="006A18FD" w:rsidRDefault="002D29FC" w:rsidP="008E3FA8">
            <w:pPr>
              <w:numPr>
                <w:ilvl w:val="0"/>
                <w:numId w:val="18"/>
              </w:numPr>
              <w:tabs>
                <w:tab w:val="left" w:pos="300"/>
              </w:tabs>
              <w:spacing w:before="1"/>
              <w:ind w:right="145" w:firstLine="0"/>
              <w:rPr>
                <w:rFonts w:ascii="Calibri"/>
                <w:sz w:val="18"/>
              </w:rPr>
            </w:pPr>
            <w:r>
              <w:rPr>
                <w:rFonts w:ascii="Calibri"/>
                <w:sz w:val="18"/>
              </w:rPr>
              <w:t>Total local authority expenditure (minus</w:t>
            </w:r>
            <w:r>
              <w:rPr>
                <w:rFonts w:ascii="Calibri"/>
                <w:spacing w:val="-9"/>
                <w:sz w:val="18"/>
              </w:rPr>
              <w:t xml:space="preserve"> </w:t>
            </w:r>
            <w:r>
              <w:rPr>
                <w:rFonts w:ascii="Calibri"/>
                <w:sz w:val="18"/>
              </w:rPr>
              <w:t>capital)</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11"/>
              <w:rPr>
                <w:rFonts w:ascii="Calibri"/>
                <w:sz w:val="17"/>
              </w:rPr>
            </w:pPr>
          </w:p>
          <w:p w:rsidR="006A18FD" w:rsidRDefault="002D29FC" w:rsidP="008E3FA8">
            <w:pPr>
              <w:numPr>
                <w:ilvl w:val="0"/>
                <w:numId w:val="18"/>
              </w:numPr>
              <w:tabs>
                <w:tab w:val="left" w:pos="278"/>
              </w:tabs>
              <w:ind w:left="277" w:hanging="174"/>
              <w:rPr>
                <w:rFonts w:ascii="Calibri"/>
                <w:sz w:val="18"/>
              </w:rPr>
            </w:pPr>
            <w:r>
              <w:rPr>
                <w:rFonts w:ascii="Calibri"/>
                <w:sz w:val="18"/>
              </w:rPr>
              <w:t>Overheads</w:t>
            </w:r>
          </w:p>
        </w:tc>
        <w:tc>
          <w:tcPr>
            <w:tcW w:w="1702" w:type="dxa"/>
          </w:tcPr>
          <w:p w:rsidR="006A18FD" w:rsidRDefault="002D29FC">
            <w:pPr>
              <w:spacing w:before="1"/>
              <w:ind w:left="102" w:right="565"/>
              <w:rPr>
                <w:rFonts w:ascii="Calibri" w:hAnsi="Calibri"/>
                <w:sz w:val="18"/>
              </w:rPr>
            </w:pPr>
            <w:r>
              <w:rPr>
                <w:rFonts w:ascii="Calibri" w:hAnsi="Calibri"/>
                <w:sz w:val="18"/>
              </w:rPr>
              <w:t>£29 per client attendance</w:t>
            </w:r>
          </w:p>
        </w:tc>
        <w:tc>
          <w:tcPr>
            <w:tcW w:w="6236" w:type="dxa"/>
          </w:tcPr>
          <w:p w:rsidR="006A18FD" w:rsidRDefault="002D29FC">
            <w:pPr>
              <w:spacing w:before="1"/>
              <w:ind w:left="103" w:right="140"/>
              <w:rPr>
                <w:rFonts w:ascii="Calibri" w:hAnsi="Calibri"/>
                <w:sz w:val="18"/>
              </w:rPr>
            </w:pPr>
            <w:r>
              <w:rPr>
                <w:rFonts w:ascii="Calibri" w:hAnsi="Calibri"/>
                <w:sz w:val="18"/>
              </w:rPr>
              <w:t>The median cost per client week has been taken from PSS EX1 2013/2014</w:t>
            </w:r>
            <w:r>
              <w:rPr>
                <w:rFonts w:ascii="Calibri" w:hAnsi="Calibri"/>
                <w:position w:val="5"/>
                <w:sz w:val="12"/>
              </w:rPr>
              <w:t xml:space="preserve">1 </w:t>
            </w:r>
            <w:r>
              <w:rPr>
                <w:rFonts w:ascii="Calibri" w:hAnsi="Calibri"/>
                <w:sz w:val="18"/>
              </w:rPr>
              <w:t>and uprated using the PSS pay &amp; prices index. Assuming people requiring mental health support attend on average 3 times per week (4.1 hours in duration), the median and mean cost per day care attendance is £29.</w:t>
            </w:r>
          </w:p>
          <w:p w:rsidR="006A18FD" w:rsidRDefault="006A18FD">
            <w:pPr>
              <w:spacing w:before="11"/>
              <w:rPr>
                <w:rFonts w:ascii="Calibri"/>
                <w:sz w:val="17"/>
              </w:rPr>
            </w:pPr>
          </w:p>
          <w:p w:rsidR="006A18FD" w:rsidRDefault="002D29FC">
            <w:pPr>
              <w:ind w:left="103"/>
              <w:rPr>
                <w:rFonts w:ascii="Calibri"/>
                <w:sz w:val="18"/>
              </w:rPr>
            </w:pPr>
            <w:r>
              <w:rPr>
                <w:rFonts w:ascii="Calibri"/>
                <w:sz w:val="18"/>
              </w:rPr>
              <w:t>Capital charges relating to buildings have been deducted.</w:t>
            </w:r>
          </w:p>
          <w:p w:rsidR="006A18FD" w:rsidRDefault="006A18FD">
            <w:pPr>
              <w:spacing w:before="10"/>
              <w:rPr>
                <w:rFonts w:ascii="Calibri"/>
                <w:sz w:val="17"/>
              </w:rPr>
            </w:pPr>
          </w:p>
          <w:p w:rsidR="006A18FD" w:rsidRDefault="002D29FC">
            <w:pPr>
              <w:spacing w:before="1" w:line="220" w:lineRule="atLeast"/>
              <w:ind w:left="103" w:right="140"/>
              <w:rPr>
                <w:rFonts w:ascii="Calibri"/>
                <w:sz w:val="18"/>
              </w:rPr>
            </w:pPr>
            <w:r>
              <w:rPr>
                <w:rFonts w:ascii="Calibri"/>
                <w:sz w:val="18"/>
              </w:rPr>
              <w:t>Social services management and support services (SSMSS) costs are included in PSS EX1 expenditure figures so no additional overheads have been added.</w:t>
            </w:r>
          </w:p>
        </w:tc>
      </w:tr>
      <w:tr w:rsidR="006A18FD">
        <w:trPr>
          <w:trHeight w:val="200"/>
        </w:trPr>
        <w:tc>
          <w:tcPr>
            <w:tcW w:w="2268" w:type="dxa"/>
          </w:tcPr>
          <w:p w:rsidR="006A18FD" w:rsidRDefault="002D29FC">
            <w:pPr>
              <w:spacing w:line="198" w:lineRule="exact"/>
              <w:ind w:left="103"/>
              <w:rPr>
                <w:rFonts w:ascii="Calibri"/>
                <w:sz w:val="18"/>
              </w:rPr>
            </w:pPr>
            <w:r>
              <w:rPr>
                <w:rFonts w:ascii="Calibri"/>
                <w:sz w:val="18"/>
              </w:rPr>
              <w:t>Use of facility by client</w:t>
            </w:r>
          </w:p>
        </w:tc>
        <w:tc>
          <w:tcPr>
            <w:tcW w:w="1702" w:type="dxa"/>
          </w:tcPr>
          <w:p w:rsidR="006A18FD" w:rsidRDefault="006A18FD">
            <w:pPr>
              <w:rPr>
                <w:rFonts w:ascii="Times New Roman"/>
                <w:sz w:val="14"/>
              </w:rPr>
            </w:pPr>
          </w:p>
        </w:tc>
        <w:tc>
          <w:tcPr>
            <w:tcW w:w="6236" w:type="dxa"/>
          </w:tcPr>
          <w:p w:rsidR="006A18FD" w:rsidRDefault="002D29FC">
            <w:pPr>
              <w:spacing w:line="198" w:lineRule="exact"/>
              <w:ind w:left="103"/>
              <w:rPr>
                <w:rFonts w:ascii="Calibri"/>
                <w:sz w:val="12"/>
              </w:rPr>
            </w:pPr>
            <w:r>
              <w:rPr>
                <w:rFonts w:ascii="Calibri"/>
                <w:sz w:val="18"/>
              </w:rPr>
              <w:t>Assumes clients attend 3 times per week.</w:t>
            </w:r>
            <w:r>
              <w:rPr>
                <w:rFonts w:ascii="Calibri"/>
                <w:position w:val="5"/>
                <w:sz w:val="12"/>
              </w:rPr>
              <w:t>3</w:t>
            </w:r>
          </w:p>
        </w:tc>
      </w:tr>
      <w:tr w:rsidR="006A18FD">
        <w:trPr>
          <w:trHeight w:val="220"/>
        </w:trPr>
        <w:tc>
          <w:tcPr>
            <w:tcW w:w="2268" w:type="dxa"/>
          </w:tcPr>
          <w:p w:rsidR="006A18FD" w:rsidRDefault="006A18FD">
            <w:pPr>
              <w:rPr>
                <w:rFonts w:ascii="Times New Roman"/>
                <w:sz w:val="14"/>
              </w:rPr>
            </w:pPr>
          </w:p>
        </w:tc>
        <w:tc>
          <w:tcPr>
            <w:tcW w:w="1702" w:type="dxa"/>
          </w:tcPr>
          <w:p w:rsidR="006A18FD" w:rsidRDefault="006A18FD">
            <w:pPr>
              <w:rPr>
                <w:rFonts w:ascii="Times New Roman"/>
                <w:sz w:val="14"/>
              </w:rPr>
            </w:pPr>
          </w:p>
        </w:tc>
        <w:tc>
          <w:tcPr>
            <w:tcW w:w="6236" w:type="dxa"/>
          </w:tcPr>
          <w:p w:rsidR="006A18FD" w:rsidRDefault="006A18FD">
            <w:pPr>
              <w:rPr>
                <w:rFonts w:ascii="Times New Roman"/>
                <w:sz w:val="14"/>
              </w:rPr>
            </w:pPr>
          </w:p>
        </w:tc>
      </w:tr>
      <w:tr w:rsidR="006A18FD">
        <w:trPr>
          <w:trHeight w:val="740"/>
        </w:trPr>
        <w:tc>
          <w:tcPr>
            <w:tcW w:w="2268" w:type="dxa"/>
          </w:tcPr>
          <w:p w:rsidR="006A18FD" w:rsidRDefault="002D29FC">
            <w:pPr>
              <w:spacing w:before="1"/>
              <w:ind w:left="103"/>
              <w:rPr>
                <w:rFonts w:ascii="Calibri"/>
                <w:sz w:val="18"/>
              </w:rPr>
            </w:pPr>
            <w:r>
              <w:rPr>
                <w:rFonts w:ascii="Calibri"/>
                <w:sz w:val="18"/>
              </w:rPr>
              <w:t>London multiplier</w:t>
            </w:r>
          </w:p>
        </w:tc>
        <w:tc>
          <w:tcPr>
            <w:tcW w:w="1702" w:type="dxa"/>
          </w:tcPr>
          <w:p w:rsidR="006A18FD" w:rsidRDefault="006A18FD">
            <w:pPr>
              <w:rPr>
                <w:rFonts w:ascii="Times New Roman"/>
                <w:sz w:val="16"/>
              </w:rPr>
            </w:pPr>
          </w:p>
        </w:tc>
        <w:tc>
          <w:tcPr>
            <w:tcW w:w="6236" w:type="dxa"/>
          </w:tcPr>
          <w:p w:rsidR="006A18FD" w:rsidRDefault="006A18FD">
            <w:pPr>
              <w:spacing w:before="11"/>
              <w:rPr>
                <w:rFonts w:ascii="Calibri"/>
                <w:sz w:val="21"/>
              </w:rPr>
            </w:pPr>
          </w:p>
          <w:p w:rsidR="006A18FD" w:rsidRDefault="002D29FC">
            <w:pPr>
              <w:ind w:left="103"/>
              <w:rPr>
                <w:rFonts w:ascii="Calibri"/>
                <w:sz w:val="18"/>
              </w:rPr>
            </w:pPr>
            <w:r>
              <w:rPr>
                <w:rFonts w:ascii="Calibri"/>
                <w:sz w:val="18"/>
              </w:rPr>
              <w:t>See previous volume for information on multipliers</w:t>
            </w:r>
          </w:p>
        </w:tc>
      </w:tr>
      <w:tr w:rsidR="006A18FD">
        <w:trPr>
          <w:trHeight w:val="320"/>
        </w:trPr>
        <w:tc>
          <w:tcPr>
            <w:tcW w:w="10207" w:type="dxa"/>
            <w:gridSpan w:val="3"/>
          </w:tcPr>
          <w:p w:rsidR="006A18FD" w:rsidRDefault="002D29FC">
            <w:pPr>
              <w:spacing w:before="1"/>
              <w:ind w:left="103"/>
              <w:rPr>
                <w:rFonts w:ascii="Calibri"/>
                <w:b/>
                <w:sz w:val="18"/>
              </w:rPr>
            </w:pPr>
            <w:r>
              <w:rPr>
                <w:rFonts w:ascii="Calibri"/>
                <w:b/>
                <w:sz w:val="18"/>
              </w:rPr>
              <w:t>Unit costs available 2018/2019</w:t>
            </w:r>
          </w:p>
        </w:tc>
      </w:tr>
      <w:tr w:rsidR="006A18FD">
        <w:trPr>
          <w:trHeight w:val="220"/>
        </w:trPr>
        <w:tc>
          <w:tcPr>
            <w:tcW w:w="10207" w:type="dxa"/>
            <w:gridSpan w:val="3"/>
          </w:tcPr>
          <w:p w:rsidR="006A18FD" w:rsidRDefault="002D29FC">
            <w:pPr>
              <w:spacing w:before="1" w:line="199" w:lineRule="exact"/>
              <w:ind w:left="103"/>
              <w:rPr>
                <w:rFonts w:ascii="Calibri" w:hAnsi="Calibri"/>
                <w:sz w:val="18"/>
              </w:rPr>
            </w:pPr>
            <w:r>
              <w:rPr>
                <w:rFonts w:ascii="Calibri" w:hAnsi="Calibri"/>
                <w:sz w:val="18"/>
              </w:rPr>
              <w:t>£38 per client attendance (includes A to D); £9.30 per client hour; £32 per client session lasting 3.5 hours.</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E60AD2">
      <w:pPr>
        <w:spacing w:before="156"/>
        <w:ind w:left="423" w:right="644" w:hanging="284"/>
        <w:rPr>
          <w:rFonts w:ascii="Calibri"/>
          <w:sz w:val="16"/>
        </w:rPr>
      </w:pPr>
      <w:r>
        <w:rPr>
          <w:noProof/>
          <w:lang w:val="en-GB" w:eastAsia="en-GB"/>
        </w:rPr>
        <mc:AlternateContent>
          <mc:Choice Requires="wps">
            <w:drawing>
              <wp:anchor distT="0" distB="0" distL="114300" distR="114300" simplePos="0" relativeHeight="251608064" behindDoc="1" locked="0" layoutInCell="1" allowOverlap="1">
                <wp:simplePos x="0" y="0"/>
                <wp:positionH relativeFrom="page">
                  <wp:posOffset>636905</wp:posOffset>
                </wp:positionH>
                <wp:positionV relativeFrom="paragraph">
                  <wp:posOffset>334645</wp:posOffset>
                </wp:positionV>
                <wp:extent cx="3713480" cy="0"/>
                <wp:effectExtent l="8255" t="10795" r="12065" b="8255"/>
                <wp:wrapNone/>
                <wp:docPr id="35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F5061" id="Line 211"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26.35pt" to="342.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DjFwIAACw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" strokeweight=".48pt">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(2018) </w:t>
      </w:r>
      <w:r w:rsidR="002D29FC">
        <w:rPr>
          <w:rFonts w:ascii="Calibri"/>
          <w:i/>
          <w:sz w:val="16"/>
        </w:rPr>
        <w:t>Adult Social Care Finance Return (ASC-FR)</w:t>
      </w:r>
      <w:r w:rsidR="002D29FC">
        <w:rPr>
          <w:rFonts w:ascii="Calibri"/>
          <w:sz w:val="16"/>
        </w:rPr>
        <w:t xml:space="preserve">, NHS Digital 2017/18, </w:t>
      </w:r>
      <w:hyperlink r:id="rId125">
        <w:r w:rsidR="002D29FC">
          <w:rPr>
            <w:rFonts w:ascii="Calibri"/>
            <w:sz w:val="16"/>
            <w:u w:val="single"/>
          </w:rPr>
          <w:t>https://digital.nhs.uk/data-and-</w:t>
        </w:r>
      </w:hyperlink>
      <w:r w:rsidR="002D29FC">
        <w:rPr>
          <w:rFonts w:ascii="Calibri"/>
          <w:sz w:val="16"/>
        </w:rPr>
        <w:t xml:space="preserve"> </w:t>
      </w:r>
      <w:hyperlink r:id="rId126">
        <w:r w:rsidR="002D29FC">
          <w:rPr>
            <w:rFonts w:ascii="Calibri"/>
            <w:sz w:val="16"/>
          </w:rPr>
          <w:t xml:space="preserve">information/publications/statistical/adult-social-care-activity-and-finance-report/2017-18 </w:t>
        </w:r>
      </w:hyperlink>
      <w:r w:rsidR="002D29FC">
        <w:rPr>
          <w:rFonts w:ascii="Calibri"/>
          <w:sz w:val="16"/>
        </w:rPr>
        <w:t>[accessed 30 October, 2018], in collaboration with the Department of Health.</w:t>
      </w:r>
    </w:p>
    <w:p w:rsidR="006A18FD" w:rsidRDefault="002D29FC">
      <w:pPr>
        <w:spacing w:before="2" w:line="195" w:lineRule="exact"/>
        <w:ind w:left="140"/>
        <w:rPr>
          <w:rFonts w:ascii="Calibri"/>
          <w:sz w:val="16"/>
        </w:rPr>
      </w:pPr>
      <w:r>
        <w:rPr>
          <w:rFonts w:ascii="Calibri"/>
          <w:position w:val="5"/>
          <w:sz w:val="10"/>
        </w:rPr>
        <w:t xml:space="preserve">2 </w:t>
      </w:r>
      <w:r>
        <w:rPr>
          <w:rFonts w:ascii="Calibri"/>
          <w:sz w:val="16"/>
        </w:rPr>
        <w:t xml:space="preserve">Health &amp; Social Care Information Centre (2014) </w:t>
      </w:r>
      <w:r>
        <w:rPr>
          <w:rFonts w:ascii="Calibri"/>
          <w:i/>
          <w:sz w:val="16"/>
        </w:rPr>
        <w:t>PSS EX1 2013/14</w:t>
      </w:r>
      <w:r>
        <w:rPr>
          <w:rFonts w:ascii="Calibri"/>
          <w:sz w:val="16"/>
        </w:rPr>
        <w:t>, Health &amp; Social Care Information Centre, Leeds.</w:t>
      </w:r>
    </w:p>
    <w:p w:rsidR="006A18FD" w:rsidRDefault="002D29FC">
      <w:pPr>
        <w:spacing w:line="195" w:lineRule="exact"/>
        <w:ind w:left="140"/>
        <w:rPr>
          <w:rFonts w:ascii="Calibri"/>
          <w:sz w:val="16"/>
        </w:rPr>
      </w:pPr>
      <w:r>
        <w:rPr>
          <w:rFonts w:ascii="Calibri"/>
          <w:position w:val="5"/>
          <w:sz w:val="10"/>
        </w:rPr>
        <w:t xml:space="preserve">3  </w:t>
      </w:r>
      <w:r>
        <w:rPr>
          <w:rFonts w:ascii="Calibri"/>
          <w:sz w:val="16"/>
        </w:rPr>
        <w:t>Based on research carried out by PSSRU in 2014.</w:t>
      </w:r>
    </w:p>
    <w:p w:rsidR="006A18FD" w:rsidRDefault="002D29FC">
      <w:pPr>
        <w:spacing w:before="1" w:line="195" w:lineRule="exact"/>
        <w:ind w:left="140"/>
        <w:rPr>
          <w:rFonts w:ascii="Calibri"/>
          <w:sz w:val="16"/>
        </w:rPr>
      </w:pPr>
      <w:r>
        <w:rPr>
          <w:rFonts w:ascii="Calibri"/>
          <w:position w:val="5"/>
          <w:sz w:val="10"/>
        </w:rPr>
        <w:t xml:space="preserve">4 </w:t>
      </w:r>
      <w:r>
        <w:rPr>
          <w:rFonts w:ascii="Calibri"/>
          <w:sz w:val="16"/>
        </w:rPr>
        <w:t xml:space="preserve">Salford City Council (2011) </w:t>
      </w:r>
      <w:r>
        <w:rPr>
          <w:rFonts w:ascii="Calibri"/>
          <w:i/>
          <w:sz w:val="16"/>
        </w:rPr>
        <w:t xml:space="preserve">Mental health, </w:t>
      </w:r>
      <w:r>
        <w:rPr>
          <w:rFonts w:ascii="Calibri"/>
          <w:sz w:val="16"/>
        </w:rPr>
        <w:t xml:space="preserve">Salford City Council. </w:t>
      </w:r>
      <w:hyperlink r:id="rId127">
        <w:r>
          <w:rPr>
            <w:rFonts w:ascii="Calibri"/>
            <w:sz w:val="16"/>
            <w:u w:val="single"/>
          </w:rPr>
          <w:t>http://www.salford.gov.uk/mentalhealth.htm</w:t>
        </w:r>
        <w:r>
          <w:rPr>
            <w:rFonts w:ascii="Calibri"/>
            <w:sz w:val="16"/>
          </w:rPr>
          <w:t xml:space="preserve"> </w:t>
        </w:r>
      </w:hyperlink>
      <w:r>
        <w:rPr>
          <w:rFonts w:ascii="Calibri"/>
          <w:sz w:val="16"/>
        </w:rPr>
        <w:t>[accessed 9 October 2014].</w:t>
      </w:r>
    </w:p>
    <w:p w:rsidR="006A18FD" w:rsidRDefault="002D29FC">
      <w:pPr>
        <w:ind w:left="423" w:right="1837"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28">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140"/>
        <w:rPr>
          <w:rFonts w:ascii="Calibri"/>
          <w:sz w:val="16"/>
        </w:rPr>
      </w:pPr>
      <w:r>
        <w:rPr>
          <w:rFonts w:ascii="Calibri"/>
          <w:position w:val="5"/>
          <w:sz w:val="10"/>
        </w:rPr>
        <w:t xml:space="preserve">6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6A18FD">
      <w:pPr>
        <w:rPr>
          <w:rFonts w:ascii="Calibri"/>
          <w:sz w:val="16"/>
        </w:rPr>
        <w:sectPr w:rsidR="006A18FD">
          <w:pgSz w:w="11910" w:h="16840"/>
          <w:pgMar w:top="960" w:right="86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5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53" name="Line 21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78882" id="Group 20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KesiRH4CAACBBQAA&#10;DgAAAAAAAAAAAAAAAAAuAgAAZHJzL2Uyb0RvYy54bWxQSwECLQAUAAYACAAAACEALXfkXNoAAAAE&#10;AQAADwAAAAAAAAAAAAAAAADYBAAAZHJzL2Rvd25yZXYueG1sUEsFBgAAAAAEAAQA8wAAAN8FAAAA&#10;AA==&#10;">
                <v:line id="Line 21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w10:anchorlock/>
              </v:group>
            </w:pict>
          </mc:Fallback>
        </mc:AlternateContent>
      </w:r>
    </w:p>
    <w:p w:rsidR="006A18FD" w:rsidRDefault="009C3814" w:rsidP="009C3814">
      <w:pPr>
        <w:pStyle w:val="Heading2"/>
      </w:pPr>
      <w:r>
        <w:t xml:space="preserve">2.4 </w:t>
      </w:r>
      <w:r w:rsidR="002D29FC">
        <w:t>Private and voluntary sector day care for adults requiring mental health support (age</w:t>
      </w:r>
      <w:r w:rsidR="002D29FC">
        <w:rPr>
          <w:spacing w:val="-10"/>
        </w:rPr>
        <w:t xml:space="preserve"> </w:t>
      </w:r>
      <w:r w:rsidR="002D29FC">
        <w:t>18-64)</w:t>
      </w:r>
    </w:p>
    <w:p w:rsidR="006A18FD" w:rsidRDefault="002D29FC">
      <w:pPr>
        <w:spacing w:before="123" w:line="276" w:lineRule="auto"/>
        <w:ind w:left="152"/>
        <w:rPr>
          <w:rFonts w:ascii="Calibri" w:hAnsi="Calibri"/>
          <w:sz w:val="20"/>
        </w:rPr>
      </w:pPr>
      <w:r>
        <w:rPr>
          <w:rFonts w:ascii="Calibri" w:hAnsi="Calibri"/>
          <w:sz w:val="20"/>
        </w:rPr>
        <w:t>This table uses the Personal Social Services Expenditure return (PSS EX1)</w:t>
      </w:r>
      <w:r>
        <w:rPr>
          <w:rFonts w:ascii="Calibri" w:hAnsi="Calibri"/>
          <w:position w:val="5"/>
          <w:sz w:val="12"/>
        </w:rPr>
        <w:t xml:space="preserve">1 </w:t>
      </w:r>
      <w:r>
        <w:rPr>
          <w:rFonts w:ascii="Calibri" w:hAnsi="Calibri"/>
          <w:sz w:val="20"/>
        </w:rPr>
        <w:t>for 2013/2014 for expenditure costs, which have been uprated using the PSS pay &amp; prices inflator. The median cost was £108 per client week and the mean cost was £94 (including capital costs).</w:t>
      </w:r>
    </w:p>
    <w:p w:rsidR="006A18FD" w:rsidRDefault="002D29FC">
      <w:pPr>
        <w:spacing w:before="120" w:line="276" w:lineRule="auto"/>
        <w:ind w:left="152" w:right="183"/>
        <w:rPr>
          <w:rFonts w:ascii="Calibri" w:hAnsi="Calibri"/>
          <w:sz w:val="20"/>
        </w:rPr>
      </w:pPr>
      <w:r>
        <w:rPr>
          <w:rFonts w:ascii="Calibri" w:hAnsi="Calibri"/>
          <w:sz w:val="20"/>
        </w:rPr>
        <w:t>To determine the best unit of activity, we submitted a Freedom of Information request to ask local authorities the duration of a ‘unit of activity’ and to provide approximate guidance on how many times a week clients attend.</w:t>
      </w:r>
    </w:p>
    <w:p w:rsidR="006A18FD" w:rsidRDefault="002D29FC">
      <w:pPr>
        <w:spacing w:before="116" w:line="276" w:lineRule="auto"/>
        <w:ind w:left="152" w:right="143"/>
        <w:rPr>
          <w:rFonts w:ascii="Calibri"/>
          <w:sz w:val="20"/>
        </w:rPr>
      </w:pPr>
      <w:r>
        <w:rPr>
          <w:rFonts w:ascii="Calibri"/>
          <w:sz w:val="20"/>
        </w:rPr>
        <w:t>Based on information provided by ten local authorities,</w:t>
      </w:r>
      <w:r>
        <w:rPr>
          <w:rFonts w:ascii="Calibri"/>
          <w:position w:val="7"/>
          <w:sz w:val="13"/>
        </w:rPr>
        <w:t xml:space="preserve">2  </w:t>
      </w:r>
      <w:r>
        <w:rPr>
          <w:rFonts w:ascii="Calibri"/>
          <w:sz w:val="20"/>
        </w:rPr>
        <w:t>we have calculated an average cost per client attendance and also a cost per client hour. We have then used this information to calculate the cost of a client session lasting 3.5 hours, which is a typical standard unit of day care for most local authorities responding to our information request.</w:t>
      </w:r>
    </w:p>
    <w:p w:rsidR="006A18FD" w:rsidRDefault="002D29FC">
      <w:pPr>
        <w:spacing w:before="119" w:line="273" w:lineRule="auto"/>
        <w:ind w:left="152"/>
        <w:rPr>
          <w:rFonts w:ascii="Calibri"/>
          <w:sz w:val="13"/>
        </w:rPr>
      </w:pPr>
      <w:r>
        <w:rPr>
          <w:rFonts w:ascii="Calibri"/>
          <w:sz w:val="20"/>
        </w:rPr>
        <w:t>For day care for people requiring mental health support, the average number of sessions attended per week was 3, which is also the number of sessions recommended as part of a total recovery programme.</w:t>
      </w:r>
      <w:r>
        <w:rPr>
          <w:rFonts w:ascii="Calibri"/>
          <w:position w:val="7"/>
          <w:sz w:val="13"/>
        </w:rPr>
        <w:t>3</w:t>
      </w:r>
    </w:p>
    <w:p w:rsidR="006A18FD" w:rsidRDefault="006A18FD">
      <w:pPr>
        <w:spacing w:before="10"/>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53166C">
        <w:trPr>
          <w:trHeight w:val="600"/>
          <w:tblHeader/>
        </w:trPr>
        <w:tc>
          <w:tcPr>
            <w:tcW w:w="2232" w:type="dxa"/>
          </w:tcPr>
          <w:p w:rsidR="006A18FD" w:rsidRDefault="002D29FC">
            <w:pPr>
              <w:spacing w:before="1"/>
              <w:ind w:left="52" w:right="971"/>
              <w:rPr>
                <w:rFonts w:ascii="Calibri"/>
                <w:b/>
                <w:sz w:val="20"/>
              </w:rPr>
            </w:pPr>
            <w:r>
              <w:rPr>
                <w:rFonts w:ascii="Calibri"/>
                <w:b/>
                <w:sz w:val="20"/>
              </w:rPr>
              <w:t>Costs and unit estimation</w:t>
            </w:r>
          </w:p>
        </w:tc>
        <w:tc>
          <w:tcPr>
            <w:tcW w:w="1673" w:type="dxa"/>
          </w:tcPr>
          <w:p w:rsidR="006A18FD" w:rsidRDefault="002D29FC">
            <w:pPr>
              <w:spacing w:before="1"/>
              <w:ind w:left="103"/>
              <w:rPr>
                <w:rFonts w:ascii="Calibri"/>
                <w:b/>
                <w:sz w:val="20"/>
              </w:rPr>
            </w:pPr>
            <w:r>
              <w:rPr>
                <w:rFonts w:ascii="Calibri"/>
                <w:b/>
                <w:sz w:val="20"/>
              </w:rPr>
              <w:t>2018/2019 value</w:t>
            </w:r>
          </w:p>
        </w:tc>
        <w:tc>
          <w:tcPr>
            <w:tcW w:w="6138" w:type="dxa"/>
          </w:tcPr>
          <w:p w:rsidR="006A18FD" w:rsidRDefault="002D29FC">
            <w:pPr>
              <w:spacing w:before="1"/>
              <w:ind w:left="102"/>
              <w:rPr>
                <w:rFonts w:ascii="Calibri"/>
                <w:b/>
                <w:sz w:val="20"/>
              </w:rPr>
            </w:pPr>
            <w:r>
              <w:rPr>
                <w:rFonts w:ascii="Calibri"/>
                <w:b/>
                <w:sz w:val="20"/>
              </w:rPr>
              <w:t>Notes</w:t>
            </w:r>
          </w:p>
        </w:tc>
      </w:tr>
      <w:tr w:rsidR="006A18FD">
        <w:trPr>
          <w:trHeight w:val="260"/>
        </w:trPr>
        <w:tc>
          <w:tcPr>
            <w:tcW w:w="2232" w:type="dxa"/>
            <w:tcBorders>
              <w:bottom w:val="nil"/>
            </w:tcBorders>
          </w:tcPr>
          <w:p w:rsidR="006A18FD" w:rsidRDefault="002D29FC">
            <w:pPr>
              <w:spacing w:before="1" w:line="242" w:lineRule="exact"/>
              <w:ind w:left="52"/>
              <w:rPr>
                <w:rFonts w:ascii="Calibri"/>
                <w:sz w:val="20"/>
              </w:rPr>
            </w:pPr>
            <w:r>
              <w:rPr>
                <w:rFonts w:ascii="Calibri"/>
                <w:sz w:val="20"/>
              </w:rPr>
              <w:t>Capital costs</w:t>
            </w:r>
          </w:p>
        </w:tc>
        <w:tc>
          <w:tcPr>
            <w:tcW w:w="1673" w:type="dxa"/>
            <w:tcBorders>
              <w:bottom w:val="nil"/>
            </w:tcBorders>
          </w:tcPr>
          <w:p w:rsidR="006A18FD" w:rsidRDefault="006A18FD">
            <w:pPr>
              <w:rPr>
                <w:rFonts w:ascii="Times New Roman"/>
                <w:sz w:val="18"/>
              </w:rPr>
            </w:pPr>
          </w:p>
        </w:tc>
        <w:tc>
          <w:tcPr>
            <w:tcW w:w="6138" w:type="dxa"/>
            <w:tcBorders>
              <w:bottom w:val="nil"/>
            </w:tcBorders>
          </w:tcPr>
          <w:p w:rsidR="006A18FD" w:rsidRDefault="006A18FD">
            <w:pPr>
              <w:rPr>
                <w:rFonts w:ascii="Times New Roman"/>
                <w:sz w:val="18"/>
              </w:rPr>
            </w:pPr>
          </w:p>
        </w:tc>
      </w:tr>
      <w:tr w:rsidR="006A18FD">
        <w:trPr>
          <w:trHeight w:val="240"/>
        </w:trPr>
        <w:tc>
          <w:tcPr>
            <w:tcW w:w="2232" w:type="dxa"/>
            <w:tcBorders>
              <w:top w:val="nil"/>
              <w:bottom w:val="nil"/>
            </w:tcBorders>
          </w:tcPr>
          <w:p w:rsidR="006A18FD" w:rsidRDefault="002D29FC">
            <w:pPr>
              <w:spacing w:line="230" w:lineRule="exact"/>
              <w:ind w:left="52"/>
              <w:rPr>
                <w:rFonts w:ascii="Calibri"/>
                <w:sz w:val="20"/>
              </w:rPr>
            </w:pPr>
            <w:r>
              <w:rPr>
                <w:rFonts w:ascii="Calibri"/>
                <w:sz w:val="20"/>
              </w:rPr>
              <w:t>A. Buildings and oncosts</w:t>
            </w:r>
          </w:p>
        </w:tc>
        <w:tc>
          <w:tcPr>
            <w:tcW w:w="1673" w:type="dxa"/>
            <w:tcBorders>
              <w:top w:val="nil"/>
              <w:bottom w:val="nil"/>
            </w:tcBorders>
          </w:tcPr>
          <w:p w:rsidR="006A18FD" w:rsidRDefault="002D29FC">
            <w:pPr>
              <w:spacing w:line="230" w:lineRule="exact"/>
              <w:ind w:left="103"/>
              <w:rPr>
                <w:rFonts w:ascii="Calibri" w:hAnsi="Calibri"/>
                <w:sz w:val="20"/>
              </w:rPr>
            </w:pPr>
            <w:r>
              <w:rPr>
                <w:rFonts w:ascii="Calibri" w:hAnsi="Calibri"/>
                <w:sz w:val="20"/>
              </w:rPr>
              <w:t>£6.30 per client</w:t>
            </w:r>
          </w:p>
        </w:tc>
        <w:tc>
          <w:tcPr>
            <w:tcW w:w="6138" w:type="dxa"/>
            <w:tcBorders>
              <w:top w:val="nil"/>
              <w:bottom w:val="nil"/>
            </w:tcBorders>
          </w:tcPr>
          <w:p w:rsidR="006A18FD" w:rsidRDefault="002D29FC">
            <w:pPr>
              <w:spacing w:line="225" w:lineRule="exact"/>
              <w:ind w:left="102"/>
              <w:rPr>
                <w:rFonts w:ascii="Calibri"/>
                <w:sz w:val="20"/>
              </w:rPr>
            </w:pPr>
            <w:r>
              <w:rPr>
                <w:rFonts w:ascii="Calibri"/>
                <w:sz w:val="20"/>
              </w:rPr>
              <w:t>Based on the new-build and land requirements for local authority day</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2D29FC">
            <w:pPr>
              <w:spacing w:line="224" w:lineRule="exact"/>
              <w:ind w:left="103"/>
              <w:rPr>
                <w:rFonts w:ascii="Calibri"/>
                <w:sz w:val="20"/>
              </w:rPr>
            </w:pPr>
            <w:r>
              <w:rPr>
                <w:rFonts w:ascii="Calibri"/>
                <w:sz w:val="20"/>
              </w:rPr>
              <w:t>attendance</w:t>
            </w:r>
          </w:p>
        </w:tc>
        <w:tc>
          <w:tcPr>
            <w:tcW w:w="6138" w:type="dxa"/>
            <w:tcBorders>
              <w:top w:val="nil"/>
              <w:bottom w:val="nil"/>
            </w:tcBorders>
          </w:tcPr>
          <w:p w:rsidR="006A18FD" w:rsidRDefault="002D29FC">
            <w:pPr>
              <w:spacing w:line="220" w:lineRule="exact"/>
              <w:ind w:left="102"/>
              <w:rPr>
                <w:rFonts w:ascii="Calibri"/>
                <w:sz w:val="20"/>
              </w:rPr>
            </w:pPr>
            <w:r>
              <w:rPr>
                <w:rFonts w:ascii="Calibri"/>
                <w:sz w:val="20"/>
              </w:rPr>
              <w:t>care facilities (which do not distinguish client group). Capital and land</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20" w:lineRule="exact"/>
              <w:ind w:left="102"/>
              <w:rPr>
                <w:rFonts w:ascii="Calibri"/>
                <w:sz w:val="20"/>
              </w:rPr>
            </w:pPr>
            <w:r>
              <w:rPr>
                <w:rFonts w:ascii="Calibri"/>
                <w:sz w:val="20"/>
              </w:rPr>
              <w:t>costs have been annuitised over 60 years at a discount rate of 3.5 per</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24" w:lineRule="exact"/>
              <w:ind w:left="102"/>
              <w:rPr>
                <w:rFonts w:ascii="Calibri"/>
                <w:sz w:val="20"/>
              </w:rPr>
            </w:pPr>
            <w:r>
              <w:rPr>
                <w:rFonts w:ascii="Calibri"/>
                <w:sz w:val="20"/>
              </w:rPr>
              <w:t>cent, declining to 3 per cent after 30 years.</w:t>
            </w:r>
          </w:p>
        </w:tc>
      </w:tr>
      <w:tr w:rsidR="006A18FD">
        <w:trPr>
          <w:trHeight w:val="220"/>
        </w:trPr>
        <w:tc>
          <w:tcPr>
            <w:tcW w:w="2232" w:type="dxa"/>
            <w:tcBorders>
              <w:top w:val="nil"/>
              <w:bottom w:val="nil"/>
            </w:tcBorders>
          </w:tcPr>
          <w:p w:rsidR="006A18FD" w:rsidRDefault="002D29FC">
            <w:pPr>
              <w:spacing w:line="215" w:lineRule="exact"/>
              <w:ind w:left="52"/>
              <w:rPr>
                <w:rFonts w:ascii="Calibri"/>
                <w:sz w:val="20"/>
              </w:rPr>
            </w:pPr>
            <w:r>
              <w:rPr>
                <w:rFonts w:ascii="Calibri"/>
                <w:sz w:val="20"/>
              </w:rPr>
              <w:t>B. Land</w:t>
            </w:r>
          </w:p>
        </w:tc>
        <w:tc>
          <w:tcPr>
            <w:tcW w:w="1673" w:type="dxa"/>
            <w:tcBorders>
              <w:top w:val="nil"/>
              <w:bottom w:val="nil"/>
            </w:tcBorders>
          </w:tcPr>
          <w:p w:rsidR="006A18FD" w:rsidRDefault="002D29FC">
            <w:pPr>
              <w:spacing w:line="215" w:lineRule="exact"/>
              <w:ind w:left="103"/>
              <w:rPr>
                <w:rFonts w:ascii="Calibri" w:hAnsi="Calibri"/>
                <w:sz w:val="20"/>
              </w:rPr>
            </w:pPr>
            <w:r>
              <w:rPr>
                <w:rFonts w:ascii="Calibri" w:hAnsi="Calibri"/>
                <w:sz w:val="20"/>
              </w:rPr>
              <w:t>£2.20 per client</w:t>
            </w:r>
          </w:p>
        </w:tc>
        <w:tc>
          <w:tcPr>
            <w:tcW w:w="6138" w:type="dxa"/>
            <w:tcBorders>
              <w:top w:val="nil"/>
              <w:bottom w:val="nil"/>
            </w:tcBorders>
          </w:tcPr>
          <w:p w:rsidR="006A18FD" w:rsidRDefault="002D29FC">
            <w:pPr>
              <w:spacing w:line="215" w:lineRule="exact"/>
              <w:ind w:left="102"/>
              <w:rPr>
                <w:rFonts w:ascii="Calibri"/>
                <w:sz w:val="20"/>
              </w:rPr>
            </w:pPr>
            <w:r>
              <w:rPr>
                <w:rFonts w:ascii="Calibri"/>
                <w:sz w:val="20"/>
              </w:rPr>
              <w:t>Based on Ministry of Housing, Communities &amp; Local Government land</w:t>
            </w:r>
          </w:p>
        </w:tc>
      </w:tr>
      <w:tr w:rsidR="006A18FD">
        <w:trPr>
          <w:trHeight w:val="220"/>
        </w:trPr>
        <w:tc>
          <w:tcPr>
            <w:tcW w:w="2232" w:type="dxa"/>
            <w:tcBorders>
              <w:top w:val="nil"/>
            </w:tcBorders>
          </w:tcPr>
          <w:p w:rsidR="006A18FD" w:rsidRDefault="006A18FD">
            <w:pPr>
              <w:rPr>
                <w:rFonts w:ascii="Times New Roman"/>
                <w:sz w:val="16"/>
              </w:rPr>
            </w:pPr>
          </w:p>
        </w:tc>
        <w:tc>
          <w:tcPr>
            <w:tcW w:w="1673" w:type="dxa"/>
            <w:tcBorders>
              <w:top w:val="nil"/>
            </w:tcBorders>
          </w:tcPr>
          <w:p w:rsidR="006A18FD" w:rsidRDefault="002D29FC">
            <w:pPr>
              <w:spacing w:line="213" w:lineRule="exact"/>
              <w:ind w:left="103"/>
              <w:rPr>
                <w:rFonts w:ascii="Calibri"/>
                <w:sz w:val="20"/>
              </w:rPr>
            </w:pPr>
            <w:r>
              <w:rPr>
                <w:rFonts w:ascii="Calibri"/>
                <w:sz w:val="20"/>
              </w:rPr>
              <w:t>attendance</w:t>
            </w:r>
          </w:p>
        </w:tc>
        <w:tc>
          <w:tcPr>
            <w:tcW w:w="6138" w:type="dxa"/>
            <w:tcBorders>
              <w:top w:val="nil"/>
            </w:tcBorders>
          </w:tcPr>
          <w:p w:rsidR="006A18FD" w:rsidRDefault="002D29FC">
            <w:pPr>
              <w:spacing w:line="213" w:lineRule="exact"/>
              <w:ind w:left="102"/>
              <w:rPr>
                <w:rFonts w:ascii="Calibri"/>
                <w:sz w:val="13"/>
              </w:rPr>
            </w:pPr>
            <w:r>
              <w:rPr>
                <w:rFonts w:ascii="Calibri"/>
                <w:sz w:val="20"/>
              </w:rPr>
              <w:t>estimates</w:t>
            </w:r>
            <w:r>
              <w:rPr>
                <w:rFonts w:ascii="Calibri"/>
                <w:position w:val="7"/>
                <w:sz w:val="13"/>
              </w:rPr>
              <w:t xml:space="preserve">4  </w:t>
            </w:r>
            <w:r>
              <w:rPr>
                <w:rFonts w:ascii="Calibri"/>
                <w:sz w:val="20"/>
              </w:rPr>
              <w:t>and allowing for 33.4 square metres per person.</w:t>
            </w:r>
            <w:r>
              <w:rPr>
                <w:rFonts w:ascii="Calibri"/>
                <w:position w:val="7"/>
                <w:sz w:val="13"/>
              </w:rPr>
              <w:t>5</w:t>
            </w:r>
          </w:p>
        </w:tc>
      </w:tr>
      <w:tr w:rsidR="006A18FD">
        <w:trPr>
          <w:trHeight w:val="720"/>
        </w:trPr>
        <w:tc>
          <w:tcPr>
            <w:tcW w:w="2232" w:type="dxa"/>
          </w:tcPr>
          <w:p w:rsidR="006A18FD" w:rsidRDefault="002D29FC">
            <w:pPr>
              <w:spacing w:before="1"/>
              <w:ind w:left="52"/>
              <w:rPr>
                <w:rFonts w:ascii="Calibri"/>
                <w:sz w:val="20"/>
              </w:rPr>
            </w:pPr>
            <w:r>
              <w:rPr>
                <w:rFonts w:ascii="Calibri"/>
                <w:sz w:val="20"/>
              </w:rPr>
              <w:t>C. Other capital</w:t>
            </w:r>
          </w:p>
        </w:tc>
        <w:tc>
          <w:tcPr>
            <w:tcW w:w="1673" w:type="dxa"/>
          </w:tcPr>
          <w:p w:rsidR="006A18FD" w:rsidRDefault="006A18FD">
            <w:pPr>
              <w:rPr>
                <w:rFonts w:ascii="Times New Roman"/>
                <w:sz w:val="18"/>
              </w:rPr>
            </w:pPr>
          </w:p>
        </w:tc>
        <w:tc>
          <w:tcPr>
            <w:tcW w:w="6138" w:type="dxa"/>
          </w:tcPr>
          <w:p w:rsidR="006A18FD" w:rsidRDefault="002D29FC">
            <w:pPr>
              <w:spacing w:before="1"/>
              <w:ind w:left="102" w:right="216"/>
              <w:rPr>
                <w:rFonts w:ascii="Calibri"/>
                <w:sz w:val="20"/>
              </w:rPr>
            </w:pPr>
            <w:r>
              <w:rPr>
                <w:rFonts w:ascii="Calibri"/>
                <w:sz w:val="20"/>
              </w:rPr>
              <w:t>Capital costs not relating to buildings are included in the local authority expenditure figures, so no additional cost has been added for other</w:t>
            </w:r>
          </w:p>
          <w:p w:rsidR="006A18FD" w:rsidRDefault="002D29FC">
            <w:pPr>
              <w:spacing w:line="222" w:lineRule="exact"/>
              <w:ind w:left="102"/>
              <w:rPr>
                <w:rFonts w:ascii="Calibri"/>
                <w:sz w:val="20"/>
              </w:rPr>
            </w:pPr>
            <w:r>
              <w:rPr>
                <w:rFonts w:ascii="Calibri"/>
                <w:sz w:val="20"/>
              </w:rPr>
              <w:t>items such as equipment and durables.</w:t>
            </w:r>
          </w:p>
        </w:tc>
      </w:tr>
      <w:tr w:rsidR="006A18FD">
        <w:trPr>
          <w:trHeight w:val="240"/>
        </w:trPr>
        <w:tc>
          <w:tcPr>
            <w:tcW w:w="2232" w:type="dxa"/>
            <w:tcBorders>
              <w:bottom w:val="nil"/>
            </w:tcBorders>
          </w:tcPr>
          <w:p w:rsidR="006A18FD" w:rsidRDefault="002D29FC">
            <w:pPr>
              <w:spacing w:before="1" w:line="234" w:lineRule="exact"/>
              <w:ind w:left="52"/>
              <w:rPr>
                <w:rFonts w:ascii="Calibri"/>
                <w:sz w:val="20"/>
              </w:rPr>
            </w:pPr>
            <w:r>
              <w:rPr>
                <w:rFonts w:ascii="Calibri"/>
                <w:sz w:val="20"/>
              </w:rPr>
              <w:t>D. Total local authority</w:t>
            </w:r>
          </w:p>
        </w:tc>
        <w:tc>
          <w:tcPr>
            <w:tcW w:w="1673" w:type="dxa"/>
            <w:tcBorders>
              <w:bottom w:val="nil"/>
            </w:tcBorders>
          </w:tcPr>
          <w:p w:rsidR="006A18FD" w:rsidRDefault="002D29FC">
            <w:pPr>
              <w:spacing w:before="1" w:line="234" w:lineRule="exact"/>
              <w:ind w:left="103"/>
              <w:rPr>
                <w:rFonts w:ascii="Calibri" w:hAnsi="Calibri"/>
                <w:sz w:val="20"/>
              </w:rPr>
            </w:pPr>
            <w:r>
              <w:rPr>
                <w:rFonts w:ascii="Calibri" w:hAnsi="Calibri"/>
                <w:sz w:val="20"/>
              </w:rPr>
              <w:t>£29 per client</w:t>
            </w:r>
          </w:p>
        </w:tc>
        <w:tc>
          <w:tcPr>
            <w:tcW w:w="6138" w:type="dxa"/>
            <w:tcBorders>
              <w:bottom w:val="nil"/>
            </w:tcBorders>
          </w:tcPr>
          <w:p w:rsidR="006A18FD" w:rsidRDefault="002D29FC">
            <w:pPr>
              <w:spacing w:before="1" w:line="234" w:lineRule="exact"/>
              <w:ind w:left="102"/>
              <w:rPr>
                <w:rFonts w:ascii="Calibri"/>
                <w:sz w:val="20"/>
              </w:rPr>
            </w:pPr>
            <w:r>
              <w:rPr>
                <w:rFonts w:ascii="Calibri"/>
                <w:sz w:val="20"/>
              </w:rPr>
              <w:t>The median cost per client week has been taken from PSS EX1</w:t>
            </w:r>
          </w:p>
        </w:tc>
      </w:tr>
      <w:tr w:rsidR="006A18FD">
        <w:trPr>
          <w:trHeight w:val="240"/>
        </w:trPr>
        <w:tc>
          <w:tcPr>
            <w:tcW w:w="2232" w:type="dxa"/>
            <w:tcBorders>
              <w:top w:val="nil"/>
              <w:bottom w:val="nil"/>
            </w:tcBorders>
          </w:tcPr>
          <w:p w:rsidR="006A18FD" w:rsidRDefault="002D29FC">
            <w:pPr>
              <w:spacing w:line="233" w:lineRule="exact"/>
              <w:ind w:left="52"/>
              <w:rPr>
                <w:rFonts w:ascii="Calibri"/>
                <w:sz w:val="20"/>
              </w:rPr>
            </w:pPr>
            <w:r>
              <w:rPr>
                <w:rFonts w:ascii="Calibri"/>
                <w:sz w:val="20"/>
              </w:rPr>
              <w:t>expenditure (minus</w:t>
            </w:r>
          </w:p>
        </w:tc>
        <w:tc>
          <w:tcPr>
            <w:tcW w:w="1673" w:type="dxa"/>
            <w:tcBorders>
              <w:top w:val="nil"/>
              <w:bottom w:val="nil"/>
            </w:tcBorders>
          </w:tcPr>
          <w:p w:rsidR="006A18FD" w:rsidRDefault="002D29FC">
            <w:pPr>
              <w:spacing w:line="233" w:lineRule="exact"/>
              <w:ind w:left="103"/>
              <w:rPr>
                <w:rFonts w:ascii="Calibri"/>
                <w:sz w:val="20"/>
              </w:rPr>
            </w:pPr>
            <w:r>
              <w:rPr>
                <w:rFonts w:ascii="Calibri"/>
                <w:sz w:val="20"/>
              </w:rPr>
              <w:t>attendance</w:t>
            </w:r>
          </w:p>
        </w:tc>
        <w:tc>
          <w:tcPr>
            <w:tcW w:w="6138" w:type="dxa"/>
            <w:tcBorders>
              <w:top w:val="nil"/>
              <w:bottom w:val="nil"/>
            </w:tcBorders>
          </w:tcPr>
          <w:p w:rsidR="006A18FD" w:rsidRDefault="002D29FC">
            <w:pPr>
              <w:spacing w:line="233" w:lineRule="exact"/>
              <w:ind w:left="102"/>
              <w:rPr>
                <w:rFonts w:ascii="Calibri"/>
                <w:sz w:val="20"/>
              </w:rPr>
            </w:pPr>
            <w:r>
              <w:rPr>
                <w:rFonts w:ascii="Calibri"/>
                <w:sz w:val="20"/>
              </w:rPr>
              <w:t>2013/2014</w:t>
            </w:r>
            <w:r>
              <w:rPr>
                <w:rFonts w:ascii="Calibri"/>
                <w:position w:val="7"/>
                <w:sz w:val="13"/>
              </w:rPr>
              <w:t xml:space="preserve">1 </w:t>
            </w:r>
            <w:r>
              <w:rPr>
                <w:rFonts w:ascii="Calibri"/>
                <w:sz w:val="20"/>
              </w:rPr>
              <w:t>and uprated using the PSS pay &amp; prices index. Assuming</w:t>
            </w:r>
          </w:p>
        </w:tc>
      </w:tr>
      <w:tr w:rsidR="006A18FD">
        <w:trPr>
          <w:trHeight w:val="220"/>
        </w:trPr>
        <w:tc>
          <w:tcPr>
            <w:tcW w:w="2232" w:type="dxa"/>
            <w:tcBorders>
              <w:top w:val="nil"/>
              <w:bottom w:val="nil"/>
            </w:tcBorders>
          </w:tcPr>
          <w:p w:rsidR="006A18FD" w:rsidRDefault="002D29FC">
            <w:pPr>
              <w:spacing w:line="216" w:lineRule="exact"/>
              <w:ind w:left="52"/>
              <w:rPr>
                <w:rFonts w:ascii="Calibri"/>
                <w:sz w:val="20"/>
              </w:rPr>
            </w:pPr>
            <w:r>
              <w:rPr>
                <w:rFonts w:ascii="Calibri"/>
                <w:sz w:val="20"/>
              </w:rPr>
              <w:t>capital)</w:t>
            </w: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16" w:lineRule="exact"/>
              <w:ind w:left="102"/>
              <w:rPr>
                <w:rFonts w:ascii="Calibri"/>
                <w:sz w:val="20"/>
              </w:rPr>
            </w:pPr>
            <w:r>
              <w:rPr>
                <w:rFonts w:ascii="Calibri"/>
                <w:sz w:val="20"/>
              </w:rPr>
              <w:t>people with mental health problems attend on average 3 times per</w:t>
            </w:r>
          </w:p>
        </w:tc>
      </w:tr>
      <w:tr w:rsidR="006A18FD">
        <w:trPr>
          <w:trHeight w:val="240"/>
        </w:trPr>
        <w:tc>
          <w:tcPr>
            <w:tcW w:w="2232" w:type="dxa"/>
            <w:tcBorders>
              <w:top w:val="nil"/>
              <w:bottom w:val="nil"/>
            </w:tcBorders>
          </w:tcPr>
          <w:p w:rsidR="006A18FD" w:rsidRDefault="006A18FD">
            <w:pPr>
              <w:rPr>
                <w:rFonts w:ascii="Times New Roman"/>
                <w:sz w:val="18"/>
              </w:rPr>
            </w:pP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32" w:lineRule="exact"/>
              <w:ind w:left="102"/>
              <w:rPr>
                <w:rFonts w:ascii="Calibri"/>
                <w:sz w:val="20"/>
              </w:rPr>
            </w:pPr>
            <w:r>
              <w:rPr>
                <w:rFonts w:ascii="Calibri"/>
                <w:sz w:val="20"/>
              </w:rPr>
              <w:t>week (4.1 hours in duration),</w:t>
            </w:r>
            <w:r>
              <w:rPr>
                <w:rFonts w:ascii="Calibri"/>
                <w:position w:val="7"/>
                <w:sz w:val="13"/>
              </w:rPr>
              <w:t xml:space="preserve">2 </w:t>
            </w:r>
            <w:r>
              <w:rPr>
                <w:rFonts w:ascii="Calibri"/>
                <w:sz w:val="20"/>
              </w:rPr>
              <w:t>the mean cost per day care attendance</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24" w:lineRule="exact"/>
              <w:ind w:left="102"/>
              <w:rPr>
                <w:rFonts w:ascii="Calibri" w:hAnsi="Calibri"/>
                <w:sz w:val="20"/>
              </w:rPr>
            </w:pPr>
            <w:r>
              <w:rPr>
                <w:rFonts w:ascii="Calibri" w:hAnsi="Calibri"/>
                <w:sz w:val="20"/>
              </w:rPr>
              <w:t>per day is lower at £24. Capital charges relating to buildings have been</w:t>
            </w:r>
          </w:p>
        </w:tc>
      </w:tr>
      <w:tr w:rsidR="006A18FD">
        <w:trPr>
          <w:trHeight w:val="360"/>
        </w:trPr>
        <w:tc>
          <w:tcPr>
            <w:tcW w:w="2232" w:type="dxa"/>
            <w:tcBorders>
              <w:top w:val="nil"/>
              <w:bottom w:val="nil"/>
            </w:tcBorders>
          </w:tcPr>
          <w:p w:rsidR="006A18FD" w:rsidRDefault="006A18FD">
            <w:pPr>
              <w:rPr>
                <w:rFonts w:ascii="Times New Roman"/>
                <w:sz w:val="18"/>
              </w:rPr>
            </w:pP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26" w:lineRule="exact"/>
              <w:ind w:left="102"/>
              <w:rPr>
                <w:rFonts w:ascii="Calibri"/>
                <w:sz w:val="20"/>
              </w:rPr>
            </w:pPr>
            <w:r>
              <w:rPr>
                <w:rFonts w:ascii="Calibri"/>
                <w:sz w:val="20"/>
              </w:rPr>
              <w:t>deducted.</w:t>
            </w:r>
          </w:p>
        </w:tc>
      </w:tr>
      <w:tr w:rsidR="006A18FD">
        <w:trPr>
          <w:trHeight w:val="360"/>
        </w:trPr>
        <w:tc>
          <w:tcPr>
            <w:tcW w:w="2232" w:type="dxa"/>
            <w:tcBorders>
              <w:top w:val="nil"/>
              <w:bottom w:val="nil"/>
            </w:tcBorders>
          </w:tcPr>
          <w:p w:rsidR="006A18FD" w:rsidRDefault="002D29FC">
            <w:pPr>
              <w:spacing w:before="103" w:line="243" w:lineRule="exact"/>
              <w:ind w:left="52"/>
              <w:rPr>
                <w:rFonts w:ascii="Calibri"/>
                <w:sz w:val="20"/>
              </w:rPr>
            </w:pPr>
            <w:r>
              <w:rPr>
                <w:rFonts w:ascii="Calibri"/>
                <w:sz w:val="20"/>
              </w:rPr>
              <w:t>E. Overheads</w:t>
            </w: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before="103" w:line="243" w:lineRule="exact"/>
              <w:ind w:left="102"/>
              <w:rPr>
                <w:rFonts w:ascii="Calibri"/>
                <w:sz w:val="20"/>
              </w:rPr>
            </w:pPr>
            <w:r>
              <w:rPr>
                <w:rFonts w:ascii="Calibri"/>
                <w:sz w:val="20"/>
              </w:rPr>
              <w:t>Social services management and support services (SSMSS) costs are</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673" w:type="dxa"/>
            <w:tcBorders>
              <w:top w:val="nil"/>
              <w:bottom w:val="nil"/>
            </w:tcBorders>
          </w:tcPr>
          <w:p w:rsidR="006A18FD" w:rsidRDefault="006A18FD">
            <w:pPr>
              <w:rPr>
                <w:rFonts w:ascii="Times New Roman"/>
                <w:sz w:val="16"/>
              </w:rPr>
            </w:pPr>
          </w:p>
        </w:tc>
        <w:tc>
          <w:tcPr>
            <w:tcW w:w="6138" w:type="dxa"/>
            <w:tcBorders>
              <w:top w:val="nil"/>
              <w:bottom w:val="nil"/>
            </w:tcBorders>
          </w:tcPr>
          <w:p w:rsidR="006A18FD" w:rsidRDefault="002D29FC">
            <w:pPr>
              <w:spacing w:line="225" w:lineRule="exact"/>
              <w:ind w:left="102"/>
              <w:rPr>
                <w:rFonts w:ascii="Calibri"/>
                <w:sz w:val="20"/>
              </w:rPr>
            </w:pPr>
            <w:r>
              <w:rPr>
                <w:rFonts w:ascii="Calibri"/>
                <w:sz w:val="20"/>
              </w:rPr>
              <w:t>included in PSS EX1 expenditure figures so no additional overheads have</w:t>
            </w:r>
          </w:p>
        </w:tc>
      </w:tr>
      <w:tr w:rsidR="006A18FD">
        <w:trPr>
          <w:trHeight w:val="220"/>
        </w:trPr>
        <w:tc>
          <w:tcPr>
            <w:tcW w:w="2232" w:type="dxa"/>
            <w:tcBorders>
              <w:top w:val="nil"/>
            </w:tcBorders>
          </w:tcPr>
          <w:p w:rsidR="006A18FD" w:rsidRDefault="006A18FD">
            <w:pPr>
              <w:rPr>
                <w:rFonts w:ascii="Times New Roman"/>
                <w:sz w:val="16"/>
              </w:rPr>
            </w:pPr>
          </w:p>
        </w:tc>
        <w:tc>
          <w:tcPr>
            <w:tcW w:w="1673" w:type="dxa"/>
            <w:tcBorders>
              <w:top w:val="nil"/>
            </w:tcBorders>
          </w:tcPr>
          <w:p w:rsidR="006A18FD" w:rsidRDefault="006A18FD">
            <w:pPr>
              <w:rPr>
                <w:rFonts w:ascii="Times New Roman"/>
                <w:sz w:val="16"/>
              </w:rPr>
            </w:pPr>
          </w:p>
        </w:tc>
        <w:tc>
          <w:tcPr>
            <w:tcW w:w="6138" w:type="dxa"/>
            <w:tcBorders>
              <w:top w:val="nil"/>
            </w:tcBorders>
          </w:tcPr>
          <w:p w:rsidR="006A18FD" w:rsidRDefault="002D29FC">
            <w:pPr>
              <w:spacing w:line="205" w:lineRule="exact"/>
              <w:ind w:left="102"/>
              <w:rPr>
                <w:rFonts w:ascii="Calibri"/>
                <w:sz w:val="20"/>
              </w:rPr>
            </w:pPr>
            <w:r>
              <w:rPr>
                <w:rFonts w:ascii="Calibri"/>
                <w:sz w:val="20"/>
              </w:rPr>
              <w:t>been added.</w:t>
            </w:r>
          </w:p>
        </w:tc>
      </w:tr>
      <w:tr w:rsidR="006A18FD">
        <w:trPr>
          <w:trHeight w:val="240"/>
        </w:trPr>
        <w:tc>
          <w:tcPr>
            <w:tcW w:w="2232" w:type="dxa"/>
          </w:tcPr>
          <w:p w:rsidR="006A18FD" w:rsidRDefault="002D29FC">
            <w:pPr>
              <w:spacing w:before="1" w:line="223" w:lineRule="exact"/>
              <w:ind w:left="52"/>
              <w:rPr>
                <w:rFonts w:ascii="Calibri"/>
                <w:sz w:val="20"/>
              </w:rPr>
            </w:pPr>
            <w:r>
              <w:rPr>
                <w:rFonts w:ascii="Calibri"/>
                <w:sz w:val="20"/>
              </w:rPr>
              <w:t>Use of facility by client</w:t>
            </w:r>
          </w:p>
        </w:tc>
        <w:tc>
          <w:tcPr>
            <w:tcW w:w="1673" w:type="dxa"/>
          </w:tcPr>
          <w:p w:rsidR="006A18FD" w:rsidRDefault="006A18FD">
            <w:pPr>
              <w:rPr>
                <w:rFonts w:ascii="Times New Roman"/>
                <w:sz w:val="16"/>
              </w:rPr>
            </w:pPr>
          </w:p>
        </w:tc>
        <w:tc>
          <w:tcPr>
            <w:tcW w:w="6138" w:type="dxa"/>
          </w:tcPr>
          <w:p w:rsidR="006A18FD" w:rsidRDefault="002D29FC">
            <w:pPr>
              <w:spacing w:before="1" w:line="223" w:lineRule="exact"/>
              <w:ind w:left="102"/>
              <w:rPr>
                <w:rFonts w:ascii="Calibri"/>
                <w:sz w:val="12"/>
              </w:rPr>
            </w:pPr>
            <w:r>
              <w:rPr>
                <w:rFonts w:ascii="Calibri"/>
                <w:sz w:val="20"/>
              </w:rPr>
              <w:t>Assumes clients attend 3 times per week</w:t>
            </w:r>
            <w:r>
              <w:rPr>
                <w:rFonts w:ascii="Calibri"/>
                <w:sz w:val="18"/>
              </w:rPr>
              <w:t>.</w:t>
            </w:r>
            <w:r>
              <w:rPr>
                <w:rFonts w:ascii="Calibri"/>
                <w:position w:val="5"/>
                <w:sz w:val="12"/>
              </w:rPr>
              <w:t>2</w:t>
            </w:r>
          </w:p>
        </w:tc>
      </w:tr>
      <w:tr w:rsidR="006A18FD">
        <w:trPr>
          <w:trHeight w:val="240"/>
        </w:trPr>
        <w:tc>
          <w:tcPr>
            <w:tcW w:w="2232" w:type="dxa"/>
          </w:tcPr>
          <w:p w:rsidR="006A18FD" w:rsidRDefault="002D29FC">
            <w:pPr>
              <w:spacing w:before="1" w:line="223" w:lineRule="exact"/>
              <w:ind w:left="52"/>
              <w:rPr>
                <w:rFonts w:ascii="Calibri"/>
                <w:sz w:val="20"/>
              </w:rPr>
            </w:pPr>
            <w:r>
              <w:rPr>
                <w:rFonts w:ascii="Calibri"/>
                <w:sz w:val="20"/>
              </w:rPr>
              <w:t>Occupancy</w:t>
            </w:r>
          </w:p>
        </w:tc>
        <w:tc>
          <w:tcPr>
            <w:tcW w:w="1673" w:type="dxa"/>
          </w:tcPr>
          <w:p w:rsidR="006A18FD" w:rsidRDefault="006A18FD">
            <w:pPr>
              <w:rPr>
                <w:rFonts w:ascii="Times New Roman"/>
                <w:sz w:val="16"/>
              </w:rPr>
            </w:pPr>
          </w:p>
        </w:tc>
        <w:tc>
          <w:tcPr>
            <w:tcW w:w="6138" w:type="dxa"/>
          </w:tcPr>
          <w:p w:rsidR="006A18FD" w:rsidRDefault="006A18FD">
            <w:pPr>
              <w:rPr>
                <w:rFonts w:ascii="Times New Roman"/>
                <w:sz w:val="16"/>
              </w:rPr>
            </w:pPr>
          </w:p>
        </w:tc>
      </w:tr>
      <w:tr w:rsidR="006A18FD">
        <w:trPr>
          <w:trHeight w:val="740"/>
        </w:trPr>
        <w:tc>
          <w:tcPr>
            <w:tcW w:w="2232" w:type="dxa"/>
          </w:tcPr>
          <w:p w:rsidR="006A18FD" w:rsidRDefault="002D29FC">
            <w:pPr>
              <w:spacing w:before="1"/>
              <w:ind w:left="52"/>
              <w:rPr>
                <w:rFonts w:ascii="Calibri"/>
                <w:sz w:val="20"/>
              </w:rPr>
            </w:pPr>
            <w:r>
              <w:rPr>
                <w:rFonts w:ascii="Calibri"/>
                <w:sz w:val="20"/>
              </w:rPr>
              <w:t>London multiplier</w:t>
            </w:r>
          </w:p>
        </w:tc>
        <w:tc>
          <w:tcPr>
            <w:tcW w:w="1673" w:type="dxa"/>
          </w:tcPr>
          <w:p w:rsidR="006A18FD" w:rsidRDefault="006A18FD">
            <w:pPr>
              <w:rPr>
                <w:rFonts w:ascii="Times New Roman"/>
                <w:sz w:val="18"/>
              </w:rPr>
            </w:pPr>
          </w:p>
        </w:tc>
        <w:tc>
          <w:tcPr>
            <w:tcW w:w="6138" w:type="dxa"/>
          </w:tcPr>
          <w:p w:rsidR="006A18FD" w:rsidRDefault="006A18FD">
            <w:pPr>
              <w:rPr>
                <w:rFonts w:ascii="Calibri"/>
                <w:sz w:val="21"/>
              </w:rPr>
            </w:pPr>
          </w:p>
          <w:p w:rsidR="006A18FD" w:rsidRDefault="002D29FC">
            <w:pPr>
              <w:ind w:left="102"/>
              <w:rPr>
                <w:rFonts w:ascii="Calibri"/>
                <w:sz w:val="20"/>
              </w:rPr>
            </w:pPr>
            <w:r>
              <w:rPr>
                <w:rFonts w:ascii="Calibri"/>
                <w:sz w:val="20"/>
              </w:rPr>
              <w:t>See previous volume for information on multipliers</w:t>
            </w:r>
          </w:p>
        </w:tc>
      </w:tr>
      <w:tr w:rsidR="006A18FD">
        <w:trPr>
          <w:trHeight w:val="360"/>
        </w:trPr>
        <w:tc>
          <w:tcPr>
            <w:tcW w:w="10044" w:type="dxa"/>
            <w:gridSpan w:val="3"/>
          </w:tcPr>
          <w:p w:rsidR="006A18FD" w:rsidRDefault="002D29FC">
            <w:pPr>
              <w:spacing w:before="3"/>
              <w:ind w:left="52"/>
              <w:rPr>
                <w:rFonts w:ascii="Calibri"/>
                <w:b/>
                <w:sz w:val="20"/>
              </w:rPr>
            </w:pPr>
            <w:r>
              <w:rPr>
                <w:rFonts w:ascii="Calibri"/>
                <w:b/>
                <w:sz w:val="20"/>
              </w:rPr>
              <w:t>Unit costs available 2018/2019</w:t>
            </w:r>
          </w:p>
        </w:tc>
      </w:tr>
      <w:tr w:rsidR="006A18FD">
        <w:trPr>
          <w:trHeight w:val="240"/>
        </w:trPr>
        <w:tc>
          <w:tcPr>
            <w:tcW w:w="10044" w:type="dxa"/>
            <w:gridSpan w:val="3"/>
          </w:tcPr>
          <w:p w:rsidR="006A18FD" w:rsidRDefault="002D29FC">
            <w:pPr>
              <w:spacing w:before="1" w:line="223" w:lineRule="exact"/>
              <w:ind w:left="52"/>
              <w:rPr>
                <w:rFonts w:ascii="Calibri" w:hAnsi="Calibri"/>
                <w:sz w:val="20"/>
              </w:rPr>
            </w:pPr>
            <w:r>
              <w:rPr>
                <w:rFonts w:ascii="Calibri" w:hAnsi="Calibri"/>
                <w:sz w:val="20"/>
              </w:rPr>
              <w:t>£37 per client attendance (includes A to D); £9 per client hour; £32 per client session lasting 3.5 hours.</w:t>
            </w:r>
          </w:p>
        </w:tc>
      </w:tr>
    </w:tbl>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2D29FC">
      <w:pPr>
        <w:spacing w:before="186" w:line="195" w:lineRule="exact"/>
        <w:ind w:left="152"/>
        <w:rPr>
          <w:rFonts w:ascii="Calibri"/>
          <w:sz w:val="16"/>
        </w:rPr>
      </w:pPr>
      <w:r>
        <w:rPr>
          <w:rFonts w:ascii="Calibri"/>
          <w:position w:val="5"/>
          <w:sz w:val="10"/>
        </w:rPr>
        <w:t xml:space="preserve">1 </w:t>
      </w:r>
      <w:r>
        <w:rPr>
          <w:rFonts w:ascii="Calibri"/>
          <w:sz w:val="16"/>
        </w:rPr>
        <w:t xml:space="preserve">Health &amp; Social Care Information Centre (2014) </w:t>
      </w:r>
      <w:r>
        <w:rPr>
          <w:rFonts w:ascii="Calibri"/>
          <w:i/>
          <w:sz w:val="16"/>
        </w:rPr>
        <w:t>PSS EX1 2013/14</w:t>
      </w:r>
      <w:r>
        <w:rPr>
          <w:rFonts w:ascii="Calibri"/>
          <w:sz w:val="16"/>
        </w:rPr>
        <w:t>, Health &amp; Social Care Information Centre, Leeds</w:t>
      </w:r>
    </w:p>
    <w:p w:rsidR="006A18FD" w:rsidRDefault="002D29FC">
      <w:pPr>
        <w:spacing w:line="194" w:lineRule="exact"/>
        <w:ind w:left="152"/>
        <w:rPr>
          <w:rFonts w:ascii="Calibri"/>
          <w:sz w:val="16"/>
        </w:rPr>
      </w:pPr>
      <w:r>
        <w:rPr>
          <w:rFonts w:ascii="Calibri"/>
          <w:position w:val="5"/>
          <w:sz w:val="10"/>
        </w:rPr>
        <w:t xml:space="preserve">2  </w:t>
      </w:r>
      <w:r>
        <w:rPr>
          <w:rFonts w:ascii="Calibri"/>
          <w:sz w:val="16"/>
        </w:rPr>
        <w:t>Based on research carried out by PSSRU in 2014.</w:t>
      </w:r>
    </w:p>
    <w:p w:rsidR="006A18FD" w:rsidRDefault="002D29FC">
      <w:pPr>
        <w:spacing w:line="195" w:lineRule="exact"/>
        <w:ind w:left="152"/>
        <w:rPr>
          <w:rFonts w:ascii="Calibri"/>
          <w:sz w:val="16"/>
        </w:rPr>
      </w:pPr>
      <w:r>
        <w:rPr>
          <w:rFonts w:ascii="Calibri"/>
          <w:position w:val="5"/>
          <w:sz w:val="10"/>
        </w:rPr>
        <w:t xml:space="preserve">3 </w:t>
      </w:r>
      <w:r>
        <w:rPr>
          <w:rFonts w:ascii="Calibri"/>
          <w:sz w:val="16"/>
        </w:rPr>
        <w:t xml:space="preserve">Salford City Council (2011) </w:t>
      </w:r>
      <w:r>
        <w:rPr>
          <w:rFonts w:ascii="Calibri"/>
          <w:i/>
          <w:sz w:val="16"/>
        </w:rPr>
        <w:t xml:space="preserve">Mental health, </w:t>
      </w:r>
      <w:r>
        <w:rPr>
          <w:rFonts w:ascii="Calibri"/>
          <w:sz w:val="16"/>
        </w:rPr>
        <w:t xml:space="preserve">Salford City Council. </w:t>
      </w:r>
      <w:hyperlink r:id="rId129">
        <w:r>
          <w:rPr>
            <w:rFonts w:ascii="Calibri"/>
            <w:sz w:val="16"/>
            <w:u w:val="single"/>
          </w:rPr>
          <w:t>http://www.salford.gov.uk/mentalhealth.htm</w:t>
        </w:r>
        <w:r>
          <w:rPr>
            <w:rFonts w:ascii="Calibri"/>
            <w:sz w:val="16"/>
          </w:rPr>
          <w:t xml:space="preserve"> </w:t>
        </w:r>
      </w:hyperlink>
      <w:r>
        <w:rPr>
          <w:rFonts w:ascii="Calibri"/>
          <w:sz w:val="16"/>
        </w:rPr>
        <w:t>[accessed 9 October 2014].</w:t>
      </w:r>
    </w:p>
    <w:p w:rsidR="006A18FD" w:rsidRDefault="002D29FC">
      <w:pPr>
        <w:spacing w:before="1"/>
        <w:ind w:left="436" w:right="1704" w:hanging="284"/>
        <w:rPr>
          <w:rFonts w:ascii="Calibri"/>
          <w:sz w:val="16"/>
        </w:rPr>
      </w:pPr>
      <w:r>
        <w:rPr>
          <w:rFonts w:ascii="Calibri"/>
          <w:position w:val="5"/>
          <w:sz w:val="10"/>
        </w:rPr>
        <w:t xml:space="preserve">4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30">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line="194" w:lineRule="exact"/>
        <w:ind w:left="152"/>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6A18FD">
      <w:pPr>
        <w:spacing w:line="194" w:lineRule="exact"/>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5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51" name="Line 20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F6C18" id="Group 20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DJStPsfQIAAIEFAAAO&#10;AAAAAAAAAAAAAAAAAC4CAABkcnMvZTJvRG9jLnhtbFBLAQItABQABgAIAAAAIQAtd+Rc2gAAAAQB&#10;AAAPAAAAAAAAAAAAAAAAANcEAABkcnMvZG93bnJldi54bWxQSwUGAAAAAAQABADzAAAA3gUAAAAA&#10;">
                <v:line id="Line 20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w10:anchorlock/>
              </v:group>
            </w:pict>
          </mc:Fallback>
        </mc:AlternateContent>
      </w:r>
    </w:p>
    <w:p w:rsidR="006A18FD" w:rsidRDefault="0025638D" w:rsidP="0025638D">
      <w:pPr>
        <w:pStyle w:val="Heading2"/>
      </w:pPr>
      <w:r>
        <w:t xml:space="preserve">2.5 </w:t>
      </w:r>
      <w:r w:rsidR="002D29FC">
        <w:t>Behavioural activation delivered by a</w:t>
      </w:r>
      <w:r w:rsidR="002D29FC">
        <w:rPr>
          <w:spacing w:val="-24"/>
        </w:rPr>
        <w:t xml:space="preserve"> </w:t>
      </w:r>
      <w:r w:rsidR="002D29FC">
        <w:t>non-specialist</w:t>
      </w:r>
    </w:p>
    <w:p w:rsidR="006A18FD" w:rsidRDefault="002D29FC">
      <w:pPr>
        <w:spacing w:before="172" w:line="276" w:lineRule="auto"/>
        <w:ind w:left="140" w:right="188"/>
        <w:rPr>
          <w:rFonts w:ascii="Calibri" w:hAnsi="Calibri"/>
          <w:sz w:val="20"/>
        </w:rPr>
      </w:pPr>
      <w:r>
        <w:rPr>
          <w:rFonts w:ascii="Calibri" w:hAnsi="Calibri"/>
          <w:sz w:val="20"/>
        </w:rPr>
        <w:t>Behavioural activation (BA) provides a simple, effective treatment for depression which can be delivered in a group setting or to individuals. This schema provides the costs for group-based BA which is delivered over 12 one-hour sessions by two mental health nurses on post-qualification pay bands with no previous formal therapy training. They received five days training in BA and one hour clinical supervision fortnightly from the principal investigator.</w:t>
      </w:r>
      <w:r>
        <w:rPr>
          <w:rFonts w:ascii="Calibri" w:hAnsi="Calibri"/>
          <w:color w:val="221F1F"/>
          <w:position w:val="7"/>
          <w:sz w:val="13"/>
        </w:rPr>
        <w:t xml:space="preserve">1 </w:t>
      </w:r>
      <w:r>
        <w:rPr>
          <w:rFonts w:ascii="Calibri" w:hAnsi="Calibri"/>
          <w:sz w:val="20"/>
        </w:rPr>
        <w:t>Sessions are usually attended by 10 people. Costs are based on Agenda for Change (AfC) band 7, the grade normally used for this service. However, if we base the costs on AfC band 5, the cost per session per person is £11 (£13 with qualifications) and for 12 sessions £131 (£151 with qualifications).</w:t>
      </w:r>
      <w:r>
        <w:rPr>
          <w:rFonts w:ascii="Calibri" w:hAnsi="Calibri"/>
          <w:position w:val="7"/>
          <w:sz w:val="13"/>
        </w:rPr>
        <w:t xml:space="preserve">1 </w:t>
      </w:r>
      <w:r>
        <w:rPr>
          <w:rFonts w:ascii="Calibri" w:hAnsi="Calibri"/>
          <w:sz w:val="20"/>
        </w:rPr>
        <w:t>Another study</w:t>
      </w:r>
      <w:r>
        <w:rPr>
          <w:rFonts w:ascii="Calibri" w:hAnsi="Calibri"/>
          <w:position w:val="7"/>
          <w:sz w:val="13"/>
        </w:rPr>
        <w:t xml:space="preserve">2 </w:t>
      </w:r>
      <w:r>
        <w:rPr>
          <w:rFonts w:ascii="Calibri" w:hAnsi="Calibri"/>
          <w:sz w:val="20"/>
        </w:rPr>
        <w:t>provides information on BA delivered on a one-to-one basis by a grade 5 AfC band</w:t>
      </w:r>
      <w:r>
        <w:rPr>
          <w:rFonts w:ascii="Calibri" w:hAnsi="Calibri"/>
          <w:spacing w:val="-3"/>
          <w:sz w:val="20"/>
        </w:rPr>
        <w:t xml:space="preserve"> </w:t>
      </w:r>
      <w:r>
        <w:rPr>
          <w:rFonts w:ascii="Calibri" w:hAnsi="Calibri"/>
          <w:sz w:val="20"/>
        </w:rPr>
        <w:t>mental</w:t>
      </w:r>
      <w:r>
        <w:rPr>
          <w:rFonts w:ascii="Calibri" w:hAnsi="Calibri"/>
          <w:spacing w:val="-3"/>
          <w:sz w:val="20"/>
        </w:rPr>
        <w:t xml:space="preserve"> </w:t>
      </w:r>
      <w:r>
        <w:rPr>
          <w:rFonts w:ascii="Calibri" w:hAnsi="Calibri"/>
          <w:sz w:val="20"/>
        </w:rPr>
        <w:t>health</w:t>
      </w:r>
      <w:r>
        <w:rPr>
          <w:rFonts w:ascii="Calibri" w:hAnsi="Calibri"/>
          <w:spacing w:val="-3"/>
          <w:sz w:val="20"/>
        </w:rPr>
        <w:t xml:space="preserve"> </w:t>
      </w:r>
      <w:r>
        <w:rPr>
          <w:rFonts w:ascii="Calibri" w:hAnsi="Calibri"/>
          <w:sz w:val="20"/>
        </w:rPr>
        <w:t>nurse.</w:t>
      </w:r>
      <w:r>
        <w:rPr>
          <w:rFonts w:ascii="Calibri" w:hAnsi="Calibri"/>
          <w:spacing w:val="-3"/>
          <w:sz w:val="20"/>
        </w:rPr>
        <w:t xml:space="preserve"> </w:t>
      </w:r>
      <w:r>
        <w:rPr>
          <w:rFonts w:ascii="Calibri" w:hAnsi="Calibri"/>
          <w:sz w:val="20"/>
        </w:rPr>
        <w:t>This</w:t>
      </w:r>
      <w:r>
        <w:rPr>
          <w:rFonts w:ascii="Calibri" w:hAnsi="Calibri"/>
          <w:spacing w:val="-5"/>
          <w:sz w:val="20"/>
        </w:rPr>
        <w:t xml:space="preserve"> </w:t>
      </w:r>
      <w:r>
        <w:rPr>
          <w:rFonts w:ascii="Calibri" w:hAnsi="Calibri"/>
          <w:sz w:val="20"/>
        </w:rPr>
        <w:t>costs</w:t>
      </w:r>
      <w:r>
        <w:rPr>
          <w:rFonts w:ascii="Calibri" w:hAnsi="Calibri"/>
          <w:spacing w:val="-1"/>
          <w:sz w:val="20"/>
        </w:rPr>
        <w:t xml:space="preserve"> </w:t>
      </w:r>
      <w:r>
        <w:rPr>
          <w:rFonts w:ascii="Calibri" w:hAnsi="Calibri"/>
          <w:sz w:val="20"/>
        </w:rPr>
        <w:t>£33</w:t>
      </w:r>
      <w:r>
        <w:rPr>
          <w:rFonts w:ascii="Calibri" w:hAnsi="Calibri"/>
          <w:spacing w:val="-3"/>
          <w:sz w:val="20"/>
        </w:rPr>
        <w:t xml:space="preserve"> </w:t>
      </w:r>
      <w:r>
        <w:rPr>
          <w:rFonts w:ascii="Calibri" w:hAnsi="Calibri"/>
          <w:sz w:val="20"/>
        </w:rPr>
        <w:t>per</w:t>
      </w:r>
      <w:r>
        <w:rPr>
          <w:rFonts w:ascii="Calibri" w:hAnsi="Calibri"/>
          <w:spacing w:val="-3"/>
          <w:sz w:val="20"/>
        </w:rPr>
        <w:t xml:space="preserve"> </w:t>
      </w:r>
      <w:r>
        <w:rPr>
          <w:rFonts w:ascii="Calibri" w:hAnsi="Calibri"/>
          <w:sz w:val="20"/>
        </w:rPr>
        <w:t>hour</w:t>
      </w:r>
      <w:r>
        <w:rPr>
          <w:rFonts w:ascii="Calibri" w:hAnsi="Calibri"/>
          <w:spacing w:val="-3"/>
          <w:sz w:val="20"/>
        </w:rPr>
        <w:t xml:space="preserve"> </w:t>
      </w:r>
      <w:r>
        <w:rPr>
          <w:rFonts w:ascii="Calibri" w:hAnsi="Calibri"/>
          <w:sz w:val="20"/>
        </w:rPr>
        <w:t>or</w:t>
      </w:r>
      <w:r>
        <w:rPr>
          <w:rFonts w:ascii="Calibri" w:hAnsi="Calibri"/>
          <w:spacing w:val="-1"/>
          <w:sz w:val="20"/>
        </w:rPr>
        <w:t xml:space="preserve"> </w:t>
      </w:r>
      <w:r>
        <w:rPr>
          <w:rFonts w:ascii="Calibri" w:hAnsi="Calibri"/>
          <w:sz w:val="20"/>
        </w:rPr>
        <w:t>£61</w:t>
      </w:r>
      <w:r>
        <w:rPr>
          <w:rFonts w:ascii="Calibri" w:hAnsi="Calibri"/>
          <w:spacing w:val="-3"/>
          <w:sz w:val="20"/>
        </w:rPr>
        <w:t xml:space="preserve"> </w:t>
      </w:r>
      <w:r>
        <w:rPr>
          <w:rFonts w:ascii="Calibri" w:hAnsi="Calibri"/>
          <w:sz w:val="20"/>
        </w:rPr>
        <w:t>per</w:t>
      </w:r>
      <w:r>
        <w:rPr>
          <w:rFonts w:ascii="Calibri" w:hAnsi="Calibri"/>
          <w:spacing w:val="-3"/>
          <w:sz w:val="20"/>
        </w:rPr>
        <w:t xml:space="preserve"> </w:t>
      </w:r>
      <w:r>
        <w:rPr>
          <w:rFonts w:ascii="Calibri" w:hAnsi="Calibri"/>
          <w:sz w:val="20"/>
        </w:rPr>
        <w:t>hour</w:t>
      </w:r>
      <w:r>
        <w:rPr>
          <w:rFonts w:ascii="Calibri" w:hAnsi="Calibri"/>
          <w:spacing w:val="-3"/>
          <w:sz w:val="20"/>
        </w:rPr>
        <w:t xml:space="preserve"> </w:t>
      </w:r>
      <w:r>
        <w:rPr>
          <w:rFonts w:ascii="Calibri" w:hAnsi="Calibri"/>
          <w:sz w:val="20"/>
        </w:rPr>
        <w:t>of</w:t>
      </w:r>
      <w:r>
        <w:rPr>
          <w:rFonts w:ascii="Calibri" w:hAnsi="Calibri"/>
          <w:spacing w:val="-5"/>
          <w:sz w:val="20"/>
        </w:rPr>
        <w:t xml:space="preserve"> </w:t>
      </w:r>
      <w:r>
        <w:rPr>
          <w:rFonts w:ascii="Calibri" w:hAnsi="Calibri"/>
          <w:sz w:val="20"/>
        </w:rPr>
        <w:t>face-to-face</w:t>
      </w:r>
      <w:r>
        <w:rPr>
          <w:rFonts w:ascii="Calibri" w:hAnsi="Calibri"/>
          <w:spacing w:val="-4"/>
          <w:sz w:val="20"/>
        </w:rPr>
        <w:t xml:space="preserve"> </w:t>
      </w:r>
      <w:r>
        <w:rPr>
          <w:rFonts w:ascii="Calibri" w:hAnsi="Calibri"/>
          <w:sz w:val="20"/>
        </w:rPr>
        <w:t>contact.</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1664"/>
        <w:gridCol w:w="6102"/>
      </w:tblGrid>
      <w:tr w:rsidR="006A18FD" w:rsidTr="0053166C">
        <w:trPr>
          <w:trHeight w:val="340"/>
          <w:tblHeader/>
        </w:trPr>
        <w:tc>
          <w:tcPr>
            <w:tcW w:w="2220" w:type="dxa"/>
          </w:tcPr>
          <w:p w:rsidR="006A18FD" w:rsidRDefault="002D29FC">
            <w:pPr>
              <w:spacing w:before="1"/>
              <w:ind w:left="52"/>
              <w:rPr>
                <w:rFonts w:ascii="Calibri"/>
                <w:b/>
                <w:sz w:val="19"/>
              </w:rPr>
            </w:pPr>
            <w:r>
              <w:rPr>
                <w:rFonts w:ascii="Calibri"/>
                <w:b/>
                <w:sz w:val="19"/>
              </w:rPr>
              <w:t>Costs and unit estimation</w:t>
            </w:r>
          </w:p>
        </w:tc>
        <w:tc>
          <w:tcPr>
            <w:tcW w:w="1664" w:type="dxa"/>
          </w:tcPr>
          <w:p w:rsidR="006A18FD" w:rsidRDefault="002D29FC">
            <w:pPr>
              <w:spacing w:before="1"/>
              <w:ind w:left="103"/>
              <w:rPr>
                <w:rFonts w:ascii="Calibri"/>
                <w:b/>
                <w:sz w:val="19"/>
              </w:rPr>
            </w:pPr>
            <w:r>
              <w:rPr>
                <w:rFonts w:ascii="Calibri"/>
                <w:b/>
                <w:sz w:val="19"/>
              </w:rPr>
              <w:t>2018/2019 value</w:t>
            </w:r>
          </w:p>
        </w:tc>
        <w:tc>
          <w:tcPr>
            <w:tcW w:w="6102" w:type="dxa"/>
          </w:tcPr>
          <w:p w:rsidR="006A18FD" w:rsidRDefault="002D29FC">
            <w:pPr>
              <w:spacing w:before="1"/>
              <w:ind w:left="103"/>
              <w:rPr>
                <w:rFonts w:ascii="Calibri"/>
                <w:b/>
                <w:sz w:val="19"/>
              </w:rPr>
            </w:pPr>
            <w:r>
              <w:rPr>
                <w:rFonts w:ascii="Calibri"/>
                <w:b/>
                <w:sz w:val="19"/>
              </w:rPr>
              <w:t>Notes</w:t>
            </w:r>
          </w:p>
        </w:tc>
      </w:tr>
      <w:tr w:rsidR="006A18FD">
        <w:trPr>
          <w:trHeight w:val="460"/>
        </w:trPr>
        <w:tc>
          <w:tcPr>
            <w:tcW w:w="2220" w:type="dxa"/>
          </w:tcPr>
          <w:p w:rsidR="006A18FD" w:rsidRDefault="002D29FC">
            <w:pPr>
              <w:spacing w:before="1"/>
              <w:ind w:left="103"/>
              <w:rPr>
                <w:rFonts w:ascii="Calibri"/>
                <w:sz w:val="19"/>
              </w:rPr>
            </w:pPr>
            <w:r>
              <w:rPr>
                <w:rFonts w:ascii="Calibri"/>
                <w:sz w:val="19"/>
              </w:rPr>
              <w:t>A. Wages/salary</w:t>
            </w:r>
          </w:p>
        </w:tc>
        <w:tc>
          <w:tcPr>
            <w:tcW w:w="1664" w:type="dxa"/>
          </w:tcPr>
          <w:p w:rsidR="006A18FD" w:rsidRDefault="002D29FC">
            <w:pPr>
              <w:spacing w:before="1"/>
              <w:ind w:left="103"/>
              <w:rPr>
                <w:rFonts w:ascii="Calibri" w:hAnsi="Calibri"/>
                <w:sz w:val="19"/>
              </w:rPr>
            </w:pPr>
            <w:r>
              <w:rPr>
                <w:rFonts w:ascii="Calibri" w:hAnsi="Calibri"/>
                <w:sz w:val="19"/>
              </w:rPr>
              <w:t>£79,988 per year</w:t>
            </w:r>
          </w:p>
        </w:tc>
        <w:tc>
          <w:tcPr>
            <w:tcW w:w="6102" w:type="dxa"/>
          </w:tcPr>
          <w:p w:rsidR="006A18FD" w:rsidRDefault="002D29FC">
            <w:pPr>
              <w:spacing w:before="1" w:line="231" w:lineRule="exact"/>
              <w:ind w:left="103"/>
              <w:rPr>
                <w:rFonts w:ascii="Calibri"/>
                <w:sz w:val="19"/>
              </w:rPr>
            </w:pPr>
            <w:r>
              <w:rPr>
                <w:rFonts w:ascii="Calibri"/>
                <w:sz w:val="19"/>
              </w:rPr>
              <w:t>Based on the mean full-time equivalent basic salary for two mental health</w:t>
            </w:r>
          </w:p>
          <w:p w:rsidR="006A18FD" w:rsidRDefault="002D29FC">
            <w:pPr>
              <w:spacing w:line="210" w:lineRule="exact"/>
              <w:ind w:left="103"/>
              <w:rPr>
                <w:rFonts w:ascii="Calibri"/>
                <w:sz w:val="12"/>
              </w:rPr>
            </w:pPr>
            <w:r>
              <w:rPr>
                <w:rFonts w:ascii="Calibri"/>
                <w:sz w:val="19"/>
              </w:rPr>
              <w:t xml:space="preserve">nurses on AfC band 7 of the 2018/2019 NHS staff earnings estimates. </w:t>
            </w:r>
            <w:r>
              <w:rPr>
                <w:rFonts w:ascii="Calibri"/>
                <w:position w:val="5"/>
                <w:sz w:val="12"/>
              </w:rPr>
              <w:t>3</w:t>
            </w:r>
          </w:p>
        </w:tc>
      </w:tr>
      <w:tr w:rsidR="006A18FD">
        <w:trPr>
          <w:trHeight w:val="460"/>
        </w:trPr>
        <w:tc>
          <w:tcPr>
            <w:tcW w:w="2220" w:type="dxa"/>
          </w:tcPr>
          <w:p w:rsidR="006A18FD" w:rsidRDefault="002D29FC">
            <w:pPr>
              <w:spacing w:before="1"/>
              <w:ind w:left="103"/>
              <w:rPr>
                <w:rFonts w:ascii="Calibri"/>
                <w:sz w:val="19"/>
              </w:rPr>
            </w:pPr>
            <w:r>
              <w:rPr>
                <w:rFonts w:ascii="Calibri"/>
                <w:sz w:val="19"/>
              </w:rPr>
              <w:t>B. Salary oncosts</w:t>
            </w:r>
          </w:p>
        </w:tc>
        <w:tc>
          <w:tcPr>
            <w:tcW w:w="1664" w:type="dxa"/>
          </w:tcPr>
          <w:p w:rsidR="006A18FD" w:rsidRDefault="002D29FC">
            <w:pPr>
              <w:spacing w:before="1"/>
              <w:ind w:left="103"/>
              <w:rPr>
                <w:rFonts w:ascii="Calibri" w:hAnsi="Calibri"/>
                <w:sz w:val="19"/>
              </w:rPr>
            </w:pPr>
            <w:r>
              <w:rPr>
                <w:rFonts w:ascii="Calibri" w:hAnsi="Calibri"/>
                <w:sz w:val="19"/>
              </w:rPr>
              <w:t>£20,216 per year</w:t>
            </w:r>
          </w:p>
        </w:tc>
        <w:tc>
          <w:tcPr>
            <w:tcW w:w="6102" w:type="dxa"/>
          </w:tcPr>
          <w:p w:rsidR="006A18FD" w:rsidRDefault="002D29FC">
            <w:pPr>
              <w:spacing w:before="1" w:line="230" w:lineRule="atLeast"/>
              <w:ind w:left="103" w:right="293"/>
              <w:rPr>
                <w:rFonts w:ascii="Calibri" w:hAnsi="Calibri"/>
                <w:sz w:val="19"/>
              </w:rPr>
            </w:pPr>
            <w:r>
              <w:rPr>
                <w:rFonts w:ascii="Calibri" w:hAnsi="Calibri"/>
                <w:sz w:val="19"/>
              </w:rPr>
              <w:t>Employer’s national insurance is included plus 14.38 per cent of salary for contribution to superannuation.</w:t>
            </w:r>
          </w:p>
        </w:tc>
      </w:tr>
      <w:tr w:rsidR="006A18FD">
        <w:trPr>
          <w:trHeight w:val="459"/>
        </w:trPr>
        <w:tc>
          <w:tcPr>
            <w:tcW w:w="2220" w:type="dxa"/>
          </w:tcPr>
          <w:p w:rsidR="006A18FD" w:rsidRDefault="002D29FC">
            <w:pPr>
              <w:spacing w:line="230" w:lineRule="exact"/>
              <w:ind w:left="103"/>
              <w:rPr>
                <w:rFonts w:ascii="Calibri"/>
                <w:sz w:val="19"/>
              </w:rPr>
            </w:pPr>
            <w:r>
              <w:rPr>
                <w:rFonts w:ascii="Calibri"/>
                <w:sz w:val="19"/>
              </w:rPr>
              <w:t>C. Qualifications</w:t>
            </w:r>
          </w:p>
        </w:tc>
        <w:tc>
          <w:tcPr>
            <w:tcW w:w="1664" w:type="dxa"/>
          </w:tcPr>
          <w:p w:rsidR="006A18FD" w:rsidRDefault="002D29FC">
            <w:pPr>
              <w:spacing w:line="230" w:lineRule="exact"/>
              <w:ind w:left="103"/>
              <w:rPr>
                <w:rFonts w:ascii="Calibri" w:hAnsi="Calibri"/>
                <w:sz w:val="19"/>
              </w:rPr>
            </w:pPr>
            <w:r>
              <w:rPr>
                <w:rFonts w:ascii="Calibri" w:hAnsi="Calibri"/>
                <w:sz w:val="19"/>
              </w:rPr>
              <w:t>£17,489 per year</w:t>
            </w:r>
          </w:p>
        </w:tc>
        <w:tc>
          <w:tcPr>
            <w:tcW w:w="6102" w:type="dxa"/>
          </w:tcPr>
          <w:p w:rsidR="006A18FD" w:rsidRDefault="002D29FC">
            <w:pPr>
              <w:spacing w:line="230" w:lineRule="exact"/>
              <w:ind w:left="103"/>
              <w:rPr>
                <w:rFonts w:ascii="Calibri"/>
                <w:sz w:val="19"/>
              </w:rPr>
            </w:pPr>
            <w:r>
              <w:rPr>
                <w:rFonts w:ascii="Calibri"/>
                <w:sz w:val="19"/>
              </w:rPr>
              <w:t>Qualification costs have been calculated using the method described in</w:t>
            </w:r>
          </w:p>
          <w:p w:rsidR="006A18FD" w:rsidRDefault="002D29FC">
            <w:pPr>
              <w:spacing w:before="1" w:line="211" w:lineRule="exact"/>
              <w:ind w:left="103"/>
              <w:rPr>
                <w:rFonts w:ascii="Calibri"/>
                <w:sz w:val="19"/>
              </w:rPr>
            </w:pPr>
            <w:r>
              <w:rPr>
                <w:rFonts w:ascii="Calibri"/>
                <w:sz w:val="19"/>
              </w:rPr>
              <w:t>Netten et al. (1998).</w:t>
            </w:r>
            <w:r>
              <w:rPr>
                <w:rFonts w:ascii="Calibri"/>
                <w:position w:val="6"/>
                <w:sz w:val="12"/>
              </w:rPr>
              <w:t xml:space="preserve">4 </w:t>
            </w:r>
            <w:r>
              <w:rPr>
                <w:rFonts w:ascii="Calibri"/>
                <w:sz w:val="19"/>
              </w:rPr>
              <w:t>This cost is for 2 mental health nurses.</w:t>
            </w:r>
          </w:p>
        </w:tc>
      </w:tr>
      <w:tr w:rsidR="006A18FD">
        <w:trPr>
          <w:trHeight w:val="1380"/>
        </w:trPr>
        <w:tc>
          <w:tcPr>
            <w:tcW w:w="2220" w:type="dxa"/>
          </w:tcPr>
          <w:p w:rsidR="006A18FD" w:rsidRDefault="002D29FC">
            <w:pPr>
              <w:spacing w:before="1"/>
              <w:ind w:left="103" w:right="366"/>
              <w:rPr>
                <w:rFonts w:ascii="Calibri"/>
                <w:sz w:val="19"/>
              </w:rPr>
            </w:pPr>
            <w:r>
              <w:rPr>
                <w:rFonts w:ascii="Calibri"/>
                <w:sz w:val="19"/>
              </w:rPr>
              <w:t>D. Training for behavioural activation</w:t>
            </w:r>
          </w:p>
        </w:tc>
        <w:tc>
          <w:tcPr>
            <w:tcW w:w="1664" w:type="dxa"/>
          </w:tcPr>
          <w:p w:rsidR="006A18FD" w:rsidRDefault="002D29FC">
            <w:pPr>
              <w:spacing w:before="1"/>
              <w:ind w:left="103"/>
              <w:rPr>
                <w:rFonts w:ascii="Calibri" w:hAnsi="Calibri"/>
                <w:sz w:val="19"/>
              </w:rPr>
            </w:pPr>
            <w:r>
              <w:rPr>
                <w:rFonts w:ascii="Calibri" w:hAnsi="Calibri"/>
                <w:sz w:val="19"/>
              </w:rPr>
              <w:t>£686 per year</w:t>
            </w:r>
          </w:p>
        </w:tc>
        <w:tc>
          <w:tcPr>
            <w:tcW w:w="6102" w:type="dxa"/>
          </w:tcPr>
          <w:p w:rsidR="006A18FD" w:rsidRDefault="002D29FC">
            <w:pPr>
              <w:spacing w:before="1"/>
              <w:ind w:left="103" w:right="30"/>
              <w:rPr>
                <w:rFonts w:ascii="Calibri" w:hAnsi="Calibri"/>
                <w:sz w:val="19"/>
              </w:rPr>
            </w:pPr>
            <w:r>
              <w:rPr>
                <w:rFonts w:ascii="Calibri" w:hAnsi="Calibri"/>
                <w:sz w:val="19"/>
              </w:rPr>
              <w:t>Training costs were calculated by facilitators’ hourly rate for the duration of the training (35 hours) divided by the number of participants attending (n=10) (£235 per therapist). Supervision costs were based on 1-hour fortnightly contact for 40 weeks (£3,056 per therapist); 12 session behavioural protocol (£228 per therapist). These costs have been annuitised</w:t>
            </w:r>
          </w:p>
          <w:p w:rsidR="006A18FD" w:rsidRDefault="002D29FC">
            <w:pPr>
              <w:spacing w:line="211" w:lineRule="exact"/>
              <w:ind w:left="103"/>
              <w:rPr>
                <w:rFonts w:ascii="Calibri"/>
                <w:sz w:val="19"/>
              </w:rPr>
            </w:pPr>
            <w:r>
              <w:rPr>
                <w:rFonts w:ascii="Calibri"/>
                <w:sz w:val="19"/>
              </w:rPr>
              <w:t>over the working life of the nurse.</w:t>
            </w:r>
          </w:p>
        </w:tc>
      </w:tr>
      <w:tr w:rsidR="006A18FD">
        <w:trPr>
          <w:trHeight w:val="1960"/>
        </w:trPr>
        <w:tc>
          <w:tcPr>
            <w:tcW w:w="2220" w:type="dxa"/>
          </w:tcPr>
          <w:p w:rsidR="006A18FD" w:rsidRDefault="002D29FC">
            <w:pPr>
              <w:spacing w:before="1"/>
              <w:ind w:left="103"/>
              <w:rPr>
                <w:rFonts w:ascii="Calibri"/>
                <w:sz w:val="19"/>
              </w:rPr>
            </w:pPr>
            <w:r>
              <w:rPr>
                <w:rFonts w:ascii="Calibri"/>
                <w:sz w:val="19"/>
              </w:rPr>
              <w:t>E. Overheads</w:t>
            </w:r>
          </w:p>
          <w:p w:rsidR="006A18FD" w:rsidRDefault="002D29FC">
            <w:pPr>
              <w:spacing w:before="87"/>
              <w:ind w:left="103" w:right="621"/>
              <w:rPr>
                <w:rFonts w:ascii="Calibri"/>
                <w:sz w:val="19"/>
              </w:rPr>
            </w:pPr>
            <w:r>
              <w:rPr>
                <w:rFonts w:ascii="Calibri"/>
                <w:sz w:val="19"/>
              </w:rPr>
              <w:t>Management, administration and estates staff</w:t>
            </w:r>
          </w:p>
          <w:p w:rsidR="006A18FD" w:rsidRDefault="002D29FC">
            <w:pPr>
              <w:spacing w:before="20"/>
              <w:ind w:left="103"/>
              <w:rPr>
                <w:rFonts w:ascii="Calibri"/>
                <w:sz w:val="19"/>
              </w:rPr>
            </w:pPr>
            <w:r>
              <w:rPr>
                <w:rFonts w:ascii="Calibri"/>
                <w:sz w:val="19"/>
              </w:rPr>
              <w:t>Non-staff</w:t>
            </w:r>
          </w:p>
        </w:tc>
        <w:tc>
          <w:tcPr>
            <w:tcW w:w="1664" w:type="dxa"/>
          </w:tcPr>
          <w:p w:rsidR="006A18FD" w:rsidRDefault="006A18FD">
            <w:pPr>
              <w:spacing w:before="3"/>
              <w:rPr>
                <w:rFonts w:ascii="Calibri"/>
                <w:sz w:val="26"/>
              </w:rPr>
            </w:pPr>
          </w:p>
          <w:p w:rsidR="006A18FD" w:rsidRDefault="002D29FC">
            <w:pPr>
              <w:ind w:left="103"/>
              <w:rPr>
                <w:rFonts w:ascii="Calibri" w:hAnsi="Calibri"/>
                <w:sz w:val="19"/>
              </w:rPr>
            </w:pPr>
            <w:r>
              <w:rPr>
                <w:rFonts w:ascii="Calibri" w:hAnsi="Calibri"/>
                <w:sz w:val="19"/>
              </w:rPr>
              <w:t>£24,550 per year</w:t>
            </w:r>
          </w:p>
          <w:p w:rsidR="006A18FD" w:rsidRDefault="006A18FD">
            <w:pPr>
              <w:rPr>
                <w:rFonts w:ascii="Calibri"/>
                <w:sz w:val="18"/>
              </w:rPr>
            </w:pPr>
          </w:p>
          <w:p w:rsidR="006A18FD" w:rsidRDefault="006A18FD">
            <w:pPr>
              <w:spacing w:before="9"/>
              <w:rPr>
                <w:rFonts w:ascii="Calibri"/>
                <w:sz w:val="21"/>
              </w:rPr>
            </w:pPr>
          </w:p>
          <w:p w:rsidR="006A18FD" w:rsidRDefault="002D29FC">
            <w:pPr>
              <w:spacing w:before="1"/>
              <w:ind w:left="103"/>
              <w:rPr>
                <w:rFonts w:ascii="Calibri" w:hAnsi="Calibri"/>
                <w:sz w:val="19"/>
              </w:rPr>
            </w:pPr>
            <w:r>
              <w:rPr>
                <w:rFonts w:ascii="Calibri" w:hAnsi="Calibri"/>
                <w:sz w:val="19"/>
              </w:rPr>
              <w:t>£38,278 per year</w:t>
            </w:r>
          </w:p>
        </w:tc>
        <w:tc>
          <w:tcPr>
            <w:tcW w:w="6102" w:type="dxa"/>
          </w:tcPr>
          <w:p w:rsidR="006A18FD" w:rsidRDefault="002D29FC">
            <w:pPr>
              <w:spacing w:before="1"/>
              <w:ind w:left="103"/>
              <w:rPr>
                <w:rFonts w:ascii="Calibri"/>
                <w:sz w:val="19"/>
              </w:rPr>
            </w:pPr>
            <w:r>
              <w:rPr>
                <w:rFonts w:ascii="Calibri"/>
                <w:sz w:val="19"/>
              </w:rPr>
              <w:t>Taken from the 2013/2014 financial accounts for 10 community trusts.</w:t>
            </w:r>
          </w:p>
          <w:p w:rsidR="006A18FD" w:rsidRDefault="002D29FC">
            <w:pPr>
              <w:spacing w:before="87"/>
              <w:ind w:left="103" w:right="293"/>
              <w:rPr>
                <w:rFonts w:ascii="Calibri"/>
                <w:sz w:val="19"/>
              </w:rPr>
            </w:pPr>
            <w:r>
              <w:rPr>
                <w:rFonts w:ascii="Calibri"/>
                <w:sz w:val="19"/>
              </w:rPr>
              <w:t>Management and other non-care staff costs were 24.5 per cent of direct care salary costs and included administration and estates staff.</w:t>
            </w:r>
          </w:p>
          <w:p w:rsidR="006A18FD" w:rsidRDefault="006A18FD">
            <w:pPr>
              <w:spacing w:before="9"/>
              <w:rPr>
                <w:rFonts w:ascii="Calibri"/>
                <w:sz w:val="20"/>
              </w:rPr>
            </w:pPr>
          </w:p>
          <w:p w:rsidR="006A18FD" w:rsidRDefault="002D29FC">
            <w:pPr>
              <w:ind w:left="103"/>
              <w:rPr>
                <w:rFonts w:ascii="Calibri"/>
                <w:sz w:val="19"/>
              </w:rPr>
            </w:pPr>
            <w:r>
              <w:rPr>
                <w:rFonts w:ascii="Calibri"/>
                <w:sz w:val="19"/>
              </w:rPr>
              <w:t>Non-staff costs were 38.2 per cent of direct care salary costs. They include costs to the provider for office, travel/transport, publishing, training courses and conferences, supplies and services (clinical and general), and utilities</w:t>
            </w:r>
          </w:p>
          <w:p w:rsidR="006A18FD" w:rsidRDefault="002D29FC">
            <w:pPr>
              <w:spacing w:line="210" w:lineRule="exact"/>
              <w:ind w:left="103"/>
              <w:rPr>
                <w:rFonts w:ascii="Calibri"/>
                <w:sz w:val="19"/>
              </w:rPr>
            </w:pPr>
            <w:r>
              <w:rPr>
                <w:rFonts w:ascii="Calibri"/>
                <w:sz w:val="19"/>
              </w:rPr>
              <w:t>such as water, gas and electricity.</w:t>
            </w:r>
          </w:p>
        </w:tc>
      </w:tr>
      <w:tr w:rsidR="006A18FD">
        <w:trPr>
          <w:trHeight w:val="920"/>
        </w:trPr>
        <w:tc>
          <w:tcPr>
            <w:tcW w:w="2220" w:type="dxa"/>
          </w:tcPr>
          <w:p w:rsidR="006A18FD" w:rsidRDefault="002D29FC">
            <w:pPr>
              <w:spacing w:before="1"/>
              <w:ind w:left="103"/>
              <w:rPr>
                <w:rFonts w:ascii="Calibri"/>
                <w:sz w:val="19"/>
              </w:rPr>
            </w:pPr>
            <w:r>
              <w:rPr>
                <w:rFonts w:ascii="Calibri"/>
                <w:sz w:val="19"/>
              </w:rPr>
              <w:t>F. Capital overheads</w:t>
            </w:r>
          </w:p>
        </w:tc>
        <w:tc>
          <w:tcPr>
            <w:tcW w:w="1664" w:type="dxa"/>
          </w:tcPr>
          <w:p w:rsidR="006A18FD" w:rsidRDefault="002D29FC">
            <w:pPr>
              <w:spacing w:before="1"/>
              <w:ind w:left="103"/>
              <w:rPr>
                <w:rFonts w:ascii="Calibri" w:hAnsi="Calibri"/>
                <w:sz w:val="19"/>
              </w:rPr>
            </w:pPr>
            <w:r>
              <w:rPr>
                <w:rFonts w:ascii="Calibri" w:hAnsi="Calibri"/>
                <w:sz w:val="19"/>
              </w:rPr>
              <w:t>£8,942 per year</w:t>
            </w:r>
          </w:p>
        </w:tc>
        <w:tc>
          <w:tcPr>
            <w:tcW w:w="6102" w:type="dxa"/>
          </w:tcPr>
          <w:p w:rsidR="006A18FD" w:rsidRDefault="002D29FC">
            <w:pPr>
              <w:spacing w:before="1"/>
              <w:ind w:left="103" w:right="158"/>
              <w:rPr>
                <w:rFonts w:ascii="Calibri"/>
                <w:sz w:val="19"/>
              </w:rPr>
            </w:pPr>
            <w:r>
              <w:rPr>
                <w:rFonts w:ascii="Calibri"/>
                <w:sz w:val="19"/>
              </w:rPr>
              <w:t>Based on the new-build and land requirements of NHS facilities (2 offices) but adjusted to reflect shared use of both treatment and non-treatment space.</w:t>
            </w:r>
            <w:r>
              <w:rPr>
                <w:rFonts w:ascii="Calibri"/>
                <w:position w:val="6"/>
                <w:sz w:val="12"/>
              </w:rPr>
              <w:t xml:space="preserve">5,6 </w:t>
            </w:r>
            <w:r>
              <w:rPr>
                <w:rFonts w:ascii="Calibri"/>
                <w:sz w:val="19"/>
              </w:rPr>
              <w:t>Capital costs have been annuitised over 60 years at a discount rate</w:t>
            </w:r>
          </w:p>
          <w:p w:rsidR="006A18FD" w:rsidRDefault="002D29FC">
            <w:pPr>
              <w:spacing w:line="211" w:lineRule="exact"/>
              <w:ind w:left="103"/>
              <w:rPr>
                <w:rFonts w:ascii="Calibri"/>
                <w:sz w:val="19"/>
              </w:rPr>
            </w:pPr>
            <w:r>
              <w:rPr>
                <w:rFonts w:ascii="Calibri"/>
                <w:sz w:val="19"/>
              </w:rPr>
              <w:t>of 3.5 per cent, declining to 3 per cent after 30 years.</w:t>
            </w:r>
          </w:p>
        </w:tc>
      </w:tr>
      <w:tr w:rsidR="006A18FD">
        <w:trPr>
          <w:trHeight w:val="680"/>
        </w:trPr>
        <w:tc>
          <w:tcPr>
            <w:tcW w:w="2220" w:type="dxa"/>
          </w:tcPr>
          <w:p w:rsidR="006A18FD" w:rsidRDefault="002D29FC">
            <w:pPr>
              <w:spacing w:before="1"/>
              <w:ind w:left="103"/>
              <w:rPr>
                <w:rFonts w:ascii="Calibri"/>
                <w:sz w:val="19"/>
              </w:rPr>
            </w:pPr>
            <w:r>
              <w:rPr>
                <w:rFonts w:ascii="Calibri"/>
                <w:sz w:val="19"/>
              </w:rPr>
              <w:t>Working time</w:t>
            </w:r>
          </w:p>
        </w:tc>
        <w:tc>
          <w:tcPr>
            <w:tcW w:w="1664" w:type="dxa"/>
          </w:tcPr>
          <w:p w:rsidR="006A18FD" w:rsidRDefault="002D29FC">
            <w:pPr>
              <w:spacing w:before="1"/>
              <w:ind w:left="103"/>
              <w:rPr>
                <w:rFonts w:ascii="Calibri"/>
                <w:sz w:val="19"/>
              </w:rPr>
            </w:pPr>
            <w:r>
              <w:rPr>
                <w:rFonts w:ascii="Calibri"/>
                <w:sz w:val="19"/>
              </w:rPr>
              <w:t>42 weeks per year</w:t>
            </w:r>
          </w:p>
          <w:p w:rsidR="006A18FD" w:rsidRDefault="002D29FC">
            <w:pPr>
              <w:spacing w:line="231" w:lineRule="exact"/>
              <w:ind w:left="103"/>
              <w:rPr>
                <w:rFonts w:ascii="Calibri"/>
                <w:sz w:val="19"/>
              </w:rPr>
            </w:pPr>
            <w:r>
              <w:rPr>
                <w:rFonts w:ascii="Calibri"/>
                <w:sz w:val="19"/>
              </w:rPr>
              <w:t>37.5 hours per</w:t>
            </w:r>
          </w:p>
          <w:p w:rsidR="006A18FD" w:rsidRDefault="002D29FC">
            <w:pPr>
              <w:spacing w:line="210" w:lineRule="exact"/>
              <w:ind w:left="103"/>
              <w:rPr>
                <w:rFonts w:ascii="Calibri"/>
                <w:sz w:val="19"/>
              </w:rPr>
            </w:pPr>
            <w:r>
              <w:rPr>
                <w:rFonts w:ascii="Calibri"/>
                <w:sz w:val="19"/>
              </w:rPr>
              <w:t>week</w:t>
            </w:r>
          </w:p>
        </w:tc>
        <w:tc>
          <w:tcPr>
            <w:tcW w:w="6102" w:type="dxa"/>
          </w:tcPr>
          <w:p w:rsidR="006A18FD" w:rsidRDefault="002D29FC">
            <w:pPr>
              <w:spacing w:before="1"/>
              <w:ind w:left="103" w:right="567"/>
              <w:rPr>
                <w:rFonts w:ascii="Calibri"/>
                <w:sz w:val="19"/>
              </w:rPr>
            </w:pPr>
            <w:r>
              <w:rPr>
                <w:rFonts w:ascii="Calibri"/>
                <w:sz w:val="19"/>
              </w:rPr>
              <w:t>Unit costs are based on 1,573 hours per year: 210 working days minus sickness absence and training/study days as reported for all NHS staff</w:t>
            </w:r>
          </w:p>
          <w:p w:rsidR="006A18FD" w:rsidRDefault="002D29FC">
            <w:pPr>
              <w:spacing w:line="210" w:lineRule="exact"/>
              <w:ind w:left="103"/>
              <w:rPr>
                <w:rFonts w:ascii="Calibri"/>
                <w:sz w:val="12"/>
              </w:rPr>
            </w:pPr>
            <w:r>
              <w:rPr>
                <w:rFonts w:ascii="Calibri"/>
                <w:sz w:val="19"/>
              </w:rPr>
              <w:t>groups.</w:t>
            </w:r>
            <w:r>
              <w:rPr>
                <w:rFonts w:ascii="Calibri"/>
                <w:position w:val="6"/>
                <w:sz w:val="12"/>
              </w:rPr>
              <w:t>7</w:t>
            </w:r>
          </w:p>
        </w:tc>
      </w:tr>
      <w:tr w:rsidR="006A18FD">
        <w:trPr>
          <w:trHeight w:val="460"/>
        </w:trPr>
        <w:tc>
          <w:tcPr>
            <w:tcW w:w="2220" w:type="dxa"/>
          </w:tcPr>
          <w:p w:rsidR="006A18FD" w:rsidRDefault="002D29FC">
            <w:pPr>
              <w:spacing w:before="1"/>
              <w:ind w:left="103"/>
              <w:rPr>
                <w:rFonts w:ascii="Calibri"/>
                <w:sz w:val="19"/>
              </w:rPr>
            </w:pPr>
            <w:r>
              <w:rPr>
                <w:rFonts w:ascii="Calibri"/>
                <w:sz w:val="19"/>
              </w:rPr>
              <w:t>Duration of contact</w:t>
            </w:r>
          </w:p>
        </w:tc>
        <w:tc>
          <w:tcPr>
            <w:tcW w:w="1664" w:type="dxa"/>
          </w:tcPr>
          <w:p w:rsidR="006A18FD" w:rsidRDefault="006A18FD">
            <w:pPr>
              <w:rPr>
                <w:rFonts w:ascii="Times New Roman"/>
                <w:sz w:val="18"/>
              </w:rPr>
            </w:pPr>
          </w:p>
        </w:tc>
        <w:tc>
          <w:tcPr>
            <w:tcW w:w="6102" w:type="dxa"/>
          </w:tcPr>
          <w:p w:rsidR="006A18FD" w:rsidRDefault="002D29FC">
            <w:pPr>
              <w:spacing w:before="1" w:line="230" w:lineRule="atLeast"/>
              <w:ind w:left="103" w:right="430"/>
              <w:rPr>
                <w:rFonts w:ascii="Calibri"/>
                <w:sz w:val="19"/>
              </w:rPr>
            </w:pPr>
            <w:r>
              <w:rPr>
                <w:rFonts w:ascii="Calibri"/>
                <w:sz w:val="19"/>
              </w:rPr>
              <w:t>One-hour sessions included direct treatment time of 40-50 minutes and administration.</w:t>
            </w:r>
          </w:p>
        </w:tc>
      </w:tr>
      <w:tr w:rsidR="006A18FD">
        <w:trPr>
          <w:trHeight w:val="219"/>
        </w:trPr>
        <w:tc>
          <w:tcPr>
            <w:tcW w:w="9986" w:type="dxa"/>
            <w:gridSpan w:val="3"/>
          </w:tcPr>
          <w:p w:rsidR="006A18FD" w:rsidRDefault="002D29FC">
            <w:pPr>
              <w:spacing w:line="209" w:lineRule="exact"/>
              <w:ind w:left="103"/>
              <w:rPr>
                <w:rFonts w:ascii="Calibri"/>
                <w:b/>
                <w:sz w:val="19"/>
              </w:rPr>
            </w:pPr>
            <w:r>
              <w:rPr>
                <w:rFonts w:ascii="Calibri"/>
                <w:b/>
                <w:sz w:val="19"/>
              </w:rPr>
              <w:t>Unit costs available 2018/2019 (costs including qualifications given in brackets)</w:t>
            </w:r>
          </w:p>
        </w:tc>
      </w:tr>
      <w:tr w:rsidR="006A18FD">
        <w:trPr>
          <w:trHeight w:val="220"/>
        </w:trPr>
        <w:tc>
          <w:tcPr>
            <w:tcW w:w="9986" w:type="dxa"/>
            <w:gridSpan w:val="3"/>
          </w:tcPr>
          <w:p w:rsidR="006A18FD" w:rsidRDefault="002D29FC">
            <w:pPr>
              <w:spacing w:before="2" w:line="211" w:lineRule="exact"/>
              <w:ind w:left="103"/>
              <w:rPr>
                <w:rFonts w:ascii="Calibri" w:hAnsi="Calibri"/>
                <w:sz w:val="19"/>
              </w:rPr>
            </w:pPr>
            <w:r>
              <w:rPr>
                <w:rFonts w:ascii="Calibri" w:hAnsi="Calibri"/>
                <w:sz w:val="19"/>
              </w:rPr>
              <w:t>Cost per session per person attending a group £16 (£18); Cost per 12 group sessions per person £192 (£211)</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7"/>
        <w:rPr>
          <w:rFonts w:ascii="Calibri"/>
        </w:rPr>
      </w:pPr>
    </w:p>
    <w:p w:rsidR="006A18FD" w:rsidRDefault="002D29FC">
      <w:pPr>
        <w:ind w:left="423" w:hanging="284"/>
        <w:rPr>
          <w:rFonts w:ascii="Calibri"/>
          <w:sz w:val="16"/>
        </w:rPr>
      </w:pPr>
      <w:r>
        <w:rPr>
          <w:rFonts w:ascii="Calibri"/>
          <w:position w:val="4"/>
          <w:sz w:val="10"/>
        </w:rPr>
        <w:t xml:space="preserve">1 </w:t>
      </w:r>
      <w:r>
        <w:rPr>
          <w:rFonts w:ascii="Calibri"/>
          <w:sz w:val="16"/>
        </w:rPr>
        <w:t xml:space="preserve">Ekers, D., Godfrey, C., Gilbody, S., Parrott, S., Richards, D., Hammond, D. &amp; Hayes, A. (2011) Cost utility of behavioural activation delivered by the non- specialist, </w:t>
      </w:r>
      <w:r>
        <w:rPr>
          <w:rFonts w:ascii="Calibri"/>
          <w:i/>
          <w:sz w:val="16"/>
        </w:rPr>
        <w:t>British Journal of Psychology</w:t>
      </w:r>
      <w:r>
        <w:rPr>
          <w:rFonts w:ascii="Calibri"/>
          <w:sz w:val="16"/>
        </w:rPr>
        <w:t>, 199, 510-511.</w:t>
      </w:r>
    </w:p>
    <w:p w:rsidR="006A18FD" w:rsidRDefault="002D29FC">
      <w:pPr>
        <w:spacing w:before="1"/>
        <w:ind w:left="423" w:right="273" w:hanging="284"/>
        <w:rPr>
          <w:rFonts w:ascii="Calibri" w:hAnsi="Calibri"/>
          <w:sz w:val="16"/>
        </w:rPr>
      </w:pPr>
      <w:r>
        <w:rPr>
          <w:rFonts w:ascii="Calibri" w:hAnsi="Calibri"/>
          <w:position w:val="5"/>
          <w:sz w:val="10"/>
        </w:rPr>
        <w:t xml:space="preserve">2 </w:t>
      </w:r>
      <w:r>
        <w:rPr>
          <w:rFonts w:ascii="Calibri" w:hAnsi="Calibri"/>
          <w:sz w:val="16"/>
        </w:rPr>
        <w:t xml:space="preserve">Richards, D., Ekers, D., McMillan, D. Taylor, R., Byford, S., Warren, F., Barrett, B. Farrand, P., Gilbody, S., Kuyken., O’Mahen,. H., Watkins, E., Wright, K., Hollon, S., Reed, N., Rhodes, S., Fletcher, E. &amp; Finning, K. (2016) Cost and outcome of behavioural activation versus cognitive behavioural therapy for depression (COBRA): a randomised, controlled, non-inferiority trial, </w:t>
      </w:r>
      <w:r>
        <w:rPr>
          <w:rFonts w:ascii="Calibri" w:hAnsi="Calibri"/>
          <w:i/>
          <w:sz w:val="16"/>
        </w:rPr>
        <w:t>The Lancet</w:t>
      </w:r>
      <w:r>
        <w:rPr>
          <w:rFonts w:ascii="Calibri" w:hAnsi="Calibri"/>
          <w:sz w:val="16"/>
        </w:rPr>
        <w:t>, 388, 10047, p871-880.</w:t>
      </w:r>
    </w:p>
    <w:p w:rsidR="006A18FD" w:rsidRDefault="002D29FC">
      <w:pPr>
        <w:spacing w:before="1" w:line="195" w:lineRule="exact"/>
        <w:ind w:left="140"/>
        <w:rPr>
          <w:rFonts w:ascii="Times New Roman" w:hAnsi="Times New Roman"/>
          <w:sz w:val="16"/>
        </w:rPr>
      </w:pPr>
      <w:r>
        <w:rPr>
          <w:rFonts w:ascii="Calibri" w:hAnsi="Calibri"/>
          <w:position w:val="4"/>
          <w:sz w:val="10"/>
        </w:rPr>
        <w:t xml:space="preserve">3 </w:t>
      </w:r>
      <w:r>
        <w:rPr>
          <w:rFonts w:ascii="Calibri" w:hAnsi="Calibri"/>
          <w:sz w:val="16"/>
        </w:rPr>
        <w:t xml:space="preserve">NHS Digital (2018) </w:t>
      </w:r>
      <w:r>
        <w:rPr>
          <w:rFonts w:ascii="Calibri" w:hAnsi="Calibri"/>
          <w:i/>
          <w:sz w:val="16"/>
        </w:rPr>
        <w:t xml:space="preserve">NHS staff earnings estimates, 12-month period from May 2017 – April 2018 </w:t>
      </w:r>
      <w:r>
        <w:rPr>
          <w:rFonts w:ascii="Calibri" w:hAnsi="Calibri"/>
          <w:sz w:val="16"/>
        </w:rPr>
        <w:t>(not publicly available), NHS Digital, Leeds</w:t>
      </w:r>
      <w:r>
        <w:rPr>
          <w:rFonts w:ascii="Times New Roman" w:hAnsi="Times New Roman"/>
          <w:sz w:val="16"/>
        </w:rPr>
        <w:t>.</w:t>
      </w:r>
    </w:p>
    <w:p w:rsidR="006A18FD" w:rsidRDefault="002D29FC">
      <w:pPr>
        <w:ind w:left="423" w:hanging="284"/>
        <w:rPr>
          <w:rFonts w:ascii="Calibri"/>
          <w:sz w:val="16"/>
        </w:rPr>
      </w:pPr>
      <w:r>
        <w:rPr>
          <w:rFonts w:ascii="Calibri"/>
          <w:position w:val="5"/>
          <w:sz w:val="10"/>
        </w:rPr>
        <w:t xml:space="preserve">4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2" w:line="195" w:lineRule="exact"/>
        <w:ind w:left="140"/>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31">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ind w:left="423" w:right="286" w:hanging="284"/>
        <w:rPr>
          <w:rFonts w:ascii="Calibri"/>
          <w:sz w:val="15"/>
        </w:rPr>
      </w:pPr>
      <w:r>
        <w:rPr>
          <w:rFonts w:ascii="Calibri"/>
          <w:position w:val="5"/>
          <w:sz w:val="10"/>
        </w:rPr>
        <w:t xml:space="preserve">7 </w:t>
      </w:r>
      <w:r>
        <w:rPr>
          <w:rFonts w:ascii="Calibri"/>
          <w:sz w:val="16"/>
        </w:rPr>
        <w:t xml:space="preserve">Contracted hours are taken from NHS Careers (2017) </w:t>
      </w:r>
      <w:r>
        <w:rPr>
          <w:rFonts w:ascii="Calibri"/>
          <w:i/>
          <w:sz w:val="16"/>
        </w:rPr>
        <w:t xml:space="preserve">Pay and benefits, </w:t>
      </w:r>
      <w:r>
        <w:rPr>
          <w:rFonts w:ascii="Calibri"/>
          <w:sz w:val="16"/>
        </w:rPr>
        <w:t>National Health Service, London, https</w:t>
      </w:r>
      <w:hyperlink r:id="rId132">
        <w:r>
          <w:rPr>
            <w:rFonts w:ascii="Calibri"/>
            <w:sz w:val="16"/>
          </w:rPr>
          <w:t xml:space="preserve">://www.healthcareers.nhs.uk/about/careers-nhs/nhs-pay-and-benefits </w:t>
        </w:r>
      </w:hyperlink>
      <w:r>
        <w:rPr>
          <w:rFonts w:ascii="Calibri"/>
          <w:sz w:val="16"/>
        </w:rPr>
        <w:t xml:space="preserve">[accessed 9 October 2017]. </w:t>
      </w:r>
      <w:r>
        <w:rPr>
          <w:rFonts w:ascii="Calibri"/>
          <w:sz w:val="16"/>
          <w:u w:val="single"/>
        </w:rPr>
        <w:t>Working days and sickness absence rates as</w:t>
      </w:r>
      <w:r>
        <w:rPr>
          <w:rFonts w:ascii="Calibri"/>
          <w:sz w:val="16"/>
        </w:rPr>
        <w:t xml:space="preserve"> </w:t>
      </w:r>
      <w:r>
        <w:rPr>
          <w:rFonts w:ascii="Calibri"/>
          <w:sz w:val="16"/>
          <w:u w:val="single"/>
        </w:rPr>
        <w:t xml:space="preserve">reported in </w:t>
      </w:r>
      <w:r>
        <w:rPr>
          <w:rFonts w:ascii="Calibri"/>
          <w:sz w:val="15"/>
          <w:u w:val="single"/>
        </w:rPr>
        <w:t xml:space="preserve">NHS Digital, </w:t>
      </w:r>
      <w:r>
        <w:rPr>
          <w:rFonts w:ascii="Calibri"/>
          <w:i/>
          <w:sz w:val="15"/>
          <w:u w:val="single"/>
        </w:rPr>
        <w:t>NHS sickness absence rates, annual summary tables, 2009-10 to 2016-17</w:t>
      </w:r>
      <w:r>
        <w:rPr>
          <w:rFonts w:ascii="Calibri"/>
          <w:i/>
          <w:sz w:val="15"/>
        </w:rPr>
        <w:t xml:space="preserve"> </w:t>
      </w:r>
      <w:r>
        <w:rPr>
          <w:rFonts w:ascii="Calibri"/>
          <w:sz w:val="15"/>
        </w:rPr>
        <w:t>[accessed 13 October 2017].</w:t>
      </w:r>
    </w:p>
    <w:p w:rsidR="006A18FD" w:rsidRDefault="006A18FD">
      <w:pPr>
        <w:rPr>
          <w:rFonts w:ascii="Calibri"/>
          <w:sz w:val="15"/>
        </w:rPr>
        <w:sectPr w:rsidR="006A18FD">
          <w:headerReference w:type="even" r:id="rId133"/>
          <w:headerReference w:type="default" r:id="rId134"/>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4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49" name="Line 20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611BFB" id="Group 20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W69sO34CAACBBQAA&#10;DgAAAAAAAAAAAAAAAAAuAgAAZHJzL2Uyb0RvYy54bWxQSwECLQAUAAYACAAAACEALXfkXNoAAAAE&#10;AQAADwAAAAAAAAAAAAAAAADYBAAAZHJzL2Rvd25yZXYueG1sUEsFBgAAAAAEAAQA8wAAAN8FAAAA&#10;AA==&#10;">
                <v:line id="Line 20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w10:anchorlock/>
              </v:group>
            </w:pict>
          </mc:Fallback>
        </mc:AlternateContent>
      </w:r>
    </w:p>
    <w:p w:rsidR="006A18FD" w:rsidRDefault="0025638D" w:rsidP="0025638D">
      <w:pPr>
        <w:pStyle w:val="Heading2"/>
      </w:pPr>
      <w:r>
        <w:t xml:space="preserve">2.6 </w:t>
      </w:r>
      <w:r w:rsidR="002D29FC">
        <w:t>Deprivation of liberty safeguards in England: implementation</w:t>
      </w:r>
      <w:r w:rsidR="002D29FC">
        <w:rPr>
          <w:spacing w:val="-39"/>
        </w:rPr>
        <w:t xml:space="preserve"> </w:t>
      </w:r>
      <w:r w:rsidR="002D29FC">
        <w:t>costs</w:t>
      </w:r>
    </w:p>
    <w:p w:rsidR="006A18FD" w:rsidRDefault="002D29FC">
      <w:pPr>
        <w:spacing w:before="172" w:line="276" w:lineRule="auto"/>
        <w:ind w:left="152" w:right="195"/>
        <w:rPr>
          <w:rFonts w:ascii="Calibri" w:hAnsi="Calibri"/>
          <w:sz w:val="20"/>
        </w:rPr>
      </w:pPr>
      <w:r>
        <w:rPr>
          <w:rFonts w:ascii="Calibri" w:hAnsi="Calibri"/>
          <w:sz w:val="20"/>
        </w:rPr>
        <w:t>In 2009 the government provided additional funding of £10 million for local authorities and £2.2 million for the National Health Service (NHS) for the implementation of deprivation of liberty safeguards (DoLS). This amends a breach of the European Convention on Human Rights and provides for the lawful deprivation of liberty of those people who lack the capacity to consent to arrangements made for their care or treatment in either hospitals or care homes, but who need to be deprived of liberty in their own best interests, to protect them from harm.</w:t>
      </w:r>
    </w:p>
    <w:p w:rsidR="006A18FD" w:rsidRDefault="002D29FC">
      <w:pPr>
        <w:spacing w:before="119" w:line="276" w:lineRule="auto"/>
        <w:ind w:left="152" w:right="183"/>
        <w:rPr>
          <w:rFonts w:ascii="Calibri"/>
          <w:sz w:val="20"/>
        </w:rPr>
      </w:pPr>
      <w:r>
        <w:rPr>
          <w:rFonts w:ascii="Calibri"/>
          <w:sz w:val="20"/>
        </w:rPr>
        <w:t>In 2009, a study was carried out to estimate the costs likely to be incurred with the implementation of the DoLS in England, and data on resource utilisation was collected from professionals conducting the six formal assessments required.</w:t>
      </w:r>
      <w:r>
        <w:rPr>
          <w:rFonts w:ascii="Calibri"/>
          <w:position w:val="7"/>
          <w:sz w:val="13"/>
        </w:rPr>
        <w:t xml:space="preserve">1 </w:t>
      </w:r>
      <w:r>
        <w:rPr>
          <w:rFonts w:ascii="Calibri"/>
          <w:sz w:val="20"/>
        </w:rPr>
        <w:t>These are: age assessment, mental health assessment, mental capacity assessment, best-interest assessment, eligibility assessment and no refusal assessment, the latter of which establishes whether authorisation of deprivation of liberty would conflict with other authorities (for example, power of attorney) for decision-making for that individual.</w:t>
      </w:r>
    </w:p>
    <w:p w:rsidR="006A18FD" w:rsidRDefault="002D29FC">
      <w:pPr>
        <w:spacing w:before="119" w:line="276" w:lineRule="auto"/>
        <w:ind w:left="152" w:right="279"/>
        <w:rPr>
          <w:rFonts w:ascii="Calibri"/>
          <w:sz w:val="20"/>
        </w:rPr>
      </w:pPr>
      <w:r>
        <w:rPr>
          <w:rFonts w:ascii="Calibri"/>
          <w:sz w:val="20"/>
        </w:rPr>
        <w:t>The 40 interviews included professionals conducting the six DoLS assessments, the secretarial staff in DoLS offices and the independent mental capacity advocates. Each professional reported the average time taken for an individual DoLS assessment or for combined assessments, when more than one of the six DoLS assessments were conducted together.</w:t>
      </w:r>
    </w:p>
    <w:p w:rsidR="006A18FD" w:rsidRDefault="002D29FC">
      <w:pPr>
        <w:spacing w:line="276" w:lineRule="auto"/>
        <w:ind w:left="152" w:right="158"/>
        <w:rPr>
          <w:rFonts w:ascii="Calibri"/>
          <w:sz w:val="20"/>
        </w:rPr>
      </w:pPr>
      <w:r>
        <w:rPr>
          <w:rFonts w:ascii="Calibri"/>
          <w:sz w:val="20"/>
        </w:rPr>
        <w:t>Information on average travelling time and distance was also provided. Total assessment time for each individual (including travelling time) was multiplied by the unit cost for that professional and a travelling allowance.</w:t>
      </w:r>
    </w:p>
    <w:p w:rsidR="006A18FD" w:rsidRDefault="002D29FC">
      <w:pPr>
        <w:spacing w:before="120" w:line="276" w:lineRule="auto"/>
        <w:ind w:left="152" w:right="179"/>
        <w:rPr>
          <w:rFonts w:ascii="Calibri" w:hAnsi="Calibri"/>
          <w:sz w:val="20"/>
        </w:rPr>
      </w:pPr>
      <w:r>
        <w:rPr>
          <w:rFonts w:ascii="Calibri" w:hAnsi="Calibri"/>
          <w:sz w:val="20"/>
        </w:rPr>
        <w:t>The average cost for a single DoLS assessment across the five DoLS offices was £1,476. The standard deviation around the estimated cost of a single DoLS assessment was £441, and the 95 per cent confidence interval was £568 to £2,298. All costs have been uprated to 2018/2019 prices using the appropriate inflators.</w:t>
      </w:r>
    </w:p>
    <w:p w:rsidR="006A18FD" w:rsidRDefault="002D29FC">
      <w:pPr>
        <w:spacing w:before="119"/>
        <w:ind w:left="152"/>
        <w:rPr>
          <w:rFonts w:ascii="Calibri"/>
          <w:b/>
          <w:sz w:val="20"/>
        </w:rPr>
      </w:pPr>
      <w:r>
        <w:rPr>
          <w:rFonts w:ascii="Calibri"/>
          <w:b/>
          <w:sz w:val="20"/>
        </w:rPr>
        <w:t>Costs for a single deprivation of liberty safeguards (DoLS) assessment</w:t>
      </w:r>
    </w:p>
    <w:p w:rsidR="006A18FD" w:rsidRDefault="006A18FD">
      <w:pPr>
        <w:spacing w:before="8"/>
        <w:rPr>
          <w:rFonts w:ascii="Calibri"/>
          <w:b/>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3"/>
        <w:gridCol w:w="1104"/>
        <w:gridCol w:w="1104"/>
        <w:gridCol w:w="1104"/>
        <w:gridCol w:w="1107"/>
        <w:gridCol w:w="1104"/>
        <w:gridCol w:w="1097"/>
      </w:tblGrid>
      <w:tr w:rsidR="006A18FD" w:rsidTr="005B5AB5">
        <w:trPr>
          <w:trHeight w:val="840"/>
          <w:tblHeader/>
        </w:trPr>
        <w:tc>
          <w:tcPr>
            <w:tcW w:w="3423" w:type="dxa"/>
          </w:tcPr>
          <w:p w:rsidR="006A18FD" w:rsidRDefault="002D29FC">
            <w:pPr>
              <w:spacing w:before="1"/>
              <w:ind w:left="105"/>
              <w:rPr>
                <w:rFonts w:ascii="Calibri"/>
                <w:b/>
                <w:sz w:val="20"/>
              </w:rPr>
            </w:pPr>
            <w:r>
              <w:rPr>
                <w:rFonts w:ascii="Calibri"/>
                <w:b/>
                <w:sz w:val="20"/>
              </w:rPr>
              <w:t>All assessments include travel time</w:t>
            </w:r>
          </w:p>
        </w:tc>
        <w:tc>
          <w:tcPr>
            <w:tcW w:w="1104" w:type="dxa"/>
          </w:tcPr>
          <w:p w:rsidR="006A18FD" w:rsidRDefault="002D29FC">
            <w:pPr>
              <w:spacing w:before="1"/>
              <w:ind w:left="219" w:right="220"/>
              <w:jc w:val="center"/>
              <w:rPr>
                <w:rFonts w:ascii="Calibri"/>
                <w:b/>
                <w:sz w:val="20"/>
              </w:rPr>
            </w:pPr>
            <w:r>
              <w:rPr>
                <w:rFonts w:ascii="Calibri"/>
                <w:b/>
                <w:sz w:val="20"/>
              </w:rPr>
              <w:t>DoLS</w:t>
            </w:r>
          </w:p>
          <w:p w:rsidR="006A18FD" w:rsidRDefault="002D29FC">
            <w:pPr>
              <w:ind w:left="219" w:right="220"/>
              <w:jc w:val="center"/>
              <w:rPr>
                <w:rFonts w:ascii="Calibri"/>
                <w:b/>
                <w:sz w:val="20"/>
              </w:rPr>
            </w:pPr>
            <w:r>
              <w:rPr>
                <w:rFonts w:ascii="Calibri"/>
                <w:b/>
                <w:sz w:val="20"/>
              </w:rPr>
              <w:t>office 1</w:t>
            </w:r>
          </w:p>
        </w:tc>
        <w:tc>
          <w:tcPr>
            <w:tcW w:w="1104" w:type="dxa"/>
          </w:tcPr>
          <w:p w:rsidR="006A18FD" w:rsidRDefault="002D29FC">
            <w:pPr>
              <w:spacing w:before="1"/>
              <w:ind w:left="219" w:right="219"/>
              <w:jc w:val="center"/>
              <w:rPr>
                <w:rFonts w:ascii="Calibri"/>
                <w:b/>
                <w:sz w:val="20"/>
              </w:rPr>
            </w:pPr>
            <w:r>
              <w:rPr>
                <w:rFonts w:ascii="Calibri"/>
                <w:b/>
                <w:sz w:val="20"/>
              </w:rPr>
              <w:t>DoLS</w:t>
            </w:r>
          </w:p>
          <w:p w:rsidR="006A18FD" w:rsidRDefault="002D29FC">
            <w:pPr>
              <w:ind w:left="219" w:right="220"/>
              <w:jc w:val="center"/>
              <w:rPr>
                <w:rFonts w:ascii="Calibri"/>
                <w:b/>
                <w:sz w:val="20"/>
              </w:rPr>
            </w:pPr>
            <w:r>
              <w:rPr>
                <w:rFonts w:ascii="Calibri"/>
                <w:b/>
                <w:sz w:val="20"/>
              </w:rPr>
              <w:t>office 2</w:t>
            </w:r>
          </w:p>
        </w:tc>
        <w:tc>
          <w:tcPr>
            <w:tcW w:w="1104" w:type="dxa"/>
          </w:tcPr>
          <w:p w:rsidR="006A18FD" w:rsidRDefault="002D29FC">
            <w:pPr>
              <w:spacing w:before="1"/>
              <w:ind w:left="219" w:right="220"/>
              <w:jc w:val="center"/>
              <w:rPr>
                <w:rFonts w:ascii="Calibri"/>
                <w:b/>
                <w:sz w:val="20"/>
              </w:rPr>
            </w:pPr>
            <w:r>
              <w:rPr>
                <w:rFonts w:ascii="Calibri"/>
                <w:b/>
                <w:sz w:val="20"/>
              </w:rPr>
              <w:t>DoLS</w:t>
            </w:r>
          </w:p>
          <w:p w:rsidR="006A18FD" w:rsidRDefault="002D29FC">
            <w:pPr>
              <w:ind w:left="219" w:right="220"/>
              <w:jc w:val="center"/>
              <w:rPr>
                <w:rFonts w:ascii="Calibri"/>
                <w:b/>
                <w:sz w:val="20"/>
              </w:rPr>
            </w:pPr>
            <w:r>
              <w:rPr>
                <w:rFonts w:ascii="Calibri"/>
                <w:b/>
                <w:sz w:val="20"/>
              </w:rPr>
              <w:t>office 3</w:t>
            </w:r>
          </w:p>
        </w:tc>
        <w:tc>
          <w:tcPr>
            <w:tcW w:w="1107" w:type="dxa"/>
          </w:tcPr>
          <w:p w:rsidR="006A18FD" w:rsidRDefault="002D29FC">
            <w:pPr>
              <w:spacing w:before="1"/>
              <w:ind w:left="220" w:right="220"/>
              <w:jc w:val="center"/>
              <w:rPr>
                <w:rFonts w:ascii="Calibri"/>
                <w:b/>
                <w:sz w:val="20"/>
              </w:rPr>
            </w:pPr>
            <w:r>
              <w:rPr>
                <w:rFonts w:ascii="Calibri"/>
                <w:b/>
                <w:sz w:val="20"/>
              </w:rPr>
              <w:t>DoLS</w:t>
            </w:r>
          </w:p>
          <w:p w:rsidR="006A18FD" w:rsidRDefault="002D29FC">
            <w:pPr>
              <w:ind w:left="220" w:right="221"/>
              <w:jc w:val="center"/>
              <w:rPr>
                <w:rFonts w:ascii="Calibri"/>
                <w:b/>
                <w:sz w:val="20"/>
              </w:rPr>
            </w:pPr>
            <w:r>
              <w:rPr>
                <w:rFonts w:ascii="Calibri"/>
                <w:b/>
                <w:sz w:val="20"/>
              </w:rPr>
              <w:t>office 4</w:t>
            </w:r>
          </w:p>
        </w:tc>
        <w:tc>
          <w:tcPr>
            <w:tcW w:w="1104" w:type="dxa"/>
          </w:tcPr>
          <w:p w:rsidR="006A18FD" w:rsidRDefault="002D29FC">
            <w:pPr>
              <w:spacing w:before="1"/>
              <w:ind w:left="219" w:right="220"/>
              <w:jc w:val="center"/>
              <w:rPr>
                <w:rFonts w:ascii="Calibri"/>
                <w:b/>
                <w:sz w:val="20"/>
              </w:rPr>
            </w:pPr>
            <w:r>
              <w:rPr>
                <w:rFonts w:ascii="Calibri"/>
                <w:b/>
                <w:sz w:val="20"/>
              </w:rPr>
              <w:t>DoLS</w:t>
            </w:r>
          </w:p>
          <w:p w:rsidR="006A18FD" w:rsidRDefault="002D29FC">
            <w:pPr>
              <w:ind w:left="219" w:right="220"/>
              <w:jc w:val="center"/>
              <w:rPr>
                <w:rFonts w:ascii="Calibri"/>
                <w:b/>
                <w:sz w:val="20"/>
              </w:rPr>
            </w:pPr>
            <w:r>
              <w:rPr>
                <w:rFonts w:ascii="Calibri"/>
                <w:b/>
                <w:sz w:val="20"/>
              </w:rPr>
              <w:t>office 5</w:t>
            </w:r>
          </w:p>
        </w:tc>
        <w:tc>
          <w:tcPr>
            <w:tcW w:w="1097" w:type="dxa"/>
          </w:tcPr>
          <w:p w:rsidR="006A18FD" w:rsidRDefault="002D29FC">
            <w:pPr>
              <w:spacing w:before="1"/>
              <w:ind w:left="122" w:right="119" w:firstLine="2"/>
              <w:jc w:val="center"/>
              <w:rPr>
                <w:rFonts w:ascii="Calibri"/>
                <w:b/>
                <w:sz w:val="20"/>
              </w:rPr>
            </w:pPr>
            <w:r>
              <w:rPr>
                <w:rFonts w:ascii="Calibri"/>
                <w:b/>
                <w:sz w:val="20"/>
              </w:rPr>
              <w:t>Average of the</w:t>
            </w:r>
            <w:r>
              <w:rPr>
                <w:rFonts w:ascii="Calibri"/>
                <w:b/>
                <w:spacing w:val="-7"/>
                <w:sz w:val="20"/>
              </w:rPr>
              <w:t xml:space="preserve"> </w:t>
            </w:r>
            <w:r>
              <w:rPr>
                <w:rFonts w:ascii="Calibri"/>
                <w:b/>
                <w:sz w:val="20"/>
              </w:rPr>
              <w:t>five offices</w:t>
            </w:r>
          </w:p>
        </w:tc>
      </w:tr>
      <w:tr w:rsidR="006A18FD">
        <w:trPr>
          <w:trHeight w:val="240"/>
        </w:trPr>
        <w:tc>
          <w:tcPr>
            <w:tcW w:w="3423" w:type="dxa"/>
          </w:tcPr>
          <w:p w:rsidR="006A18FD" w:rsidRDefault="002D29FC">
            <w:pPr>
              <w:spacing w:before="1" w:line="223" w:lineRule="exact"/>
              <w:ind w:left="105"/>
              <w:rPr>
                <w:rFonts w:ascii="Calibri"/>
                <w:sz w:val="20"/>
              </w:rPr>
            </w:pPr>
            <w:r>
              <w:rPr>
                <w:rFonts w:ascii="Calibri"/>
                <w:sz w:val="20"/>
              </w:rPr>
              <w:t>Assessments by mental health assessor</w:t>
            </w:r>
          </w:p>
        </w:tc>
        <w:tc>
          <w:tcPr>
            <w:tcW w:w="1104" w:type="dxa"/>
          </w:tcPr>
          <w:p w:rsidR="006A18FD" w:rsidRDefault="002D29FC">
            <w:pPr>
              <w:spacing w:before="1" w:line="223" w:lineRule="exact"/>
              <w:ind w:right="237"/>
              <w:jc w:val="right"/>
              <w:rPr>
                <w:rFonts w:ascii="Calibri" w:hAnsi="Calibri"/>
                <w:sz w:val="20"/>
              </w:rPr>
            </w:pPr>
            <w:r>
              <w:rPr>
                <w:rFonts w:ascii="Calibri" w:hAnsi="Calibri"/>
                <w:sz w:val="20"/>
              </w:rPr>
              <w:t>£526</w:t>
            </w:r>
          </w:p>
        </w:tc>
        <w:tc>
          <w:tcPr>
            <w:tcW w:w="1104" w:type="dxa"/>
          </w:tcPr>
          <w:p w:rsidR="006A18FD" w:rsidRDefault="002D29FC">
            <w:pPr>
              <w:spacing w:before="1" w:line="223" w:lineRule="exact"/>
              <w:ind w:right="377"/>
              <w:jc w:val="right"/>
              <w:rPr>
                <w:rFonts w:ascii="Calibri" w:hAnsi="Calibri"/>
                <w:sz w:val="20"/>
              </w:rPr>
            </w:pPr>
            <w:r>
              <w:rPr>
                <w:rFonts w:ascii="Calibri" w:hAnsi="Calibri"/>
                <w:sz w:val="20"/>
              </w:rPr>
              <w:t>£239</w:t>
            </w:r>
          </w:p>
        </w:tc>
        <w:tc>
          <w:tcPr>
            <w:tcW w:w="1104" w:type="dxa"/>
          </w:tcPr>
          <w:p w:rsidR="006A18FD" w:rsidRDefault="002D29FC">
            <w:pPr>
              <w:spacing w:before="1" w:line="223" w:lineRule="exact"/>
              <w:ind w:right="230"/>
              <w:jc w:val="right"/>
              <w:rPr>
                <w:rFonts w:ascii="Calibri" w:hAnsi="Calibri"/>
                <w:sz w:val="20"/>
              </w:rPr>
            </w:pPr>
            <w:r>
              <w:rPr>
                <w:rFonts w:ascii="Calibri" w:hAnsi="Calibri"/>
                <w:sz w:val="20"/>
              </w:rPr>
              <w:t>£613</w:t>
            </w:r>
          </w:p>
        </w:tc>
        <w:tc>
          <w:tcPr>
            <w:tcW w:w="1107" w:type="dxa"/>
          </w:tcPr>
          <w:p w:rsidR="006A18FD" w:rsidRDefault="002D29FC">
            <w:pPr>
              <w:spacing w:before="1" w:line="223" w:lineRule="exact"/>
              <w:ind w:right="226"/>
              <w:jc w:val="right"/>
              <w:rPr>
                <w:rFonts w:ascii="Calibri" w:hAnsi="Calibri"/>
                <w:sz w:val="20"/>
              </w:rPr>
            </w:pPr>
            <w:r>
              <w:rPr>
                <w:rFonts w:ascii="Calibri" w:hAnsi="Calibri"/>
                <w:sz w:val="20"/>
              </w:rPr>
              <w:t>£304</w:t>
            </w:r>
          </w:p>
        </w:tc>
        <w:tc>
          <w:tcPr>
            <w:tcW w:w="1104" w:type="dxa"/>
          </w:tcPr>
          <w:p w:rsidR="006A18FD" w:rsidRDefault="002D29FC">
            <w:pPr>
              <w:spacing w:before="1" w:line="223" w:lineRule="exact"/>
              <w:ind w:right="222"/>
              <w:jc w:val="right"/>
              <w:rPr>
                <w:rFonts w:ascii="Calibri" w:hAnsi="Calibri"/>
                <w:sz w:val="20"/>
              </w:rPr>
            </w:pPr>
            <w:r>
              <w:rPr>
                <w:rFonts w:ascii="Calibri" w:hAnsi="Calibri"/>
                <w:sz w:val="20"/>
              </w:rPr>
              <w:t>£261</w:t>
            </w:r>
          </w:p>
        </w:tc>
        <w:tc>
          <w:tcPr>
            <w:tcW w:w="1097" w:type="dxa"/>
          </w:tcPr>
          <w:p w:rsidR="006A18FD" w:rsidRDefault="002D29FC">
            <w:pPr>
              <w:spacing w:before="1" w:line="223" w:lineRule="exact"/>
              <w:ind w:right="302"/>
              <w:jc w:val="right"/>
              <w:rPr>
                <w:rFonts w:ascii="Calibri" w:hAnsi="Calibri"/>
                <w:sz w:val="20"/>
              </w:rPr>
            </w:pPr>
            <w:r>
              <w:rPr>
                <w:rFonts w:ascii="Calibri" w:hAnsi="Calibri"/>
                <w:sz w:val="20"/>
              </w:rPr>
              <w:t>£389</w:t>
            </w:r>
          </w:p>
        </w:tc>
      </w:tr>
      <w:tr w:rsidR="006A18FD">
        <w:trPr>
          <w:trHeight w:val="240"/>
        </w:trPr>
        <w:tc>
          <w:tcPr>
            <w:tcW w:w="3423" w:type="dxa"/>
          </w:tcPr>
          <w:p w:rsidR="006A18FD" w:rsidRDefault="002D29FC">
            <w:pPr>
              <w:spacing w:before="1" w:line="223" w:lineRule="exact"/>
              <w:ind w:left="105"/>
              <w:rPr>
                <w:rFonts w:ascii="Calibri"/>
                <w:sz w:val="20"/>
              </w:rPr>
            </w:pPr>
            <w:r>
              <w:rPr>
                <w:rFonts w:ascii="Calibri"/>
                <w:sz w:val="20"/>
              </w:rPr>
              <w:t>Assessments by best-interest assessor</w:t>
            </w:r>
          </w:p>
        </w:tc>
        <w:tc>
          <w:tcPr>
            <w:tcW w:w="1104" w:type="dxa"/>
          </w:tcPr>
          <w:p w:rsidR="006A18FD" w:rsidRDefault="002D29FC">
            <w:pPr>
              <w:spacing w:before="1" w:line="223" w:lineRule="exact"/>
              <w:ind w:right="237"/>
              <w:jc w:val="right"/>
              <w:rPr>
                <w:rFonts w:ascii="Calibri" w:hAnsi="Calibri"/>
                <w:sz w:val="20"/>
              </w:rPr>
            </w:pPr>
            <w:r>
              <w:rPr>
                <w:rFonts w:ascii="Calibri" w:hAnsi="Calibri"/>
                <w:sz w:val="20"/>
              </w:rPr>
              <w:t>£739</w:t>
            </w:r>
          </w:p>
        </w:tc>
        <w:tc>
          <w:tcPr>
            <w:tcW w:w="1104" w:type="dxa"/>
          </w:tcPr>
          <w:p w:rsidR="006A18FD" w:rsidRDefault="002D29FC">
            <w:pPr>
              <w:spacing w:before="1" w:line="223" w:lineRule="exact"/>
              <w:ind w:right="377"/>
              <w:jc w:val="right"/>
              <w:rPr>
                <w:rFonts w:ascii="Calibri" w:hAnsi="Calibri"/>
                <w:sz w:val="20"/>
              </w:rPr>
            </w:pPr>
            <w:r>
              <w:rPr>
                <w:rFonts w:ascii="Calibri" w:hAnsi="Calibri"/>
                <w:sz w:val="20"/>
              </w:rPr>
              <w:t>£444</w:t>
            </w:r>
          </w:p>
        </w:tc>
        <w:tc>
          <w:tcPr>
            <w:tcW w:w="1104" w:type="dxa"/>
          </w:tcPr>
          <w:p w:rsidR="006A18FD" w:rsidRDefault="002D29FC">
            <w:pPr>
              <w:spacing w:before="1" w:line="223" w:lineRule="exact"/>
              <w:ind w:right="230"/>
              <w:jc w:val="right"/>
              <w:rPr>
                <w:rFonts w:ascii="Calibri" w:hAnsi="Calibri"/>
                <w:sz w:val="20"/>
              </w:rPr>
            </w:pPr>
            <w:r>
              <w:rPr>
                <w:rFonts w:ascii="Calibri" w:hAnsi="Calibri"/>
                <w:sz w:val="20"/>
              </w:rPr>
              <w:t>£311</w:t>
            </w:r>
          </w:p>
        </w:tc>
        <w:tc>
          <w:tcPr>
            <w:tcW w:w="1107" w:type="dxa"/>
          </w:tcPr>
          <w:p w:rsidR="006A18FD" w:rsidRDefault="002D29FC">
            <w:pPr>
              <w:spacing w:before="1" w:line="223" w:lineRule="exact"/>
              <w:ind w:right="226"/>
              <w:jc w:val="right"/>
              <w:rPr>
                <w:rFonts w:ascii="Calibri" w:hAnsi="Calibri"/>
                <w:sz w:val="20"/>
              </w:rPr>
            </w:pPr>
            <w:r>
              <w:rPr>
                <w:rFonts w:ascii="Calibri" w:hAnsi="Calibri"/>
                <w:w w:val="95"/>
                <w:sz w:val="20"/>
              </w:rPr>
              <w:t>£1,081</w:t>
            </w:r>
          </w:p>
        </w:tc>
        <w:tc>
          <w:tcPr>
            <w:tcW w:w="1104" w:type="dxa"/>
          </w:tcPr>
          <w:p w:rsidR="006A18FD" w:rsidRDefault="002D29FC">
            <w:pPr>
              <w:spacing w:before="1" w:line="223" w:lineRule="exact"/>
              <w:ind w:right="222"/>
              <w:jc w:val="right"/>
              <w:rPr>
                <w:rFonts w:ascii="Calibri" w:hAnsi="Calibri"/>
                <w:sz w:val="20"/>
              </w:rPr>
            </w:pPr>
            <w:r>
              <w:rPr>
                <w:rFonts w:ascii="Calibri" w:hAnsi="Calibri"/>
                <w:sz w:val="20"/>
              </w:rPr>
              <w:t>£602</w:t>
            </w:r>
          </w:p>
        </w:tc>
        <w:tc>
          <w:tcPr>
            <w:tcW w:w="1097" w:type="dxa"/>
          </w:tcPr>
          <w:p w:rsidR="006A18FD" w:rsidRDefault="002D29FC">
            <w:pPr>
              <w:spacing w:before="1" w:line="223" w:lineRule="exact"/>
              <w:ind w:right="302"/>
              <w:jc w:val="right"/>
              <w:rPr>
                <w:rFonts w:ascii="Calibri" w:hAnsi="Calibri"/>
                <w:sz w:val="20"/>
              </w:rPr>
            </w:pPr>
            <w:r>
              <w:rPr>
                <w:rFonts w:ascii="Calibri" w:hAnsi="Calibri"/>
                <w:sz w:val="20"/>
              </w:rPr>
              <w:t>£635</w:t>
            </w:r>
          </w:p>
        </w:tc>
      </w:tr>
      <w:tr w:rsidR="006A18FD">
        <w:trPr>
          <w:trHeight w:val="240"/>
        </w:trPr>
        <w:tc>
          <w:tcPr>
            <w:tcW w:w="3423" w:type="dxa"/>
          </w:tcPr>
          <w:p w:rsidR="006A18FD" w:rsidRDefault="002D29FC">
            <w:pPr>
              <w:spacing w:before="1" w:line="223" w:lineRule="exact"/>
              <w:ind w:left="105"/>
              <w:rPr>
                <w:rFonts w:ascii="Calibri"/>
                <w:sz w:val="20"/>
              </w:rPr>
            </w:pPr>
            <w:r>
              <w:rPr>
                <w:rFonts w:ascii="Calibri"/>
                <w:sz w:val="20"/>
              </w:rPr>
              <w:t>Secretarial costs</w:t>
            </w:r>
          </w:p>
        </w:tc>
        <w:tc>
          <w:tcPr>
            <w:tcW w:w="1104" w:type="dxa"/>
          </w:tcPr>
          <w:p w:rsidR="006A18FD" w:rsidRDefault="002D29FC">
            <w:pPr>
              <w:spacing w:before="1" w:line="223" w:lineRule="exact"/>
              <w:ind w:right="237"/>
              <w:jc w:val="right"/>
              <w:rPr>
                <w:rFonts w:ascii="Calibri" w:hAnsi="Calibri"/>
                <w:sz w:val="20"/>
              </w:rPr>
            </w:pPr>
            <w:r>
              <w:rPr>
                <w:rFonts w:ascii="Calibri" w:hAnsi="Calibri"/>
                <w:sz w:val="20"/>
              </w:rPr>
              <w:t>£344</w:t>
            </w:r>
          </w:p>
        </w:tc>
        <w:tc>
          <w:tcPr>
            <w:tcW w:w="1104" w:type="dxa"/>
          </w:tcPr>
          <w:p w:rsidR="006A18FD" w:rsidRDefault="002D29FC">
            <w:pPr>
              <w:spacing w:before="1" w:line="223" w:lineRule="exact"/>
              <w:ind w:right="377"/>
              <w:jc w:val="right"/>
              <w:rPr>
                <w:rFonts w:ascii="Calibri" w:hAnsi="Calibri"/>
                <w:sz w:val="20"/>
              </w:rPr>
            </w:pPr>
            <w:r>
              <w:rPr>
                <w:rFonts w:ascii="Calibri" w:hAnsi="Calibri"/>
                <w:sz w:val="20"/>
              </w:rPr>
              <w:t>£193</w:t>
            </w:r>
          </w:p>
        </w:tc>
        <w:tc>
          <w:tcPr>
            <w:tcW w:w="1104" w:type="dxa"/>
          </w:tcPr>
          <w:p w:rsidR="006A18FD" w:rsidRDefault="002D29FC">
            <w:pPr>
              <w:spacing w:before="1" w:line="223" w:lineRule="exact"/>
              <w:ind w:right="230"/>
              <w:jc w:val="right"/>
              <w:rPr>
                <w:rFonts w:ascii="Calibri" w:hAnsi="Calibri"/>
                <w:sz w:val="20"/>
              </w:rPr>
            </w:pPr>
            <w:r>
              <w:rPr>
                <w:rFonts w:ascii="Calibri" w:hAnsi="Calibri"/>
                <w:sz w:val="20"/>
              </w:rPr>
              <w:t>£136</w:t>
            </w:r>
          </w:p>
        </w:tc>
        <w:tc>
          <w:tcPr>
            <w:tcW w:w="1107" w:type="dxa"/>
          </w:tcPr>
          <w:p w:rsidR="006A18FD" w:rsidRDefault="002D29FC">
            <w:pPr>
              <w:spacing w:before="1" w:line="223" w:lineRule="exact"/>
              <w:ind w:right="226"/>
              <w:jc w:val="right"/>
              <w:rPr>
                <w:rFonts w:ascii="Calibri" w:hAnsi="Calibri"/>
                <w:sz w:val="20"/>
              </w:rPr>
            </w:pPr>
            <w:r>
              <w:rPr>
                <w:rFonts w:ascii="Calibri" w:hAnsi="Calibri"/>
                <w:sz w:val="20"/>
              </w:rPr>
              <w:t>£621</w:t>
            </w:r>
          </w:p>
        </w:tc>
        <w:tc>
          <w:tcPr>
            <w:tcW w:w="1104" w:type="dxa"/>
          </w:tcPr>
          <w:p w:rsidR="006A18FD" w:rsidRDefault="002D29FC">
            <w:pPr>
              <w:spacing w:before="1" w:line="223" w:lineRule="exact"/>
              <w:ind w:right="222"/>
              <w:jc w:val="right"/>
              <w:rPr>
                <w:rFonts w:ascii="Calibri" w:hAnsi="Calibri"/>
                <w:sz w:val="20"/>
              </w:rPr>
            </w:pPr>
            <w:r>
              <w:rPr>
                <w:rFonts w:ascii="Calibri" w:hAnsi="Calibri"/>
                <w:sz w:val="20"/>
              </w:rPr>
              <w:t>£326</w:t>
            </w:r>
          </w:p>
        </w:tc>
        <w:tc>
          <w:tcPr>
            <w:tcW w:w="1097" w:type="dxa"/>
          </w:tcPr>
          <w:p w:rsidR="006A18FD" w:rsidRDefault="002D29FC">
            <w:pPr>
              <w:spacing w:before="1" w:line="223" w:lineRule="exact"/>
              <w:ind w:right="302"/>
              <w:jc w:val="right"/>
              <w:rPr>
                <w:rFonts w:ascii="Calibri" w:hAnsi="Calibri"/>
                <w:sz w:val="20"/>
              </w:rPr>
            </w:pPr>
            <w:r>
              <w:rPr>
                <w:rFonts w:ascii="Calibri" w:hAnsi="Calibri"/>
                <w:sz w:val="20"/>
              </w:rPr>
              <w:t>£324</w:t>
            </w:r>
          </w:p>
        </w:tc>
      </w:tr>
      <w:tr w:rsidR="006A18FD">
        <w:trPr>
          <w:trHeight w:val="480"/>
        </w:trPr>
        <w:tc>
          <w:tcPr>
            <w:tcW w:w="3423" w:type="dxa"/>
          </w:tcPr>
          <w:p w:rsidR="006A18FD" w:rsidRDefault="002D29FC">
            <w:pPr>
              <w:spacing w:before="1" w:line="243" w:lineRule="exact"/>
              <w:ind w:left="105"/>
              <w:rPr>
                <w:rFonts w:ascii="Calibri"/>
                <w:sz w:val="20"/>
              </w:rPr>
            </w:pPr>
            <w:r>
              <w:rPr>
                <w:rFonts w:ascii="Calibri"/>
                <w:sz w:val="20"/>
              </w:rPr>
              <w:t>Independent mental capacity</w:t>
            </w:r>
          </w:p>
          <w:p w:rsidR="006A18FD" w:rsidRDefault="002D29FC">
            <w:pPr>
              <w:spacing w:line="222" w:lineRule="exact"/>
              <w:ind w:left="105"/>
              <w:rPr>
                <w:rFonts w:ascii="Calibri"/>
                <w:sz w:val="20"/>
              </w:rPr>
            </w:pPr>
            <w:r>
              <w:rPr>
                <w:rFonts w:ascii="Calibri"/>
                <w:sz w:val="20"/>
              </w:rPr>
              <w:t>advocates assessments</w:t>
            </w:r>
          </w:p>
        </w:tc>
        <w:tc>
          <w:tcPr>
            <w:tcW w:w="1104" w:type="dxa"/>
          </w:tcPr>
          <w:p w:rsidR="006A18FD" w:rsidRDefault="002D29FC">
            <w:pPr>
              <w:spacing w:before="1"/>
              <w:ind w:right="237"/>
              <w:jc w:val="right"/>
              <w:rPr>
                <w:rFonts w:ascii="Calibri" w:hAnsi="Calibri"/>
                <w:sz w:val="20"/>
              </w:rPr>
            </w:pPr>
            <w:r>
              <w:rPr>
                <w:rFonts w:ascii="Calibri" w:hAnsi="Calibri"/>
                <w:sz w:val="20"/>
              </w:rPr>
              <w:t>£119</w:t>
            </w:r>
          </w:p>
        </w:tc>
        <w:tc>
          <w:tcPr>
            <w:tcW w:w="1104" w:type="dxa"/>
          </w:tcPr>
          <w:p w:rsidR="006A18FD" w:rsidRDefault="002D29FC">
            <w:pPr>
              <w:spacing w:before="1"/>
              <w:ind w:right="377"/>
              <w:jc w:val="right"/>
              <w:rPr>
                <w:rFonts w:ascii="Calibri" w:hAnsi="Calibri"/>
                <w:sz w:val="20"/>
              </w:rPr>
            </w:pPr>
            <w:r>
              <w:rPr>
                <w:rFonts w:ascii="Calibri" w:hAnsi="Calibri"/>
                <w:sz w:val="20"/>
              </w:rPr>
              <w:t>£91</w:t>
            </w:r>
          </w:p>
        </w:tc>
        <w:tc>
          <w:tcPr>
            <w:tcW w:w="1104" w:type="dxa"/>
          </w:tcPr>
          <w:p w:rsidR="006A18FD" w:rsidRDefault="002D29FC">
            <w:pPr>
              <w:spacing w:before="1"/>
              <w:ind w:right="230"/>
              <w:jc w:val="right"/>
              <w:rPr>
                <w:rFonts w:ascii="Calibri" w:hAnsi="Calibri"/>
                <w:sz w:val="20"/>
              </w:rPr>
            </w:pPr>
            <w:r>
              <w:rPr>
                <w:rFonts w:ascii="Calibri" w:hAnsi="Calibri"/>
                <w:sz w:val="20"/>
              </w:rPr>
              <w:t>£65</w:t>
            </w:r>
          </w:p>
        </w:tc>
        <w:tc>
          <w:tcPr>
            <w:tcW w:w="1107" w:type="dxa"/>
          </w:tcPr>
          <w:p w:rsidR="006A18FD" w:rsidRDefault="002D29FC">
            <w:pPr>
              <w:spacing w:before="1"/>
              <w:ind w:right="226"/>
              <w:jc w:val="right"/>
              <w:rPr>
                <w:rFonts w:ascii="Calibri" w:hAnsi="Calibri"/>
                <w:sz w:val="20"/>
              </w:rPr>
            </w:pPr>
            <w:r>
              <w:rPr>
                <w:rFonts w:ascii="Calibri" w:hAnsi="Calibri"/>
                <w:sz w:val="20"/>
              </w:rPr>
              <w:t>£62</w:t>
            </w:r>
          </w:p>
        </w:tc>
        <w:tc>
          <w:tcPr>
            <w:tcW w:w="1104" w:type="dxa"/>
          </w:tcPr>
          <w:p w:rsidR="006A18FD" w:rsidRDefault="002D29FC">
            <w:pPr>
              <w:spacing w:before="1"/>
              <w:ind w:right="222"/>
              <w:jc w:val="right"/>
              <w:rPr>
                <w:rFonts w:ascii="Calibri" w:hAnsi="Calibri"/>
                <w:sz w:val="20"/>
              </w:rPr>
            </w:pPr>
            <w:r>
              <w:rPr>
                <w:rFonts w:ascii="Calibri" w:hAnsi="Calibri"/>
                <w:sz w:val="20"/>
              </w:rPr>
              <w:t>£77</w:t>
            </w:r>
          </w:p>
        </w:tc>
        <w:tc>
          <w:tcPr>
            <w:tcW w:w="1097" w:type="dxa"/>
          </w:tcPr>
          <w:p w:rsidR="006A18FD" w:rsidRDefault="002D29FC">
            <w:pPr>
              <w:spacing w:before="1"/>
              <w:ind w:right="302"/>
              <w:jc w:val="right"/>
              <w:rPr>
                <w:rFonts w:ascii="Calibri" w:hAnsi="Calibri"/>
                <w:sz w:val="20"/>
              </w:rPr>
            </w:pPr>
            <w:r>
              <w:rPr>
                <w:rFonts w:ascii="Calibri" w:hAnsi="Calibri"/>
                <w:sz w:val="20"/>
              </w:rPr>
              <w:t>£83</w:t>
            </w:r>
          </w:p>
        </w:tc>
      </w:tr>
      <w:tr w:rsidR="006A18FD">
        <w:trPr>
          <w:trHeight w:val="240"/>
        </w:trPr>
        <w:tc>
          <w:tcPr>
            <w:tcW w:w="3423" w:type="dxa"/>
          </w:tcPr>
          <w:p w:rsidR="006A18FD" w:rsidRDefault="002D29FC">
            <w:pPr>
              <w:spacing w:before="1" w:line="223" w:lineRule="exact"/>
              <w:ind w:left="105"/>
              <w:rPr>
                <w:rFonts w:ascii="Calibri"/>
                <w:sz w:val="20"/>
              </w:rPr>
            </w:pPr>
            <w:r>
              <w:rPr>
                <w:rFonts w:ascii="Calibri"/>
                <w:sz w:val="20"/>
              </w:rPr>
              <w:t>Court protection costs</w:t>
            </w:r>
          </w:p>
        </w:tc>
        <w:tc>
          <w:tcPr>
            <w:tcW w:w="1104" w:type="dxa"/>
          </w:tcPr>
          <w:p w:rsidR="006A18FD" w:rsidRDefault="002D29FC">
            <w:pPr>
              <w:spacing w:before="1" w:line="223" w:lineRule="exact"/>
              <w:ind w:right="237"/>
              <w:jc w:val="right"/>
              <w:rPr>
                <w:rFonts w:ascii="Calibri" w:hAnsi="Calibri"/>
                <w:sz w:val="20"/>
              </w:rPr>
            </w:pPr>
            <w:r>
              <w:rPr>
                <w:rFonts w:ascii="Calibri" w:hAnsi="Calibri"/>
                <w:w w:val="95"/>
                <w:sz w:val="20"/>
              </w:rPr>
              <w:t>£45</w:t>
            </w:r>
          </w:p>
        </w:tc>
        <w:tc>
          <w:tcPr>
            <w:tcW w:w="1104" w:type="dxa"/>
          </w:tcPr>
          <w:p w:rsidR="006A18FD" w:rsidRDefault="002D29FC">
            <w:pPr>
              <w:spacing w:before="1" w:line="223" w:lineRule="exact"/>
              <w:ind w:right="377"/>
              <w:jc w:val="right"/>
              <w:rPr>
                <w:rFonts w:ascii="Calibri" w:hAnsi="Calibri"/>
                <w:sz w:val="20"/>
              </w:rPr>
            </w:pPr>
            <w:r>
              <w:rPr>
                <w:rFonts w:ascii="Calibri" w:hAnsi="Calibri"/>
                <w:w w:val="95"/>
                <w:sz w:val="20"/>
              </w:rPr>
              <w:t>£45</w:t>
            </w:r>
          </w:p>
        </w:tc>
        <w:tc>
          <w:tcPr>
            <w:tcW w:w="1104" w:type="dxa"/>
          </w:tcPr>
          <w:p w:rsidR="006A18FD" w:rsidRDefault="002D29FC">
            <w:pPr>
              <w:spacing w:before="1" w:line="223" w:lineRule="exact"/>
              <w:ind w:right="230"/>
              <w:jc w:val="right"/>
              <w:rPr>
                <w:rFonts w:ascii="Calibri" w:hAnsi="Calibri"/>
                <w:sz w:val="20"/>
              </w:rPr>
            </w:pPr>
            <w:r>
              <w:rPr>
                <w:rFonts w:ascii="Calibri" w:hAnsi="Calibri"/>
                <w:w w:val="95"/>
                <w:sz w:val="20"/>
              </w:rPr>
              <w:t>£45</w:t>
            </w:r>
          </w:p>
        </w:tc>
        <w:tc>
          <w:tcPr>
            <w:tcW w:w="1107" w:type="dxa"/>
          </w:tcPr>
          <w:p w:rsidR="006A18FD" w:rsidRDefault="002D29FC">
            <w:pPr>
              <w:spacing w:before="1" w:line="223" w:lineRule="exact"/>
              <w:ind w:right="226"/>
              <w:jc w:val="right"/>
              <w:rPr>
                <w:rFonts w:ascii="Calibri" w:hAnsi="Calibri"/>
                <w:sz w:val="20"/>
              </w:rPr>
            </w:pPr>
            <w:r>
              <w:rPr>
                <w:rFonts w:ascii="Calibri" w:hAnsi="Calibri"/>
                <w:w w:val="95"/>
                <w:sz w:val="20"/>
              </w:rPr>
              <w:t>£45</w:t>
            </w:r>
          </w:p>
        </w:tc>
        <w:tc>
          <w:tcPr>
            <w:tcW w:w="1104" w:type="dxa"/>
          </w:tcPr>
          <w:p w:rsidR="006A18FD" w:rsidRDefault="002D29FC">
            <w:pPr>
              <w:spacing w:before="1" w:line="223" w:lineRule="exact"/>
              <w:ind w:right="220"/>
              <w:jc w:val="right"/>
              <w:rPr>
                <w:rFonts w:ascii="Calibri" w:hAnsi="Calibri"/>
                <w:sz w:val="20"/>
              </w:rPr>
            </w:pPr>
            <w:r>
              <w:rPr>
                <w:rFonts w:ascii="Calibri" w:hAnsi="Calibri"/>
                <w:w w:val="95"/>
                <w:sz w:val="20"/>
              </w:rPr>
              <w:t>£45</w:t>
            </w:r>
          </w:p>
        </w:tc>
        <w:tc>
          <w:tcPr>
            <w:tcW w:w="1097" w:type="dxa"/>
          </w:tcPr>
          <w:p w:rsidR="006A18FD" w:rsidRDefault="002D29FC">
            <w:pPr>
              <w:spacing w:before="1" w:line="223" w:lineRule="exact"/>
              <w:ind w:right="302"/>
              <w:jc w:val="right"/>
              <w:rPr>
                <w:rFonts w:ascii="Calibri" w:hAnsi="Calibri"/>
                <w:sz w:val="20"/>
              </w:rPr>
            </w:pPr>
            <w:r>
              <w:rPr>
                <w:rFonts w:ascii="Calibri" w:hAnsi="Calibri"/>
                <w:w w:val="95"/>
                <w:sz w:val="20"/>
              </w:rPr>
              <w:t>£45</w:t>
            </w:r>
          </w:p>
        </w:tc>
      </w:tr>
      <w:tr w:rsidR="006A18FD">
        <w:trPr>
          <w:trHeight w:val="240"/>
        </w:trPr>
        <w:tc>
          <w:tcPr>
            <w:tcW w:w="3423" w:type="dxa"/>
          </w:tcPr>
          <w:p w:rsidR="006A18FD" w:rsidRDefault="002D29FC">
            <w:pPr>
              <w:spacing w:before="1" w:line="223" w:lineRule="exact"/>
              <w:ind w:left="105"/>
              <w:rPr>
                <w:rFonts w:ascii="Calibri"/>
                <w:b/>
                <w:sz w:val="20"/>
              </w:rPr>
            </w:pPr>
            <w:r>
              <w:rPr>
                <w:rFonts w:ascii="Calibri"/>
                <w:b/>
                <w:sz w:val="20"/>
              </w:rPr>
              <w:t>Total costs</w:t>
            </w:r>
          </w:p>
        </w:tc>
        <w:tc>
          <w:tcPr>
            <w:tcW w:w="1104" w:type="dxa"/>
          </w:tcPr>
          <w:p w:rsidR="006A18FD" w:rsidRDefault="002D29FC">
            <w:pPr>
              <w:spacing w:before="1" w:line="223" w:lineRule="exact"/>
              <w:ind w:right="237"/>
              <w:jc w:val="right"/>
              <w:rPr>
                <w:rFonts w:ascii="Calibri" w:hAnsi="Calibri"/>
                <w:b/>
                <w:sz w:val="20"/>
              </w:rPr>
            </w:pPr>
            <w:r>
              <w:rPr>
                <w:rFonts w:ascii="Calibri" w:hAnsi="Calibri"/>
                <w:b/>
                <w:sz w:val="20"/>
              </w:rPr>
              <w:t>£1,773</w:t>
            </w:r>
          </w:p>
        </w:tc>
        <w:tc>
          <w:tcPr>
            <w:tcW w:w="1104" w:type="dxa"/>
          </w:tcPr>
          <w:p w:rsidR="006A18FD" w:rsidRDefault="002D29FC">
            <w:pPr>
              <w:spacing w:before="1" w:line="223" w:lineRule="exact"/>
              <w:ind w:right="377"/>
              <w:jc w:val="right"/>
              <w:rPr>
                <w:rFonts w:ascii="Calibri" w:hAnsi="Calibri"/>
                <w:b/>
                <w:sz w:val="20"/>
              </w:rPr>
            </w:pPr>
            <w:r>
              <w:rPr>
                <w:rFonts w:ascii="Calibri" w:hAnsi="Calibri"/>
                <w:b/>
                <w:sz w:val="20"/>
              </w:rPr>
              <w:t>£1,013</w:t>
            </w:r>
          </w:p>
        </w:tc>
        <w:tc>
          <w:tcPr>
            <w:tcW w:w="1104" w:type="dxa"/>
          </w:tcPr>
          <w:p w:rsidR="006A18FD" w:rsidRDefault="002D29FC">
            <w:pPr>
              <w:spacing w:before="1" w:line="223" w:lineRule="exact"/>
              <w:ind w:right="230"/>
              <w:jc w:val="right"/>
              <w:rPr>
                <w:rFonts w:ascii="Calibri" w:hAnsi="Calibri"/>
                <w:b/>
                <w:sz w:val="20"/>
              </w:rPr>
            </w:pPr>
            <w:r>
              <w:rPr>
                <w:rFonts w:ascii="Calibri" w:hAnsi="Calibri"/>
                <w:b/>
                <w:sz w:val="20"/>
              </w:rPr>
              <w:t>£1,170</w:t>
            </w:r>
          </w:p>
        </w:tc>
        <w:tc>
          <w:tcPr>
            <w:tcW w:w="1107" w:type="dxa"/>
          </w:tcPr>
          <w:p w:rsidR="006A18FD" w:rsidRDefault="002D29FC">
            <w:pPr>
              <w:spacing w:before="1" w:line="223" w:lineRule="exact"/>
              <w:ind w:right="226"/>
              <w:jc w:val="right"/>
              <w:rPr>
                <w:rFonts w:ascii="Calibri" w:hAnsi="Calibri"/>
                <w:b/>
                <w:sz w:val="20"/>
              </w:rPr>
            </w:pPr>
            <w:r>
              <w:rPr>
                <w:rFonts w:ascii="Calibri" w:hAnsi="Calibri"/>
                <w:b/>
                <w:sz w:val="20"/>
              </w:rPr>
              <w:t>£2,113</w:t>
            </w:r>
          </w:p>
        </w:tc>
        <w:tc>
          <w:tcPr>
            <w:tcW w:w="1104" w:type="dxa"/>
          </w:tcPr>
          <w:p w:rsidR="006A18FD" w:rsidRDefault="002D29FC">
            <w:pPr>
              <w:spacing w:before="1" w:line="223" w:lineRule="exact"/>
              <w:ind w:right="221"/>
              <w:jc w:val="right"/>
              <w:rPr>
                <w:rFonts w:ascii="Calibri" w:hAnsi="Calibri"/>
                <w:b/>
                <w:sz w:val="20"/>
              </w:rPr>
            </w:pPr>
            <w:r>
              <w:rPr>
                <w:rFonts w:ascii="Calibri" w:hAnsi="Calibri"/>
                <w:b/>
                <w:sz w:val="20"/>
              </w:rPr>
              <w:t>£1,312</w:t>
            </w:r>
          </w:p>
        </w:tc>
        <w:tc>
          <w:tcPr>
            <w:tcW w:w="1097" w:type="dxa"/>
          </w:tcPr>
          <w:p w:rsidR="006A18FD" w:rsidRDefault="002D29FC">
            <w:pPr>
              <w:spacing w:before="1" w:line="223" w:lineRule="exact"/>
              <w:ind w:right="302"/>
              <w:jc w:val="right"/>
              <w:rPr>
                <w:rFonts w:ascii="Calibri" w:hAnsi="Calibri"/>
                <w:b/>
                <w:sz w:val="20"/>
              </w:rPr>
            </w:pPr>
            <w:r>
              <w:rPr>
                <w:rFonts w:ascii="Calibri" w:hAnsi="Calibri"/>
                <w:b/>
                <w:sz w:val="20"/>
              </w:rPr>
              <w:t>£1,476</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7"/>
        <w:rPr>
          <w:rFonts w:ascii="Calibri"/>
          <w:b/>
        </w:rPr>
      </w:pPr>
    </w:p>
    <w:p w:rsidR="006A18FD" w:rsidRDefault="002D29FC">
      <w:pPr>
        <w:ind w:left="436" w:hanging="284"/>
        <w:rPr>
          <w:rFonts w:ascii="Calibri"/>
          <w:sz w:val="16"/>
        </w:rPr>
      </w:pPr>
      <w:r>
        <w:rPr>
          <w:rFonts w:ascii="Calibri"/>
          <w:position w:val="5"/>
          <w:sz w:val="10"/>
        </w:rPr>
        <w:t xml:space="preserve">1 </w:t>
      </w:r>
      <w:r>
        <w:rPr>
          <w:rFonts w:ascii="Calibri"/>
          <w:sz w:val="16"/>
        </w:rPr>
        <w:t xml:space="preserve">Shah, A., Pennington, M., Heginbotham, C. &amp; Donaldson, C. (2011) Deprivation of liberty safeguards in England: implementation costs, </w:t>
      </w:r>
      <w:r>
        <w:rPr>
          <w:rFonts w:ascii="Calibri"/>
          <w:i/>
          <w:sz w:val="16"/>
        </w:rPr>
        <w:t>British Journal of Psychiatry</w:t>
      </w:r>
      <w:r>
        <w:rPr>
          <w:rFonts w:ascii="Calibri"/>
          <w:sz w:val="16"/>
        </w:rPr>
        <w:t>, 199, 232-238.</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4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47" name="Line 20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D84A27" id="Group 20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LM8iGp/AgAAgQUA&#10;AA4AAAAAAAAAAAAAAAAALgIAAGRycy9lMm9Eb2MueG1sUEsBAi0AFAAGAAgAAAAhAC135FzaAAAA&#10;BAEAAA8AAAAAAAAAAAAAAAAA2QQAAGRycy9kb3ducmV2LnhtbFBLBQYAAAAABAAEAPMAAADgBQAA&#10;AAA=&#10;">
                <v:line id="Line 20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w10:anchorlock/>
              </v:group>
            </w:pict>
          </mc:Fallback>
        </mc:AlternateContent>
      </w:r>
    </w:p>
    <w:p w:rsidR="006A18FD" w:rsidRDefault="0025638D" w:rsidP="0025638D">
      <w:pPr>
        <w:pStyle w:val="Heading2"/>
      </w:pPr>
      <w:r>
        <w:t xml:space="preserve">2.7 </w:t>
      </w:r>
      <w:r w:rsidR="002D29FC">
        <w:t>Interventions for mental health promotion and mental illness</w:t>
      </w:r>
      <w:r w:rsidR="002D29FC">
        <w:rPr>
          <w:spacing w:val="-42"/>
        </w:rPr>
        <w:t xml:space="preserve"> </w:t>
      </w:r>
      <w:r w:rsidR="002D29FC">
        <w:t>prevention</w:t>
      </w:r>
    </w:p>
    <w:p w:rsidR="006A18FD" w:rsidRDefault="002D29FC">
      <w:pPr>
        <w:spacing w:before="169" w:line="276" w:lineRule="auto"/>
        <w:ind w:left="140" w:right="284"/>
        <w:rPr>
          <w:rFonts w:ascii="Calibri"/>
          <w:sz w:val="20"/>
        </w:rPr>
      </w:pPr>
      <w:r>
        <w:rPr>
          <w:rFonts w:ascii="Calibri"/>
          <w:sz w:val="20"/>
        </w:rPr>
        <w:t>Information has been drawn from McDaid et al. (2017)</w:t>
      </w:r>
      <w:r>
        <w:rPr>
          <w:rFonts w:ascii="Calibri"/>
          <w:position w:val="7"/>
          <w:sz w:val="13"/>
        </w:rPr>
        <w:t xml:space="preserve">1 </w:t>
      </w:r>
      <w:r>
        <w:rPr>
          <w:rFonts w:ascii="Calibri"/>
          <w:sz w:val="20"/>
        </w:rPr>
        <w:t xml:space="preserve">to provide the costs of a range of interventions which can help reduce the risk and/or incidence of mental health problems. The information builds on the interventions costed in the 2011 report </w:t>
      </w:r>
      <w:r>
        <w:rPr>
          <w:rFonts w:ascii="Calibri"/>
          <w:i/>
          <w:sz w:val="20"/>
        </w:rPr>
        <w:t xml:space="preserve">Mental Health Promotion and Mental Illness Prevention: the Economic Case </w:t>
      </w:r>
      <w:r>
        <w:rPr>
          <w:rFonts w:ascii="Calibri"/>
          <w:sz w:val="20"/>
        </w:rPr>
        <w:t>(still found in this schema).</w:t>
      </w:r>
      <w:r>
        <w:rPr>
          <w:rFonts w:ascii="Calibri"/>
          <w:position w:val="7"/>
          <w:sz w:val="13"/>
        </w:rPr>
        <w:t xml:space="preserve">2 </w:t>
      </w:r>
      <w:r>
        <w:rPr>
          <w:rFonts w:ascii="Calibri"/>
          <w:sz w:val="20"/>
        </w:rPr>
        <w:t>All costs drawn from the later report have been uprated from 2015 values to reflect current costs.</w:t>
      </w:r>
    </w:p>
    <w:p w:rsidR="006A18FD" w:rsidRDefault="002D29FC" w:rsidP="0025638D">
      <w:pPr>
        <w:pStyle w:val="Heading3"/>
      </w:pPr>
      <w:r>
        <w:t>Parenting interventions for the prevention of persistent conduct disorders</w:t>
      </w:r>
    </w:p>
    <w:p w:rsidR="006A18FD" w:rsidRDefault="002D29FC">
      <w:pPr>
        <w:spacing w:before="158" w:line="276" w:lineRule="auto"/>
        <w:ind w:left="140" w:right="154"/>
        <w:rPr>
          <w:rFonts w:ascii="Calibri" w:hAnsi="Calibri"/>
          <w:sz w:val="20"/>
        </w:rPr>
      </w:pPr>
      <w:r>
        <w:rPr>
          <w:rFonts w:ascii="Cambria" w:hAnsi="Cambria"/>
          <w:b/>
          <w:sz w:val="20"/>
        </w:rPr>
        <w:t xml:space="preserve">Context: </w:t>
      </w:r>
      <w:r>
        <w:rPr>
          <w:rFonts w:ascii="Calibri" w:hAnsi="Calibri"/>
          <w:sz w:val="20"/>
        </w:rPr>
        <w:t>Conduct disorders are the most common childhood psychiatric disorders, with a UK prevalence of 4.9 per cent for children aged 5-10 years. The condition leads to adulthood anti-social personality disorder in about 50 per cent of cases, and is associated with a wide range of adverse long-term outcomes, particularly delinquency and criminality. The costs to society are high, with average potential savings from early intervention previously estimated at £150,000 (2011 prices) per case.</w:t>
      </w:r>
    </w:p>
    <w:p w:rsidR="006A18FD" w:rsidRDefault="002D29FC">
      <w:pPr>
        <w:spacing w:before="119" w:line="276" w:lineRule="auto"/>
        <w:ind w:left="140" w:right="283"/>
        <w:rPr>
          <w:rFonts w:ascii="Calibri" w:hAnsi="Calibri"/>
          <w:sz w:val="20"/>
        </w:rPr>
      </w:pPr>
      <w:r>
        <w:rPr>
          <w:rFonts w:ascii="Cambria" w:hAnsi="Cambria"/>
          <w:b/>
          <w:sz w:val="20"/>
        </w:rPr>
        <w:t xml:space="preserve">Intervention: </w:t>
      </w:r>
      <w:r>
        <w:rPr>
          <w:rFonts w:ascii="Calibri" w:hAnsi="Calibri"/>
          <w:sz w:val="20"/>
        </w:rPr>
        <w:t>Parenting programmes can be targeted at parents of children with, or at risk of, developing conduct disorder, and are designed to improve parenting styles and parent-child relationships. Reviews have found parent training to have positive effects on children’s behaviour, and that benefits remain one year later. Longer-term studies show sustained effects but lack control groups; cost-effectiveness data are limited, but in one trial, health and social services costs were found to reduce over time.</w:t>
      </w:r>
    </w:p>
    <w:p w:rsidR="006A18FD" w:rsidRDefault="002D29FC">
      <w:pPr>
        <w:spacing w:before="119" w:line="276" w:lineRule="auto"/>
        <w:ind w:left="140" w:right="272"/>
        <w:rPr>
          <w:rFonts w:ascii="Calibri" w:hAnsi="Calibri"/>
          <w:sz w:val="20"/>
        </w:rPr>
      </w:pPr>
      <w:r>
        <w:rPr>
          <w:rFonts w:ascii="Cambria" w:hAnsi="Cambria"/>
          <w:b/>
          <w:sz w:val="20"/>
        </w:rPr>
        <w:t xml:space="preserve">Cost: </w:t>
      </w:r>
      <w:r>
        <w:rPr>
          <w:rFonts w:ascii="Calibri" w:hAnsi="Calibri"/>
          <w:sz w:val="20"/>
        </w:rPr>
        <w:t>The median cost of an 8-12 week group-based parenting programme is estimated at £1,214 per family, while that of individual interventions is £2,650. Assuming 80 per cent of people receive group-based interventions and 20 per cent individual interventions, in line with NICE guidance, the average cost of the intervention can be estimated at £1,501 per family.</w:t>
      </w:r>
    </w:p>
    <w:p w:rsidR="006A18FD" w:rsidRDefault="002D29FC" w:rsidP="0025638D">
      <w:pPr>
        <w:pStyle w:val="Heading3"/>
      </w:pPr>
      <w:r>
        <w:t>School-based social and emotional learning programmes to prevent conduct problems in childhood</w:t>
      </w:r>
    </w:p>
    <w:p w:rsidR="006A18FD" w:rsidRDefault="002D29FC">
      <w:pPr>
        <w:spacing w:before="159" w:line="276" w:lineRule="auto"/>
        <w:ind w:left="140" w:right="262"/>
        <w:rPr>
          <w:rFonts w:ascii="Calibri"/>
          <w:sz w:val="20"/>
        </w:rPr>
      </w:pPr>
      <w:r>
        <w:rPr>
          <w:rFonts w:ascii="Cambria"/>
          <w:b/>
          <w:sz w:val="20"/>
        </w:rPr>
        <w:t xml:space="preserve">Context: </w:t>
      </w:r>
      <w:r>
        <w:rPr>
          <w:rFonts w:ascii="Calibri"/>
          <w:sz w:val="20"/>
        </w:rPr>
        <w:t>Conduct problems in childhood cover a range of oppositional or anti-social forms of behaviour, such as disobedience, lying, fighting and stealing, and are associated with a range of poor outcomes, including increased risk of criminal activity, fewer school qualifications, parenthood at a young age, unemployment, divorce or separation, substance abuse and psychiatric disorders, many of which lead to increased costs across several agencies.</w:t>
      </w:r>
    </w:p>
    <w:p w:rsidR="006A18FD" w:rsidRDefault="002D29FC">
      <w:pPr>
        <w:spacing w:before="120" w:line="276" w:lineRule="auto"/>
        <w:ind w:left="140" w:right="180"/>
        <w:rPr>
          <w:rFonts w:ascii="Calibri"/>
          <w:sz w:val="20"/>
        </w:rPr>
      </w:pPr>
      <w:r>
        <w:rPr>
          <w:rFonts w:ascii="Cambria"/>
          <w:b/>
          <w:sz w:val="20"/>
        </w:rPr>
        <w:t xml:space="preserve">Intervention: </w:t>
      </w:r>
      <w:r>
        <w:rPr>
          <w:rFonts w:ascii="Calibri"/>
          <w:sz w:val="20"/>
        </w:rPr>
        <w:t>School-based Social and Emotional Learning (SEL) programmes help children and young people to recognise and manage emotions, and to set and achieve positive goals. International evidence shows that SEL participants demonstrate significantly improved social and emotional skills, attitudes, behaviour and academic performance.</w:t>
      </w:r>
    </w:p>
    <w:p w:rsidR="006A18FD" w:rsidRDefault="002D29FC">
      <w:pPr>
        <w:spacing w:before="120" w:line="276" w:lineRule="auto"/>
        <w:ind w:left="140" w:right="342"/>
        <w:rPr>
          <w:rFonts w:ascii="Calibri" w:hAnsi="Calibri"/>
          <w:sz w:val="20"/>
        </w:rPr>
      </w:pPr>
      <w:r>
        <w:rPr>
          <w:rFonts w:ascii="Cambria" w:hAnsi="Cambria"/>
          <w:b/>
          <w:sz w:val="20"/>
        </w:rPr>
        <w:t xml:space="preserve">Cost: </w:t>
      </w:r>
      <w:r>
        <w:rPr>
          <w:rFonts w:ascii="Calibri" w:hAnsi="Calibri"/>
          <w:sz w:val="20"/>
        </w:rPr>
        <w:t>The costs of a representative intervention, including teacher training, programme co-ordinator and materials, were estimated at £168 per child per year.</w:t>
      </w:r>
    </w:p>
    <w:p w:rsidR="006A18FD" w:rsidRDefault="002D29FC">
      <w:pPr>
        <w:spacing w:before="118"/>
        <w:ind w:left="140"/>
        <w:rPr>
          <w:rFonts w:ascii="Cambria"/>
          <w:b/>
          <w:sz w:val="20"/>
        </w:rPr>
      </w:pPr>
      <w:r>
        <w:rPr>
          <w:rFonts w:ascii="Cambria"/>
          <w:b/>
          <w:sz w:val="20"/>
        </w:rPr>
        <w:t>The KiVa programme</w:t>
      </w:r>
    </w:p>
    <w:p w:rsidR="006A18FD" w:rsidRDefault="002D29FC">
      <w:pPr>
        <w:spacing w:before="156" w:line="276" w:lineRule="auto"/>
        <w:ind w:left="140" w:right="217"/>
        <w:rPr>
          <w:rFonts w:ascii="Calibri"/>
          <w:sz w:val="20"/>
        </w:rPr>
      </w:pPr>
      <w:r>
        <w:rPr>
          <w:rFonts w:ascii="Calibri"/>
          <w:b/>
          <w:sz w:val="20"/>
        </w:rPr>
        <w:t xml:space="preserve">Context: </w:t>
      </w:r>
      <w:r>
        <w:rPr>
          <w:rFonts w:ascii="Calibri"/>
          <w:sz w:val="20"/>
        </w:rPr>
        <w:t>Bullying (including cyberbullying) is very common among young people with around a third of all 11 year olds reporting that they had been bullied at least once in the last two months. There are impacts of bullying on mental health and emotional wellbeing including the risk of self-harm and suicide. Children and young people who were frequently bullied were more likely to use mental health services, both in childhood and adolescence, and in midlife. Adults who have been bullied in childhood can suffer from depression, a lack of social relationships, economic hardship and poor perceived quality of life.</w:t>
      </w:r>
    </w:p>
    <w:p w:rsidR="006A18FD" w:rsidRDefault="002D29FC">
      <w:pPr>
        <w:spacing w:before="119" w:line="276" w:lineRule="auto"/>
        <w:ind w:left="140" w:right="197"/>
        <w:rPr>
          <w:rFonts w:ascii="Calibri"/>
          <w:sz w:val="20"/>
        </w:rPr>
      </w:pPr>
      <w:r>
        <w:rPr>
          <w:rFonts w:ascii="Cambria"/>
          <w:b/>
          <w:sz w:val="20"/>
        </w:rPr>
        <w:t>Intervention</w:t>
      </w:r>
      <w:r>
        <w:rPr>
          <w:rFonts w:ascii="Calibri"/>
          <w:sz w:val="20"/>
        </w:rPr>
        <w:t>: This is a school-based programme which is designed to support young people within and outside the school environment to counter the impacts of all bullying, including cyberbullying and other forms of online abuse. It focuses on enhancing the empathy, self-efficacy and anti-bullying attitudes of classroom peers. Positive changes in the behaviour of pupils who are neither bullies nor victims can reduce the rewards that bullies perceive that they receive and thus reduce the incentives for bullying.</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1"/>
        <w:rPr>
          <w:rFonts w:ascii="Calibri"/>
          <w:sz w:val="19"/>
        </w:rPr>
      </w:pPr>
    </w:p>
    <w:p w:rsidR="006A18FD" w:rsidRDefault="002D29FC">
      <w:pPr>
        <w:spacing w:before="1"/>
        <w:ind w:left="423" w:right="841" w:hanging="284"/>
        <w:rPr>
          <w:rFonts w:ascii="Calibri"/>
          <w:sz w:val="16"/>
        </w:rPr>
      </w:pPr>
      <w:r>
        <w:rPr>
          <w:rFonts w:ascii="Calibri"/>
          <w:position w:val="5"/>
          <w:sz w:val="10"/>
        </w:rPr>
        <w:t xml:space="preserve">1 </w:t>
      </w:r>
      <w:r>
        <w:rPr>
          <w:rFonts w:ascii="Calibri"/>
          <w:sz w:val="16"/>
        </w:rPr>
        <w:t xml:space="preserve">McDaid, D., La Park, A., Knapp, M. &amp; colleagues (2017) </w:t>
      </w:r>
      <w:r>
        <w:rPr>
          <w:rFonts w:ascii="Calibri"/>
          <w:i/>
          <w:sz w:val="16"/>
        </w:rPr>
        <w:t>Commissioning cost-effective services for promotion of mental health and wellbeing and prevention of mental ill-health</w:t>
      </w:r>
      <w:r>
        <w:rPr>
          <w:rFonts w:ascii="Calibri"/>
          <w:sz w:val="16"/>
        </w:rPr>
        <w:t>, Public Health England.</w:t>
      </w:r>
    </w:p>
    <w:p w:rsidR="006A18FD" w:rsidRDefault="002D29FC">
      <w:pPr>
        <w:ind w:left="423" w:right="195" w:hanging="284"/>
        <w:rPr>
          <w:rFonts w:ascii="Calibri"/>
          <w:sz w:val="16"/>
        </w:rPr>
      </w:pPr>
      <w:r>
        <w:rPr>
          <w:rFonts w:ascii="Calibri"/>
          <w:position w:val="5"/>
          <w:sz w:val="10"/>
        </w:rPr>
        <w:t xml:space="preserve">2 </w:t>
      </w:r>
      <w:r>
        <w:rPr>
          <w:rFonts w:ascii="Calibri"/>
          <w:sz w:val="16"/>
        </w:rPr>
        <w:t xml:space="preserve">Knapp, M., McDaid, D. &amp; Parsonage, M. (2011) </w:t>
      </w:r>
      <w:r>
        <w:rPr>
          <w:rFonts w:ascii="Calibri"/>
          <w:i/>
          <w:sz w:val="16"/>
        </w:rPr>
        <w:t>Mental health promotion and mental illness prevention: the economic case</w:t>
      </w:r>
      <w:r>
        <w:rPr>
          <w:rFonts w:ascii="Calibri"/>
          <w:sz w:val="16"/>
        </w:rPr>
        <w:t>, Department of Health, London.</w:t>
      </w:r>
    </w:p>
    <w:p w:rsidR="006A18FD" w:rsidRDefault="006A18FD">
      <w:pPr>
        <w:rPr>
          <w:rFonts w:ascii="Calibri"/>
          <w:sz w:val="16"/>
        </w:rPr>
        <w:sectPr w:rsidR="006A18FD">
          <w:headerReference w:type="even" r:id="rId135"/>
          <w:headerReference w:type="default" r:id="rId136"/>
          <w:pgSz w:w="11910" w:h="16840"/>
          <w:pgMar w:top="960" w:right="980" w:bottom="280" w:left="580" w:header="751" w:footer="0" w:gutter="0"/>
          <w:pgNumType w:start="42"/>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4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45" name="Line 20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CCA25" id="Group 20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PQN/Lx8AgAAgQUAAA4A&#10;AAAAAAAAAAAAAAAALgIAAGRycy9lMm9Eb2MueG1sUEsBAi0AFAAGAAgAAAAhAC135FzaAAAABAEA&#10;AA8AAAAAAAAAAAAAAAAA1gQAAGRycy9kb3ducmV2LnhtbFBLBQYAAAAABAAEAPMAAADdBQAAAAA=&#10;">
                <v:line id="Line 20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w10:anchorlock/>
              </v:group>
            </w:pict>
          </mc:Fallback>
        </mc:AlternateContent>
      </w:r>
    </w:p>
    <w:p w:rsidR="006A18FD" w:rsidRDefault="002D29FC">
      <w:pPr>
        <w:spacing w:line="276" w:lineRule="auto"/>
        <w:ind w:left="152" w:right="463"/>
        <w:rPr>
          <w:rFonts w:ascii="Calibri" w:hAnsi="Calibri"/>
          <w:sz w:val="20"/>
        </w:rPr>
      </w:pPr>
      <w:r>
        <w:rPr>
          <w:rFonts w:ascii="Cambria" w:hAnsi="Cambria"/>
          <w:b/>
          <w:sz w:val="20"/>
        </w:rPr>
        <w:t>Cost</w:t>
      </w:r>
      <w:r>
        <w:rPr>
          <w:rFonts w:ascii="Calibri" w:hAnsi="Calibri"/>
          <w:b/>
          <w:sz w:val="20"/>
        </w:rPr>
        <w:t xml:space="preserve">: </w:t>
      </w:r>
      <w:r>
        <w:rPr>
          <w:rFonts w:ascii="Calibri" w:hAnsi="Calibri"/>
          <w:sz w:val="20"/>
        </w:rPr>
        <w:t>for a cohort of 200 children, investment overall in KiVa is associated with net increased costs of £5,181 or £26 per child over a four year period.</w:t>
      </w:r>
    </w:p>
    <w:p w:rsidR="006A18FD" w:rsidRDefault="002D29FC" w:rsidP="0025638D">
      <w:pPr>
        <w:pStyle w:val="Heading3"/>
      </w:pPr>
      <w:r>
        <w:t>Early detection for psychosis</w:t>
      </w:r>
    </w:p>
    <w:p w:rsidR="006A18FD" w:rsidRDefault="002D29FC">
      <w:pPr>
        <w:spacing w:before="156" w:line="276" w:lineRule="auto"/>
        <w:ind w:left="152" w:right="161"/>
        <w:rPr>
          <w:rFonts w:ascii="Calibri"/>
          <w:sz w:val="20"/>
        </w:rPr>
      </w:pPr>
      <w:r>
        <w:rPr>
          <w:rFonts w:ascii="Cambria"/>
          <w:b/>
          <w:sz w:val="20"/>
        </w:rPr>
        <w:t xml:space="preserve">Context: </w:t>
      </w:r>
      <w:r>
        <w:rPr>
          <w:rFonts w:ascii="Calibri"/>
          <w:sz w:val="20"/>
        </w:rPr>
        <w:t>It is estimated that each year in England more than 15,000 people exhibit early symptoms before the onset of full psychosis. Progression of the disease is associated with higher costs to public services (including health, social care and criminal justice), lost employment, and greatly diminished quality of life for the individual and their family.</w:t>
      </w:r>
    </w:p>
    <w:p w:rsidR="006A18FD" w:rsidRDefault="002D29FC">
      <w:pPr>
        <w:spacing w:before="119" w:line="276" w:lineRule="auto"/>
        <w:ind w:left="152" w:right="193"/>
        <w:rPr>
          <w:rFonts w:ascii="Calibri"/>
          <w:sz w:val="20"/>
        </w:rPr>
      </w:pPr>
      <w:r>
        <w:rPr>
          <w:rFonts w:ascii="Cambria"/>
          <w:b/>
          <w:sz w:val="20"/>
        </w:rPr>
        <w:t xml:space="preserve">Intervention: </w:t>
      </w:r>
      <w:r>
        <w:rPr>
          <w:rFonts w:ascii="Calibri"/>
          <w:sz w:val="20"/>
        </w:rPr>
        <w:t>Early detection services aim to identify the early symptoms of psychosis, reduce the risk of transition to full psychosis, and shorten the duration of untreated psychosis for those who develop it. Such services include cognitive behavioural therapy, psychotropic medication, and contact with psychiatrists. This contrasts with treatment as usual which typically consists of GP and counsellor contacts.</w:t>
      </w:r>
    </w:p>
    <w:p w:rsidR="006A18FD" w:rsidRDefault="002D29FC">
      <w:pPr>
        <w:spacing w:before="119" w:line="276" w:lineRule="auto"/>
        <w:ind w:left="152" w:right="316"/>
        <w:rPr>
          <w:rFonts w:ascii="Calibri" w:hAnsi="Calibri"/>
          <w:sz w:val="20"/>
        </w:rPr>
      </w:pPr>
      <w:r>
        <w:rPr>
          <w:rFonts w:ascii="Cambria" w:hAnsi="Cambria"/>
          <w:b/>
          <w:sz w:val="20"/>
        </w:rPr>
        <w:t xml:space="preserve">Cost: </w:t>
      </w:r>
      <w:r>
        <w:rPr>
          <w:rFonts w:ascii="Calibri" w:hAnsi="Calibri"/>
          <w:sz w:val="20"/>
        </w:rPr>
        <w:t>One year of an early detection intervention has been estimated to cost £3,680 per patient, compared with £948 for standard care.</w:t>
      </w:r>
    </w:p>
    <w:p w:rsidR="006A18FD" w:rsidRDefault="002D29FC" w:rsidP="0025638D">
      <w:pPr>
        <w:pStyle w:val="Heading3"/>
      </w:pPr>
      <w:r>
        <w:t>Early intervention for psychosis</w:t>
      </w:r>
    </w:p>
    <w:p w:rsidR="006A18FD" w:rsidRDefault="002D29FC">
      <w:pPr>
        <w:spacing w:before="158" w:line="276" w:lineRule="auto"/>
        <w:ind w:left="152" w:right="289"/>
        <w:rPr>
          <w:rFonts w:ascii="Calibri"/>
          <w:sz w:val="20"/>
        </w:rPr>
      </w:pPr>
      <w:r>
        <w:rPr>
          <w:rFonts w:ascii="Cambria"/>
          <w:b/>
          <w:sz w:val="20"/>
        </w:rPr>
        <w:t xml:space="preserve">Context: </w:t>
      </w:r>
      <w:r>
        <w:rPr>
          <w:rFonts w:ascii="Calibri"/>
          <w:sz w:val="20"/>
        </w:rPr>
        <w:t>Psychosis related to schizophrenia is associated with higher costs to public services (including health, social care and criminal justice), lost employment, and greatly diminished quality of life for the individual with the illness and their family.</w:t>
      </w:r>
    </w:p>
    <w:p w:rsidR="006A18FD" w:rsidRDefault="002D29FC">
      <w:pPr>
        <w:spacing w:before="119" w:line="276" w:lineRule="auto"/>
        <w:ind w:left="152" w:right="206"/>
        <w:rPr>
          <w:rFonts w:ascii="Calibri"/>
          <w:sz w:val="20"/>
        </w:rPr>
      </w:pPr>
      <w:r>
        <w:rPr>
          <w:rFonts w:ascii="Cambria"/>
          <w:b/>
          <w:sz w:val="20"/>
        </w:rPr>
        <w:t xml:space="preserve">Intervention: </w:t>
      </w:r>
      <w:r>
        <w:rPr>
          <w:rFonts w:ascii="Calibri"/>
          <w:sz w:val="20"/>
        </w:rPr>
        <w:t>Early intervention teams aim to reduce relapse and readmission rates for patients who have suffered a first episode of psychosis, and to improve their chances of returning to employment, education or training, and more generally their future quality of life. This intervention involves a multidisciplinary team that could include a range of professionals (psychiatrists, psychologists, occupational therapists, community support workers, social workers and vocational workers).</w:t>
      </w:r>
    </w:p>
    <w:p w:rsidR="006A18FD" w:rsidRDefault="002D29FC">
      <w:pPr>
        <w:spacing w:before="119" w:line="276" w:lineRule="auto"/>
        <w:ind w:left="152" w:right="195"/>
        <w:rPr>
          <w:rFonts w:ascii="Calibri" w:hAnsi="Calibri"/>
          <w:sz w:val="20"/>
        </w:rPr>
      </w:pPr>
      <w:r>
        <w:rPr>
          <w:rFonts w:ascii="Cambria" w:hAnsi="Cambria"/>
          <w:b/>
          <w:sz w:val="20"/>
        </w:rPr>
        <w:t xml:space="preserve">Cost: </w:t>
      </w:r>
      <w:r>
        <w:rPr>
          <w:rFonts w:ascii="Calibri" w:hAnsi="Calibri"/>
          <w:sz w:val="20"/>
        </w:rPr>
        <w:t>The annual direct cost per patient of this type of service, plus other community psychiatric services and inpatient care, has been estimated at £13,029. The first year of the early intervention team’s input is estimated to cost £2,721 per patient.</w:t>
      </w:r>
    </w:p>
    <w:p w:rsidR="006A18FD" w:rsidRDefault="002D29FC" w:rsidP="0025638D">
      <w:pPr>
        <w:pStyle w:val="Heading3"/>
      </w:pPr>
      <w:r>
        <w:t>Screening and brief intervention in primary care for alcohol misuse</w:t>
      </w:r>
    </w:p>
    <w:p w:rsidR="006A18FD" w:rsidRDefault="002D29FC">
      <w:pPr>
        <w:spacing w:before="156" w:line="276" w:lineRule="auto"/>
        <w:ind w:left="152" w:right="209"/>
        <w:rPr>
          <w:rFonts w:ascii="Calibri"/>
          <w:sz w:val="20"/>
        </w:rPr>
      </w:pPr>
      <w:r>
        <w:rPr>
          <w:rFonts w:ascii="Cambria"/>
          <w:b/>
          <w:sz w:val="20"/>
        </w:rPr>
        <w:t xml:space="preserve">Context: </w:t>
      </w:r>
      <w:r>
        <w:rPr>
          <w:rFonts w:ascii="Calibri"/>
          <w:sz w:val="20"/>
        </w:rPr>
        <w:t>It is estimated that 6.6 million adults in England currently consume alcohol at hazardous levels, and 2.3 million at harmful levels.</w:t>
      </w:r>
    </w:p>
    <w:p w:rsidR="006A18FD" w:rsidRDefault="002D29FC">
      <w:pPr>
        <w:spacing w:before="119" w:line="276" w:lineRule="auto"/>
        <w:ind w:left="152" w:right="592"/>
        <w:rPr>
          <w:rFonts w:ascii="Calibri"/>
          <w:sz w:val="20"/>
        </w:rPr>
      </w:pPr>
      <w:r>
        <w:rPr>
          <w:rFonts w:ascii="Cambria"/>
          <w:b/>
          <w:sz w:val="20"/>
        </w:rPr>
        <w:t xml:space="preserve">Intervention: </w:t>
      </w:r>
      <w:r>
        <w:rPr>
          <w:rFonts w:ascii="Calibri"/>
          <w:sz w:val="20"/>
        </w:rPr>
        <w:t>An intervention in primary care combines universal screening by GPs of all patients, followed by a five- minute advice session for those who screen positive.</w:t>
      </w:r>
    </w:p>
    <w:p w:rsidR="006A18FD" w:rsidRDefault="002D29FC">
      <w:pPr>
        <w:spacing w:before="119"/>
        <w:ind w:left="152"/>
        <w:rPr>
          <w:rFonts w:ascii="Calibri" w:hAnsi="Calibri"/>
          <w:sz w:val="20"/>
        </w:rPr>
      </w:pPr>
      <w:r>
        <w:rPr>
          <w:rFonts w:ascii="Cambria" w:hAnsi="Cambria"/>
          <w:b/>
          <w:sz w:val="20"/>
        </w:rPr>
        <w:t xml:space="preserve">Cost: </w:t>
      </w:r>
      <w:r>
        <w:rPr>
          <w:rFonts w:ascii="Calibri" w:hAnsi="Calibri"/>
          <w:sz w:val="20"/>
        </w:rPr>
        <w:t>The total cost of the intervention averaged over all those screened was £22 at current prices.</w:t>
      </w:r>
    </w:p>
    <w:p w:rsidR="006A18FD" w:rsidRDefault="002D29FC" w:rsidP="0025638D">
      <w:pPr>
        <w:pStyle w:val="Heading3"/>
      </w:pPr>
      <w:r>
        <w:t>Providing debt advice to protect mental health</w:t>
      </w:r>
    </w:p>
    <w:p w:rsidR="006A18FD" w:rsidRDefault="002D29FC">
      <w:pPr>
        <w:spacing w:before="158" w:line="276" w:lineRule="auto"/>
        <w:ind w:left="152" w:right="518"/>
        <w:rPr>
          <w:rFonts w:ascii="Calibri"/>
          <w:sz w:val="20"/>
        </w:rPr>
      </w:pPr>
      <w:r>
        <w:rPr>
          <w:rFonts w:ascii="Cambria"/>
          <w:b/>
          <w:sz w:val="20"/>
        </w:rPr>
        <w:t>Context</w:t>
      </w:r>
      <w:r>
        <w:rPr>
          <w:rFonts w:ascii="Calibri"/>
          <w:b/>
          <w:sz w:val="20"/>
        </w:rPr>
        <w:t xml:space="preserve">: </w:t>
      </w:r>
      <w:r>
        <w:rPr>
          <w:rFonts w:ascii="Calibri"/>
          <w:sz w:val="20"/>
        </w:rPr>
        <w:t>There is a substantial evidence base on the association between debt and poor health, including poor mental health and increased risk of suicide</w:t>
      </w:r>
    </w:p>
    <w:p w:rsidR="006A18FD" w:rsidRDefault="002D29FC">
      <w:pPr>
        <w:spacing w:before="119" w:line="276" w:lineRule="auto"/>
        <w:ind w:left="152" w:right="108"/>
        <w:rPr>
          <w:rFonts w:ascii="Calibri"/>
          <w:sz w:val="20"/>
        </w:rPr>
      </w:pPr>
      <w:r>
        <w:rPr>
          <w:rFonts w:ascii="Cambria"/>
          <w:b/>
          <w:sz w:val="20"/>
        </w:rPr>
        <w:t>Intervention</w:t>
      </w:r>
      <w:r>
        <w:rPr>
          <w:rFonts w:ascii="Calibri"/>
          <w:b/>
          <w:sz w:val="20"/>
        </w:rPr>
        <w:t xml:space="preserve">: </w:t>
      </w:r>
      <w:r>
        <w:rPr>
          <w:rFonts w:ascii="Calibri"/>
          <w:sz w:val="20"/>
        </w:rPr>
        <w:t>Targeted at people who do not initially have mental health problems but are experiencing unmanageable debt. It is focused on debt advice as a potential preventive action and therefore does not look at the impact of debt advice for people who already have mental health problems. The service involved volunteer delivered debt advice services located in a GP surgery.</w:t>
      </w:r>
    </w:p>
    <w:p w:rsidR="006A18FD" w:rsidRDefault="002D29FC">
      <w:pPr>
        <w:spacing w:before="119" w:line="276" w:lineRule="auto"/>
        <w:ind w:left="152" w:right="347"/>
        <w:rPr>
          <w:rFonts w:ascii="Calibri" w:hAnsi="Calibri"/>
          <w:sz w:val="20"/>
        </w:rPr>
      </w:pPr>
      <w:r>
        <w:rPr>
          <w:rFonts w:ascii="Cambria" w:hAnsi="Cambria"/>
          <w:b/>
          <w:sz w:val="20"/>
        </w:rPr>
        <w:t>Cost</w:t>
      </w:r>
      <w:r>
        <w:rPr>
          <w:rFonts w:ascii="Calibri" w:hAnsi="Calibri"/>
          <w:b/>
          <w:sz w:val="20"/>
        </w:rPr>
        <w:t xml:space="preserve">: </w:t>
      </w:r>
      <w:r>
        <w:rPr>
          <w:rFonts w:ascii="Calibri" w:hAnsi="Calibri"/>
          <w:sz w:val="20"/>
        </w:rPr>
        <w:t>Over five years, per adult population of 100,000, the total intervention cost is estimated to be £1,353,552 (£70,832 for GP awareness training and £1,172,226 for the face-to-face debt advice service).</w:t>
      </w:r>
    </w:p>
    <w:p w:rsidR="006A18FD" w:rsidRDefault="002D29FC" w:rsidP="0025638D">
      <w:pPr>
        <w:pStyle w:val="Heading3"/>
      </w:pPr>
      <w:r>
        <w:t>Promoting mental health and wellbeing in the workplace</w:t>
      </w:r>
    </w:p>
    <w:p w:rsidR="006A18FD" w:rsidRDefault="002D29FC">
      <w:pPr>
        <w:spacing w:before="156" w:line="276" w:lineRule="auto"/>
        <w:ind w:left="152" w:right="442"/>
        <w:rPr>
          <w:rFonts w:ascii="Calibri"/>
          <w:sz w:val="20"/>
        </w:rPr>
      </w:pPr>
      <w:r>
        <w:rPr>
          <w:rFonts w:ascii="Cambria"/>
          <w:b/>
          <w:sz w:val="20"/>
        </w:rPr>
        <w:t>Context</w:t>
      </w:r>
      <w:r>
        <w:rPr>
          <w:rFonts w:ascii="Calibri"/>
          <w:b/>
          <w:sz w:val="20"/>
        </w:rPr>
        <w:t xml:space="preserve">: </w:t>
      </w:r>
      <w:r>
        <w:rPr>
          <w:rFonts w:ascii="Calibri"/>
          <w:sz w:val="20"/>
        </w:rPr>
        <w:t>Effective universal workplace health promotion programmes can not only improve mental and physical health outcomes, but also have productivity benefits to business. These actions are in addition to protections that maybe embedded within health and safety legislation that impact on mental health.</w:t>
      </w:r>
    </w:p>
    <w:p w:rsidR="006A18FD" w:rsidRDefault="002D29FC">
      <w:pPr>
        <w:spacing w:before="119" w:line="276" w:lineRule="auto"/>
        <w:ind w:left="152" w:right="339"/>
        <w:jc w:val="both"/>
        <w:rPr>
          <w:rFonts w:ascii="Calibri" w:hAnsi="Calibri"/>
          <w:sz w:val="20"/>
        </w:rPr>
      </w:pPr>
      <w:r>
        <w:rPr>
          <w:rFonts w:ascii="Cambria" w:hAnsi="Cambria"/>
          <w:b/>
          <w:sz w:val="20"/>
        </w:rPr>
        <w:t>Intervention</w:t>
      </w:r>
      <w:r>
        <w:rPr>
          <w:rFonts w:ascii="Calibri" w:hAnsi="Calibri"/>
          <w:b/>
          <w:sz w:val="20"/>
        </w:rPr>
        <w:t xml:space="preserve">: </w:t>
      </w:r>
      <w:r>
        <w:rPr>
          <w:rFonts w:ascii="Calibri" w:hAnsi="Calibri"/>
          <w:sz w:val="20"/>
        </w:rPr>
        <w:t>A multi-component universal mental health promotion programme delivered in a ‘white collar’ workplace with 500 employees. It consists of a health risk appraisal questionnaire, unlimited access to a personalised web portal to encourage health lifestyle behaviours including interactive behavioural changes via online and fortnightly e-mail</w:t>
      </w:r>
    </w:p>
    <w:p w:rsidR="006A18FD" w:rsidRDefault="006A18FD">
      <w:pPr>
        <w:spacing w:line="276" w:lineRule="auto"/>
        <w:jc w:val="both"/>
        <w:rPr>
          <w:rFonts w:ascii="Calibri" w:hAnsi="Calibri"/>
          <w:sz w:val="20"/>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4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43" name="Line 20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9227B3" id="Group 19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Ih7KMH4CAACBBQAA&#10;DgAAAAAAAAAAAAAAAAAuAgAAZHJzL2Uyb0RvYy54bWxQSwECLQAUAAYACAAAACEALXfkXNoAAAAE&#10;AQAADwAAAAAAAAAAAAAAAADYBAAAZHJzL2Rvd25yZXYueG1sUEsFBgAAAAAEAAQA8wAAAN8FAAAA&#10;AA==&#10;">
                <v:line id="Line 20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w10:anchorlock/>
              </v:group>
            </w:pict>
          </mc:Fallback>
        </mc:AlternateContent>
      </w:r>
    </w:p>
    <w:p w:rsidR="006A18FD" w:rsidRDefault="002D29FC">
      <w:pPr>
        <w:spacing w:line="276" w:lineRule="auto"/>
        <w:ind w:left="140" w:right="294"/>
        <w:rPr>
          <w:rFonts w:ascii="Calibri"/>
          <w:sz w:val="20"/>
        </w:rPr>
      </w:pPr>
      <w:r>
        <w:rPr>
          <w:rFonts w:ascii="Calibri"/>
          <w:sz w:val="20"/>
        </w:rPr>
        <w:t>communications to provide practical tips for self-care over a 12 month period. In addition there are paper-based information packs, including a newsletter, stress management, sleep, nutritional advice, and physical activity and four off- line seminars touching on the most common wellness issues.</w:t>
      </w:r>
    </w:p>
    <w:p w:rsidR="006A18FD" w:rsidRDefault="002D29FC">
      <w:pPr>
        <w:spacing w:before="120"/>
        <w:ind w:left="140"/>
        <w:rPr>
          <w:rFonts w:ascii="Calibri" w:hAnsi="Calibri"/>
          <w:sz w:val="20"/>
        </w:rPr>
      </w:pPr>
      <w:r>
        <w:rPr>
          <w:rFonts w:ascii="Cambria" w:hAnsi="Cambria"/>
          <w:b/>
          <w:sz w:val="20"/>
        </w:rPr>
        <w:t>Costs</w:t>
      </w:r>
      <w:r>
        <w:rPr>
          <w:rFonts w:ascii="Calibri" w:hAnsi="Calibri"/>
          <w:b/>
          <w:sz w:val="20"/>
        </w:rPr>
        <w:t xml:space="preserve">: </w:t>
      </w:r>
      <w:r>
        <w:rPr>
          <w:rFonts w:ascii="Calibri" w:hAnsi="Calibri"/>
          <w:sz w:val="20"/>
        </w:rPr>
        <w:t>The incremental cost of this wellbeing programme was £46,673, or £91 per annum per employee.</w:t>
      </w:r>
    </w:p>
    <w:p w:rsidR="006A18FD" w:rsidRDefault="002D29FC" w:rsidP="0025638D">
      <w:pPr>
        <w:pStyle w:val="Heading3"/>
      </w:pPr>
      <w:r>
        <w:t>Workplace interventions to prevent stress, depression and anxiety problems</w:t>
      </w:r>
    </w:p>
    <w:p w:rsidR="006A18FD" w:rsidRDefault="002D29FC">
      <w:pPr>
        <w:spacing w:before="156" w:line="276" w:lineRule="auto"/>
        <w:ind w:left="140" w:right="228"/>
        <w:rPr>
          <w:rFonts w:ascii="Calibri"/>
          <w:sz w:val="20"/>
        </w:rPr>
      </w:pPr>
      <w:r>
        <w:rPr>
          <w:rFonts w:ascii="Cambria"/>
          <w:b/>
          <w:sz w:val="20"/>
        </w:rPr>
        <w:t>Context</w:t>
      </w:r>
      <w:r>
        <w:rPr>
          <w:rFonts w:ascii="Calibri"/>
          <w:b/>
          <w:sz w:val="20"/>
        </w:rPr>
        <w:t xml:space="preserve">: </w:t>
      </w:r>
      <w:r>
        <w:rPr>
          <w:rFonts w:ascii="Calibri"/>
          <w:sz w:val="20"/>
        </w:rPr>
        <w:t>Taking action against work-related stress and/or burnout has been regarded as one of the most important public health issues for an economically active population (Public Health England, 2016a).</w:t>
      </w:r>
    </w:p>
    <w:p w:rsidR="006A18FD" w:rsidRDefault="002D29FC">
      <w:pPr>
        <w:spacing w:before="119" w:line="276" w:lineRule="auto"/>
        <w:ind w:left="140" w:right="195"/>
        <w:rPr>
          <w:rFonts w:ascii="Calibri"/>
          <w:b/>
          <w:sz w:val="20"/>
        </w:rPr>
      </w:pPr>
      <w:r>
        <w:rPr>
          <w:rFonts w:ascii="Cambria"/>
          <w:b/>
          <w:sz w:val="20"/>
        </w:rPr>
        <w:t>Intervention</w:t>
      </w:r>
      <w:r>
        <w:rPr>
          <w:rFonts w:ascii="Calibri"/>
          <w:b/>
          <w:sz w:val="20"/>
        </w:rPr>
        <w:t xml:space="preserve">: </w:t>
      </w:r>
      <w:r>
        <w:rPr>
          <w:rFonts w:ascii="Calibri"/>
          <w:sz w:val="20"/>
        </w:rPr>
        <w:t>The provision of a workplace cognitive behavioural therapy service offered to all employees who are identified by occupation health services as being stressed</w:t>
      </w:r>
      <w:r>
        <w:rPr>
          <w:rFonts w:ascii="Calibri"/>
          <w:b/>
          <w:sz w:val="20"/>
        </w:rPr>
        <w:t>.</w:t>
      </w:r>
    </w:p>
    <w:p w:rsidR="006A18FD" w:rsidRDefault="002D29FC">
      <w:pPr>
        <w:spacing w:before="119"/>
        <w:ind w:left="140"/>
        <w:rPr>
          <w:rFonts w:ascii="Calibri" w:hAnsi="Calibri"/>
          <w:sz w:val="20"/>
        </w:rPr>
      </w:pPr>
      <w:r>
        <w:rPr>
          <w:rFonts w:ascii="Cambria" w:hAnsi="Cambria"/>
          <w:b/>
          <w:sz w:val="20"/>
        </w:rPr>
        <w:t xml:space="preserve">Cost: </w:t>
      </w:r>
      <w:r>
        <w:rPr>
          <w:rFonts w:ascii="Calibri" w:hAnsi="Calibri"/>
          <w:sz w:val="20"/>
        </w:rPr>
        <w:t>Administered to 1,000 employees, the total cost is estimated as £3,886 (£97 set up costs and £3,789 running costs).</w:t>
      </w:r>
    </w:p>
    <w:p w:rsidR="006A18FD" w:rsidRDefault="002D29FC" w:rsidP="0025638D">
      <w:pPr>
        <w:pStyle w:val="Heading3"/>
      </w:pPr>
      <w:r>
        <w:t>Suicide and self-harm</w:t>
      </w:r>
    </w:p>
    <w:p w:rsidR="006A18FD" w:rsidRDefault="002D29FC">
      <w:pPr>
        <w:spacing w:before="159" w:line="276" w:lineRule="auto"/>
        <w:ind w:left="140" w:right="195"/>
        <w:rPr>
          <w:rFonts w:ascii="Calibri"/>
          <w:sz w:val="20"/>
        </w:rPr>
      </w:pPr>
      <w:r>
        <w:rPr>
          <w:rFonts w:ascii="Cambria"/>
          <w:b/>
          <w:sz w:val="20"/>
        </w:rPr>
        <w:t xml:space="preserve">Context: </w:t>
      </w:r>
      <w:r>
        <w:rPr>
          <w:rFonts w:ascii="Calibri"/>
          <w:sz w:val="20"/>
        </w:rPr>
        <w:t>There are substantial personal and economic costs associated with both completed and non-fatal suicidal events, although the number of studies estimating these costs remains limited (McDaid, 2016b).</w:t>
      </w:r>
    </w:p>
    <w:p w:rsidR="006A18FD" w:rsidRDefault="002D29FC">
      <w:pPr>
        <w:spacing w:before="120" w:line="276" w:lineRule="auto"/>
        <w:ind w:left="140" w:right="195"/>
        <w:rPr>
          <w:rFonts w:ascii="Calibri"/>
          <w:sz w:val="20"/>
        </w:rPr>
      </w:pPr>
      <w:r>
        <w:rPr>
          <w:rFonts w:ascii="Cambria"/>
          <w:b/>
          <w:sz w:val="20"/>
        </w:rPr>
        <w:t xml:space="preserve">Intervention: </w:t>
      </w:r>
      <w:r>
        <w:rPr>
          <w:rFonts w:ascii="Calibri"/>
          <w:sz w:val="20"/>
        </w:rPr>
        <w:t>Guidance in England now recommends a multi-component approach to suicide prevention (NICE, 2013). Guidelines also recommend training of service gatekeepers, such as GPs, the police and teachers to recognise potential risk of depression and suicide, while psychosocial assessment is recommended for most individuals who present at hospital for deliberate self-harm (NICE, 2013).</w:t>
      </w:r>
    </w:p>
    <w:p w:rsidR="006A18FD" w:rsidRDefault="002D29FC">
      <w:pPr>
        <w:spacing w:before="120"/>
        <w:ind w:left="140"/>
        <w:rPr>
          <w:rFonts w:ascii="Calibri"/>
          <w:sz w:val="20"/>
        </w:rPr>
      </w:pPr>
      <w:r>
        <w:rPr>
          <w:rFonts w:ascii="Cambria"/>
          <w:b/>
          <w:sz w:val="20"/>
        </w:rPr>
        <w:t xml:space="preserve">Cost: </w:t>
      </w:r>
      <w:r>
        <w:rPr>
          <w:rFonts w:ascii="Calibri"/>
          <w:sz w:val="20"/>
        </w:rPr>
        <w:t>A strategy administered to a population of 100,000 adults, from a health system perspective is estimated to cost</w:t>
      </w:r>
    </w:p>
    <w:p w:rsidR="006A18FD" w:rsidRDefault="002D29FC">
      <w:pPr>
        <w:spacing w:before="36"/>
        <w:ind w:left="140"/>
        <w:rPr>
          <w:rFonts w:ascii="Calibri" w:hAnsi="Calibri"/>
          <w:sz w:val="20"/>
        </w:rPr>
      </w:pPr>
      <w:r>
        <w:rPr>
          <w:rFonts w:ascii="Calibri" w:hAnsi="Calibri"/>
          <w:sz w:val="20"/>
        </w:rPr>
        <w:t>£39,858.</w:t>
      </w:r>
    </w:p>
    <w:p w:rsidR="006A18FD" w:rsidRDefault="002D29FC" w:rsidP="0025638D">
      <w:pPr>
        <w:pStyle w:val="Heading3"/>
      </w:pPr>
      <w:r>
        <w:t>Protecting the mental health of people with long-term physical health problems</w:t>
      </w:r>
    </w:p>
    <w:p w:rsidR="006A18FD" w:rsidRDefault="002D29FC">
      <w:pPr>
        <w:spacing w:before="156" w:line="276" w:lineRule="auto"/>
        <w:ind w:left="140" w:right="195"/>
        <w:rPr>
          <w:rFonts w:ascii="Calibri"/>
          <w:sz w:val="20"/>
        </w:rPr>
      </w:pPr>
      <w:r>
        <w:rPr>
          <w:rFonts w:ascii="Cambria"/>
          <w:b/>
          <w:sz w:val="20"/>
        </w:rPr>
        <w:t xml:space="preserve">Context: </w:t>
      </w:r>
      <w:r>
        <w:rPr>
          <w:rFonts w:ascii="Calibri"/>
          <w:sz w:val="20"/>
        </w:rPr>
        <w:t>Many people with long-term physical health conditions are at increased risk of developing mental health problems which can impact on the management of physical health leading to poorer health outcomes and reduced quality of life.</w:t>
      </w:r>
    </w:p>
    <w:p w:rsidR="006A18FD" w:rsidRDefault="002D29FC">
      <w:pPr>
        <w:spacing w:before="119" w:line="276" w:lineRule="auto"/>
        <w:ind w:left="140"/>
        <w:rPr>
          <w:rFonts w:ascii="Calibri"/>
          <w:sz w:val="20"/>
        </w:rPr>
      </w:pPr>
      <w:r>
        <w:rPr>
          <w:rFonts w:ascii="Cambria"/>
          <w:b/>
          <w:sz w:val="20"/>
        </w:rPr>
        <w:t xml:space="preserve">Intervention: </w:t>
      </w:r>
      <w:r>
        <w:rPr>
          <w:rFonts w:ascii="Calibri"/>
          <w:sz w:val="20"/>
        </w:rPr>
        <w:t>A specially trained individual such as a nurse working in primary care settings who can help improve co- ordination between different health care professionals; these individuals or others will also be specially trained to provide psychological interventions such as problem-solving therapy or cognitive behavioural therapy.</w:t>
      </w:r>
    </w:p>
    <w:p w:rsidR="006A18FD" w:rsidRDefault="002D29FC">
      <w:pPr>
        <w:spacing w:before="119"/>
        <w:ind w:left="140"/>
        <w:rPr>
          <w:rFonts w:ascii="Calibri" w:hAnsi="Calibri"/>
          <w:sz w:val="20"/>
        </w:rPr>
      </w:pPr>
      <w:r>
        <w:rPr>
          <w:rFonts w:ascii="Cambria" w:hAnsi="Cambria"/>
          <w:b/>
          <w:sz w:val="20"/>
        </w:rPr>
        <w:t xml:space="preserve">Cost: </w:t>
      </w:r>
      <w:r>
        <w:rPr>
          <w:rFonts w:ascii="Calibri" w:hAnsi="Calibri"/>
          <w:sz w:val="20"/>
        </w:rPr>
        <w:t>Administered to a population of 100,000, the total cost was £23,388</w:t>
      </w:r>
    </w:p>
    <w:p w:rsidR="006A18FD" w:rsidRDefault="002D29FC" w:rsidP="0025638D">
      <w:pPr>
        <w:pStyle w:val="Heading3"/>
      </w:pPr>
      <w:r>
        <w:t>Collaborative care for depression in individuals with Type II diabetes</w:t>
      </w:r>
    </w:p>
    <w:p w:rsidR="006A18FD" w:rsidRDefault="002D29FC">
      <w:pPr>
        <w:spacing w:before="158" w:line="276" w:lineRule="auto"/>
        <w:ind w:left="140" w:right="253"/>
        <w:jc w:val="both"/>
        <w:rPr>
          <w:rFonts w:ascii="Calibri"/>
          <w:sz w:val="20"/>
        </w:rPr>
      </w:pPr>
      <w:r>
        <w:rPr>
          <w:rFonts w:ascii="Cambria"/>
          <w:b/>
          <w:sz w:val="20"/>
        </w:rPr>
        <w:t xml:space="preserve">Context: </w:t>
      </w:r>
      <w:r>
        <w:rPr>
          <w:rFonts w:ascii="Calibri"/>
          <w:sz w:val="20"/>
        </w:rPr>
        <w:t>Depression is commonly associated with chronic physical health problems. Data from the US indicate that 13 per cent of all new cases of Type II diabetes will also have clinical depression. These patterns are important as evidence shows that co-morbid depression exacerbates the complications and adverse consequences of diabetes, in part because patients may more poorly manage their diabetes. This has substantial economic consequences.</w:t>
      </w:r>
    </w:p>
    <w:p w:rsidR="006A18FD" w:rsidRDefault="002D29FC">
      <w:pPr>
        <w:spacing w:before="119" w:line="276" w:lineRule="auto"/>
        <w:ind w:left="140" w:right="542"/>
        <w:rPr>
          <w:rFonts w:ascii="Calibri" w:hAnsi="Calibri"/>
          <w:sz w:val="20"/>
        </w:rPr>
      </w:pPr>
      <w:r>
        <w:rPr>
          <w:rFonts w:ascii="Cambria" w:hAnsi="Cambria"/>
          <w:b/>
          <w:sz w:val="20"/>
        </w:rPr>
        <w:t xml:space="preserve">Intervention: </w:t>
      </w:r>
      <w:r>
        <w:rPr>
          <w:rFonts w:ascii="Calibri" w:hAnsi="Calibri"/>
          <w:sz w:val="20"/>
        </w:rPr>
        <w:t>‘Collaborative care’, including GP advice and care, the use of antidepressants and cognitive behavioural therapy (CBT) for some patients, can be delivered in a primary care setting to individuals with co-morbid diabetes.</w:t>
      </w:r>
    </w:p>
    <w:p w:rsidR="006A18FD" w:rsidRDefault="002D29FC">
      <w:pPr>
        <w:spacing w:before="119"/>
        <w:ind w:left="140"/>
        <w:rPr>
          <w:rFonts w:ascii="Calibri" w:hAnsi="Calibri"/>
          <w:sz w:val="20"/>
        </w:rPr>
      </w:pPr>
      <w:r>
        <w:rPr>
          <w:rFonts w:ascii="Cambria" w:hAnsi="Cambria"/>
          <w:b/>
          <w:sz w:val="20"/>
        </w:rPr>
        <w:t xml:space="preserve">Cost: </w:t>
      </w:r>
      <w:r>
        <w:rPr>
          <w:rFonts w:ascii="Calibri" w:hAnsi="Calibri"/>
          <w:sz w:val="20"/>
        </w:rPr>
        <w:t>It is estimated that the total cost of six months of collaborative care is £814, compared with £412 for usual care.</w:t>
      </w:r>
    </w:p>
    <w:p w:rsidR="006A18FD" w:rsidRDefault="002D29FC" w:rsidP="0025638D">
      <w:pPr>
        <w:pStyle w:val="Heading3"/>
      </w:pPr>
      <w:r>
        <w:t>Tackling medically unexplained symptoms</w:t>
      </w:r>
    </w:p>
    <w:p w:rsidR="006A18FD" w:rsidRDefault="002D29FC">
      <w:pPr>
        <w:spacing w:before="157" w:line="276" w:lineRule="auto"/>
        <w:ind w:left="140" w:right="195"/>
        <w:rPr>
          <w:rFonts w:ascii="Calibri"/>
          <w:sz w:val="20"/>
        </w:rPr>
      </w:pPr>
      <w:r>
        <w:rPr>
          <w:rFonts w:ascii="Cambria"/>
          <w:b/>
          <w:sz w:val="20"/>
        </w:rPr>
        <w:t xml:space="preserve">Context: </w:t>
      </w:r>
      <w:r>
        <w:rPr>
          <w:rFonts w:ascii="Calibri"/>
          <w:sz w:val="20"/>
        </w:rPr>
        <w:t>Somatoform conditions present physical symptoms for which there is no identifiable physical cause. These medically unexplained symptoms are thought to be triggered or exacerbated by emotional factors, such as psychosocial stress, depression or anxiety. The financial costs to public services and society are considerable.</w:t>
      </w:r>
    </w:p>
    <w:p w:rsidR="006A18FD" w:rsidRDefault="002D29FC">
      <w:pPr>
        <w:spacing w:before="120" w:line="276" w:lineRule="auto"/>
        <w:ind w:left="140"/>
        <w:rPr>
          <w:rFonts w:ascii="Calibri"/>
          <w:sz w:val="20"/>
        </w:rPr>
      </w:pPr>
      <w:r>
        <w:rPr>
          <w:rFonts w:ascii="Cambria"/>
          <w:b/>
          <w:sz w:val="20"/>
        </w:rPr>
        <w:t xml:space="preserve">Intervention: </w:t>
      </w:r>
      <w:r>
        <w:rPr>
          <w:rFonts w:ascii="Calibri"/>
          <w:sz w:val="20"/>
        </w:rPr>
        <w:t>Cognitive behavioural therapy (CBT) has been found to be an effective intervention for tackling somatoform conditions and their underlying psychological causes.</w:t>
      </w:r>
    </w:p>
    <w:p w:rsidR="006A18FD" w:rsidRDefault="002D29FC">
      <w:pPr>
        <w:spacing w:before="120" w:line="276" w:lineRule="auto"/>
        <w:ind w:left="140" w:right="358"/>
        <w:rPr>
          <w:rFonts w:ascii="Calibri" w:hAnsi="Calibri"/>
          <w:sz w:val="20"/>
        </w:rPr>
      </w:pPr>
      <w:r>
        <w:rPr>
          <w:rFonts w:ascii="Cambria" w:hAnsi="Cambria"/>
          <w:b/>
          <w:sz w:val="20"/>
        </w:rPr>
        <w:t xml:space="preserve">Cost: </w:t>
      </w:r>
      <w:r>
        <w:rPr>
          <w:rFonts w:ascii="Calibri" w:hAnsi="Calibri"/>
          <w:sz w:val="20"/>
        </w:rPr>
        <w:t>A course of CBT may last for 10 sessions at £105 per session. Costs are associated with the need to raise the awareness of GPs to the potential role of CBT treatment for somatoform conditions, either through e-learning or face-to- face training.</w:t>
      </w:r>
    </w:p>
    <w:p w:rsidR="006A18FD" w:rsidRDefault="006A18FD">
      <w:pPr>
        <w:spacing w:line="276" w:lineRule="auto"/>
        <w:rPr>
          <w:rFonts w:ascii="Calibri" w:hAnsi="Calibri"/>
          <w:sz w:val="20"/>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4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41" name="Line 19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F15A5" id="Group 19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ZJmtSX4CAACBBQAA&#10;DgAAAAAAAAAAAAAAAAAuAgAAZHJzL2Uyb0RvYy54bWxQSwECLQAUAAYACAAAACEALXfkXNoAAAAE&#10;AQAADwAAAAAAAAAAAAAAAADYBAAAZHJzL2Rvd25yZXYueG1sUEsFBgAAAAAEAAQA8wAAAN8FAAAA&#10;AA==&#10;">
                <v:line id="Line 19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w10:anchorlock/>
              </v:group>
            </w:pict>
          </mc:Fallback>
        </mc:AlternateContent>
      </w:r>
    </w:p>
    <w:p w:rsidR="006A18FD" w:rsidRDefault="002D29FC" w:rsidP="0025638D">
      <w:pPr>
        <w:pStyle w:val="Heading3"/>
      </w:pPr>
      <w:r>
        <w:t>Addressing loneliness to protect the mental health of older people</w:t>
      </w:r>
    </w:p>
    <w:p w:rsidR="006A18FD" w:rsidRDefault="002D29FC">
      <w:pPr>
        <w:spacing w:before="156" w:line="276" w:lineRule="auto"/>
        <w:ind w:left="152" w:right="240"/>
        <w:rPr>
          <w:rFonts w:ascii="Calibri"/>
          <w:sz w:val="20"/>
        </w:rPr>
      </w:pPr>
      <w:r>
        <w:rPr>
          <w:rFonts w:ascii="Cambria"/>
          <w:b/>
          <w:sz w:val="20"/>
        </w:rPr>
        <w:t xml:space="preserve">Context: </w:t>
      </w:r>
      <w:r>
        <w:rPr>
          <w:rFonts w:ascii="Calibri"/>
          <w:sz w:val="20"/>
        </w:rPr>
        <w:t>Depression is a common problem in older people and one risk factor which has been associated with depression is involuntary social isolation and loneliness. Recent NICE guidelines on actions to promote the mental wellbeing of older people recommend actions to support, publicise and, if there is not enough provision, consider providing a range of group, one-to one and volunteering activities that meet the needs and interests of older people (NICE, 2015).</w:t>
      </w:r>
    </w:p>
    <w:p w:rsidR="006A18FD" w:rsidRDefault="002D29FC">
      <w:pPr>
        <w:spacing w:before="119" w:line="276" w:lineRule="auto"/>
        <w:ind w:left="152" w:right="447"/>
        <w:rPr>
          <w:rFonts w:ascii="Calibri"/>
          <w:sz w:val="20"/>
        </w:rPr>
      </w:pPr>
      <w:r>
        <w:rPr>
          <w:rFonts w:ascii="Cambria"/>
          <w:b/>
          <w:sz w:val="20"/>
        </w:rPr>
        <w:t xml:space="preserve">Intervention: </w:t>
      </w:r>
      <w:r>
        <w:rPr>
          <w:rFonts w:ascii="Calibri"/>
          <w:sz w:val="20"/>
        </w:rPr>
        <w:t>A signposting service put in place in GP surgeries, shopping centres and libraries, for people aged 65 and older who are not in paid work. Individuals would then have an opportunity to have an assessment of needs to help identify opportunities for participation in a wide range of local social activities to reduce the risk of social isolation and loneliness.</w:t>
      </w:r>
    </w:p>
    <w:p w:rsidR="006A18FD" w:rsidRDefault="002D29FC">
      <w:pPr>
        <w:spacing w:before="119"/>
        <w:ind w:left="152"/>
        <w:rPr>
          <w:rFonts w:ascii="Calibri" w:hAnsi="Calibri"/>
          <w:sz w:val="20"/>
        </w:rPr>
      </w:pPr>
      <w:r>
        <w:rPr>
          <w:rFonts w:ascii="Cambria" w:hAnsi="Cambria"/>
          <w:b/>
          <w:sz w:val="20"/>
        </w:rPr>
        <w:t xml:space="preserve">Cost: </w:t>
      </w:r>
      <w:r>
        <w:rPr>
          <w:rFonts w:ascii="Calibri" w:hAnsi="Calibri"/>
          <w:sz w:val="20"/>
        </w:rPr>
        <w:t>For a population of 100,000 was £185,407 (£58,271 for the signposting service and £127,136 for group activities).</w:t>
      </w:r>
    </w:p>
    <w:p w:rsidR="006A18FD" w:rsidRDefault="006A18FD">
      <w:pPr>
        <w:rPr>
          <w:rFonts w:ascii="Calibri" w:hAnsi="Calibri"/>
          <w:sz w:val="20"/>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3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39" name="Line 19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503B6" id="Group 19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PySNfl8AgAAgQUAAA4A&#10;AAAAAAAAAAAAAAAALgIAAGRycy9lMm9Eb2MueG1sUEsBAi0AFAAGAAgAAAAhAC135FzaAAAABAEA&#10;AA8AAAAAAAAAAAAAAAAA1gQAAGRycy9kb3ducmV2LnhtbFBLBQYAAAAABAAEAPMAAADdBQAAAAA=&#10;">
                <v:line id="Line 19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w10:anchorlock/>
              </v:group>
            </w:pict>
          </mc:Fallback>
        </mc:AlternateContent>
      </w:r>
    </w:p>
    <w:p w:rsidR="006A18FD" w:rsidRDefault="0025638D" w:rsidP="0025638D">
      <w:pPr>
        <w:pStyle w:val="Heading2"/>
      </w:pPr>
      <w:r>
        <w:t xml:space="preserve">2.8 </w:t>
      </w:r>
      <w:r w:rsidR="002D29FC">
        <w:t>Lifetime costs of perinatal</w:t>
      </w:r>
      <w:r w:rsidR="002D29FC">
        <w:rPr>
          <w:spacing w:val="-19"/>
        </w:rPr>
        <w:t xml:space="preserve"> </w:t>
      </w:r>
      <w:r w:rsidR="002D29FC">
        <w:t>depression</w:t>
      </w:r>
    </w:p>
    <w:p w:rsidR="006A18FD" w:rsidRDefault="002D29FC">
      <w:pPr>
        <w:spacing w:before="172" w:line="276" w:lineRule="auto"/>
        <w:ind w:left="140" w:right="275"/>
        <w:rPr>
          <w:rFonts w:ascii="Calibri"/>
          <w:sz w:val="19"/>
        </w:rPr>
      </w:pPr>
      <w:r>
        <w:rPr>
          <w:rFonts w:ascii="Calibri"/>
          <w:sz w:val="19"/>
        </w:rPr>
        <w:t>The World Health Organisation (WHO) recognises perinatal mental health as a major public health issue; at least one in ten women has a serious mental health problem during pregnancy or in the year after birth (WHO, 2014</w:t>
      </w:r>
      <w:r>
        <w:rPr>
          <w:rFonts w:ascii="Calibri"/>
          <w:position w:val="6"/>
          <w:sz w:val="12"/>
        </w:rPr>
        <w:t>1</w:t>
      </w:r>
      <w:r>
        <w:rPr>
          <w:rFonts w:ascii="Calibri"/>
          <w:sz w:val="19"/>
        </w:rPr>
        <w:t>). The pre-and post-natal periods have a significant impact on future physical, mental and cognitive development of offspring: children of mothers with perinatal mental illness are exposed to higher risks of low birth-weight, reduced child growth, intellectual behavioural and socio- emotional problems. Research carried out at PSSRU at LSE estimated the total lifetime costs of perinatal anxiety and depression (see Bauer et al., 2016)</w:t>
      </w:r>
      <w:r>
        <w:rPr>
          <w:rFonts w:ascii="Calibri"/>
          <w:position w:val="6"/>
          <w:sz w:val="12"/>
        </w:rPr>
        <w:t>2</w:t>
      </w:r>
      <w:r>
        <w:rPr>
          <w:rFonts w:ascii="Calibri"/>
          <w:sz w:val="19"/>
        </w:rPr>
        <w:t>.</w:t>
      </w:r>
    </w:p>
    <w:p w:rsidR="006A18FD" w:rsidRDefault="002D29FC">
      <w:pPr>
        <w:spacing w:before="119" w:line="276" w:lineRule="auto"/>
        <w:ind w:left="140" w:right="163"/>
        <w:rPr>
          <w:rFonts w:ascii="Calibri"/>
          <w:sz w:val="19"/>
        </w:rPr>
      </w:pPr>
      <w:r>
        <w:rPr>
          <w:rFonts w:ascii="Calibri"/>
          <w:sz w:val="19"/>
        </w:rPr>
        <w:t>This study has used a decision-modelling approach, based on data from previous longitudinal studies to determine incremental costs associated with adverse effects, discounted to present value at time of birth. These costs are summarised in Schema 2.8 and</w:t>
      </w:r>
    </w:p>
    <w:p w:rsidR="006A18FD" w:rsidRDefault="002D29FC" w:rsidP="008E3FA8">
      <w:pPr>
        <w:numPr>
          <w:ilvl w:val="1"/>
          <w:numId w:val="19"/>
        </w:numPr>
        <w:tabs>
          <w:tab w:val="left" w:pos="424"/>
        </w:tabs>
        <w:spacing w:line="276" w:lineRule="auto"/>
        <w:ind w:left="140" w:right="160" w:firstLine="0"/>
        <w:rPr>
          <w:rFonts w:ascii="Calibri"/>
          <w:sz w:val="19"/>
        </w:rPr>
      </w:pPr>
      <w:r>
        <w:rPr>
          <w:rFonts w:ascii="Calibri"/>
          <w:sz w:val="19"/>
        </w:rPr>
        <w:t>and have been uprated from 2012/2013 values to current prices. Estimates for the impact on mothers were based on mean probabilities of developing perinatal depression, its persistence in subsequent years, annual costs of health and social care and health disutility for people with depression in the general population. Work days lost were calculated, distinguishing again between remitted and non-depression. Data on costs, health disutility and work days lost, all referred to the general adult population with depression. Estimates for impact on children were based on mean probabilities that children exposed to perinatal depression developed adverse outcomes (emotional, behavioural and physical health problems), and evidence of long-term economic consequences linked to such outcomes. Economic consequences referred to additional use of health and social care, education and criminal justice services and wider societal costs such as productivity losses and health-related quality of life losses out-of-pocket</w:t>
      </w:r>
      <w:r>
        <w:rPr>
          <w:rFonts w:ascii="Calibri"/>
          <w:spacing w:val="-12"/>
          <w:sz w:val="19"/>
        </w:rPr>
        <w:t xml:space="preserve"> </w:t>
      </w:r>
      <w:r>
        <w:rPr>
          <w:rFonts w:ascii="Calibri"/>
          <w:sz w:val="19"/>
        </w:rPr>
        <w:t>expenditure.</w:t>
      </w:r>
    </w:p>
    <w:p w:rsidR="006A18FD" w:rsidRDefault="006A18FD">
      <w:pPr>
        <w:spacing w:before="8"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133"/>
        <w:gridCol w:w="1136"/>
        <w:gridCol w:w="5670"/>
      </w:tblGrid>
      <w:tr w:rsidR="006A18FD" w:rsidTr="005B5AB5">
        <w:trPr>
          <w:trHeight w:val="620"/>
          <w:tblHeader/>
        </w:trPr>
        <w:tc>
          <w:tcPr>
            <w:tcW w:w="1839" w:type="dxa"/>
          </w:tcPr>
          <w:p w:rsidR="006A18FD" w:rsidRDefault="002D29FC">
            <w:pPr>
              <w:spacing w:before="1"/>
              <w:ind w:left="103"/>
              <w:rPr>
                <w:rFonts w:ascii="Calibri"/>
                <w:b/>
                <w:sz w:val="19"/>
              </w:rPr>
            </w:pPr>
            <w:r>
              <w:rPr>
                <w:rFonts w:ascii="Calibri"/>
                <w:b/>
                <w:sz w:val="19"/>
              </w:rPr>
              <w:t>Public sector costs</w:t>
            </w:r>
          </w:p>
        </w:tc>
        <w:tc>
          <w:tcPr>
            <w:tcW w:w="2269" w:type="dxa"/>
            <w:gridSpan w:val="2"/>
          </w:tcPr>
          <w:p w:rsidR="006A18FD" w:rsidRDefault="002D29FC">
            <w:pPr>
              <w:tabs>
                <w:tab w:val="left" w:pos="1260"/>
              </w:tabs>
              <w:spacing w:before="1"/>
              <w:ind w:left="103" w:right="533"/>
              <w:rPr>
                <w:rFonts w:ascii="Calibri"/>
                <w:b/>
                <w:sz w:val="19"/>
              </w:rPr>
            </w:pPr>
            <w:r>
              <w:rPr>
                <w:rFonts w:ascii="Calibri"/>
                <w:b/>
                <w:sz w:val="19"/>
              </w:rPr>
              <w:t>Perinatal</w:t>
            </w:r>
            <w:r>
              <w:rPr>
                <w:rFonts w:ascii="Calibri"/>
                <w:b/>
                <w:spacing w:val="-8"/>
                <w:sz w:val="19"/>
              </w:rPr>
              <w:t xml:space="preserve"> </w:t>
            </w:r>
            <w:r>
              <w:rPr>
                <w:rFonts w:ascii="Calibri"/>
                <w:b/>
                <w:sz w:val="19"/>
              </w:rPr>
              <w:t>depression Mother</w:t>
            </w:r>
            <w:r>
              <w:rPr>
                <w:rFonts w:ascii="Calibri"/>
                <w:b/>
                <w:sz w:val="19"/>
              </w:rPr>
              <w:tab/>
              <w:t>Child</w:t>
            </w:r>
          </w:p>
        </w:tc>
        <w:tc>
          <w:tcPr>
            <w:tcW w:w="5670" w:type="dxa"/>
          </w:tcPr>
          <w:p w:rsidR="006A18FD" w:rsidRDefault="002D29FC">
            <w:pPr>
              <w:spacing w:before="1"/>
              <w:ind w:left="102"/>
              <w:rPr>
                <w:rFonts w:ascii="Calibri"/>
                <w:b/>
                <w:sz w:val="19"/>
              </w:rPr>
            </w:pPr>
            <w:r>
              <w:rPr>
                <w:rFonts w:ascii="Calibri"/>
                <w:b/>
                <w:sz w:val="19"/>
              </w:rPr>
              <w:t>Notes</w:t>
            </w:r>
          </w:p>
        </w:tc>
      </w:tr>
      <w:tr w:rsidR="006A18FD">
        <w:trPr>
          <w:trHeight w:val="460"/>
        </w:trPr>
        <w:tc>
          <w:tcPr>
            <w:tcW w:w="1839" w:type="dxa"/>
          </w:tcPr>
          <w:p w:rsidR="006A18FD" w:rsidRDefault="002D29FC">
            <w:pPr>
              <w:spacing w:before="1" w:line="230" w:lineRule="atLeast"/>
              <w:ind w:left="103" w:right="372"/>
              <w:rPr>
                <w:rFonts w:ascii="Calibri"/>
                <w:sz w:val="19"/>
              </w:rPr>
            </w:pPr>
            <w:r>
              <w:rPr>
                <w:rFonts w:ascii="Calibri"/>
                <w:sz w:val="19"/>
              </w:rPr>
              <w:t>Health and Social Care</w:t>
            </w:r>
          </w:p>
        </w:tc>
        <w:tc>
          <w:tcPr>
            <w:tcW w:w="1133" w:type="dxa"/>
          </w:tcPr>
          <w:p w:rsidR="006A18FD" w:rsidRDefault="002D29FC">
            <w:pPr>
              <w:spacing w:before="1"/>
              <w:ind w:left="103"/>
              <w:rPr>
                <w:rFonts w:ascii="Calibri" w:hAnsi="Calibri"/>
                <w:sz w:val="19"/>
              </w:rPr>
            </w:pPr>
            <w:r>
              <w:rPr>
                <w:rFonts w:ascii="Calibri" w:hAnsi="Calibri"/>
                <w:sz w:val="19"/>
              </w:rPr>
              <w:t>£1,824</w:t>
            </w:r>
          </w:p>
        </w:tc>
        <w:tc>
          <w:tcPr>
            <w:tcW w:w="1136" w:type="dxa"/>
          </w:tcPr>
          <w:p w:rsidR="006A18FD" w:rsidRDefault="002D29FC">
            <w:pPr>
              <w:spacing w:before="1"/>
              <w:ind w:left="103"/>
              <w:rPr>
                <w:rFonts w:ascii="Calibri" w:hAnsi="Calibri"/>
                <w:sz w:val="19"/>
              </w:rPr>
            </w:pPr>
            <w:r>
              <w:rPr>
                <w:rFonts w:ascii="Calibri" w:hAnsi="Calibri"/>
                <w:sz w:val="19"/>
              </w:rPr>
              <w:t>£3,060</w:t>
            </w:r>
          </w:p>
        </w:tc>
        <w:tc>
          <w:tcPr>
            <w:tcW w:w="5670" w:type="dxa"/>
          </w:tcPr>
          <w:p w:rsidR="006A18FD" w:rsidRDefault="002D29FC">
            <w:pPr>
              <w:spacing w:before="1" w:line="230" w:lineRule="atLeast"/>
              <w:ind w:left="102" w:right="266"/>
              <w:rPr>
                <w:rFonts w:ascii="Calibri" w:hAnsi="Calibri"/>
                <w:sz w:val="19"/>
              </w:rPr>
            </w:pPr>
            <w:r>
              <w:rPr>
                <w:rFonts w:ascii="Calibri" w:hAnsi="Calibri"/>
                <w:sz w:val="19"/>
              </w:rPr>
              <w:t>The child’s health and social care costs related in similar proportions to pre-term birth, emotional problems and conduct problems.</w:t>
            </w:r>
          </w:p>
        </w:tc>
      </w:tr>
      <w:tr w:rsidR="006A18FD">
        <w:trPr>
          <w:trHeight w:val="459"/>
        </w:trPr>
        <w:tc>
          <w:tcPr>
            <w:tcW w:w="1839" w:type="dxa"/>
          </w:tcPr>
          <w:p w:rsidR="006A18FD" w:rsidRDefault="002D29FC">
            <w:pPr>
              <w:spacing w:line="230" w:lineRule="exact"/>
              <w:ind w:left="103"/>
              <w:rPr>
                <w:rFonts w:ascii="Calibri"/>
                <w:sz w:val="19"/>
              </w:rPr>
            </w:pPr>
            <w:r>
              <w:rPr>
                <w:rFonts w:ascii="Calibri"/>
                <w:sz w:val="19"/>
              </w:rPr>
              <w:t>Education</w:t>
            </w:r>
          </w:p>
        </w:tc>
        <w:tc>
          <w:tcPr>
            <w:tcW w:w="1133" w:type="dxa"/>
          </w:tcPr>
          <w:p w:rsidR="006A18FD" w:rsidRDefault="002D29FC">
            <w:pPr>
              <w:spacing w:line="230" w:lineRule="exact"/>
              <w:ind w:left="103"/>
              <w:rPr>
                <w:rFonts w:ascii="Calibri" w:hAnsi="Calibri"/>
                <w:sz w:val="19"/>
              </w:rPr>
            </w:pPr>
            <w:r>
              <w:rPr>
                <w:rFonts w:ascii="Calibri" w:hAnsi="Calibri"/>
                <w:sz w:val="19"/>
              </w:rPr>
              <w:t>£0</w:t>
            </w:r>
          </w:p>
        </w:tc>
        <w:tc>
          <w:tcPr>
            <w:tcW w:w="1136" w:type="dxa"/>
          </w:tcPr>
          <w:p w:rsidR="006A18FD" w:rsidRDefault="002D29FC">
            <w:pPr>
              <w:spacing w:line="230" w:lineRule="exact"/>
              <w:ind w:left="103"/>
              <w:rPr>
                <w:rFonts w:ascii="Calibri" w:hAnsi="Calibri"/>
                <w:sz w:val="19"/>
              </w:rPr>
            </w:pPr>
            <w:r>
              <w:rPr>
                <w:rFonts w:ascii="Calibri" w:hAnsi="Calibri"/>
                <w:sz w:val="19"/>
              </w:rPr>
              <w:t>£4,353</w:t>
            </w:r>
          </w:p>
        </w:tc>
        <w:tc>
          <w:tcPr>
            <w:tcW w:w="5670" w:type="dxa"/>
          </w:tcPr>
          <w:p w:rsidR="006A18FD" w:rsidRDefault="002D29FC">
            <w:pPr>
              <w:spacing w:line="230" w:lineRule="exact"/>
              <w:ind w:left="102"/>
              <w:rPr>
                <w:rFonts w:ascii="Calibri"/>
                <w:sz w:val="19"/>
              </w:rPr>
            </w:pPr>
            <w:r>
              <w:rPr>
                <w:rFonts w:ascii="Calibri"/>
                <w:sz w:val="19"/>
              </w:rPr>
              <w:t>85 per cent of education costs are a result of conduct problems, with</w:t>
            </w:r>
          </w:p>
          <w:p w:rsidR="006A18FD" w:rsidRDefault="002D29FC">
            <w:pPr>
              <w:spacing w:before="1" w:line="211" w:lineRule="exact"/>
              <w:ind w:left="102"/>
              <w:rPr>
                <w:rFonts w:ascii="Calibri"/>
                <w:sz w:val="19"/>
              </w:rPr>
            </w:pPr>
            <w:r>
              <w:rPr>
                <w:rFonts w:ascii="Calibri"/>
                <w:sz w:val="19"/>
              </w:rPr>
              <w:t>the remainder due to emotional problems.</w:t>
            </w:r>
          </w:p>
        </w:tc>
      </w:tr>
      <w:tr w:rsidR="006A18FD">
        <w:trPr>
          <w:trHeight w:val="460"/>
        </w:trPr>
        <w:tc>
          <w:tcPr>
            <w:tcW w:w="1839" w:type="dxa"/>
          </w:tcPr>
          <w:p w:rsidR="006A18FD" w:rsidRDefault="002D29FC">
            <w:pPr>
              <w:spacing w:before="1"/>
              <w:ind w:left="103"/>
              <w:rPr>
                <w:rFonts w:ascii="Calibri"/>
                <w:sz w:val="19"/>
              </w:rPr>
            </w:pPr>
            <w:r>
              <w:rPr>
                <w:rFonts w:ascii="Calibri"/>
                <w:sz w:val="19"/>
              </w:rPr>
              <w:t>Criminal</w:t>
            </w:r>
          </w:p>
        </w:tc>
        <w:tc>
          <w:tcPr>
            <w:tcW w:w="1133" w:type="dxa"/>
          </w:tcPr>
          <w:p w:rsidR="006A18FD" w:rsidRDefault="002D29FC">
            <w:pPr>
              <w:spacing w:before="1"/>
              <w:ind w:left="103"/>
              <w:rPr>
                <w:rFonts w:ascii="Calibri" w:hAnsi="Calibri"/>
                <w:sz w:val="19"/>
              </w:rPr>
            </w:pPr>
            <w:r>
              <w:rPr>
                <w:rFonts w:ascii="Calibri" w:hAnsi="Calibri"/>
                <w:sz w:val="19"/>
              </w:rPr>
              <w:t>£0</w:t>
            </w:r>
          </w:p>
        </w:tc>
        <w:tc>
          <w:tcPr>
            <w:tcW w:w="1136" w:type="dxa"/>
          </w:tcPr>
          <w:p w:rsidR="006A18FD" w:rsidRDefault="002D29FC">
            <w:pPr>
              <w:spacing w:before="1"/>
              <w:ind w:left="103"/>
              <w:rPr>
                <w:rFonts w:ascii="Calibri" w:hAnsi="Calibri"/>
                <w:sz w:val="19"/>
              </w:rPr>
            </w:pPr>
            <w:r>
              <w:rPr>
                <w:rFonts w:ascii="Calibri" w:hAnsi="Calibri"/>
                <w:sz w:val="19"/>
              </w:rPr>
              <w:t>£2,295</w:t>
            </w:r>
          </w:p>
        </w:tc>
        <w:tc>
          <w:tcPr>
            <w:tcW w:w="5670" w:type="dxa"/>
          </w:tcPr>
          <w:p w:rsidR="006A18FD" w:rsidRDefault="002D29FC">
            <w:pPr>
              <w:spacing w:before="1" w:line="231" w:lineRule="exact"/>
              <w:ind w:left="102"/>
              <w:rPr>
                <w:rFonts w:ascii="Calibri"/>
                <w:sz w:val="19"/>
              </w:rPr>
            </w:pPr>
            <w:r>
              <w:rPr>
                <w:rFonts w:ascii="Calibri"/>
                <w:sz w:val="19"/>
              </w:rPr>
              <w:t>All child criminal justice costs were incurred because of conduct</w:t>
            </w:r>
          </w:p>
          <w:p w:rsidR="006A18FD" w:rsidRDefault="002D29FC">
            <w:pPr>
              <w:spacing w:line="211" w:lineRule="exact"/>
              <w:ind w:left="102"/>
              <w:rPr>
                <w:rFonts w:ascii="Calibri"/>
                <w:sz w:val="19"/>
              </w:rPr>
            </w:pPr>
            <w:r>
              <w:rPr>
                <w:rFonts w:ascii="Calibri"/>
                <w:sz w:val="19"/>
              </w:rPr>
              <w:t>problems.</w:t>
            </w:r>
          </w:p>
        </w:tc>
      </w:tr>
      <w:tr w:rsidR="006A18FD">
        <w:trPr>
          <w:trHeight w:val="680"/>
        </w:trPr>
        <w:tc>
          <w:tcPr>
            <w:tcW w:w="1839" w:type="dxa"/>
          </w:tcPr>
          <w:p w:rsidR="006A18FD" w:rsidRDefault="002D29FC">
            <w:pPr>
              <w:spacing w:before="1"/>
              <w:ind w:left="103" w:right="516"/>
              <w:rPr>
                <w:rFonts w:ascii="Calibri"/>
                <w:b/>
                <w:sz w:val="19"/>
              </w:rPr>
            </w:pPr>
            <w:r>
              <w:rPr>
                <w:rFonts w:ascii="Calibri"/>
                <w:b/>
                <w:sz w:val="19"/>
              </w:rPr>
              <w:t>Subtotal public sector costs</w:t>
            </w:r>
          </w:p>
        </w:tc>
        <w:tc>
          <w:tcPr>
            <w:tcW w:w="1133" w:type="dxa"/>
          </w:tcPr>
          <w:p w:rsidR="006A18FD" w:rsidRDefault="002D29FC">
            <w:pPr>
              <w:spacing w:before="1"/>
              <w:ind w:left="103"/>
              <w:rPr>
                <w:rFonts w:ascii="Calibri" w:hAnsi="Calibri"/>
                <w:b/>
                <w:sz w:val="19"/>
              </w:rPr>
            </w:pPr>
            <w:r>
              <w:rPr>
                <w:rFonts w:ascii="Calibri" w:hAnsi="Calibri"/>
                <w:b/>
                <w:sz w:val="19"/>
              </w:rPr>
              <w:t>£1,824</w:t>
            </w:r>
          </w:p>
        </w:tc>
        <w:tc>
          <w:tcPr>
            <w:tcW w:w="1136" w:type="dxa"/>
          </w:tcPr>
          <w:p w:rsidR="006A18FD" w:rsidRDefault="002D29FC">
            <w:pPr>
              <w:spacing w:before="1"/>
              <w:ind w:left="103"/>
              <w:rPr>
                <w:rFonts w:ascii="Calibri" w:hAnsi="Calibri"/>
                <w:b/>
                <w:sz w:val="19"/>
              </w:rPr>
            </w:pPr>
            <w:r>
              <w:rPr>
                <w:rFonts w:ascii="Calibri" w:hAnsi="Calibri"/>
                <w:b/>
                <w:sz w:val="19"/>
              </w:rPr>
              <w:t>£9,708</w:t>
            </w:r>
          </w:p>
        </w:tc>
        <w:tc>
          <w:tcPr>
            <w:tcW w:w="5670" w:type="dxa"/>
          </w:tcPr>
          <w:p w:rsidR="006A18FD" w:rsidRDefault="002D29FC">
            <w:pPr>
              <w:spacing w:before="1" w:line="230" w:lineRule="atLeast"/>
              <w:ind w:left="102" w:right="147"/>
              <w:rPr>
                <w:rFonts w:ascii="Calibri" w:hAnsi="Calibri"/>
                <w:sz w:val="19"/>
              </w:rPr>
            </w:pPr>
            <w:r>
              <w:rPr>
                <w:rFonts w:ascii="Calibri" w:hAnsi="Calibri"/>
                <w:sz w:val="19"/>
              </w:rPr>
              <w:t>All mothers’ public sector cost relate to health and social care expenditure. Seventy per cent of the child’s public sector costs relate to conduct problems.</w:t>
            </w:r>
          </w:p>
        </w:tc>
      </w:tr>
      <w:tr w:rsidR="006A18FD">
        <w:trPr>
          <w:trHeight w:val="859"/>
        </w:trPr>
        <w:tc>
          <w:tcPr>
            <w:tcW w:w="1839" w:type="dxa"/>
          </w:tcPr>
          <w:p w:rsidR="006A18FD" w:rsidRDefault="002D29FC">
            <w:pPr>
              <w:ind w:left="103"/>
              <w:rPr>
                <w:rFonts w:ascii="Calibri"/>
                <w:b/>
                <w:sz w:val="19"/>
              </w:rPr>
            </w:pPr>
            <w:r>
              <w:rPr>
                <w:rFonts w:ascii="Calibri"/>
                <w:b/>
                <w:sz w:val="19"/>
              </w:rPr>
              <w:t>Wider societal perspective costs</w:t>
            </w:r>
          </w:p>
        </w:tc>
        <w:tc>
          <w:tcPr>
            <w:tcW w:w="1133" w:type="dxa"/>
          </w:tcPr>
          <w:p w:rsidR="006A18FD" w:rsidRDefault="006A18FD">
            <w:pPr>
              <w:rPr>
                <w:rFonts w:ascii="Times New Roman"/>
                <w:sz w:val="18"/>
              </w:rPr>
            </w:pPr>
          </w:p>
        </w:tc>
        <w:tc>
          <w:tcPr>
            <w:tcW w:w="1136" w:type="dxa"/>
          </w:tcPr>
          <w:p w:rsidR="006A18FD" w:rsidRDefault="006A18FD">
            <w:pPr>
              <w:rPr>
                <w:rFonts w:ascii="Times New Roman"/>
                <w:sz w:val="18"/>
              </w:rPr>
            </w:pPr>
          </w:p>
        </w:tc>
        <w:tc>
          <w:tcPr>
            <w:tcW w:w="5670" w:type="dxa"/>
          </w:tcPr>
          <w:p w:rsidR="006A18FD" w:rsidRDefault="006A18FD">
            <w:pPr>
              <w:rPr>
                <w:rFonts w:ascii="Times New Roman"/>
                <w:sz w:val="18"/>
              </w:rPr>
            </w:pPr>
          </w:p>
        </w:tc>
      </w:tr>
      <w:tr w:rsidR="006A18FD">
        <w:trPr>
          <w:trHeight w:val="460"/>
        </w:trPr>
        <w:tc>
          <w:tcPr>
            <w:tcW w:w="1839" w:type="dxa"/>
          </w:tcPr>
          <w:p w:rsidR="006A18FD" w:rsidRDefault="002D29FC">
            <w:pPr>
              <w:spacing w:line="231" w:lineRule="exact"/>
              <w:ind w:left="103"/>
              <w:rPr>
                <w:rFonts w:ascii="Calibri"/>
                <w:sz w:val="19"/>
              </w:rPr>
            </w:pPr>
            <w:r>
              <w:rPr>
                <w:rFonts w:ascii="Calibri"/>
                <w:sz w:val="19"/>
              </w:rPr>
              <w:t>Productivity losses</w:t>
            </w:r>
          </w:p>
        </w:tc>
        <w:tc>
          <w:tcPr>
            <w:tcW w:w="1133" w:type="dxa"/>
          </w:tcPr>
          <w:p w:rsidR="006A18FD" w:rsidRDefault="002D29FC">
            <w:pPr>
              <w:spacing w:line="231" w:lineRule="exact"/>
              <w:ind w:left="103"/>
              <w:rPr>
                <w:rFonts w:ascii="Calibri" w:hAnsi="Calibri"/>
                <w:sz w:val="19"/>
              </w:rPr>
            </w:pPr>
            <w:r>
              <w:rPr>
                <w:rFonts w:ascii="Calibri" w:hAnsi="Calibri"/>
                <w:sz w:val="19"/>
              </w:rPr>
              <w:t>£3,521</w:t>
            </w:r>
          </w:p>
        </w:tc>
        <w:tc>
          <w:tcPr>
            <w:tcW w:w="1136" w:type="dxa"/>
          </w:tcPr>
          <w:p w:rsidR="006A18FD" w:rsidRDefault="002D29FC">
            <w:pPr>
              <w:spacing w:line="231" w:lineRule="exact"/>
              <w:ind w:left="103"/>
              <w:rPr>
                <w:rFonts w:ascii="Calibri" w:hAnsi="Calibri"/>
                <w:sz w:val="19"/>
              </w:rPr>
            </w:pPr>
            <w:r>
              <w:rPr>
                <w:rFonts w:ascii="Calibri" w:hAnsi="Calibri"/>
                <w:sz w:val="19"/>
              </w:rPr>
              <w:t>£6,583</w:t>
            </w:r>
          </w:p>
        </w:tc>
        <w:tc>
          <w:tcPr>
            <w:tcW w:w="5670" w:type="dxa"/>
          </w:tcPr>
          <w:p w:rsidR="006A18FD" w:rsidRDefault="002D29FC">
            <w:pPr>
              <w:spacing w:line="231" w:lineRule="exact"/>
              <w:ind w:left="102"/>
              <w:rPr>
                <w:rFonts w:ascii="Calibri"/>
                <w:sz w:val="19"/>
              </w:rPr>
            </w:pPr>
            <w:r>
              <w:rPr>
                <w:rFonts w:ascii="Calibri"/>
                <w:sz w:val="19"/>
              </w:rPr>
              <w:t>42 per cent of child-related productivity losses are related to</w:t>
            </w:r>
          </w:p>
          <w:p w:rsidR="006A18FD" w:rsidRDefault="002D29FC">
            <w:pPr>
              <w:spacing w:before="1" w:line="211" w:lineRule="exact"/>
              <w:ind w:left="102"/>
              <w:rPr>
                <w:rFonts w:ascii="Calibri"/>
                <w:sz w:val="19"/>
              </w:rPr>
            </w:pPr>
            <w:r>
              <w:rPr>
                <w:rFonts w:ascii="Calibri"/>
                <w:sz w:val="19"/>
              </w:rPr>
              <w:t>emotional problems.</w:t>
            </w:r>
          </w:p>
        </w:tc>
      </w:tr>
      <w:tr w:rsidR="006A18FD">
        <w:trPr>
          <w:trHeight w:val="680"/>
        </w:trPr>
        <w:tc>
          <w:tcPr>
            <w:tcW w:w="1839" w:type="dxa"/>
          </w:tcPr>
          <w:p w:rsidR="006A18FD" w:rsidRDefault="002D29FC">
            <w:pPr>
              <w:spacing w:before="1"/>
              <w:ind w:left="103" w:right="190"/>
              <w:rPr>
                <w:rFonts w:ascii="Calibri"/>
                <w:sz w:val="19"/>
              </w:rPr>
            </w:pPr>
            <w:r>
              <w:rPr>
                <w:rFonts w:ascii="Calibri"/>
                <w:sz w:val="19"/>
              </w:rPr>
              <w:t>Health-related quality of life losses</w:t>
            </w:r>
          </w:p>
        </w:tc>
        <w:tc>
          <w:tcPr>
            <w:tcW w:w="1133" w:type="dxa"/>
          </w:tcPr>
          <w:p w:rsidR="006A18FD" w:rsidRDefault="002D29FC">
            <w:pPr>
              <w:spacing w:before="1"/>
              <w:ind w:left="103"/>
              <w:rPr>
                <w:rFonts w:ascii="Calibri" w:hAnsi="Calibri"/>
                <w:sz w:val="19"/>
              </w:rPr>
            </w:pPr>
            <w:r>
              <w:rPr>
                <w:rFonts w:ascii="Calibri" w:hAnsi="Calibri"/>
                <w:sz w:val="19"/>
              </w:rPr>
              <w:t>£19,625</w:t>
            </w:r>
          </w:p>
        </w:tc>
        <w:tc>
          <w:tcPr>
            <w:tcW w:w="1136" w:type="dxa"/>
          </w:tcPr>
          <w:p w:rsidR="006A18FD" w:rsidRDefault="002D29FC">
            <w:pPr>
              <w:spacing w:before="1"/>
              <w:ind w:left="103"/>
              <w:rPr>
                <w:rFonts w:ascii="Calibri" w:hAnsi="Calibri"/>
                <w:sz w:val="19"/>
              </w:rPr>
            </w:pPr>
            <w:r>
              <w:rPr>
                <w:rFonts w:ascii="Calibri" w:hAnsi="Calibri"/>
                <w:sz w:val="19"/>
              </w:rPr>
              <w:t>£10,174</w:t>
            </w:r>
          </w:p>
        </w:tc>
        <w:tc>
          <w:tcPr>
            <w:tcW w:w="5670" w:type="dxa"/>
          </w:tcPr>
          <w:p w:rsidR="006A18FD" w:rsidRDefault="002D29FC">
            <w:pPr>
              <w:spacing w:before="1"/>
              <w:ind w:left="102"/>
              <w:rPr>
                <w:rFonts w:ascii="Calibri" w:hAnsi="Calibri"/>
                <w:sz w:val="19"/>
              </w:rPr>
            </w:pPr>
            <w:r>
              <w:rPr>
                <w:rFonts w:ascii="Calibri" w:hAnsi="Calibri"/>
                <w:sz w:val="19"/>
              </w:rPr>
              <w:t>84 per cent of the mother’s costs to the wider perspective are due to reduced health-related quality of life. These costs form 73 per cent of</w:t>
            </w:r>
          </w:p>
          <w:p w:rsidR="006A18FD" w:rsidRDefault="002D29FC">
            <w:pPr>
              <w:spacing w:line="211" w:lineRule="exact"/>
              <w:ind w:left="102"/>
              <w:rPr>
                <w:rFonts w:ascii="Calibri"/>
                <w:sz w:val="19"/>
              </w:rPr>
            </w:pPr>
            <w:r>
              <w:rPr>
                <w:rFonts w:ascii="Calibri"/>
                <w:sz w:val="19"/>
              </w:rPr>
              <w:t>total costs.</w:t>
            </w:r>
          </w:p>
        </w:tc>
      </w:tr>
      <w:tr w:rsidR="006A18FD">
        <w:trPr>
          <w:trHeight w:val="680"/>
        </w:trPr>
        <w:tc>
          <w:tcPr>
            <w:tcW w:w="1839" w:type="dxa"/>
          </w:tcPr>
          <w:p w:rsidR="006A18FD" w:rsidRDefault="002D29FC">
            <w:pPr>
              <w:spacing w:before="1"/>
              <w:ind w:left="103"/>
              <w:rPr>
                <w:rFonts w:ascii="Calibri"/>
                <w:sz w:val="19"/>
              </w:rPr>
            </w:pPr>
            <w:r>
              <w:rPr>
                <w:rFonts w:ascii="Calibri"/>
                <w:sz w:val="19"/>
              </w:rPr>
              <w:t>Lost life</w:t>
            </w:r>
          </w:p>
        </w:tc>
        <w:tc>
          <w:tcPr>
            <w:tcW w:w="1133" w:type="dxa"/>
          </w:tcPr>
          <w:p w:rsidR="006A18FD" w:rsidRDefault="002D29FC">
            <w:pPr>
              <w:spacing w:before="1"/>
              <w:ind w:left="103"/>
              <w:rPr>
                <w:rFonts w:ascii="Calibri" w:hAnsi="Calibri"/>
                <w:sz w:val="19"/>
              </w:rPr>
            </w:pPr>
            <w:r>
              <w:rPr>
                <w:rFonts w:ascii="Calibri" w:hAnsi="Calibri"/>
                <w:sz w:val="19"/>
              </w:rPr>
              <w:t>£322</w:t>
            </w:r>
          </w:p>
        </w:tc>
        <w:tc>
          <w:tcPr>
            <w:tcW w:w="1136" w:type="dxa"/>
          </w:tcPr>
          <w:p w:rsidR="006A18FD" w:rsidRDefault="002D29FC">
            <w:pPr>
              <w:spacing w:before="1"/>
              <w:ind w:left="103"/>
              <w:rPr>
                <w:rFonts w:ascii="Calibri" w:hAnsi="Calibri"/>
                <w:sz w:val="19"/>
              </w:rPr>
            </w:pPr>
            <w:r>
              <w:rPr>
                <w:rFonts w:ascii="Calibri" w:hAnsi="Calibri"/>
                <w:sz w:val="19"/>
              </w:rPr>
              <w:t>£25,764</w:t>
            </w:r>
          </w:p>
        </w:tc>
        <w:tc>
          <w:tcPr>
            <w:tcW w:w="5670" w:type="dxa"/>
          </w:tcPr>
          <w:p w:rsidR="006A18FD" w:rsidRDefault="002D29FC">
            <w:pPr>
              <w:spacing w:before="1"/>
              <w:ind w:left="102" w:right="428"/>
              <w:rPr>
                <w:rFonts w:ascii="Calibri"/>
                <w:sz w:val="19"/>
              </w:rPr>
            </w:pPr>
            <w:r>
              <w:rPr>
                <w:rFonts w:ascii="Calibri"/>
                <w:sz w:val="19"/>
              </w:rPr>
              <w:t>Based on the mean probability of postnatal depression and risk to sudden death for infants of mothers who suffered from post-natal</w:t>
            </w:r>
          </w:p>
          <w:p w:rsidR="006A18FD" w:rsidRDefault="002D29FC">
            <w:pPr>
              <w:spacing w:line="210" w:lineRule="exact"/>
              <w:ind w:left="102"/>
              <w:rPr>
                <w:rFonts w:ascii="Calibri"/>
                <w:sz w:val="19"/>
              </w:rPr>
            </w:pPr>
            <w:r>
              <w:rPr>
                <w:rFonts w:ascii="Calibri"/>
                <w:sz w:val="19"/>
              </w:rPr>
              <w:t>depression.</w:t>
            </w:r>
          </w:p>
        </w:tc>
      </w:tr>
      <w:tr w:rsidR="006A18FD">
        <w:trPr>
          <w:trHeight w:val="240"/>
        </w:trPr>
        <w:tc>
          <w:tcPr>
            <w:tcW w:w="1839" w:type="dxa"/>
          </w:tcPr>
          <w:p w:rsidR="006A18FD" w:rsidRDefault="002D29FC">
            <w:pPr>
              <w:spacing w:before="1" w:line="226" w:lineRule="exact"/>
              <w:ind w:left="103"/>
              <w:rPr>
                <w:rFonts w:ascii="Calibri"/>
                <w:sz w:val="19"/>
              </w:rPr>
            </w:pPr>
            <w:r>
              <w:rPr>
                <w:rFonts w:ascii="Calibri"/>
                <w:sz w:val="19"/>
              </w:rPr>
              <w:t>Out-of-pocket</w:t>
            </w:r>
          </w:p>
        </w:tc>
        <w:tc>
          <w:tcPr>
            <w:tcW w:w="1133" w:type="dxa"/>
          </w:tcPr>
          <w:p w:rsidR="006A18FD" w:rsidRDefault="002D29FC">
            <w:pPr>
              <w:spacing w:before="1" w:line="226" w:lineRule="exact"/>
              <w:ind w:left="103"/>
              <w:rPr>
                <w:rFonts w:ascii="Calibri" w:hAnsi="Calibri"/>
                <w:sz w:val="19"/>
              </w:rPr>
            </w:pPr>
            <w:r>
              <w:rPr>
                <w:rFonts w:ascii="Calibri" w:hAnsi="Calibri"/>
                <w:sz w:val="19"/>
              </w:rPr>
              <w:t>£0</w:t>
            </w:r>
          </w:p>
        </w:tc>
        <w:tc>
          <w:tcPr>
            <w:tcW w:w="1136" w:type="dxa"/>
          </w:tcPr>
          <w:p w:rsidR="006A18FD" w:rsidRDefault="002D29FC">
            <w:pPr>
              <w:spacing w:before="1" w:line="226" w:lineRule="exact"/>
              <w:ind w:left="103"/>
              <w:rPr>
                <w:rFonts w:ascii="Calibri" w:hAnsi="Calibri"/>
                <w:sz w:val="19"/>
              </w:rPr>
            </w:pPr>
            <w:r>
              <w:rPr>
                <w:rFonts w:ascii="Calibri" w:hAnsi="Calibri"/>
                <w:sz w:val="19"/>
              </w:rPr>
              <w:t>£16</w:t>
            </w:r>
          </w:p>
        </w:tc>
        <w:tc>
          <w:tcPr>
            <w:tcW w:w="5670" w:type="dxa"/>
          </w:tcPr>
          <w:p w:rsidR="006A18FD" w:rsidRDefault="006A18FD">
            <w:pPr>
              <w:rPr>
                <w:rFonts w:ascii="Times New Roman"/>
                <w:sz w:val="16"/>
              </w:rPr>
            </w:pPr>
          </w:p>
        </w:tc>
      </w:tr>
      <w:tr w:rsidR="006A18FD">
        <w:trPr>
          <w:trHeight w:val="460"/>
        </w:trPr>
        <w:tc>
          <w:tcPr>
            <w:tcW w:w="1839" w:type="dxa"/>
          </w:tcPr>
          <w:p w:rsidR="006A18FD" w:rsidRDefault="002D29FC">
            <w:pPr>
              <w:spacing w:before="1"/>
              <w:ind w:left="103"/>
              <w:rPr>
                <w:rFonts w:ascii="Calibri"/>
                <w:sz w:val="19"/>
              </w:rPr>
            </w:pPr>
            <w:r>
              <w:rPr>
                <w:rFonts w:ascii="Calibri"/>
                <w:sz w:val="19"/>
              </w:rPr>
              <w:t>Victim of crime</w:t>
            </w:r>
          </w:p>
        </w:tc>
        <w:tc>
          <w:tcPr>
            <w:tcW w:w="1133" w:type="dxa"/>
          </w:tcPr>
          <w:p w:rsidR="006A18FD" w:rsidRDefault="002D29FC">
            <w:pPr>
              <w:spacing w:before="1"/>
              <w:ind w:left="103"/>
              <w:rPr>
                <w:rFonts w:ascii="Calibri" w:hAnsi="Calibri"/>
                <w:sz w:val="19"/>
              </w:rPr>
            </w:pPr>
            <w:r>
              <w:rPr>
                <w:rFonts w:ascii="Calibri" w:hAnsi="Calibri"/>
                <w:sz w:val="19"/>
              </w:rPr>
              <w:t>£0</w:t>
            </w:r>
          </w:p>
        </w:tc>
        <w:tc>
          <w:tcPr>
            <w:tcW w:w="1136" w:type="dxa"/>
          </w:tcPr>
          <w:p w:rsidR="006A18FD" w:rsidRDefault="002D29FC">
            <w:pPr>
              <w:spacing w:before="1"/>
              <w:ind w:left="103"/>
              <w:rPr>
                <w:rFonts w:ascii="Calibri" w:hAnsi="Calibri"/>
                <w:sz w:val="19"/>
              </w:rPr>
            </w:pPr>
            <w:r>
              <w:rPr>
                <w:rFonts w:ascii="Calibri" w:hAnsi="Calibri"/>
                <w:sz w:val="19"/>
              </w:rPr>
              <w:t>£8,047</w:t>
            </w:r>
          </w:p>
        </w:tc>
        <w:tc>
          <w:tcPr>
            <w:tcW w:w="5670" w:type="dxa"/>
          </w:tcPr>
          <w:p w:rsidR="006A18FD" w:rsidRDefault="002D29FC">
            <w:pPr>
              <w:spacing w:before="1" w:line="230" w:lineRule="atLeast"/>
              <w:ind w:left="102" w:right="461"/>
              <w:rPr>
                <w:rFonts w:ascii="Calibri"/>
                <w:sz w:val="19"/>
              </w:rPr>
            </w:pPr>
            <w:r>
              <w:rPr>
                <w:rFonts w:ascii="Calibri"/>
                <w:sz w:val="19"/>
              </w:rPr>
              <w:t>12 per cent of total child costs are related to becoming a victim of crime.</w:t>
            </w:r>
          </w:p>
        </w:tc>
      </w:tr>
      <w:tr w:rsidR="006A18FD">
        <w:trPr>
          <w:trHeight w:val="459"/>
        </w:trPr>
        <w:tc>
          <w:tcPr>
            <w:tcW w:w="1839" w:type="dxa"/>
          </w:tcPr>
          <w:p w:rsidR="006A18FD" w:rsidRDefault="002D29FC">
            <w:pPr>
              <w:spacing w:line="231" w:lineRule="exact"/>
              <w:ind w:left="103"/>
              <w:rPr>
                <w:rFonts w:ascii="Calibri"/>
                <w:b/>
                <w:sz w:val="19"/>
              </w:rPr>
            </w:pPr>
            <w:r>
              <w:rPr>
                <w:rFonts w:ascii="Calibri"/>
                <w:b/>
                <w:sz w:val="19"/>
              </w:rPr>
              <w:t>Total wider societal</w:t>
            </w:r>
          </w:p>
          <w:p w:rsidR="006A18FD" w:rsidRDefault="002D29FC">
            <w:pPr>
              <w:spacing w:line="210" w:lineRule="exact"/>
              <w:ind w:left="103"/>
              <w:rPr>
                <w:rFonts w:ascii="Calibri"/>
                <w:b/>
                <w:sz w:val="19"/>
              </w:rPr>
            </w:pPr>
            <w:r>
              <w:rPr>
                <w:rFonts w:ascii="Calibri"/>
                <w:b/>
                <w:sz w:val="19"/>
              </w:rPr>
              <w:t>perspective costs</w:t>
            </w:r>
          </w:p>
        </w:tc>
        <w:tc>
          <w:tcPr>
            <w:tcW w:w="1133" w:type="dxa"/>
          </w:tcPr>
          <w:p w:rsidR="006A18FD" w:rsidRDefault="002D29FC">
            <w:pPr>
              <w:ind w:left="103"/>
              <w:rPr>
                <w:rFonts w:ascii="Calibri" w:hAnsi="Calibri"/>
                <w:b/>
                <w:sz w:val="19"/>
              </w:rPr>
            </w:pPr>
            <w:r>
              <w:rPr>
                <w:rFonts w:ascii="Calibri" w:hAnsi="Calibri"/>
                <w:b/>
                <w:sz w:val="19"/>
              </w:rPr>
              <w:t>£23,468</w:t>
            </w:r>
          </w:p>
        </w:tc>
        <w:tc>
          <w:tcPr>
            <w:tcW w:w="1136" w:type="dxa"/>
          </w:tcPr>
          <w:p w:rsidR="006A18FD" w:rsidRDefault="002D29FC">
            <w:pPr>
              <w:ind w:left="103"/>
              <w:rPr>
                <w:rFonts w:ascii="Calibri" w:hAnsi="Calibri"/>
                <w:b/>
                <w:sz w:val="19"/>
              </w:rPr>
            </w:pPr>
            <w:r>
              <w:rPr>
                <w:rFonts w:ascii="Calibri" w:hAnsi="Calibri"/>
                <w:b/>
                <w:sz w:val="19"/>
              </w:rPr>
              <w:t>£50,584</w:t>
            </w:r>
          </w:p>
        </w:tc>
        <w:tc>
          <w:tcPr>
            <w:tcW w:w="5670" w:type="dxa"/>
          </w:tcPr>
          <w:p w:rsidR="006A18FD" w:rsidRDefault="002D29FC">
            <w:pPr>
              <w:ind w:left="102"/>
              <w:rPr>
                <w:rFonts w:ascii="Calibri" w:hAnsi="Calibri"/>
                <w:sz w:val="19"/>
              </w:rPr>
            </w:pPr>
            <w:r>
              <w:rPr>
                <w:rFonts w:ascii="Calibri" w:hAnsi="Calibri"/>
                <w:sz w:val="19"/>
              </w:rPr>
              <w:t>Costs to the wider perspective for mother and child were £74,052.</w:t>
            </w:r>
          </w:p>
        </w:tc>
      </w:tr>
      <w:tr w:rsidR="006A18FD">
        <w:trPr>
          <w:trHeight w:val="920"/>
        </w:trPr>
        <w:tc>
          <w:tcPr>
            <w:tcW w:w="1839" w:type="dxa"/>
          </w:tcPr>
          <w:p w:rsidR="006A18FD" w:rsidRDefault="002D29FC">
            <w:pPr>
              <w:spacing w:before="1"/>
              <w:ind w:left="103"/>
              <w:rPr>
                <w:rFonts w:ascii="Calibri"/>
                <w:b/>
                <w:sz w:val="19"/>
              </w:rPr>
            </w:pPr>
            <w:r>
              <w:rPr>
                <w:rFonts w:ascii="Calibri"/>
                <w:b/>
                <w:sz w:val="19"/>
              </w:rPr>
              <w:t>Grand total</w:t>
            </w:r>
          </w:p>
        </w:tc>
        <w:tc>
          <w:tcPr>
            <w:tcW w:w="1133" w:type="dxa"/>
          </w:tcPr>
          <w:p w:rsidR="006A18FD" w:rsidRDefault="002D29FC">
            <w:pPr>
              <w:spacing w:before="1"/>
              <w:ind w:left="103"/>
              <w:rPr>
                <w:rFonts w:ascii="Calibri" w:hAnsi="Calibri"/>
                <w:b/>
                <w:sz w:val="19"/>
              </w:rPr>
            </w:pPr>
            <w:r>
              <w:rPr>
                <w:rFonts w:ascii="Calibri" w:hAnsi="Calibri"/>
                <w:b/>
                <w:sz w:val="19"/>
              </w:rPr>
              <w:t>£25,292</w:t>
            </w:r>
          </w:p>
        </w:tc>
        <w:tc>
          <w:tcPr>
            <w:tcW w:w="1136" w:type="dxa"/>
          </w:tcPr>
          <w:p w:rsidR="006A18FD" w:rsidRDefault="002D29FC">
            <w:pPr>
              <w:spacing w:before="1"/>
              <w:ind w:left="103"/>
              <w:rPr>
                <w:rFonts w:ascii="Calibri" w:hAnsi="Calibri"/>
                <w:b/>
                <w:sz w:val="19"/>
              </w:rPr>
            </w:pPr>
            <w:r>
              <w:rPr>
                <w:rFonts w:ascii="Calibri" w:hAnsi="Calibri"/>
                <w:b/>
                <w:sz w:val="19"/>
              </w:rPr>
              <w:t>£60,293</w:t>
            </w:r>
          </w:p>
        </w:tc>
        <w:tc>
          <w:tcPr>
            <w:tcW w:w="5670" w:type="dxa"/>
          </w:tcPr>
          <w:p w:rsidR="006A18FD" w:rsidRDefault="002D29FC">
            <w:pPr>
              <w:spacing w:before="1"/>
              <w:ind w:left="102" w:right="147"/>
              <w:rPr>
                <w:rFonts w:ascii="Calibri" w:hAnsi="Calibri"/>
                <w:sz w:val="19"/>
              </w:rPr>
            </w:pPr>
            <w:r>
              <w:rPr>
                <w:rFonts w:ascii="Calibri" w:hAnsi="Calibri"/>
                <w:sz w:val="19"/>
              </w:rPr>
              <w:t>Mother and child costs of perinatal depression totalled £85,585, 42 per cent of child problems relate to loss of life, 35 per cent to conduct problems, 19 per cent to emotional problems and 6 per cent to pre-</w:t>
            </w:r>
          </w:p>
          <w:p w:rsidR="006A18FD" w:rsidRDefault="002D29FC">
            <w:pPr>
              <w:spacing w:line="211" w:lineRule="exact"/>
              <w:ind w:left="102"/>
              <w:rPr>
                <w:rFonts w:ascii="Calibri"/>
                <w:sz w:val="19"/>
              </w:rPr>
            </w:pPr>
            <w:r>
              <w:rPr>
                <w:rFonts w:ascii="Calibri"/>
                <w:sz w:val="19"/>
              </w:rPr>
              <w:t>term birth and special educational needs.</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3"/>
        <w:rPr>
          <w:rFonts w:ascii="Calibri"/>
          <w:sz w:val="20"/>
        </w:rPr>
      </w:pPr>
    </w:p>
    <w:p w:rsidR="006A18FD" w:rsidRDefault="002D29FC">
      <w:pPr>
        <w:spacing w:before="1" w:line="195" w:lineRule="exact"/>
        <w:ind w:left="140"/>
        <w:rPr>
          <w:rFonts w:ascii="Calibri"/>
          <w:sz w:val="16"/>
        </w:rPr>
      </w:pPr>
      <w:r>
        <w:rPr>
          <w:rFonts w:ascii="Calibri"/>
          <w:position w:val="5"/>
          <w:sz w:val="10"/>
        </w:rPr>
        <w:t xml:space="preserve">1 </w:t>
      </w:r>
      <w:r>
        <w:rPr>
          <w:rFonts w:ascii="Calibri"/>
          <w:sz w:val="16"/>
        </w:rPr>
        <w:t xml:space="preserve">World Health Organisation (2014) </w:t>
      </w:r>
      <w:r>
        <w:rPr>
          <w:rFonts w:ascii="Calibri"/>
          <w:i/>
          <w:sz w:val="16"/>
        </w:rPr>
        <w:t>Social determinants of mental health</w:t>
      </w:r>
      <w:r>
        <w:rPr>
          <w:rFonts w:ascii="Calibri"/>
          <w:sz w:val="16"/>
        </w:rPr>
        <w:t>, World Health Organisation and Calouste Gulbenkian Foundation, Geneva.</w:t>
      </w:r>
    </w:p>
    <w:p w:rsidR="006A18FD" w:rsidRDefault="002D29FC">
      <w:pPr>
        <w:ind w:left="423" w:hanging="284"/>
        <w:rPr>
          <w:rFonts w:ascii="Calibri"/>
          <w:sz w:val="16"/>
        </w:rPr>
      </w:pPr>
      <w:r>
        <w:rPr>
          <w:rFonts w:ascii="Calibri"/>
          <w:position w:val="5"/>
          <w:sz w:val="10"/>
        </w:rPr>
        <w:t xml:space="preserve">2 </w:t>
      </w:r>
      <w:r>
        <w:rPr>
          <w:rFonts w:ascii="Calibri"/>
          <w:sz w:val="16"/>
        </w:rPr>
        <w:t xml:space="preserve">Bauer, A., Knapp, M., &amp; Parsonage, M. (2016) Lifetime costs of perinatal anxiety and depression, </w:t>
      </w:r>
      <w:r>
        <w:rPr>
          <w:rFonts w:ascii="Calibri"/>
          <w:i/>
          <w:sz w:val="16"/>
        </w:rPr>
        <w:t>Journal of Affective Disorders</w:t>
      </w:r>
      <w:r>
        <w:rPr>
          <w:rFonts w:ascii="Calibri"/>
          <w:sz w:val="16"/>
        </w:rPr>
        <w:t xml:space="preserve">, 192, 83-90. </w:t>
      </w:r>
      <w:hyperlink r:id="rId137">
        <w:r>
          <w:rPr>
            <w:rFonts w:ascii="Calibri"/>
            <w:sz w:val="16"/>
            <w:u w:val="single"/>
          </w:rPr>
          <w:t>http://eprints.lse.ac.uk/64685/2/Bauer_Lifetime%20costs_2015.pdf</w:t>
        </w:r>
        <w:r>
          <w:rPr>
            <w:rFonts w:ascii="Calibri"/>
            <w:sz w:val="16"/>
          </w:rPr>
          <w:t xml:space="preserve"> </w:t>
        </w:r>
      </w:hyperlink>
      <w:r>
        <w:rPr>
          <w:rFonts w:ascii="Calibri"/>
          <w:sz w:val="16"/>
        </w:rPr>
        <w:t>[accessed 17 October 2017].</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37" name="Line 19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0283D7" id="Group 19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FAHRqH4CAACBBQAA&#10;DgAAAAAAAAAAAAAAAAAuAgAAZHJzL2Uyb0RvYy54bWxQSwECLQAUAAYACAAAACEALXfkXNoAAAAE&#10;AQAADwAAAAAAAAAAAAAAAADYBAAAZHJzL2Rvd25yZXYueG1sUEsFBgAAAAAEAAQA8wAAAN8FAAAA&#10;AA==&#10;">
                <v:line id="Line 19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w10:anchorlock/>
              </v:group>
            </w:pict>
          </mc:Fallback>
        </mc:AlternateContent>
      </w:r>
    </w:p>
    <w:p w:rsidR="006A18FD" w:rsidRDefault="002D29FC" w:rsidP="0025638D">
      <w:pPr>
        <w:pStyle w:val="Heading2"/>
      </w:pPr>
      <w:r>
        <w:t>2.9 Lifetime costs of perinatal anxiety</w:t>
      </w:r>
    </w:p>
    <w:p w:rsidR="006A18FD" w:rsidRDefault="002D29FC">
      <w:pPr>
        <w:spacing w:before="172" w:line="276" w:lineRule="auto"/>
        <w:ind w:left="152" w:right="108"/>
        <w:rPr>
          <w:rFonts w:ascii="Calibri"/>
          <w:sz w:val="20"/>
        </w:rPr>
      </w:pPr>
      <w:r>
        <w:rPr>
          <w:rFonts w:ascii="Calibri"/>
          <w:sz w:val="20"/>
        </w:rPr>
        <w:t>The World Health Organisation recognises perinatal mental health as a major public health issue; at least one in ten women has a serious mental health problem during pregnancy or in the year after birth (WHO, 2014</w:t>
      </w:r>
      <w:r>
        <w:rPr>
          <w:rFonts w:ascii="Calibri"/>
          <w:position w:val="5"/>
          <w:sz w:val="12"/>
        </w:rPr>
        <w:t>1</w:t>
      </w:r>
      <w:r>
        <w:rPr>
          <w:rFonts w:ascii="Calibri"/>
          <w:sz w:val="20"/>
        </w:rPr>
        <w:t>). The pre-and post-natal periods have a significant impact on future physical, mental and cognitive development of offspring: children of mothers with perinatal mental illness are exposed to higher risks of low birth-weight, reduced child growth, intellectual behavioural and socio-emotional problems. Research carried out at PSSRU at LSE estimated the total lifetime costs of perinatal anxiety and depression (see Bauer &amp; colleagues, 2016)</w:t>
      </w:r>
      <w:r>
        <w:rPr>
          <w:rFonts w:ascii="Calibri"/>
          <w:position w:val="5"/>
          <w:sz w:val="12"/>
        </w:rPr>
        <w:t>2</w:t>
      </w:r>
      <w:r>
        <w:rPr>
          <w:rFonts w:ascii="Calibri"/>
          <w:sz w:val="20"/>
        </w:rPr>
        <w:t>.</w:t>
      </w:r>
    </w:p>
    <w:p w:rsidR="006A18FD" w:rsidRDefault="002D29FC">
      <w:pPr>
        <w:spacing w:before="119" w:line="276" w:lineRule="auto"/>
        <w:ind w:left="152" w:right="138"/>
        <w:rPr>
          <w:rFonts w:ascii="Calibri"/>
          <w:sz w:val="20"/>
        </w:rPr>
      </w:pPr>
      <w:r>
        <w:rPr>
          <w:rFonts w:ascii="Calibri"/>
          <w:sz w:val="20"/>
        </w:rPr>
        <w:t>This study has used a decision-modelling approach, based on data from previous studies to determine incremental costs associated with adverse effects, discounted to present value at time of birth. These costs are summarised in Schema 2.8 and 2.9 and have been uprated from 2012/2013 values to current prices. Estimates were based on mean probabilities of developing perinatal anxiety (without co-existing depression), its persistence in subsequent years, annual costs of health and social care and health disutility for people with anxiety disorder in the general population. Work days lost were calculated distinguishing again between remitted and non-remitted anxiety. Data on costs, health disutility and work days lost all referred to the general adult population with anxiety. Potential life years lost due to anxiety-caused suicide were not valued. Estimates for impact on children were based on mean probabilities that children exposed to perinatal anxiety developed adverse outcomes (emotional, behavioural and physical health problems), and evidence of long-term economic consequences linked to such outcomes. Economic consequences referred to additional use of health and social care, education and criminal justice services and wider societal costs such as productivity losses and health related quality of life losses out-of-pocket</w:t>
      </w:r>
      <w:r>
        <w:rPr>
          <w:rFonts w:ascii="Calibri"/>
          <w:spacing w:val="-15"/>
          <w:sz w:val="20"/>
        </w:rPr>
        <w:t xml:space="preserve"> </w:t>
      </w:r>
      <w:r>
        <w:rPr>
          <w:rFonts w:ascii="Calibri"/>
          <w:sz w:val="20"/>
        </w:rPr>
        <w:t>expenditure.</w:t>
      </w:r>
    </w:p>
    <w:p w:rsidR="006A18FD" w:rsidRDefault="006A18FD">
      <w:pPr>
        <w:spacing w:before="8"/>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419"/>
        <w:gridCol w:w="1274"/>
        <w:gridCol w:w="5531"/>
      </w:tblGrid>
      <w:tr w:rsidR="006A18FD" w:rsidTr="005B5AB5">
        <w:trPr>
          <w:trHeight w:val="920"/>
          <w:tblHeader/>
        </w:trPr>
        <w:tc>
          <w:tcPr>
            <w:tcW w:w="1839" w:type="dxa"/>
          </w:tcPr>
          <w:p w:rsidR="006A18FD" w:rsidRDefault="002D29FC">
            <w:pPr>
              <w:spacing w:before="1"/>
              <w:ind w:left="105"/>
              <w:rPr>
                <w:rFonts w:ascii="Calibri"/>
                <w:b/>
                <w:sz w:val="20"/>
              </w:rPr>
            </w:pPr>
            <w:r>
              <w:rPr>
                <w:rFonts w:ascii="Calibri"/>
                <w:b/>
                <w:sz w:val="20"/>
              </w:rPr>
              <w:t>Public sector costs</w:t>
            </w:r>
          </w:p>
        </w:tc>
        <w:tc>
          <w:tcPr>
            <w:tcW w:w="2693" w:type="dxa"/>
            <w:gridSpan w:val="2"/>
          </w:tcPr>
          <w:p w:rsidR="006A18FD" w:rsidRDefault="002D29FC">
            <w:pPr>
              <w:spacing w:before="1" w:line="243" w:lineRule="exact"/>
              <w:ind w:left="635"/>
              <w:rPr>
                <w:rFonts w:ascii="Calibri"/>
                <w:b/>
                <w:sz w:val="20"/>
              </w:rPr>
            </w:pPr>
            <w:r>
              <w:rPr>
                <w:rFonts w:ascii="Calibri"/>
                <w:b/>
                <w:sz w:val="20"/>
              </w:rPr>
              <w:t>Perinatal anxiety</w:t>
            </w:r>
          </w:p>
          <w:p w:rsidR="006A18FD" w:rsidRDefault="002D29FC">
            <w:pPr>
              <w:tabs>
                <w:tab w:val="left" w:pos="1548"/>
              </w:tabs>
              <w:spacing w:line="243" w:lineRule="exact"/>
              <w:ind w:left="103"/>
              <w:rPr>
                <w:rFonts w:ascii="Calibri"/>
                <w:b/>
                <w:sz w:val="20"/>
              </w:rPr>
            </w:pPr>
            <w:r>
              <w:rPr>
                <w:rFonts w:ascii="Calibri"/>
                <w:b/>
                <w:sz w:val="20"/>
              </w:rPr>
              <w:t>Mother</w:t>
            </w:r>
            <w:r>
              <w:rPr>
                <w:rFonts w:ascii="Calibri"/>
                <w:b/>
                <w:sz w:val="20"/>
              </w:rPr>
              <w:tab/>
              <w:t>Child</w:t>
            </w:r>
          </w:p>
        </w:tc>
        <w:tc>
          <w:tcPr>
            <w:tcW w:w="5531" w:type="dxa"/>
          </w:tcPr>
          <w:p w:rsidR="006A18FD" w:rsidRDefault="002D29FC">
            <w:pPr>
              <w:spacing w:before="1"/>
              <w:ind w:left="103"/>
              <w:rPr>
                <w:rFonts w:ascii="Calibri"/>
                <w:b/>
                <w:sz w:val="20"/>
              </w:rPr>
            </w:pPr>
            <w:r>
              <w:rPr>
                <w:rFonts w:ascii="Calibri"/>
                <w:b/>
                <w:sz w:val="20"/>
              </w:rPr>
              <w:t>Notes</w:t>
            </w:r>
          </w:p>
        </w:tc>
      </w:tr>
      <w:tr w:rsidR="006A18FD">
        <w:trPr>
          <w:trHeight w:val="520"/>
        </w:trPr>
        <w:tc>
          <w:tcPr>
            <w:tcW w:w="1839" w:type="dxa"/>
          </w:tcPr>
          <w:p w:rsidR="006A18FD" w:rsidRDefault="002D29FC">
            <w:pPr>
              <w:spacing w:before="1"/>
              <w:ind w:left="105" w:right="299"/>
              <w:rPr>
                <w:rFonts w:ascii="Calibri"/>
                <w:sz w:val="20"/>
              </w:rPr>
            </w:pPr>
            <w:r>
              <w:rPr>
                <w:rFonts w:ascii="Calibri"/>
                <w:sz w:val="20"/>
              </w:rPr>
              <w:t>Health and Social Care</w:t>
            </w:r>
          </w:p>
        </w:tc>
        <w:tc>
          <w:tcPr>
            <w:tcW w:w="1419" w:type="dxa"/>
          </w:tcPr>
          <w:p w:rsidR="006A18FD" w:rsidRDefault="002D29FC">
            <w:pPr>
              <w:spacing w:before="1"/>
              <w:ind w:left="103"/>
              <w:rPr>
                <w:rFonts w:ascii="Calibri" w:hAnsi="Calibri"/>
                <w:sz w:val="20"/>
              </w:rPr>
            </w:pPr>
            <w:r>
              <w:rPr>
                <w:rFonts w:ascii="Calibri" w:hAnsi="Calibri"/>
                <w:sz w:val="20"/>
              </w:rPr>
              <w:t>£4,669</w:t>
            </w:r>
          </w:p>
        </w:tc>
        <w:tc>
          <w:tcPr>
            <w:tcW w:w="1274" w:type="dxa"/>
          </w:tcPr>
          <w:p w:rsidR="006A18FD" w:rsidRDefault="002D29FC">
            <w:pPr>
              <w:spacing w:before="1"/>
              <w:ind w:left="103"/>
              <w:rPr>
                <w:rFonts w:ascii="Calibri" w:hAnsi="Calibri"/>
                <w:sz w:val="20"/>
              </w:rPr>
            </w:pPr>
            <w:r>
              <w:rPr>
                <w:rFonts w:ascii="Calibri" w:hAnsi="Calibri"/>
                <w:sz w:val="20"/>
              </w:rPr>
              <w:t>£4,836</w:t>
            </w:r>
          </w:p>
        </w:tc>
        <w:tc>
          <w:tcPr>
            <w:tcW w:w="5531" w:type="dxa"/>
          </w:tcPr>
          <w:p w:rsidR="006A18FD" w:rsidRDefault="002D29FC">
            <w:pPr>
              <w:spacing w:before="1"/>
              <w:ind w:left="103" w:right="785"/>
              <w:rPr>
                <w:rFonts w:ascii="Calibri" w:hAnsi="Calibri"/>
                <w:sz w:val="20"/>
              </w:rPr>
            </w:pPr>
            <w:r>
              <w:rPr>
                <w:rFonts w:ascii="Calibri" w:hAnsi="Calibri"/>
                <w:sz w:val="20"/>
              </w:rPr>
              <w:t>20 per cent/32 per cent of the mother/child’s costs were associated with health and social care expenditure.</w:t>
            </w:r>
          </w:p>
        </w:tc>
      </w:tr>
      <w:tr w:rsidR="006A18FD">
        <w:trPr>
          <w:trHeight w:val="800"/>
        </w:trPr>
        <w:tc>
          <w:tcPr>
            <w:tcW w:w="1839" w:type="dxa"/>
          </w:tcPr>
          <w:p w:rsidR="006A18FD" w:rsidRDefault="002D29FC">
            <w:pPr>
              <w:spacing w:before="1"/>
              <w:ind w:left="105"/>
              <w:rPr>
                <w:rFonts w:ascii="Calibri"/>
                <w:sz w:val="20"/>
              </w:rPr>
            </w:pPr>
            <w:r>
              <w:rPr>
                <w:rFonts w:ascii="Calibri"/>
                <w:sz w:val="20"/>
              </w:rPr>
              <w:t>Education</w:t>
            </w:r>
          </w:p>
        </w:tc>
        <w:tc>
          <w:tcPr>
            <w:tcW w:w="1419" w:type="dxa"/>
          </w:tcPr>
          <w:p w:rsidR="006A18FD" w:rsidRDefault="002D29FC">
            <w:pPr>
              <w:spacing w:before="1"/>
              <w:ind w:left="103"/>
              <w:rPr>
                <w:rFonts w:ascii="Calibri" w:hAnsi="Calibri"/>
                <w:sz w:val="20"/>
              </w:rPr>
            </w:pPr>
            <w:r>
              <w:rPr>
                <w:rFonts w:ascii="Calibri" w:hAnsi="Calibri"/>
                <w:sz w:val="20"/>
              </w:rPr>
              <w:t>£0</w:t>
            </w:r>
          </w:p>
        </w:tc>
        <w:tc>
          <w:tcPr>
            <w:tcW w:w="1274" w:type="dxa"/>
          </w:tcPr>
          <w:p w:rsidR="006A18FD" w:rsidRDefault="002D29FC">
            <w:pPr>
              <w:spacing w:before="1"/>
              <w:ind w:left="103"/>
              <w:rPr>
                <w:rFonts w:ascii="Calibri" w:hAnsi="Calibri"/>
                <w:sz w:val="20"/>
              </w:rPr>
            </w:pPr>
            <w:r>
              <w:rPr>
                <w:rFonts w:ascii="Calibri" w:hAnsi="Calibri"/>
                <w:sz w:val="20"/>
              </w:rPr>
              <w:t>£356</w:t>
            </w:r>
          </w:p>
        </w:tc>
        <w:tc>
          <w:tcPr>
            <w:tcW w:w="5531" w:type="dxa"/>
          </w:tcPr>
          <w:p w:rsidR="006A18FD" w:rsidRDefault="002D29FC">
            <w:pPr>
              <w:spacing w:before="1"/>
              <w:ind w:left="103" w:right="225"/>
              <w:rPr>
                <w:rFonts w:ascii="Calibri"/>
                <w:sz w:val="20"/>
              </w:rPr>
            </w:pPr>
            <w:r>
              <w:rPr>
                <w:rFonts w:ascii="Calibri"/>
                <w:sz w:val="20"/>
              </w:rPr>
              <w:t>Over half of child education costs were associated with conduct problems, with a smaller amount associated with chronic abdominal pain.</w:t>
            </w:r>
          </w:p>
        </w:tc>
      </w:tr>
      <w:tr w:rsidR="006A18FD">
        <w:trPr>
          <w:trHeight w:val="540"/>
        </w:trPr>
        <w:tc>
          <w:tcPr>
            <w:tcW w:w="1839" w:type="dxa"/>
          </w:tcPr>
          <w:p w:rsidR="006A18FD" w:rsidRDefault="002D29FC">
            <w:pPr>
              <w:spacing w:before="1"/>
              <w:ind w:left="105"/>
              <w:rPr>
                <w:rFonts w:ascii="Calibri"/>
                <w:sz w:val="20"/>
              </w:rPr>
            </w:pPr>
            <w:r>
              <w:rPr>
                <w:rFonts w:ascii="Calibri"/>
                <w:sz w:val="20"/>
              </w:rPr>
              <w:t>Criminal</w:t>
            </w:r>
          </w:p>
        </w:tc>
        <w:tc>
          <w:tcPr>
            <w:tcW w:w="1419" w:type="dxa"/>
          </w:tcPr>
          <w:p w:rsidR="006A18FD" w:rsidRDefault="002D29FC">
            <w:pPr>
              <w:spacing w:before="1"/>
              <w:ind w:left="103"/>
              <w:rPr>
                <w:rFonts w:ascii="Calibri" w:hAnsi="Calibri"/>
                <w:sz w:val="20"/>
              </w:rPr>
            </w:pPr>
            <w:r>
              <w:rPr>
                <w:rFonts w:ascii="Calibri" w:hAnsi="Calibri"/>
                <w:sz w:val="20"/>
              </w:rPr>
              <w:t>£0</w:t>
            </w:r>
          </w:p>
        </w:tc>
        <w:tc>
          <w:tcPr>
            <w:tcW w:w="1274" w:type="dxa"/>
          </w:tcPr>
          <w:p w:rsidR="006A18FD" w:rsidRDefault="002D29FC">
            <w:pPr>
              <w:spacing w:before="1"/>
              <w:ind w:left="103"/>
              <w:rPr>
                <w:rFonts w:ascii="Calibri" w:hAnsi="Calibri"/>
                <w:sz w:val="20"/>
              </w:rPr>
            </w:pPr>
            <w:r>
              <w:rPr>
                <w:rFonts w:ascii="Calibri" w:hAnsi="Calibri"/>
                <w:sz w:val="20"/>
              </w:rPr>
              <w:t>£603</w:t>
            </w:r>
          </w:p>
        </w:tc>
        <w:tc>
          <w:tcPr>
            <w:tcW w:w="5531" w:type="dxa"/>
          </w:tcPr>
          <w:p w:rsidR="006A18FD" w:rsidRDefault="006A18FD">
            <w:pPr>
              <w:rPr>
                <w:rFonts w:ascii="Times New Roman"/>
                <w:sz w:val="18"/>
              </w:rPr>
            </w:pPr>
          </w:p>
        </w:tc>
      </w:tr>
      <w:tr w:rsidR="006A18FD">
        <w:trPr>
          <w:trHeight w:val="480"/>
        </w:trPr>
        <w:tc>
          <w:tcPr>
            <w:tcW w:w="1839" w:type="dxa"/>
          </w:tcPr>
          <w:p w:rsidR="006A18FD" w:rsidRDefault="002D29FC">
            <w:pPr>
              <w:spacing w:before="1"/>
              <w:ind w:left="105"/>
              <w:rPr>
                <w:rFonts w:ascii="Calibri"/>
                <w:b/>
                <w:sz w:val="20"/>
              </w:rPr>
            </w:pPr>
            <w:r>
              <w:rPr>
                <w:rFonts w:ascii="Calibri"/>
                <w:b/>
                <w:sz w:val="20"/>
              </w:rPr>
              <w:t>Public sector costs</w:t>
            </w:r>
          </w:p>
        </w:tc>
        <w:tc>
          <w:tcPr>
            <w:tcW w:w="1419" w:type="dxa"/>
          </w:tcPr>
          <w:p w:rsidR="006A18FD" w:rsidRDefault="002D29FC">
            <w:pPr>
              <w:spacing w:before="1"/>
              <w:ind w:left="103"/>
              <w:rPr>
                <w:rFonts w:ascii="Calibri" w:hAnsi="Calibri"/>
                <w:b/>
                <w:sz w:val="20"/>
              </w:rPr>
            </w:pPr>
            <w:r>
              <w:rPr>
                <w:rFonts w:ascii="Calibri" w:hAnsi="Calibri"/>
                <w:b/>
                <w:sz w:val="20"/>
              </w:rPr>
              <w:t>£4,669</w:t>
            </w:r>
          </w:p>
        </w:tc>
        <w:tc>
          <w:tcPr>
            <w:tcW w:w="1274" w:type="dxa"/>
          </w:tcPr>
          <w:p w:rsidR="006A18FD" w:rsidRDefault="002D29FC">
            <w:pPr>
              <w:spacing w:before="1"/>
              <w:ind w:left="103"/>
              <w:rPr>
                <w:rFonts w:ascii="Calibri" w:hAnsi="Calibri"/>
                <w:b/>
                <w:sz w:val="20"/>
              </w:rPr>
            </w:pPr>
            <w:r>
              <w:rPr>
                <w:rFonts w:ascii="Calibri" w:hAnsi="Calibri"/>
                <w:b/>
                <w:sz w:val="20"/>
              </w:rPr>
              <w:t>£5,795</w:t>
            </w:r>
          </w:p>
        </w:tc>
        <w:tc>
          <w:tcPr>
            <w:tcW w:w="5531" w:type="dxa"/>
          </w:tcPr>
          <w:p w:rsidR="006A18FD" w:rsidRDefault="002D29FC">
            <w:pPr>
              <w:spacing w:before="1" w:line="240" w:lineRule="atLeast"/>
              <w:ind w:left="103"/>
              <w:rPr>
                <w:rFonts w:ascii="Calibri" w:hAnsi="Calibri"/>
                <w:sz w:val="20"/>
              </w:rPr>
            </w:pPr>
            <w:r>
              <w:rPr>
                <w:rFonts w:ascii="Calibri" w:hAnsi="Calibri"/>
                <w:sz w:val="20"/>
              </w:rPr>
              <w:t>All mother’s public sector costs relate to health and social care expenditure.</w:t>
            </w:r>
          </w:p>
        </w:tc>
      </w:tr>
      <w:tr w:rsidR="006A18FD">
        <w:trPr>
          <w:trHeight w:val="479"/>
        </w:trPr>
        <w:tc>
          <w:tcPr>
            <w:tcW w:w="1839" w:type="dxa"/>
          </w:tcPr>
          <w:p w:rsidR="006A18FD" w:rsidRDefault="002D29FC">
            <w:pPr>
              <w:spacing w:line="242" w:lineRule="exact"/>
              <w:ind w:left="105"/>
              <w:rPr>
                <w:rFonts w:ascii="Calibri"/>
                <w:b/>
                <w:sz w:val="20"/>
              </w:rPr>
            </w:pPr>
            <w:r>
              <w:rPr>
                <w:rFonts w:ascii="Calibri"/>
                <w:b/>
                <w:sz w:val="20"/>
              </w:rPr>
              <w:t>Wider societal</w:t>
            </w:r>
          </w:p>
          <w:p w:rsidR="006A18FD" w:rsidRDefault="002D29FC">
            <w:pPr>
              <w:spacing w:line="223" w:lineRule="exact"/>
              <w:ind w:left="105"/>
              <w:rPr>
                <w:rFonts w:ascii="Calibri"/>
                <w:b/>
                <w:sz w:val="20"/>
              </w:rPr>
            </w:pPr>
            <w:r>
              <w:rPr>
                <w:rFonts w:ascii="Calibri"/>
                <w:b/>
                <w:sz w:val="20"/>
              </w:rPr>
              <w:t>perspective</w:t>
            </w:r>
          </w:p>
        </w:tc>
        <w:tc>
          <w:tcPr>
            <w:tcW w:w="1419" w:type="dxa"/>
          </w:tcPr>
          <w:p w:rsidR="006A18FD" w:rsidRDefault="006A18FD">
            <w:pPr>
              <w:rPr>
                <w:rFonts w:ascii="Times New Roman"/>
                <w:sz w:val="18"/>
              </w:rPr>
            </w:pPr>
          </w:p>
        </w:tc>
        <w:tc>
          <w:tcPr>
            <w:tcW w:w="1274" w:type="dxa"/>
          </w:tcPr>
          <w:p w:rsidR="006A18FD" w:rsidRDefault="006A18FD">
            <w:pPr>
              <w:rPr>
                <w:rFonts w:ascii="Times New Roman"/>
                <w:sz w:val="18"/>
              </w:rPr>
            </w:pPr>
          </w:p>
        </w:tc>
        <w:tc>
          <w:tcPr>
            <w:tcW w:w="5531" w:type="dxa"/>
          </w:tcPr>
          <w:p w:rsidR="006A18FD" w:rsidRDefault="006A18FD">
            <w:pPr>
              <w:rPr>
                <w:rFonts w:ascii="Times New Roman"/>
                <w:sz w:val="18"/>
              </w:rPr>
            </w:pPr>
          </w:p>
        </w:tc>
      </w:tr>
      <w:tr w:rsidR="006A18FD">
        <w:trPr>
          <w:trHeight w:val="480"/>
        </w:trPr>
        <w:tc>
          <w:tcPr>
            <w:tcW w:w="1839" w:type="dxa"/>
          </w:tcPr>
          <w:p w:rsidR="006A18FD" w:rsidRDefault="002D29FC">
            <w:pPr>
              <w:spacing w:before="1"/>
              <w:ind w:left="105"/>
              <w:rPr>
                <w:rFonts w:ascii="Calibri"/>
                <w:sz w:val="20"/>
              </w:rPr>
            </w:pPr>
            <w:r>
              <w:rPr>
                <w:rFonts w:ascii="Calibri"/>
                <w:sz w:val="20"/>
              </w:rPr>
              <w:t>Productivity losses</w:t>
            </w:r>
          </w:p>
        </w:tc>
        <w:tc>
          <w:tcPr>
            <w:tcW w:w="1419" w:type="dxa"/>
          </w:tcPr>
          <w:p w:rsidR="006A18FD" w:rsidRDefault="002D29FC">
            <w:pPr>
              <w:spacing w:before="1"/>
              <w:ind w:left="103"/>
              <w:rPr>
                <w:rFonts w:ascii="Calibri" w:hAnsi="Calibri"/>
                <w:sz w:val="20"/>
              </w:rPr>
            </w:pPr>
            <w:r>
              <w:rPr>
                <w:rFonts w:ascii="Calibri" w:hAnsi="Calibri"/>
                <w:sz w:val="20"/>
              </w:rPr>
              <w:t>£6,394</w:t>
            </w:r>
          </w:p>
        </w:tc>
        <w:tc>
          <w:tcPr>
            <w:tcW w:w="1274" w:type="dxa"/>
          </w:tcPr>
          <w:p w:rsidR="006A18FD" w:rsidRDefault="002D29FC">
            <w:pPr>
              <w:spacing w:before="1"/>
              <w:ind w:left="103"/>
              <w:rPr>
                <w:rFonts w:ascii="Calibri" w:hAnsi="Calibri"/>
                <w:sz w:val="20"/>
              </w:rPr>
            </w:pPr>
            <w:r>
              <w:rPr>
                <w:rFonts w:ascii="Calibri" w:hAnsi="Calibri"/>
                <w:sz w:val="20"/>
              </w:rPr>
              <w:t>£2,021</w:t>
            </w:r>
          </w:p>
        </w:tc>
        <w:tc>
          <w:tcPr>
            <w:tcW w:w="5531" w:type="dxa"/>
          </w:tcPr>
          <w:p w:rsidR="006A18FD" w:rsidRDefault="002D29FC">
            <w:pPr>
              <w:spacing w:before="1" w:line="240" w:lineRule="atLeast"/>
              <w:ind w:left="103"/>
              <w:rPr>
                <w:rFonts w:ascii="Calibri"/>
                <w:sz w:val="20"/>
              </w:rPr>
            </w:pPr>
            <w:r>
              <w:rPr>
                <w:rFonts w:ascii="Calibri"/>
                <w:sz w:val="20"/>
              </w:rPr>
              <w:t>Productivity losses account for 28 per cent of total mother costs and 13 per cent of child-related costs.</w:t>
            </w:r>
          </w:p>
        </w:tc>
      </w:tr>
      <w:tr w:rsidR="006A18FD">
        <w:trPr>
          <w:trHeight w:val="539"/>
        </w:trPr>
        <w:tc>
          <w:tcPr>
            <w:tcW w:w="1839" w:type="dxa"/>
          </w:tcPr>
          <w:p w:rsidR="006A18FD" w:rsidRDefault="002D29FC">
            <w:pPr>
              <w:ind w:left="105" w:right="108"/>
              <w:rPr>
                <w:rFonts w:ascii="Calibri"/>
                <w:sz w:val="20"/>
              </w:rPr>
            </w:pPr>
            <w:r>
              <w:rPr>
                <w:rFonts w:ascii="Calibri"/>
                <w:sz w:val="20"/>
              </w:rPr>
              <w:t>Health-related quality of life losses</w:t>
            </w:r>
          </w:p>
        </w:tc>
        <w:tc>
          <w:tcPr>
            <w:tcW w:w="1419" w:type="dxa"/>
          </w:tcPr>
          <w:p w:rsidR="006A18FD" w:rsidRDefault="002D29FC">
            <w:pPr>
              <w:ind w:left="103"/>
              <w:rPr>
                <w:rFonts w:ascii="Calibri" w:hAnsi="Calibri"/>
                <w:sz w:val="20"/>
              </w:rPr>
            </w:pPr>
            <w:r>
              <w:rPr>
                <w:rFonts w:ascii="Calibri" w:hAnsi="Calibri"/>
                <w:sz w:val="20"/>
              </w:rPr>
              <w:t>£11,861</w:t>
            </w:r>
          </w:p>
        </w:tc>
        <w:tc>
          <w:tcPr>
            <w:tcW w:w="1274" w:type="dxa"/>
          </w:tcPr>
          <w:p w:rsidR="006A18FD" w:rsidRDefault="002D29FC">
            <w:pPr>
              <w:ind w:left="103"/>
              <w:rPr>
                <w:rFonts w:ascii="Calibri" w:hAnsi="Calibri"/>
                <w:sz w:val="20"/>
              </w:rPr>
            </w:pPr>
            <w:r>
              <w:rPr>
                <w:rFonts w:ascii="Calibri" w:hAnsi="Calibri"/>
                <w:sz w:val="20"/>
              </w:rPr>
              <w:t>£2,744</w:t>
            </w:r>
          </w:p>
        </w:tc>
        <w:tc>
          <w:tcPr>
            <w:tcW w:w="5531" w:type="dxa"/>
          </w:tcPr>
          <w:p w:rsidR="006A18FD" w:rsidRDefault="002D29FC">
            <w:pPr>
              <w:ind w:left="103" w:right="500"/>
              <w:rPr>
                <w:rFonts w:ascii="Calibri"/>
                <w:sz w:val="20"/>
              </w:rPr>
            </w:pPr>
            <w:r>
              <w:rPr>
                <w:rFonts w:ascii="Calibri"/>
                <w:sz w:val="20"/>
              </w:rPr>
              <w:t>Health-related quality of life losses were the largest share of total expenditure for the mother.</w:t>
            </w:r>
          </w:p>
        </w:tc>
      </w:tr>
      <w:tr w:rsidR="006A18FD">
        <w:trPr>
          <w:trHeight w:val="480"/>
        </w:trPr>
        <w:tc>
          <w:tcPr>
            <w:tcW w:w="1839" w:type="dxa"/>
          </w:tcPr>
          <w:p w:rsidR="006A18FD" w:rsidRDefault="002D29FC">
            <w:pPr>
              <w:spacing w:line="243" w:lineRule="exact"/>
              <w:ind w:left="105"/>
              <w:rPr>
                <w:rFonts w:ascii="Calibri"/>
                <w:sz w:val="20"/>
              </w:rPr>
            </w:pPr>
            <w:r>
              <w:rPr>
                <w:rFonts w:ascii="Calibri"/>
                <w:sz w:val="20"/>
              </w:rPr>
              <w:t>Out-of-pocket</w:t>
            </w:r>
          </w:p>
          <w:p w:rsidR="006A18FD" w:rsidRDefault="002D29FC">
            <w:pPr>
              <w:spacing w:line="223" w:lineRule="exact"/>
              <w:ind w:left="105"/>
              <w:rPr>
                <w:rFonts w:ascii="Calibri"/>
                <w:sz w:val="20"/>
              </w:rPr>
            </w:pPr>
            <w:r>
              <w:rPr>
                <w:rFonts w:ascii="Calibri"/>
                <w:sz w:val="20"/>
              </w:rPr>
              <w:t>expenditure</w:t>
            </w:r>
          </w:p>
        </w:tc>
        <w:tc>
          <w:tcPr>
            <w:tcW w:w="1419" w:type="dxa"/>
          </w:tcPr>
          <w:p w:rsidR="006A18FD" w:rsidRDefault="002D29FC">
            <w:pPr>
              <w:spacing w:line="243" w:lineRule="exact"/>
              <w:ind w:left="103"/>
              <w:rPr>
                <w:rFonts w:ascii="Calibri" w:hAnsi="Calibri"/>
                <w:sz w:val="20"/>
              </w:rPr>
            </w:pPr>
            <w:r>
              <w:rPr>
                <w:rFonts w:ascii="Calibri" w:hAnsi="Calibri"/>
                <w:sz w:val="20"/>
              </w:rPr>
              <w:t>£0</w:t>
            </w:r>
          </w:p>
        </w:tc>
        <w:tc>
          <w:tcPr>
            <w:tcW w:w="1274" w:type="dxa"/>
          </w:tcPr>
          <w:p w:rsidR="006A18FD" w:rsidRDefault="002D29FC">
            <w:pPr>
              <w:spacing w:line="243" w:lineRule="exact"/>
              <w:ind w:left="103"/>
              <w:rPr>
                <w:rFonts w:ascii="Calibri" w:hAnsi="Calibri"/>
                <w:sz w:val="20"/>
              </w:rPr>
            </w:pPr>
            <w:r>
              <w:rPr>
                <w:rFonts w:ascii="Calibri" w:hAnsi="Calibri"/>
                <w:sz w:val="20"/>
              </w:rPr>
              <w:t>£443</w:t>
            </w:r>
          </w:p>
        </w:tc>
        <w:tc>
          <w:tcPr>
            <w:tcW w:w="5531" w:type="dxa"/>
          </w:tcPr>
          <w:p w:rsidR="006A18FD" w:rsidRDefault="006A18FD">
            <w:pPr>
              <w:rPr>
                <w:rFonts w:ascii="Times New Roman"/>
                <w:sz w:val="18"/>
              </w:rPr>
            </w:pP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Unpaid care</w:t>
            </w:r>
          </w:p>
        </w:tc>
        <w:tc>
          <w:tcPr>
            <w:tcW w:w="1419" w:type="dxa"/>
          </w:tcPr>
          <w:p w:rsidR="006A18FD" w:rsidRDefault="002D29FC">
            <w:pPr>
              <w:spacing w:before="1" w:line="223" w:lineRule="exact"/>
              <w:ind w:left="103"/>
              <w:rPr>
                <w:rFonts w:ascii="Calibri" w:hAnsi="Calibri"/>
                <w:sz w:val="20"/>
              </w:rPr>
            </w:pPr>
            <w:r>
              <w:rPr>
                <w:rFonts w:ascii="Calibri" w:hAnsi="Calibri"/>
                <w:sz w:val="20"/>
              </w:rPr>
              <w:t>£0</w:t>
            </w:r>
          </w:p>
        </w:tc>
        <w:tc>
          <w:tcPr>
            <w:tcW w:w="1274" w:type="dxa"/>
          </w:tcPr>
          <w:p w:rsidR="006A18FD" w:rsidRDefault="002D29FC">
            <w:pPr>
              <w:spacing w:before="1" w:line="223" w:lineRule="exact"/>
              <w:ind w:left="103"/>
              <w:rPr>
                <w:rFonts w:ascii="Calibri" w:hAnsi="Calibri"/>
                <w:sz w:val="20"/>
              </w:rPr>
            </w:pPr>
            <w:r>
              <w:rPr>
                <w:rFonts w:ascii="Calibri" w:hAnsi="Calibri"/>
                <w:sz w:val="20"/>
              </w:rPr>
              <w:t>£2,200</w:t>
            </w:r>
          </w:p>
        </w:tc>
        <w:tc>
          <w:tcPr>
            <w:tcW w:w="5531" w:type="dxa"/>
          </w:tcPr>
          <w:p w:rsidR="006A18FD" w:rsidRDefault="002D29FC">
            <w:pPr>
              <w:spacing w:before="1" w:line="223" w:lineRule="exact"/>
              <w:ind w:left="103"/>
              <w:rPr>
                <w:rFonts w:ascii="Calibri"/>
                <w:sz w:val="20"/>
              </w:rPr>
            </w:pPr>
            <w:r>
              <w:rPr>
                <w:rFonts w:ascii="Calibri"/>
                <w:sz w:val="20"/>
              </w:rPr>
              <w:t>Chronic abdominal pain was associated with unpaid care costs.</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Victim of crime</w:t>
            </w:r>
          </w:p>
        </w:tc>
        <w:tc>
          <w:tcPr>
            <w:tcW w:w="1419" w:type="dxa"/>
          </w:tcPr>
          <w:p w:rsidR="006A18FD" w:rsidRDefault="002D29FC">
            <w:pPr>
              <w:spacing w:before="1" w:line="223" w:lineRule="exact"/>
              <w:ind w:left="103"/>
              <w:rPr>
                <w:rFonts w:ascii="Calibri" w:hAnsi="Calibri"/>
                <w:sz w:val="20"/>
              </w:rPr>
            </w:pPr>
            <w:r>
              <w:rPr>
                <w:rFonts w:ascii="Calibri" w:hAnsi="Calibri"/>
                <w:sz w:val="20"/>
              </w:rPr>
              <w:t>£0</w:t>
            </w:r>
          </w:p>
        </w:tc>
        <w:tc>
          <w:tcPr>
            <w:tcW w:w="1274" w:type="dxa"/>
          </w:tcPr>
          <w:p w:rsidR="006A18FD" w:rsidRDefault="002D29FC">
            <w:pPr>
              <w:spacing w:before="1" w:line="223" w:lineRule="exact"/>
              <w:ind w:left="103"/>
              <w:rPr>
                <w:rFonts w:ascii="Calibri" w:hAnsi="Calibri"/>
                <w:sz w:val="20"/>
              </w:rPr>
            </w:pPr>
            <w:r>
              <w:rPr>
                <w:rFonts w:ascii="Calibri" w:hAnsi="Calibri"/>
                <w:sz w:val="20"/>
              </w:rPr>
              <w:t>£2,448</w:t>
            </w:r>
          </w:p>
        </w:tc>
        <w:tc>
          <w:tcPr>
            <w:tcW w:w="5531" w:type="dxa"/>
          </w:tcPr>
          <w:p w:rsidR="006A18FD" w:rsidRDefault="002D29FC">
            <w:pPr>
              <w:spacing w:before="1" w:line="223" w:lineRule="exact"/>
              <w:ind w:left="103"/>
              <w:rPr>
                <w:rFonts w:ascii="Calibri"/>
                <w:sz w:val="20"/>
              </w:rPr>
            </w:pPr>
            <w:r>
              <w:rPr>
                <w:rFonts w:ascii="Calibri"/>
                <w:sz w:val="20"/>
              </w:rPr>
              <w:t>Conduct problems were associated with victim of crime costs.</w:t>
            </w:r>
          </w:p>
        </w:tc>
      </w:tr>
      <w:tr w:rsidR="006A18FD">
        <w:trPr>
          <w:trHeight w:val="480"/>
        </w:trPr>
        <w:tc>
          <w:tcPr>
            <w:tcW w:w="1839" w:type="dxa"/>
          </w:tcPr>
          <w:p w:rsidR="006A18FD" w:rsidRDefault="002D29FC">
            <w:pPr>
              <w:spacing w:before="1" w:line="240" w:lineRule="atLeast"/>
              <w:ind w:left="105" w:right="274"/>
              <w:rPr>
                <w:rFonts w:ascii="Calibri"/>
                <w:b/>
                <w:sz w:val="20"/>
              </w:rPr>
            </w:pPr>
            <w:r>
              <w:rPr>
                <w:rFonts w:ascii="Calibri"/>
                <w:b/>
                <w:sz w:val="20"/>
              </w:rPr>
              <w:t>Wider societal perspective costs</w:t>
            </w:r>
          </w:p>
        </w:tc>
        <w:tc>
          <w:tcPr>
            <w:tcW w:w="1419" w:type="dxa"/>
          </w:tcPr>
          <w:p w:rsidR="006A18FD" w:rsidRDefault="002D29FC">
            <w:pPr>
              <w:spacing w:before="1"/>
              <w:ind w:left="103"/>
              <w:rPr>
                <w:rFonts w:ascii="Calibri" w:hAnsi="Calibri"/>
                <w:b/>
                <w:sz w:val="20"/>
              </w:rPr>
            </w:pPr>
            <w:r>
              <w:rPr>
                <w:rFonts w:ascii="Calibri" w:hAnsi="Calibri"/>
                <w:b/>
                <w:sz w:val="20"/>
              </w:rPr>
              <w:t>£18,256</w:t>
            </w:r>
          </w:p>
        </w:tc>
        <w:tc>
          <w:tcPr>
            <w:tcW w:w="1274" w:type="dxa"/>
          </w:tcPr>
          <w:p w:rsidR="006A18FD" w:rsidRDefault="002D29FC">
            <w:pPr>
              <w:spacing w:before="1"/>
              <w:ind w:left="103"/>
              <w:rPr>
                <w:rFonts w:ascii="Calibri" w:hAnsi="Calibri"/>
                <w:b/>
                <w:sz w:val="20"/>
              </w:rPr>
            </w:pPr>
            <w:r>
              <w:rPr>
                <w:rFonts w:ascii="Calibri" w:hAnsi="Calibri"/>
                <w:b/>
                <w:sz w:val="20"/>
              </w:rPr>
              <w:t>£9,856</w:t>
            </w:r>
          </w:p>
        </w:tc>
        <w:tc>
          <w:tcPr>
            <w:tcW w:w="5531" w:type="dxa"/>
          </w:tcPr>
          <w:p w:rsidR="006A18FD" w:rsidRDefault="002D29FC">
            <w:pPr>
              <w:spacing w:before="1"/>
              <w:ind w:left="103"/>
              <w:rPr>
                <w:rFonts w:ascii="Calibri"/>
                <w:sz w:val="20"/>
              </w:rPr>
            </w:pPr>
            <w:r>
              <w:rPr>
                <w:rFonts w:ascii="Calibri"/>
                <w:sz w:val="20"/>
              </w:rPr>
              <w:t>Costs to the wider societal perspective for mother and child were</w:t>
            </w:r>
          </w:p>
          <w:p w:rsidR="006A18FD" w:rsidRDefault="002D29FC">
            <w:pPr>
              <w:spacing w:line="223" w:lineRule="exact"/>
              <w:ind w:left="103"/>
              <w:rPr>
                <w:rFonts w:ascii="Calibri" w:hAnsi="Calibri"/>
                <w:sz w:val="20"/>
              </w:rPr>
            </w:pPr>
            <w:r>
              <w:rPr>
                <w:rFonts w:ascii="Calibri" w:hAnsi="Calibri"/>
                <w:sz w:val="20"/>
              </w:rPr>
              <w:t>£27,545 and accounted for 73 per cent of total costs.</w:t>
            </w:r>
          </w:p>
        </w:tc>
      </w:tr>
      <w:tr w:rsidR="006A18FD">
        <w:trPr>
          <w:trHeight w:val="239"/>
        </w:trPr>
        <w:tc>
          <w:tcPr>
            <w:tcW w:w="1839" w:type="dxa"/>
          </w:tcPr>
          <w:p w:rsidR="006A18FD" w:rsidRDefault="002D29FC">
            <w:pPr>
              <w:spacing w:line="223" w:lineRule="exact"/>
              <w:ind w:left="105"/>
              <w:rPr>
                <w:rFonts w:ascii="Calibri"/>
                <w:b/>
                <w:sz w:val="20"/>
              </w:rPr>
            </w:pPr>
            <w:r>
              <w:rPr>
                <w:rFonts w:ascii="Calibri"/>
                <w:b/>
                <w:sz w:val="20"/>
              </w:rPr>
              <w:t>Grand total</w:t>
            </w:r>
          </w:p>
        </w:tc>
        <w:tc>
          <w:tcPr>
            <w:tcW w:w="1419" w:type="dxa"/>
          </w:tcPr>
          <w:p w:rsidR="006A18FD" w:rsidRDefault="002D29FC">
            <w:pPr>
              <w:spacing w:line="223" w:lineRule="exact"/>
              <w:ind w:left="103"/>
              <w:rPr>
                <w:rFonts w:ascii="Calibri" w:hAnsi="Calibri"/>
                <w:b/>
                <w:sz w:val="20"/>
              </w:rPr>
            </w:pPr>
            <w:r>
              <w:rPr>
                <w:rFonts w:ascii="Calibri" w:hAnsi="Calibri"/>
                <w:b/>
                <w:sz w:val="20"/>
              </w:rPr>
              <w:t>£22,924</w:t>
            </w:r>
          </w:p>
        </w:tc>
        <w:tc>
          <w:tcPr>
            <w:tcW w:w="1274" w:type="dxa"/>
          </w:tcPr>
          <w:p w:rsidR="006A18FD" w:rsidRDefault="002D29FC">
            <w:pPr>
              <w:spacing w:line="223" w:lineRule="exact"/>
              <w:ind w:left="103"/>
              <w:rPr>
                <w:rFonts w:ascii="Calibri" w:hAnsi="Calibri"/>
                <w:b/>
                <w:sz w:val="20"/>
              </w:rPr>
            </w:pPr>
            <w:r>
              <w:rPr>
                <w:rFonts w:ascii="Calibri" w:hAnsi="Calibri"/>
                <w:b/>
                <w:sz w:val="20"/>
              </w:rPr>
              <w:t>£15,651</w:t>
            </w:r>
          </w:p>
        </w:tc>
        <w:tc>
          <w:tcPr>
            <w:tcW w:w="5531" w:type="dxa"/>
          </w:tcPr>
          <w:p w:rsidR="006A18FD" w:rsidRDefault="002D29FC">
            <w:pPr>
              <w:spacing w:line="223" w:lineRule="exact"/>
              <w:ind w:left="103"/>
              <w:rPr>
                <w:rFonts w:ascii="Calibri" w:hAnsi="Calibri"/>
                <w:sz w:val="20"/>
              </w:rPr>
            </w:pPr>
            <w:r>
              <w:rPr>
                <w:rFonts w:ascii="Calibri" w:hAnsi="Calibri"/>
                <w:sz w:val="20"/>
              </w:rPr>
              <w:t>Mother and child costs totalled £37,876.</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7"/>
        <w:rPr>
          <w:rFonts w:ascii="Calibri"/>
          <w:sz w:val="27"/>
        </w:rPr>
      </w:pPr>
    </w:p>
    <w:p w:rsidR="006A18FD" w:rsidRDefault="002D29FC">
      <w:pPr>
        <w:spacing w:before="1" w:line="195" w:lineRule="exact"/>
        <w:ind w:left="152"/>
        <w:rPr>
          <w:rFonts w:ascii="Calibri"/>
          <w:sz w:val="16"/>
        </w:rPr>
      </w:pPr>
      <w:r>
        <w:rPr>
          <w:rFonts w:ascii="Calibri"/>
          <w:position w:val="5"/>
          <w:sz w:val="10"/>
        </w:rPr>
        <w:t xml:space="preserve">1 </w:t>
      </w:r>
      <w:r>
        <w:rPr>
          <w:rFonts w:ascii="Calibri"/>
          <w:sz w:val="16"/>
        </w:rPr>
        <w:t>World Health Organisation (2014) Social determinants of mental health, World Health Organisation and Calouste Gulbenkian Foundation, Geneva.</w:t>
      </w:r>
    </w:p>
    <w:p w:rsidR="006A18FD" w:rsidRDefault="002D29FC">
      <w:pPr>
        <w:ind w:left="436" w:hanging="284"/>
        <w:rPr>
          <w:rFonts w:ascii="Calibri"/>
          <w:sz w:val="16"/>
        </w:rPr>
      </w:pPr>
      <w:r>
        <w:rPr>
          <w:rFonts w:ascii="Calibri"/>
          <w:position w:val="5"/>
          <w:sz w:val="10"/>
        </w:rPr>
        <w:t xml:space="preserve">2 </w:t>
      </w:r>
      <w:r>
        <w:rPr>
          <w:rFonts w:ascii="Calibri"/>
          <w:sz w:val="16"/>
        </w:rPr>
        <w:t xml:space="preserve">Bauer, A., Knapp, M., &amp; Parsonage, M. (2016) Lifetime costs of perinatal anxiety and depression, </w:t>
      </w:r>
      <w:r>
        <w:rPr>
          <w:rFonts w:ascii="Calibri"/>
          <w:i/>
          <w:sz w:val="16"/>
        </w:rPr>
        <w:t>Journal of Affective Disorders</w:t>
      </w:r>
      <w:r>
        <w:rPr>
          <w:rFonts w:ascii="Calibri"/>
          <w:sz w:val="16"/>
        </w:rPr>
        <w:t xml:space="preserve">, 192. pp. 83-90. ISSN 0165- 0327, </w:t>
      </w:r>
      <w:hyperlink r:id="rId138">
        <w:r>
          <w:rPr>
            <w:rFonts w:ascii="Calibri"/>
            <w:sz w:val="16"/>
            <w:u w:val="single"/>
          </w:rPr>
          <w:t>http://eprints.lse.ac.uk/64685/2/Bauer_Lifetime%20costs_2015.pdf</w:t>
        </w:r>
        <w:r>
          <w:rPr>
            <w:rFonts w:ascii="Calibri"/>
            <w:sz w:val="16"/>
          </w:rPr>
          <w:t xml:space="preserve"> </w:t>
        </w:r>
      </w:hyperlink>
      <w:r>
        <w:rPr>
          <w:rFonts w:ascii="Calibri"/>
          <w:sz w:val="16"/>
        </w:rPr>
        <w:t>[accessed 17 October 2017].</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139"/>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6"/>
        <w:rPr>
          <w:rFonts w:ascii="Times New Roman"/>
          <w:sz w:val="24"/>
        </w:rPr>
      </w:pPr>
    </w:p>
    <w:p w:rsidR="006A18FD" w:rsidRDefault="002D29FC" w:rsidP="008E3FA8">
      <w:pPr>
        <w:pStyle w:val="Heading1"/>
        <w:numPr>
          <w:ilvl w:val="0"/>
          <w:numId w:val="23"/>
        </w:numPr>
        <w:ind w:left="142" w:hanging="426"/>
      </w:pPr>
      <w:r>
        <w:t>Services for adults who misuse drugs or</w:t>
      </w:r>
      <w:r>
        <w:rPr>
          <w:spacing w:val="-31"/>
        </w:rPr>
        <w:t xml:space="preserve"> </w:t>
      </w:r>
      <w:r>
        <w:t>alcohol</w:t>
      </w:r>
    </w:p>
    <w:p w:rsidR="006A18FD" w:rsidRPr="0025638D" w:rsidRDefault="002D29FC" w:rsidP="008E3FA8">
      <w:pPr>
        <w:pStyle w:val="ListParagraph"/>
        <w:numPr>
          <w:ilvl w:val="1"/>
          <w:numId w:val="23"/>
        </w:numPr>
        <w:tabs>
          <w:tab w:val="left" w:pos="679"/>
          <w:tab w:val="left" w:pos="680"/>
        </w:tabs>
        <w:spacing w:before="304"/>
        <w:rPr>
          <w:rFonts w:ascii="Calibri" w:hAnsi="Calibri"/>
          <w:sz w:val="28"/>
        </w:rPr>
      </w:pPr>
      <w:r w:rsidRPr="0025638D">
        <w:rPr>
          <w:rFonts w:ascii="Calibri" w:hAnsi="Calibri"/>
          <w:sz w:val="28"/>
        </w:rPr>
        <w:t>NHS reference costs – misuse of drugs or</w:t>
      </w:r>
      <w:r w:rsidRPr="0025638D">
        <w:rPr>
          <w:rFonts w:ascii="Calibri" w:hAnsi="Calibri"/>
          <w:spacing w:val="-20"/>
          <w:sz w:val="28"/>
        </w:rPr>
        <w:t xml:space="preserve"> </w:t>
      </w:r>
      <w:r w:rsidRPr="0025638D">
        <w:rPr>
          <w:rFonts w:ascii="Calibri" w:hAnsi="Calibri"/>
          <w:sz w:val="28"/>
        </w:rPr>
        <w:t>alcohol</w:t>
      </w:r>
    </w:p>
    <w:p w:rsidR="006A18FD" w:rsidRPr="0025638D" w:rsidRDefault="002D29FC" w:rsidP="008E3FA8">
      <w:pPr>
        <w:pStyle w:val="ListParagraph"/>
        <w:numPr>
          <w:ilvl w:val="1"/>
          <w:numId w:val="23"/>
        </w:numPr>
        <w:tabs>
          <w:tab w:val="left" w:pos="679"/>
          <w:tab w:val="left" w:pos="680"/>
        </w:tabs>
        <w:spacing w:before="172"/>
        <w:rPr>
          <w:rFonts w:ascii="Calibri"/>
          <w:sz w:val="28"/>
        </w:rPr>
      </w:pPr>
      <w:r w:rsidRPr="0025638D">
        <w:rPr>
          <w:rFonts w:ascii="Calibri"/>
          <w:sz w:val="28"/>
        </w:rPr>
        <w:t>Alcohol health worker/Alcohol liaison nurse/Substance misuse</w:t>
      </w:r>
      <w:r w:rsidRPr="0025638D">
        <w:rPr>
          <w:rFonts w:ascii="Calibri"/>
          <w:spacing w:val="-22"/>
          <w:sz w:val="28"/>
        </w:rPr>
        <w:t xml:space="preserve"> </w:t>
      </w:r>
      <w:r w:rsidRPr="0025638D">
        <w:rPr>
          <w:rFonts w:ascii="Calibri"/>
          <w:sz w:val="28"/>
        </w:rPr>
        <w:t>nurse</w:t>
      </w:r>
    </w:p>
    <w:p w:rsidR="006A18FD" w:rsidRDefault="006A18FD">
      <w:pPr>
        <w:rPr>
          <w:rFonts w:ascii="Calibri"/>
          <w:sz w:val="28"/>
        </w:rPr>
        <w:sectPr w:rsidR="006A18FD">
          <w:headerReference w:type="default" r:id="rId140"/>
          <w:pgSz w:w="11910" w:h="16840"/>
          <w:pgMar w:top="1580" w:right="1680" w:bottom="280" w:left="1020" w:header="0"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3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35" name="Line 19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75283A" id="Group 19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TMKV+fQIAAIEFAAAO&#10;AAAAAAAAAAAAAAAAAC4CAABkcnMvZTJvRG9jLnhtbFBLAQItABQABgAIAAAAIQAtd+Rc2gAAAAQB&#10;AAAPAAAAAAAAAAAAAAAAANcEAABkcnMvZG93bnJldi54bWxQSwUGAAAAAAQABADzAAAA3gUAAAAA&#10;">
                <v:line id="Line 19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w10:anchorlock/>
              </v:group>
            </w:pict>
          </mc:Fallback>
        </mc:AlternateContent>
      </w:r>
    </w:p>
    <w:p w:rsidR="006A18FD" w:rsidRDefault="0025638D" w:rsidP="0025638D">
      <w:pPr>
        <w:pStyle w:val="Heading2"/>
      </w:pPr>
      <w:r>
        <w:t xml:space="preserve">3.1 </w:t>
      </w:r>
      <w:r w:rsidR="002D29FC">
        <w:t>NHS reference costs – misuse of drugs or</w:t>
      </w:r>
      <w:r w:rsidR="002D29FC">
        <w:rPr>
          <w:spacing w:val="-23"/>
        </w:rPr>
        <w:t xml:space="preserve"> </w:t>
      </w:r>
      <w:r w:rsidR="002D29FC">
        <w:t>alcohol</w:t>
      </w:r>
    </w:p>
    <w:p w:rsidR="006A18FD" w:rsidRDefault="002D29FC">
      <w:pPr>
        <w:spacing w:before="174" w:line="273" w:lineRule="auto"/>
        <w:ind w:left="140" w:right="195"/>
        <w:rPr>
          <w:rFonts w:ascii="Calibri" w:hAnsi="Calibri"/>
          <w:sz w:val="20"/>
        </w:rPr>
      </w:pPr>
      <w:r>
        <w:rPr>
          <w:rFonts w:ascii="Calibri" w:hAnsi="Calibri"/>
          <w:sz w:val="20"/>
        </w:rPr>
        <w:t>‘Reference costs are the average unit cost to the NHS of providing defined services to NHS patients in England in a given financial year. They show how NHS providers spend money to provide health care to patients.’</w:t>
      </w:r>
      <w:r>
        <w:rPr>
          <w:rFonts w:ascii="Calibri" w:hAnsi="Calibri"/>
          <w:position w:val="7"/>
          <w:sz w:val="13"/>
        </w:rPr>
        <w:t xml:space="preserve">1 </w:t>
      </w:r>
      <w:r>
        <w:rPr>
          <w:rFonts w:ascii="Calibri" w:hAnsi="Calibri"/>
          <w:sz w:val="20"/>
        </w:rPr>
        <w:t xml:space="preserve">We have drawn on </w:t>
      </w:r>
      <w:r>
        <w:rPr>
          <w:rFonts w:ascii="Calibri" w:hAnsi="Calibri"/>
          <w:i/>
          <w:sz w:val="20"/>
        </w:rPr>
        <w:t xml:space="preserve">NHS Improvement, Reference Costs 2017/2018 </w:t>
      </w:r>
      <w:r>
        <w:rPr>
          <w:rFonts w:ascii="Calibri" w:hAnsi="Calibri"/>
          <w:sz w:val="20"/>
        </w:rPr>
        <w:t>to report on the NHS reference costs for selected drug or alcohol services.</w:t>
      </w:r>
      <w:r>
        <w:rPr>
          <w:rFonts w:ascii="Calibri" w:hAnsi="Calibri"/>
          <w:position w:val="7"/>
          <w:sz w:val="13"/>
        </w:rPr>
        <w:t xml:space="preserve">1 </w:t>
      </w:r>
      <w:r>
        <w:rPr>
          <w:rFonts w:ascii="Calibri" w:hAnsi="Calibri"/>
          <w:sz w:val="20"/>
        </w:rPr>
        <w:t>All costs have been uprated to 2018/2019 prices using the NHS cost inflation index. Please note the source costs no longer include figures for lower and upper quartiles.</w:t>
      </w:r>
    </w:p>
    <w:p w:rsidR="006A18FD" w:rsidRDefault="002D29FC">
      <w:pPr>
        <w:spacing w:before="122" w:line="276" w:lineRule="auto"/>
        <w:ind w:left="140" w:right="293"/>
        <w:rPr>
          <w:rFonts w:ascii="Calibri"/>
          <w:sz w:val="20"/>
        </w:rPr>
      </w:pPr>
      <w:r>
        <w:rPr>
          <w:rFonts w:ascii="Calibri"/>
          <w:sz w:val="20"/>
        </w:rPr>
        <w:t>In this schema, only individual services with more than ten data submissions have been included, but weighted costs have been provided for service groups which do include services with fewer than ten submissions.</w:t>
      </w:r>
    </w:p>
    <w:p w:rsidR="006A18FD" w:rsidRDefault="006A18FD">
      <w:pPr>
        <w:rPr>
          <w:rFonts w:ascii="Calibri"/>
          <w:sz w:val="20"/>
        </w:rPr>
      </w:pPr>
    </w:p>
    <w:p w:rsidR="006A18FD" w:rsidRDefault="006A18FD">
      <w:pPr>
        <w:spacing w:before="6" w:after="1"/>
        <w:rPr>
          <w:rFonts w:ascii="Calibri"/>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7"/>
        <w:gridCol w:w="1985"/>
      </w:tblGrid>
      <w:tr w:rsidR="006A18FD" w:rsidTr="005B5AB5">
        <w:trPr>
          <w:trHeight w:val="220"/>
          <w:tblHeader/>
        </w:trPr>
        <w:tc>
          <w:tcPr>
            <w:tcW w:w="8077" w:type="dxa"/>
          </w:tcPr>
          <w:p w:rsidR="006A18FD" w:rsidRDefault="006A18FD">
            <w:pPr>
              <w:rPr>
                <w:rFonts w:ascii="Times New Roman"/>
                <w:sz w:val="16"/>
              </w:rPr>
            </w:pPr>
          </w:p>
        </w:tc>
        <w:tc>
          <w:tcPr>
            <w:tcW w:w="1985" w:type="dxa"/>
          </w:tcPr>
          <w:p w:rsidR="006A18FD" w:rsidRDefault="002D29FC">
            <w:pPr>
              <w:spacing w:line="210" w:lineRule="exact"/>
              <w:ind w:left="689"/>
              <w:rPr>
                <w:rFonts w:ascii="Calibri" w:hAnsi="Calibri"/>
                <w:b/>
                <w:sz w:val="19"/>
              </w:rPr>
            </w:pPr>
            <w:r>
              <w:rPr>
                <w:rFonts w:ascii="Calibri" w:hAnsi="Calibri"/>
                <w:b/>
                <w:sz w:val="19"/>
              </w:rPr>
              <w:t>£ Mean</w:t>
            </w:r>
          </w:p>
        </w:tc>
      </w:tr>
      <w:tr w:rsidR="006A18FD">
        <w:trPr>
          <w:trHeight w:val="240"/>
        </w:trPr>
        <w:tc>
          <w:tcPr>
            <w:tcW w:w="8077" w:type="dxa"/>
            <w:tcBorders>
              <w:bottom w:val="nil"/>
            </w:tcBorders>
          </w:tcPr>
          <w:p w:rsidR="006A18FD" w:rsidRDefault="002D29FC">
            <w:pPr>
              <w:spacing w:before="1" w:line="230" w:lineRule="exact"/>
              <w:ind w:left="103"/>
              <w:rPr>
                <w:rFonts w:ascii="Calibri"/>
                <w:b/>
                <w:sz w:val="19"/>
              </w:rPr>
            </w:pPr>
            <w:r>
              <w:rPr>
                <w:rFonts w:ascii="Calibri"/>
                <w:b/>
                <w:sz w:val="19"/>
              </w:rPr>
              <w:t>Drug and alcohol services (adults)</w:t>
            </w:r>
          </w:p>
        </w:tc>
        <w:tc>
          <w:tcPr>
            <w:tcW w:w="1985" w:type="dxa"/>
            <w:tcBorders>
              <w:bottom w:val="nil"/>
            </w:tcBorders>
          </w:tcPr>
          <w:p w:rsidR="006A18FD" w:rsidRDefault="006A18FD">
            <w:pPr>
              <w:rPr>
                <w:rFonts w:ascii="Times New Roman"/>
                <w:sz w:val="18"/>
              </w:rPr>
            </w:pPr>
          </w:p>
        </w:tc>
      </w:tr>
      <w:tr w:rsidR="006A18FD">
        <w:trPr>
          <w:trHeight w:val="220"/>
        </w:trPr>
        <w:tc>
          <w:tcPr>
            <w:tcW w:w="8077" w:type="dxa"/>
            <w:tcBorders>
              <w:top w:val="nil"/>
              <w:bottom w:val="nil"/>
            </w:tcBorders>
          </w:tcPr>
          <w:p w:rsidR="006A18FD" w:rsidRDefault="002D29FC">
            <w:pPr>
              <w:spacing w:line="208" w:lineRule="exact"/>
              <w:ind w:left="103"/>
              <w:rPr>
                <w:rFonts w:ascii="Calibri" w:hAnsi="Calibri"/>
                <w:sz w:val="19"/>
              </w:rPr>
            </w:pPr>
            <w:r>
              <w:rPr>
                <w:rFonts w:ascii="Calibri" w:hAnsi="Calibri"/>
                <w:sz w:val="19"/>
              </w:rPr>
              <w:t>Alcohol services – admitted (per bed day)</w:t>
            </w:r>
          </w:p>
        </w:tc>
        <w:tc>
          <w:tcPr>
            <w:tcW w:w="1985" w:type="dxa"/>
            <w:tcBorders>
              <w:top w:val="nil"/>
              <w:bottom w:val="nil"/>
            </w:tcBorders>
          </w:tcPr>
          <w:p w:rsidR="006A18FD" w:rsidRDefault="002D29FC">
            <w:pPr>
              <w:spacing w:line="208" w:lineRule="exact"/>
              <w:ind w:left="720"/>
              <w:rPr>
                <w:rFonts w:ascii="Calibri" w:hAnsi="Calibri"/>
                <w:sz w:val="19"/>
              </w:rPr>
            </w:pPr>
            <w:r>
              <w:rPr>
                <w:rFonts w:ascii="Calibri" w:hAnsi="Calibri"/>
                <w:sz w:val="19"/>
              </w:rPr>
              <w:t>£424</w:t>
            </w:r>
          </w:p>
        </w:tc>
      </w:tr>
      <w:tr w:rsidR="006A18FD">
        <w:trPr>
          <w:trHeight w:val="340"/>
        </w:trPr>
        <w:tc>
          <w:tcPr>
            <w:tcW w:w="8077" w:type="dxa"/>
            <w:tcBorders>
              <w:top w:val="nil"/>
              <w:bottom w:val="nil"/>
            </w:tcBorders>
          </w:tcPr>
          <w:p w:rsidR="006A18FD" w:rsidRDefault="002D29FC">
            <w:pPr>
              <w:spacing w:line="218" w:lineRule="exact"/>
              <w:ind w:left="103"/>
              <w:rPr>
                <w:rFonts w:ascii="Calibri" w:hAnsi="Calibri"/>
                <w:sz w:val="12"/>
              </w:rPr>
            </w:pPr>
            <w:r>
              <w:rPr>
                <w:rFonts w:ascii="Calibri" w:hAnsi="Calibri"/>
                <w:sz w:val="19"/>
              </w:rPr>
              <w:t>Alcohol services – admitted (per bed day), including carbon emissions 50 kgCO2e</w:t>
            </w:r>
            <w:r>
              <w:rPr>
                <w:rFonts w:ascii="Calibri" w:hAnsi="Calibri"/>
                <w:position w:val="6"/>
                <w:sz w:val="12"/>
              </w:rPr>
              <w:t>2</w:t>
            </w:r>
          </w:p>
        </w:tc>
        <w:tc>
          <w:tcPr>
            <w:tcW w:w="1985" w:type="dxa"/>
            <w:tcBorders>
              <w:top w:val="nil"/>
              <w:bottom w:val="nil"/>
            </w:tcBorders>
          </w:tcPr>
          <w:p w:rsidR="006A18FD" w:rsidRDefault="002D29FC">
            <w:pPr>
              <w:spacing w:line="218" w:lineRule="exact"/>
              <w:ind w:left="720"/>
              <w:rPr>
                <w:rFonts w:ascii="Calibri" w:hAnsi="Calibri"/>
                <w:sz w:val="19"/>
              </w:rPr>
            </w:pPr>
            <w:r>
              <w:rPr>
                <w:rFonts w:ascii="Calibri" w:hAnsi="Calibri"/>
                <w:sz w:val="19"/>
              </w:rPr>
              <w:t>£426</w:t>
            </w:r>
          </w:p>
        </w:tc>
      </w:tr>
      <w:tr w:rsidR="006A18FD">
        <w:trPr>
          <w:trHeight w:val="340"/>
        </w:trPr>
        <w:tc>
          <w:tcPr>
            <w:tcW w:w="8077" w:type="dxa"/>
            <w:tcBorders>
              <w:top w:val="nil"/>
              <w:bottom w:val="nil"/>
            </w:tcBorders>
          </w:tcPr>
          <w:p w:rsidR="006A18FD" w:rsidRDefault="002D29FC">
            <w:pPr>
              <w:spacing w:before="99" w:line="229" w:lineRule="exact"/>
              <w:ind w:left="103"/>
              <w:rPr>
                <w:rFonts w:ascii="Calibri" w:hAnsi="Calibri"/>
                <w:sz w:val="19"/>
              </w:rPr>
            </w:pPr>
            <w:r>
              <w:rPr>
                <w:rFonts w:ascii="Calibri" w:hAnsi="Calibri"/>
                <w:sz w:val="19"/>
              </w:rPr>
              <w:t>Alcohol services – community (per care contact)</w:t>
            </w:r>
          </w:p>
        </w:tc>
        <w:tc>
          <w:tcPr>
            <w:tcW w:w="1985" w:type="dxa"/>
            <w:tcBorders>
              <w:top w:val="nil"/>
              <w:bottom w:val="nil"/>
            </w:tcBorders>
          </w:tcPr>
          <w:p w:rsidR="006A18FD" w:rsidRDefault="002D29FC">
            <w:pPr>
              <w:spacing w:before="99" w:line="229" w:lineRule="exact"/>
              <w:ind w:left="720"/>
              <w:rPr>
                <w:rFonts w:ascii="Calibri" w:hAnsi="Calibri"/>
                <w:sz w:val="19"/>
              </w:rPr>
            </w:pPr>
            <w:r>
              <w:rPr>
                <w:rFonts w:ascii="Calibri" w:hAnsi="Calibri"/>
                <w:sz w:val="19"/>
              </w:rPr>
              <w:t>£121</w:t>
            </w:r>
          </w:p>
        </w:tc>
      </w:tr>
      <w:tr w:rsidR="006A18FD">
        <w:trPr>
          <w:trHeight w:val="340"/>
        </w:trPr>
        <w:tc>
          <w:tcPr>
            <w:tcW w:w="8077" w:type="dxa"/>
            <w:tcBorders>
              <w:top w:val="nil"/>
              <w:bottom w:val="nil"/>
            </w:tcBorders>
          </w:tcPr>
          <w:p w:rsidR="006A18FD" w:rsidRDefault="002D29FC">
            <w:pPr>
              <w:spacing w:line="214" w:lineRule="exact"/>
              <w:ind w:left="103"/>
              <w:rPr>
                <w:rFonts w:ascii="Calibri" w:hAnsi="Calibri"/>
                <w:sz w:val="19"/>
              </w:rPr>
            </w:pPr>
            <w:r>
              <w:rPr>
                <w:rFonts w:ascii="Calibri" w:hAnsi="Calibri"/>
                <w:sz w:val="19"/>
              </w:rPr>
              <w:t>Alcohol services – community (per care contact), including carbon emissions 14 kgCO2e</w:t>
            </w:r>
          </w:p>
        </w:tc>
        <w:tc>
          <w:tcPr>
            <w:tcW w:w="1985" w:type="dxa"/>
            <w:tcBorders>
              <w:top w:val="nil"/>
              <w:bottom w:val="nil"/>
            </w:tcBorders>
          </w:tcPr>
          <w:p w:rsidR="006A18FD" w:rsidRDefault="002D29FC">
            <w:pPr>
              <w:spacing w:line="214" w:lineRule="exact"/>
              <w:ind w:left="720"/>
              <w:rPr>
                <w:rFonts w:ascii="Calibri" w:hAnsi="Calibri"/>
                <w:sz w:val="19"/>
              </w:rPr>
            </w:pPr>
            <w:r>
              <w:rPr>
                <w:rFonts w:ascii="Calibri" w:hAnsi="Calibri"/>
                <w:sz w:val="19"/>
              </w:rPr>
              <w:t>£122</w:t>
            </w:r>
          </w:p>
        </w:tc>
      </w:tr>
      <w:tr w:rsidR="006A18FD">
        <w:trPr>
          <w:trHeight w:val="340"/>
        </w:trPr>
        <w:tc>
          <w:tcPr>
            <w:tcW w:w="8077" w:type="dxa"/>
            <w:tcBorders>
              <w:top w:val="nil"/>
              <w:bottom w:val="nil"/>
            </w:tcBorders>
          </w:tcPr>
          <w:p w:rsidR="006A18FD" w:rsidRDefault="002D29FC">
            <w:pPr>
              <w:spacing w:before="99" w:line="229" w:lineRule="exact"/>
              <w:ind w:left="103"/>
              <w:rPr>
                <w:rFonts w:ascii="Calibri" w:hAnsi="Calibri"/>
                <w:sz w:val="19"/>
              </w:rPr>
            </w:pPr>
            <w:r>
              <w:rPr>
                <w:rFonts w:ascii="Calibri" w:hAnsi="Calibri"/>
                <w:sz w:val="19"/>
              </w:rPr>
              <w:t>Drug services – admitted (per bed day)</w:t>
            </w:r>
          </w:p>
        </w:tc>
        <w:tc>
          <w:tcPr>
            <w:tcW w:w="1985" w:type="dxa"/>
            <w:tcBorders>
              <w:top w:val="nil"/>
              <w:bottom w:val="nil"/>
            </w:tcBorders>
          </w:tcPr>
          <w:p w:rsidR="006A18FD" w:rsidRDefault="002D29FC">
            <w:pPr>
              <w:spacing w:before="99" w:line="229" w:lineRule="exact"/>
              <w:ind w:left="720"/>
              <w:rPr>
                <w:rFonts w:ascii="Calibri" w:hAnsi="Calibri"/>
                <w:sz w:val="19"/>
              </w:rPr>
            </w:pPr>
            <w:r>
              <w:rPr>
                <w:rFonts w:ascii="Calibri" w:hAnsi="Calibri"/>
                <w:sz w:val="19"/>
              </w:rPr>
              <w:t>£472</w:t>
            </w:r>
          </w:p>
        </w:tc>
      </w:tr>
      <w:tr w:rsidR="006A18FD">
        <w:trPr>
          <w:trHeight w:val="340"/>
        </w:trPr>
        <w:tc>
          <w:tcPr>
            <w:tcW w:w="8077" w:type="dxa"/>
            <w:tcBorders>
              <w:top w:val="nil"/>
              <w:bottom w:val="nil"/>
            </w:tcBorders>
          </w:tcPr>
          <w:p w:rsidR="006A18FD" w:rsidRDefault="002D29FC">
            <w:pPr>
              <w:spacing w:line="214" w:lineRule="exact"/>
              <w:ind w:left="103"/>
              <w:rPr>
                <w:rFonts w:ascii="Calibri" w:hAnsi="Calibri"/>
                <w:sz w:val="19"/>
              </w:rPr>
            </w:pPr>
            <w:r>
              <w:rPr>
                <w:rFonts w:ascii="Calibri" w:hAnsi="Calibri"/>
                <w:sz w:val="19"/>
              </w:rPr>
              <w:t>Drug services – admitted (per bed day), including carbon emissions 55 kgCO2e</w:t>
            </w:r>
          </w:p>
        </w:tc>
        <w:tc>
          <w:tcPr>
            <w:tcW w:w="1985" w:type="dxa"/>
            <w:tcBorders>
              <w:top w:val="nil"/>
              <w:bottom w:val="nil"/>
            </w:tcBorders>
          </w:tcPr>
          <w:p w:rsidR="006A18FD" w:rsidRDefault="002D29FC">
            <w:pPr>
              <w:spacing w:line="214" w:lineRule="exact"/>
              <w:ind w:left="720"/>
              <w:rPr>
                <w:rFonts w:ascii="Calibri" w:hAnsi="Calibri"/>
                <w:sz w:val="19"/>
              </w:rPr>
            </w:pPr>
            <w:r>
              <w:rPr>
                <w:rFonts w:ascii="Calibri" w:hAnsi="Calibri"/>
                <w:sz w:val="19"/>
              </w:rPr>
              <w:t>£474</w:t>
            </w:r>
          </w:p>
        </w:tc>
      </w:tr>
      <w:tr w:rsidR="006A18FD">
        <w:trPr>
          <w:trHeight w:val="340"/>
        </w:trPr>
        <w:tc>
          <w:tcPr>
            <w:tcW w:w="8077" w:type="dxa"/>
            <w:tcBorders>
              <w:top w:val="nil"/>
              <w:bottom w:val="nil"/>
            </w:tcBorders>
          </w:tcPr>
          <w:p w:rsidR="006A18FD" w:rsidRDefault="002D29FC">
            <w:pPr>
              <w:spacing w:before="99" w:line="229" w:lineRule="exact"/>
              <w:ind w:left="103"/>
              <w:rPr>
                <w:rFonts w:ascii="Calibri" w:hAnsi="Calibri"/>
                <w:sz w:val="19"/>
              </w:rPr>
            </w:pPr>
            <w:r>
              <w:rPr>
                <w:rFonts w:ascii="Calibri" w:hAnsi="Calibri"/>
                <w:sz w:val="19"/>
              </w:rPr>
              <w:t>Drug services – community (per care contact)</w:t>
            </w:r>
          </w:p>
        </w:tc>
        <w:tc>
          <w:tcPr>
            <w:tcW w:w="1985" w:type="dxa"/>
            <w:tcBorders>
              <w:top w:val="nil"/>
              <w:bottom w:val="nil"/>
            </w:tcBorders>
          </w:tcPr>
          <w:p w:rsidR="006A18FD" w:rsidRDefault="002D29FC">
            <w:pPr>
              <w:spacing w:before="99" w:line="229" w:lineRule="exact"/>
              <w:ind w:left="720"/>
              <w:rPr>
                <w:rFonts w:ascii="Calibri" w:hAnsi="Calibri"/>
                <w:sz w:val="19"/>
              </w:rPr>
            </w:pPr>
            <w:r>
              <w:rPr>
                <w:rFonts w:ascii="Calibri" w:hAnsi="Calibri"/>
                <w:sz w:val="19"/>
              </w:rPr>
              <w:t>£133</w:t>
            </w:r>
          </w:p>
        </w:tc>
      </w:tr>
      <w:tr w:rsidR="006A18FD">
        <w:trPr>
          <w:trHeight w:val="340"/>
        </w:trPr>
        <w:tc>
          <w:tcPr>
            <w:tcW w:w="8077" w:type="dxa"/>
            <w:tcBorders>
              <w:top w:val="nil"/>
              <w:bottom w:val="nil"/>
            </w:tcBorders>
          </w:tcPr>
          <w:p w:rsidR="006A18FD" w:rsidRDefault="002D29FC">
            <w:pPr>
              <w:spacing w:line="214" w:lineRule="exact"/>
              <w:ind w:left="103"/>
              <w:rPr>
                <w:rFonts w:ascii="Calibri" w:hAnsi="Calibri"/>
                <w:sz w:val="19"/>
              </w:rPr>
            </w:pPr>
            <w:r>
              <w:rPr>
                <w:rFonts w:ascii="Calibri" w:hAnsi="Calibri"/>
                <w:sz w:val="19"/>
              </w:rPr>
              <w:t>Drug services – community (per care contact), including carbon emissions 16 kgCO2e</w:t>
            </w:r>
          </w:p>
        </w:tc>
        <w:tc>
          <w:tcPr>
            <w:tcW w:w="1985" w:type="dxa"/>
            <w:tcBorders>
              <w:top w:val="nil"/>
              <w:bottom w:val="nil"/>
            </w:tcBorders>
          </w:tcPr>
          <w:p w:rsidR="006A18FD" w:rsidRDefault="002D29FC">
            <w:pPr>
              <w:spacing w:line="214" w:lineRule="exact"/>
              <w:ind w:left="720"/>
              <w:rPr>
                <w:rFonts w:ascii="Calibri" w:hAnsi="Calibri"/>
                <w:sz w:val="19"/>
              </w:rPr>
            </w:pPr>
            <w:r>
              <w:rPr>
                <w:rFonts w:ascii="Calibri" w:hAnsi="Calibri"/>
                <w:sz w:val="19"/>
              </w:rPr>
              <w:t>£134</w:t>
            </w:r>
          </w:p>
        </w:tc>
      </w:tr>
      <w:tr w:rsidR="006A18FD">
        <w:trPr>
          <w:trHeight w:val="460"/>
        </w:trPr>
        <w:tc>
          <w:tcPr>
            <w:tcW w:w="8077" w:type="dxa"/>
            <w:tcBorders>
              <w:top w:val="nil"/>
              <w:bottom w:val="nil"/>
            </w:tcBorders>
          </w:tcPr>
          <w:p w:rsidR="006A18FD" w:rsidRDefault="002D29FC">
            <w:pPr>
              <w:spacing w:before="98"/>
              <w:ind w:left="103"/>
              <w:rPr>
                <w:rFonts w:ascii="Calibri" w:hAnsi="Calibri"/>
                <w:sz w:val="19"/>
              </w:rPr>
            </w:pPr>
            <w:r>
              <w:rPr>
                <w:rFonts w:ascii="Calibri" w:hAnsi="Calibri"/>
                <w:sz w:val="19"/>
              </w:rPr>
              <w:t>Drug services – outpatients</w:t>
            </w:r>
          </w:p>
        </w:tc>
        <w:tc>
          <w:tcPr>
            <w:tcW w:w="1985" w:type="dxa"/>
            <w:tcBorders>
              <w:top w:val="nil"/>
              <w:bottom w:val="nil"/>
            </w:tcBorders>
          </w:tcPr>
          <w:p w:rsidR="006A18FD" w:rsidRDefault="002D29FC">
            <w:pPr>
              <w:spacing w:before="98"/>
              <w:ind w:left="799" w:right="846"/>
              <w:jc w:val="center"/>
              <w:rPr>
                <w:rFonts w:ascii="Calibri" w:hAnsi="Calibri"/>
                <w:sz w:val="19"/>
              </w:rPr>
            </w:pPr>
            <w:r>
              <w:rPr>
                <w:rFonts w:ascii="Calibri" w:hAnsi="Calibri"/>
                <w:sz w:val="19"/>
              </w:rPr>
              <w:t>£83</w:t>
            </w:r>
          </w:p>
        </w:tc>
      </w:tr>
      <w:tr w:rsidR="006A18FD">
        <w:trPr>
          <w:trHeight w:val="340"/>
        </w:trPr>
        <w:tc>
          <w:tcPr>
            <w:tcW w:w="8077" w:type="dxa"/>
            <w:tcBorders>
              <w:top w:val="nil"/>
              <w:bottom w:val="nil"/>
            </w:tcBorders>
          </w:tcPr>
          <w:p w:rsidR="006A18FD" w:rsidRDefault="002D29FC">
            <w:pPr>
              <w:spacing w:before="99" w:line="229" w:lineRule="exact"/>
              <w:ind w:left="103"/>
              <w:rPr>
                <w:rFonts w:ascii="Calibri"/>
                <w:b/>
                <w:sz w:val="19"/>
              </w:rPr>
            </w:pPr>
            <w:r>
              <w:rPr>
                <w:rFonts w:ascii="Calibri"/>
                <w:b/>
                <w:sz w:val="19"/>
              </w:rPr>
              <w:t>Drug and alcohol services (children and adolescents)</w:t>
            </w:r>
          </w:p>
        </w:tc>
        <w:tc>
          <w:tcPr>
            <w:tcW w:w="1985" w:type="dxa"/>
            <w:tcBorders>
              <w:top w:val="nil"/>
              <w:bottom w:val="nil"/>
            </w:tcBorders>
          </w:tcPr>
          <w:p w:rsidR="006A18FD" w:rsidRDefault="006A18FD">
            <w:pPr>
              <w:rPr>
                <w:rFonts w:ascii="Times New Roman"/>
                <w:sz w:val="18"/>
              </w:rPr>
            </w:pPr>
          </w:p>
        </w:tc>
      </w:tr>
      <w:tr w:rsidR="006A18FD">
        <w:trPr>
          <w:trHeight w:val="220"/>
        </w:trPr>
        <w:tc>
          <w:tcPr>
            <w:tcW w:w="8077" w:type="dxa"/>
            <w:tcBorders>
              <w:top w:val="nil"/>
              <w:bottom w:val="nil"/>
            </w:tcBorders>
          </w:tcPr>
          <w:p w:rsidR="006A18FD" w:rsidRDefault="002D29FC">
            <w:pPr>
              <w:spacing w:line="212" w:lineRule="exact"/>
              <w:ind w:left="103"/>
              <w:rPr>
                <w:rFonts w:ascii="Calibri" w:hAnsi="Calibri"/>
                <w:sz w:val="19"/>
              </w:rPr>
            </w:pPr>
            <w:r>
              <w:rPr>
                <w:rFonts w:ascii="Calibri" w:hAnsi="Calibri"/>
                <w:sz w:val="19"/>
              </w:rPr>
              <w:t>Alcohol services – community contacts</w:t>
            </w:r>
          </w:p>
        </w:tc>
        <w:tc>
          <w:tcPr>
            <w:tcW w:w="1985" w:type="dxa"/>
            <w:tcBorders>
              <w:top w:val="nil"/>
              <w:bottom w:val="nil"/>
            </w:tcBorders>
          </w:tcPr>
          <w:p w:rsidR="006A18FD" w:rsidRDefault="002D29FC">
            <w:pPr>
              <w:spacing w:line="212" w:lineRule="exact"/>
              <w:ind w:left="720"/>
              <w:rPr>
                <w:rFonts w:ascii="Calibri" w:hAnsi="Calibri"/>
                <w:sz w:val="19"/>
              </w:rPr>
            </w:pPr>
            <w:r>
              <w:rPr>
                <w:rFonts w:ascii="Calibri" w:hAnsi="Calibri"/>
                <w:sz w:val="19"/>
              </w:rPr>
              <w:t>£300</w:t>
            </w:r>
          </w:p>
        </w:tc>
      </w:tr>
      <w:tr w:rsidR="006A18FD">
        <w:trPr>
          <w:trHeight w:val="220"/>
        </w:trPr>
        <w:tc>
          <w:tcPr>
            <w:tcW w:w="8077" w:type="dxa"/>
            <w:tcBorders>
              <w:top w:val="nil"/>
              <w:bottom w:val="nil"/>
            </w:tcBorders>
          </w:tcPr>
          <w:p w:rsidR="006A18FD" w:rsidRDefault="002D29FC">
            <w:pPr>
              <w:spacing w:line="213" w:lineRule="exact"/>
              <w:ind w:left="103"/>
              <w:rPr>
                <w:rFonts w:ascii="Calibri" w:hAnsi="Calibri"/>
                <w:sz w:val="19"/>
              </w:rPr>
            </w:pPr>
            <w:r>
              <w:rPr>
                <w:rFonts w:ascii="Calibri" w:hAnsi="Calibri"/>
                <w:sz w:val="19"/>
              </w:rPr>
              <w:t>Alcohol services – outpatient attendances</w:t>
            </w:r>
          </w:p>
        </w:tc>
        <w:tc>
          <w:tcPr>
            <w:tcW w:w="1985" w:type="dxa"/>
            <w:tcBorders>
              <w:top w:val="nil"/>
              <w:bottom w:val="nil"/>
            </w:tcBorders>
          </w:tcPr>
          <w:p w:rsidR="006A18FD" w:rsidRDefault="002D29FC">
            <w:pPr>
              <w:spacing w:line="213" w:lineRule="exact"/>
              <w:ind w:left="799" w:right="846"/>
              <w:jc w:val="center"/>
              <w:rPr>
                <w:rFonts w:ascii="Calibri" w:hAnsi="Calibri"/>
                <w:sz w:val="19"/>
              </w:rPr>
            </w:pPr>
            <w:r>
              <w:rPr>
                <w:rFonts w:ascii="Calibri" w:hAnsi="Calibri"/>
                <w:sz w:val="19"/>
              </w:rPr>
              <w:t>£49</w:t>
            </w:r>
          </w:p>
        </w:tc>
      </w:tr>
      <w:tr w:rsidR="006A18FD">
        <w:trPr>
          <w:trHeight w:val="220"/>
        </w:trPr>
        <w:tc>
          <w:tcPr>
            <w:tcW w:w="8077" w:type="dxa"/>
            <w:tcBorders>
              <w:top w:val="nil"/>
              <w:bottom w:val="nil"/>
            </w:tcBorders>
          </w:tcPr>
          <w:p w:rsidR="006A18FD" w:rsidRDefault="002D29FC">
            <w:pPr>
              <w:spacing w:line="212" w:lineRule="exact"/>
              <w:ind w:left="103"/>
              <w:rPr>
                <w:rFonts w:ascii="Calibri"/>
                <w:sz w:val="19"/>
              </w:rPr>
            </w:pPr>
            <w:r>
              <w:rPr>
                <w:rFonts w:ascii="Calibri"/>
                <w:sz w:val="19"/>
              </w:rPr>
              <w:t>Drug services, community</w:t>
            </w:r>
          </w:p>
        </w:tc>
        <w:tc>
          <w:tcPr>
            <w:tcW w:w="1985" w:type="dxa"/>
            <w:tcBorders>
              <w:top w:val="nil"/>
              <w:bottom w:val="nil"/>
            </w:tcBorders>
          </w:tcPr>
          <w:p w:rsidR="006A18FD" w:rsidRDefault="002D29FC">
            <w:pPr>
              <w:spacing w:line="212" w:lineRule="exact"/>
              <w:ind w:left="720"/>
              <w:rPr>
                <w:rFonts w:ascii="Calibri" w:hAnsi="Calibri"/>
                <w:sz w:val="19"/>
              </w:rPr>
            </w:pPr>
            <w:r>
              <w:rPr>
                <w:rFonts w:ascii="Calibri" w:hAnsi="Calibri"/>
                <w:sz w:val="19"/>
              </w:rPr>
              <w:t>£246</w:t>
            </w:r>
          </w:p>
        </w:tc>
      </w:tr>
      <w:tr w:rsidR="006A18FD">
        <w:trPr>
          <w:trHeight w:val="440"/>
        </w:trPr>
        <w:tc>
          <w:tcPr>
            <w:tcW w:w="8077" w:type="dxa"/>
            <w:tcBorders>
              <w:top w:val="nil"/>
            </w:tcBorders>
          </w:tcPr>
          <w:p w:rsidR="006A18FD" w:rsidRDefault="002D29FC">
            <w:pPr>
              <w:spacing w:line="214" w:lineRule="exact"/>
              <w:ind w:left="103"/>
              <w:rPr>
                <w:rFonts w:ascii="Calibri"/>
                <w:sz w:val="19"/>
              </w:rPr>
            </w:pPr>
            <w:r>
              <w:rPr>
                <w:rFonts w:ascii="Calibri"/>
                <w:sz w:val="19"/>
              </w:rPr>
              <w:t>Drug services, outpatients</w:t>
            </w:r>
          </w:p>
        </w:tc>
        <w:tc>
          <w:tcPr>
            <w:tcW w:w="1985" w:type="dxa"/>
            <w:tcBorders>
              <w:top w:val="nil"/>
            </w:tcBorders>
          </w:tcPr>
          <w:p w:rsidR="006A18FD" w:rsidRDefault="002D29FC">
            <w:pPr>
              <w:spacing w:line="214" w:lineRule="exact"/>
              <w:ind w:left="720"/>
              <w:rPr>
                <w:rFonts w:ascii="Calibri" w:hAnsi="Calibri"/>
                <w:sz w:val="19"/>
              </w:rPr>
            </w:pPr>
            <w:r>
              <w:rPr>
                <w:rFonts w:ascii="Calibri" w:hAnsi="Calibri"/>
                <w:sz w:val="19"/>
              </w:rPr>
              <w:t>£341</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2"/>
        <w:rPr>
          <w:rFonts w:ascii="Calibri"/>
          <w:sz w:val="18"/>
        </w:rPr>
      </w:pPr>
    </w:p>
    <w:p w:rsidR="006A18FD" w:rsidRDefault="002D29FC">
      <w:pPr>
        <w:ind w:left="423"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w:t>
      </w:r>
      <w:hyperlink r:id="rId141">
        <w:r>
          <w:rPr>
            <w:rFonts w:ascii="Calibri"/>
            <w:sz w:val="16"/>
            <w:u w:val="single"/>
          </w:rPr>
          <w:t>https://improvement.nhs.uk/resources/reference-costs/</w:t>
        </w:r>
      </w:hyperlink>
      <w:r>
        <w:rPr>
          <w:rFonts w:ascii="Calibri"/>
          <w:sz w:val="16"/>
        </w:rPr>
        <w:t xml:space="preserve"> [accessed 1 November 2019].</w:t>
      </w:r>
    </w:p>
    <w:p w:rsidR="006A18FD" w:rsidRDefault="002D29FC">
      <w:pPr>
        <w:ind w:left="423" w:hanging="284"/>
        <w:rPr>
          <w:rFonts w:ascii="Calibri"/>
          <w:sz w:val="16"/>
        </w:rPr>
      </w:pPr>
      <w:r>
        <w:rPr>
          <w:rFonts w:ascii="Calibri"/>
          <w:position w:val="5"/>
          <w:sz w:val="10"/>
        </w:rPr>
        <w:t xml:space="preserve">2 </w:t>
      </w:r>
      <w:r>
        <w:rPr>
          <w:rFonts w:ascii="Calibri"/>
          <w:sz w:val="16"/>
        </w:rPr>
        <w:t xml:space="preserve">Costs of carbon emissions provided by Imogen Tennison, Sustainable Development Unit, NHS England and NHS Improvement, Cambridge. See </w:t>
      </w:r>
      <w:hyperlink r:id="rId142">
        <w:r>
          <w:rPr>
            <w:rFonts w:ascii="Calibri"/>
            <w:sz w:val="16"/>
            <w:u w:val="single"/>
          </w:rPr>
          <w:t>www.sduhealth.org.uk</w:t>
        </w:r>
        <w:r>
          <w:rPr>
            <w:rFonts w:ascii="Calibri"/>
            <w:sz w:val="16"/>
          </w:rPr>
          <w:t xml:space="preserve"> </w:t>
        </w:r>
      </w:hyperlink>
      <w:r>
        <w:rPr>
          <w:rFonts w:ascii="Calibri"/>
          <w:sz w:val="16"/>
        </w:rPr>
        <w:t>more information.</w:t>
      </w:r>
    </w:p>
    <w:p w:rsidR="006A18FD" w:rsidRDefault="006A18FD">
      <w:pPr>
        <w:rPr>
          <w:rFonts w:ascii="Calibri"/>
          <w:sz w:val="16"/>
        </w:rPr>
        <w:sectPr w:rsidR="006A18FD">
          <w:headerReference w:type="even" r:id="rId143"/>
          <w:pgSz w:w="11910" w:h="16840"/>
          <w:pgMar w:top="980" w:right="980" w:bottom="280" w:left="580" w:header="763" w:footer="0" w:gutter="0"/>
          <w:cols w:space="720"/>
        </w:sectPr>
      </w:pPr>
    </w:p>
    <w:p w:rsidR="006A18FD" w:rsidRDefault="002D29FC">
      <w:pPr>
        <w:tabs>
          <w:tab w:val="right" w:pos="10081"/>
        </w:tabs>
        <w:spacing w:before="41" w:after="19"/>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51</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3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33" name="Line 19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D1A546" id="Group 18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LHHlph/AgAAgQUA&#10;AA4AAAAAAAAAAAAAAAAALgIAAGRycy9lMm9Eb2MueG1sUEsBAi0AFAAGAAgAAAAhAC135FzaAAAA&#10;BAEAAA8AAAAAAAAAAAAAAAAA2QQAAGRycy9kb3ducmV2LnhtbFBLBQYAAAAABAAEAPMAAADgBQAA&#10;AAA=&#10;">
                <v:line id="Line 19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w10:anchorlock/>
              </v:group>
            </w:pict>
          </mc:Fallback>
        </mc:AlternateContent>
      </w:r>
    </w:p>
    <w:p w:rsidR="006A18FD" w:rsidRDefault="0025638D" w:rsidP="0025638D">
      <w:pPr>
        <w:pStyle w:val="Heading2"/>
      </w:pPr>
      <w:r>
        <w:t xml:space="preserve">3.2 </w:t>
      </w:r>
      <w:r w:rsidR="002D29FC">
        <w:t>Alcohol health worker/Alcohol liaison nurse/Substance misuse</w:t>
      </w:r>
      <w:r w:rsidR="002D29FC">
        <w:rPr>
          <w:spacing w:val="-29"/>
        </w:rPr>
        <w:t xml:space="preserve"> </w:t>
      </w:r>
      <w:r w:rsidR="002D29FC">
        <w:t>nurse</w:t>
      </w:r>
    </w:p>
    <w:p w:rsidR="006A18FD" w:rsidRDefault="002D29FC">
      <w:pPr>
        <w:spacing w:before="172" w:line="276" w:lineRule="auto"/>
        <w:ind w:left="152" w:right="394"/>
        <w:rPr>
          <w:rFonts w:ascii="Calibri"/>
          <w:sz w:val="12"/>
        </w:rPr>
      </w:pPr>
      <w:r>
        <w:rPr>
          <w:rFonts w:ascii="Calibri"/>
          <w:sz w:val="18"/>
        </w:rPr>
        <w:t>In the majority of hospitals, alcohol health workers are qualified nurses: however, they can also be staff with alternative qualifications (NVQ in health and social care, counselling skills) or experience in substance misuse. They work predominantly in non-emergency admission units followed by A&amp;E, specialist gastroenterology/liver wards, and general medical wards.</w:t>
      </w:r>
      <w:r>
        <w:rPr>
          <w:rFonts w:ascii="Calibri"/>
          <w:position w:val="5"/>
          <w:sz w:val="12"/>
        </w:rPr>
        <w:t>1</w:t>
      </w:r>
    </w:p>
    <w:p w:rsidR="006A18FD" w:rsidRDefault="006A18FD">
      <w:pPr>
        <w:rPr>
          <w:rFonts w:ascii="Calibri"/>
          <w:sz w:val="10"/>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6"/>
        <w:gridCol w:w="6136"/>
      </w:tblGrid>
      <w:tr w:rsidR="006A18FD" w:rsidTr="005B5AB5">
        <w:trPr>
          <w:trHeight w:val="320"/>
          <w:tblHeader/>
        </w:trPr>
        <w:tc>
          <w:tcPr>
            <w:tcW w:w="2232" w:type="dxa"/>
          </w:tcPr>
          <w:p w:rsidR="006A18FD" w:rsidRDefault="002D29FC">
            <w:pPr>
              <w:spacing w:before="1"/>
              <w:ind w:left="52"/>
              <w:rPr>
                <w:rFonts w:ascii="Calibri"/>
                <w:b/>
                <w:sz w:val="18"/>
              </w:rPr>
            </w:pPr>
            <w:r>
              <w:rPr>
                <w:rFonts w:ascii="Calibri"/>
                <w:b/>
                <w:sz w:val="18"/>
              </w:rPr>
              <w:t>Costs and unit estimation</w:t>
            </w:r>
          </w:p>
        </w:tc>
        <w:tc>
          <w:tcPr>
            <w:tcW w:w="1676" w:type="dxa"/>
          </w:tcPr>
          <w:p w:rsidR="006A18FD" w:rsidRDefault="002D29FC">
            <w:pPr>
              <w:spacing w:before="1"/>
              <w:ind w:left="103"/>
              <w:rPr>
                <w:rFonts w:ascii="Calibri"/>
                <w:b/>
                <w:sz w:val="18"/>
              </w:rPr>
            </w:pPr>
            <w:r>
              <w:rPr>
                <w:rFonts w:ascii="Calibri"/>
                <w:b/>
                <w:sz w:val="18"/>
              </w:rPr>
              <w:t>2018/2019 value</w:t>
            </w:r>
          </w:p>
        </w:tc>
        <w:tc>
          <w:tcPr>
            <w:tcW w:w="6135" w:type="dxa"/>
          </w:tcPr>
          <w:p w:rsidR="006A18FD" w:rsidRDefault="002D29FC">
            <w:pPr>
              <w:spacing w:before="1"/>
              <w:ind w:left="102"/>
              <w:rPr>
                <w:rFonts w:ascii="Calibri"/>
                <w:b/>
                <w:sz w:val="18"/>
              </w:rPr>
            </w:pPr>
            <w:r>
              <w:rPr>
                <w:rFonts w:ascii="Calibri"/>
                <w:b/>
                <w:sz w:val="18"/>
              </w:rPr>
              <w:t>Notes</w:t>
            </w:r>
          </w:p>
        </w:tc>
      </w:tr>
      <w:tr w:rsidR="006A18FD">
        <w:trPr>
          <w:trHeight w:val="880"/>
        </w:trPr>
        <w:tc>
          <w:tcPr>
            <w:tcW w:w="2232" w:type="dxa"/>
          </w:tcPr>
          <w:p w:rsidR="006A18FD" w:rsidRDefault="002D29FC">
            <w:pPr>
              <w:spacing w:before="1"/>
              <w:ind w:left="52"/>
              <w:rPr>
                <w:rFonts w:ascii="Calibri"/>
                <w:sz w:val="18"/>
              </w:rPr>
            </w:pPr>
            <w:r>
              <w:rPr>
                <w:rFonts w:ascii="Calibri"/>
                <w:sz w:val="18"/>
              </w:rPr>
              <w:t>A. Wages/salary</w:t>
            </w:r>
          </w:p>
        </w:tc>
        <w:tc>
          <w:tcPr>
            <w:tcW w:w="1676" w:type="dxa"/>
          </w:tcPr>
          <w:p w:rsidR="006A18FD" w:rsidRDefault="002D29FC">
            <w:pPr>
              <w:spacing w:before="1"/>
              <w:ind w:left="103"/>
              <w:rPr>
                <w:rFonts w:ascii="Calibri" w:hAnsi="Calibri"/>
                <w:sz w:val="18"/>
              </w:rPr>
            </w:pPr>
            <w:r>
              <w:rPr>
                <w:rFonts w:ascii="Calibri" w:hAnsi="Calibri"/>
                <w:sz w:val="18"/>
              </w:rPr>
              <w:t>£33,411 per year</w:t>
            </w:r>
          </w:p>
        </w:tc>
        <w:tc>
          <w:tcPr>
            <w:tcW w:w="6135" w:type="dxa"/>
          </w:tcPr>
          <w:p w:rsidR="006A18FD" w:rsidRDefault="002D29FC">
            <w:pPr>
              <w:spacing w:before="1"/>
              <w:ind w:left="102" w:right="103"/>
              <w:rPr>
                <w:rFonts w:ascii="Calibri"/>
                <w:sz w:val="12"/>
              </w:rPr>
            </w:pPr>
            <w:r>
              <w:rPr>
                <w:rFonts w:ascii="Calibri"/>
                <w:sz w:val="18"/>
              </w:rPr>
              <w:t xml:space="preserve">Based on the mean full-time equivalent basic salary for Agenda for Change band 6 of the 2018/2019 staff earning estimates. </w:t>
            </w:r>
            <w:r>
              <w:rPr>
                <w:rFonts w:ascii="Calibri"/>
                <w:position w:val="5"/>
                <w:sz w:val="12"/>
              </w:rPr>
              <w:t xml:space="preserve">2 </w:t>
            </w:r>
            <w:r>
              <w:rPr>
                <w:rFonts w:ascii="Calibri"/>
                <w:sz w:val="18"/>
              </w:rPr>
              <w:t xml:space="preserve">See </w:t>
            </w:r>
            <w:r>
              <w:rPr>
                <w:rFonts w:ascii="Calibri"/>
                <w:i/>
                <w:sz w:val="18"/>
              </w:rPr>
              <w:t xml:space="preserve">NHS terms and conditions of service handbook </w:t>
            </w:r>
            <w:r>
              <w:rPr>
                <w:rFonts w:ascii="Calibri"/>
                <w:sz w:val="18"/>
              </w:rPr>
              <w:t>for information on payment for unsocial hours and shift work.</w:t>
            </w:r>
            <w:r>
              <w:rPr>
                <w:rFonts w:ascii="Calibri"/>
                <w:position w:val="5"/>
                <w:sz w:val="12"/>
              </w:rPr>
              <w:t>3</w:t>
            </w:r>
          </w:p>
          <w:p w:rsidR="006A18FD" w:rsidRDefault="002D29FC">
            <w:pPr>
              <w:spacing w:before="1" w:line="199" w:lineRule="exact"/>
              <w:ind w:left="102"/>
              <w:rPr>
                <w:rFonts w:ascii="Calibri"/>
                <w:sz w:val="18"/>
              </w:rPr>
            </w:pPr>
            <w:r>
              <w:rPr>
                <w:rFonts w:ascii="Calibri"/>
                <w:sz w:val="18"/>
              </w:rPr>
              <w:t>See Section V for further information on salaries.</w:t>
            </w:r>
          </w:p>
        </w:tc>
      </w:tr>
      <w:tr w:rsidR="006A18FD">
        <w:trPr>
          <w:trHeight w:val="420"/>
        </w:trPr>
        <w:tc>
          <w:tcPr>
            <w:tcW w:w="2232" w:type="dxa"/>
          </w:tcPr>
          <w:p w:rsidR="006A18FD" w:rsidRDefault="002D29FC">
            <w:pPr>
              <w:spacing w:line="219" w:lineRule="exact"/>
              <w:ind w:left="52"/>
              <w:rPr>
                <w:rFonts w:ascii="Calibri"/>
                <w:sz w:val="18"/>
              </w:rPr>
            </w:pPr>
            <w:r>
              <w:rPr>
                <w:rFonts w:ascii="Calibri"/>
                <w:sz w:val="18"/>
              </w:rPr>
              <w:t>B. Salary oncosts</w:t>
            </w:r>
          </w:p>
        </w:tc>
        <w:tc>
          <w:tcPr>
            <w:tcW w:w="1676" w:type="dxa"/>
          </w:tcPr>
          <w:p w:rsidR="006A18FD" w:rsidRDefault="002D29FC">
            <w:pPr>
              <w:spacing w:line="219" w:lineRule="exact"/>
              <w:ind w:left="103"/>
              <w:rPr>
                <w:rFonts w:ascii="Calibri" w:hAnsi="Calibri"/>
                <w:sz w:val="18"/>
              </w:rPr>
            </w:pPr>
            <w:r>
              <w:rPr>
                <w:rFonts w:ascii="Calibri" w:hAnsi="Calibri"/>
                <w:sz w:val="18"/>
              </w:rPr>
              <w:t>£8,253 per year</w:t>
            </w:r>
          </w:p>
        </w:tc>
        <w:tc>
          <w:tcPr>
            <w:tcW w:w="6135" w:type="dxa"/>
          </w:tcPr>
          <w:p w:rsidR="006A18FD" w:rsidRDefault="002D29FC">
            <w:pPr>
              <w:spacing w:line="219" w:lineRule="exact"/>
              <w:ind w:left="102"/>
              <w:rPr>
                <w:rFonts w:ascii="Calibri" w:hAnsi="Calibri"/>
                <w:sz w:val="18"/>
              </w:rPr>
            </w:pPr>
            <w:r>
              <w:rPr>
                <w:rFonts w:ascii="Calibri" w:hAnsi="Calibri"/>
                <w:sz w:val="18"/>
              </w:rPr>
              <w:t>Employer’s national insurance contribution is included, plus 14.38 per cent of</w:t>
            </w:r>
          </w:p>
          <w:p w:rsidR="006A18FD" w:rsidRDefault="002D29FC">
            <w:pPr>
              <w:spacing w:before="1" w:line="199" w:lineRule="exact"/>
              <w:ind w:left="102"/>
              <w:rPr>
                <w:rFonts w:ascii="Calibri" w:hAnsi="Calibri"/>
                <w:sz w:val="18"/>
              </w:rPr>
            </w:pPr>
            <w:r>
              <w:rPr>
                <w:rFonts w:ascii="Calibri" w:hAnsi="Calibri"/>
                <w:sz w:val="18"/>
              </w:rPr>
              <w:t>salary for employer’s contribution to superannuation.</w:t>
            </w:r>
          </w:p>
        </w:tc>
      </w:tr>
      <w:tr w:rsidR="006A18FD">
        <w:trPr>
          <w:trHeight w:val="860"/>
        </w:trPr>
        <w:tc>
          <w:tcPr>
            <w:tcW w:w="2232" w:type="dxa"/>
          </w:tcPr>
          <w:p w:rsidR="006A18FD" w:rsidRDefault="002D29FC">
            <w:pPr>
              <w:spacing w:before="1"/>
              <w:ind w:left="52"/>
              <w:rPr>
                <w:rFonts w:ascii="Calibri"/>
                <w:sz w:val="18"/>
              </w:rPr>
            </w:pPr>
            <w:r>
              <w:rPr>
                <w:rFonts w:ascii="Calibri"/>
                <w:sz w:val="18"/>
              </w:rPr>
              <w:t>C. Qualifications</w:t>
            </w:r>
          </w:p>
        </w:tc>
        <w:tc>
          <w:tcPr>
            <w:tcW w:w="1676" w:type="dxa"/>
          </w:tcPr>
          <w:p w:rsidR="006A18FD" w:rsidRDefault="002D29FC">
            <w:pPr>
              <w:spacing w:before="1"/>
              <w:ind w:left="103"/>
              <w:rPr>
                <w:rFonts w:ascii="Calibri" w:hAnsi="Calibri"/>
                <w:sz w:val="18"/>
              </w:rPr>
            </w:pPr>
            <w:r>
              <w:rPr>
                <w:rFonts w:ascii="Calibri" w:hAnsi="Calibri"/>
                <w:sz w:val="18"/>
              </w:rPr>
              <w:t>£8,744 per year</w:t>
            </w:r>
          </w:p>
        </w:tc>
        <w:tc>
          <w:tcPr>
            <w:tcW w:w="6135" w:type="dxa"/>
          </w:tcPr>
          <w:p w:rsidR="006A18FD" w:rsidRDefault="002D29FC">
            <w:pPr>
              <w:spacing w:before="1"/>
              <w:ind w:left="102" w:right="114"/>
              <w:rPr>
                <w:rFonts w:ascii="Calibri"/>
                <w:sz w:val="18"/>
              </w:rPr>
            </w:pPr>
            <w:r>
              <w:rPr>
                <w:rFonts w:ascii="Calibri"/>
                <w:sz w:val="18"/>
              </w:rPr>
              <w:t>Qualification costs have been calculated using the method described in Netten et al. (1998).</w:t>
            </w:r>
            <w:r>
              <w:rPr>
                <w:rFonts w:ascii="Calibri"/>
                <w:position w:val="5"/>
                <w:sz w:val="12"/>
              </w:rPr>
              <w:t>4</w:t>
            </w:r>
            <w:r>
              <w:rPr>
                <w:rFonts w:ascii="Calibri"/>
                <w:sz w:val="18"/>
              </w:rPr>
              <w:t>). Current cost information has been gathered from various</w:t>
            </w:r>
            <w:r>
              <w:rPr>
                <w:rFonts w:ascii="Calibri"/>
                <w:spacing w:val="-23"/>
                <w:sz w:val="18"/>
              </w:rPr>
              <w:t xml:space="preserve"> </w:t>
            </w:r>
            <w:r>
              <w:rPr>
                <w:rFonts w:ascii="Calibri"/>
                <w:sz w:val="18"/>
              </w:rPr>
              <w:t xml:space="preserve">sources (see Schema 18). </w:t>
            </w:r>
            <w:r>
              <w:rPr>
                <w:rFonts w:ascii="Calibri"/>
                <w:color w:val="221F1F"/>
                <w:sz w:val="18"/>
              </w:rPr>
              <w:t>It has been assumed that this health worker requires the</w:t>
            </w:r>
            <w:r>
              <w:rPr>
                <w:rFonts w:ascii="Calibri"/>
                <w:color w:val="221F1F"/>
                <w:spacing w:val="-21"/>
                <w:sz w:val="18"/>
              </w:rPr>
              <w:t xml:space="preserve"> </w:t>
            </w:r>
            <w:r>
              <w:rPr>
                <w:rFonts w:ascii="Calibri"/>
                <w:color w:val="221F1F"/>
                <w:sz w:val="18"/>
              </w:rPr>
              <w:t>same</w:t>
            </w:r>
          </w:p>
          <w:p w:rsidR="006A18FD" w:rsidRDefault="002D29FC">
            <w:pPr>
              <w:spacing w:line="198" w:lineRule="exact"/>
              <w:ind w:left="102"/>
              <w:rPr>
                <w:rFonts w:ascii="Calibri"/>
                <w:sz w:val="18"/>
              </w:rPr>
            </w:pPr>
            <w:r>
              <w:rPr>
                <w:rFonts w:ascii="Calibri"/>
                <w:color w:val="221F1F"/>
                <w:sz w:val="18"/>
              </w:rPr>
              <w:t>qualifications as a staff nurse/ward manager.</w:t>
            </w:r>
          </w:p>
        </w:tc>
      </w:tr>
      <w:tr w:rsidR="006A18FD">
        <w:trPr>
          <w:trHeight w:val="2180"/>
        </w:trPr>
        <w:tc>
          <w:tcPr>
            <w:tcW w:w="2232" w:type="dxa"/>
          </w:tcPr>
          <w:p w:rsidR="006A18FD" w:rsidRDefault="002D29FC">
            <w:pPr>
              <w:spacing w:before="1"/>
              <w:ind w:left="52"/>
              <w:rPr>
                <w:rFonts w:ascii="Calibri"/>
                <w:sz w:val="18"/>
              </w:rPr>
            </w:pPr>
            <w:r>
              <w:rPr>
                <w:rFonts w:ascii="Calibri"/>
                <w:sz w:val="18"/>
              </w:rPr>
              <w:t>D. Overheads</w:t>
            </w:r>
          </w:p>
          <w:p w:rsidR="006A18FD" w:rsidRDefault="006A18FD">
            <w:pPr>
              <w:spacing w:before="8"/>
              <w:rPr>
                <w:rFonts w:ascii="Calibri"/>
                <w:sz w:val="19"/>
              </w:rPr>
            </w:pPr>
          </w:p>
          <w:p w:rsidR="006A18FD" w:rsidRDefault="002D29FC">
            <w:pPr>
              <w:spacing w:before="1"/>
              <w:ind w:left="52" w:right="194"/>
              <w:rPr>
                <w:rFonts w:ascii="Calibri"/>
                <w:sz w:val="18"/>
              </w:rPr>
            </w:pPr>
            <w:r>
              <w:rPr>
                <w:rFonts w:ascii="Calibri"/>
                <w:sz w:val="18"/>
              </w:rPr>
              <w:t>Management, administration and estates staff</w:t>
            </w:r>
          </w:p>
          <w:p w:rsidR="006A18FD" w:rsidRDefault="006A18FD">
            <w:pPr>
              <w:spacing w:before="7"/>
              <w:rPr>
                <w:rFonts w:ascii="Calibri"/>
                <w:sz w:val="15"/>
              </w:rPr>
            </w:pPr>
          </w:p>
          <w:p w:rsidR="006A18FD" w:rsidRDefault="002D29FC">
            <w:pPr>
              <w:ind w:left="52"/>
              <w:rPr>
                <w:rFonts w:ascii="Calibri"/>
                <w:sz w:val="18"/>
              </w:rPr>
            </w:pPr>
            <w:r>
              <w:rPr>
                <w:rFonts w:ascii="Calibri"/>
                <w:sz w:val="18"/>
              </w:rPr>
              <w:t>Non-staff</w:t>
            </w:r>
          </w:p>
        </w:tc>
        <w:tc>
          <w:tcPr>
            <w:tcW w:w="1676" w:type="dxa"/>
          </w:tcPr>
          <w:p w:rsidR="006A18FD" w:rsidRDefault="006A18FD">
            <w:pPr>
              <w:rPr>
                <w:rFonts w:ascii="Calibri"/>
                <w:sz w:val="18"/>
              </w:rPr>
            </w:pPr>
          </w:p>
          <w:p w:rsidR="006A18FD" w:rsidRDefault="006A18FD">
            <w:pPr>
              <w:spacing w:before="10"/>
              <w:rPr>
                <w:rFonts w:ascii="Calibri"/>
                <w:sz w:val="19"/>
              </w:rPr>
            </w:pPr>
          </w:p>
          <w:p w:rsidR="006A18FD" w:rsidRDefault="002D29FC">
            <w:pPr>
              <w:ind w:left="103"/>
              <w:rPr>
                <w:rFonts w:ascii="Calibri" w:hAnsi="Calibri"/>
                <w:sz w:val="18"/>
              </w:rPr>
            </w:pPr>
            <w:r>
              <w:rPr>
                <w:rFonts w:ascii="Calibri" w:hAnsi="Calibri"/>
                <w:sz w:val="18"/>
              </w:rPr>
              <w:t>£10,083 per year</w:t>
            </w:r>
          </w:p>
          <w:p w:rsidR="006A18FD" w:rsidRDefault="006A18FD">
            <w:pPr>
              <w:rPr>
                <w:rFonts w:ascii="Calibri"/>
                <w:sz w:val="18"/>
              </w:rPr>
            </w:pPr>
          </w:p>
          <w:p w:rsidR="006A18FD" w:rsidRDefault="006A18FD">
            <w:pPr>
              <w:rPr>
                <w:rFonts w:ascii="Calibri"/>
                <w:sz w:val="18"/>
              </w:rPr>
            </w:pPr>
          </w:p>
          <w:p w:rsidR="006A18FD" w:rsidRDefault="006A18FD">
            <w:pPr>
              <w:spacing w:before="6"/>
              <w:rPr>
                <w:rFonts w:ascii="Calibri"/>
                <w:sz w:val="15"/>
              </w:rPr>
            </w:pPr>
          </w:p>
          <w:p w:rsidR="006A18FD" w:rsidRDefault="002D29FC">
            <w:pPr>
              <w:spacing w:before="1"/>
              <w:ind w:left="103"/>
              <w:rPr>
                <w:rFonts w:ascii="Calibri" w:hAnsi="Calibri"/>
                <w:sz w:val="18"/>
              </w:rPr>
            </w:pPr>
            <w:r>
              <w:rPr>
                <w:rFonts w:ascii="Calibri" w:hAnsi="Calibri"/>
                <w:sz w:val="18"/>
              </w:rPr>
              <w:t>£17,957 per year</w:t>
            </w:r>
          </w:p>
        </w:tc>
        <w:tc>
          <w:tcPr>
            <w:tcW w:w="6135" w:type="dxa"/>
          </w:tcPr>
          <w:p w:rsidR="006A18FD" w:rsidRDefault="002D29FC">
            <w:pPr>
              <w:spacing w:before="121"/>
              <w:ind w:left="102"/>
              <w:rPr>
                <w:rFonts w:ascii="Calibri"/>
                <w:sz w:val="12"/>
              </w:rPr>
            </w:pPr>
            <w:r>
              <w:rPr>
                <w:rFonts w:ascii="Calibri"/>
                <w:sz w:val="18"/>
              </w:rPr>
              <w:t xml:space="preserve">Taken from </w:t>
            </w:r>
            <w:r>
              <w:rPr>
                <w:rFonts w:ascii="Calibri"/>
                <w:i/>
                <w:sz w:val="18"/>
              </w:rPr>
              <w:t>NHS foundation trusts accounts: consolidated (FTC) files 2014/2015</w:t>
            </w:r>
            <w:r>
              <w:rPr>
                <w:rFonts w:ascii="Calibri"/>
                <w:sz w:val="18"/>
              </w:rPr>
              <w:t>.</w:t>
            </w:r>
            <w:r>
              <w:rPr>
                <w:rFonts w:ascii="Calibri"/>
                <w:position w:val="5"/>
                <w:sz w:val="12"/>
              </w:rPr>
              <w:t>5</w:t>
            </w:r>
          </w:p>
          <w:p w:rsidR="006A18FD" w:rsidRDefault="002D29FC">
            <w:pPr>
              <w:spacing w:before="121"/>
              <w:ind w:left="102" w:right="355"/>
              <w:rPr>
                <w:rFonts w:ascii="Calibri"/>
                <w:sz w:val="18"/>
              </w:rPr>
            </w:pPr>
            <w:r>
              <w:rPr>
                <w:rFonts w:ascii="Calibri"/>
                <w:sz w:val="18"/>
              </w:rPr>
              <w:t>Management and other non-care staff costs were 24.2 per cent of direct care salary costs and included administration and estates staff.</w:t>
            </w:r>
          </w:p>
          <w:p w:rsidR="006A18FD" w:rsidRDefault="006A18FD">
            <w:pPr>
              <w:rPr>
                <w:rFonts w:ascii="Calibri"/>
                <w:sz w:val="18"/>
              </w:rPr>
            </w:pPr>
          </w:p>
          <w:p w:rsidR="006A18FD" w:rsidRDefault="006A18FD">
            <w:pPr>
              <w:spacing w:before="8"/>
              <w:rPr>
                <w:rFonts w:ascii="Calibri"/>
                <w:sz w:val="15"/>
              </w:rPr>
            </w:pPr>
          </w:p>
          <w:p w:rsidR="006A18FD" w:rsidRDefault="002D29FC">
            <w:pPr>
              <w:ind w:left="102" w:right="115"/>
              <w:rPr>
                <w:rFonts w:ascii="Calibri"/>
                <w:sz w:val="18"/>
              </w:rPr>
            </w:pPr>
            <w:r>
              <w:rPr>
                <w:rFonts w:ascii="Calibri"/>
                <w:sz w:val="18"/>
              </w:rPr>
              <w:t>Non-staff costs were 43.1 per cent of direct care salary costs. They include costs to the provider for drugs, office, travel/transport, publishing, training courses and conferences, supplies and services (clinical and general), utilities such as</w:t>
            </w:r>
          </w:p>
          <w:p w:rsidR="006A18FD" w:rsidRDefault="002D29FC">
            <w:pPr>
              <w:spacing w:line="198" w:lineRule="exact"/>
              <w:ind w:left="102"/>
              <w:rPr>
                <w:rFonts w:ascii="Calibri"/>
                <w:sz w:val="18"/>
              </w:rPr>
            </w:pPr>
            <w:r>
              <w:rPr>
                <w:rFonts w:ascii="Calibri"/>
                <w:sz w:val="18"/>
              </w:rPr>
              <w:t>water as well as gas and electricity.</w:t>
            </w:r>
          </w:p>
        </w:tc>
      </w:tr>
      <w:tr w:rsidR="006A18FD">
        <w:trPr>
          <w:trHeight w:val="640"/>
        </w:trPr>
        <w:tc>
          <w:tcPr>
            <w:tcW w:w="2232" w:type="dxa"/>
          </w:tcPr>
          <w:p w:rsidR="006A18FD" w:rsidRDefault="002D29FC">
            <w:pPr>
              <w:spacing w:before="1"/>
              <w:ind w:left="52"/>
              <w:rPr>
                <w:rFonts w:ascii="Calibri"/>
                <w:sz w:val="18"/>
              </w:rPr>
            </w:pPr>
            <w:r>
              <w:rPr>
                <w:rFonts w:ascii="Calibri"/>
                <w:sz w:val="18"/>
              </w:rPr>
              <w:t>E. Capital overheads</w:t>
            </w:r>
          </w:p>
        </w:tc>
        <w:tc>
          <w:tcPr>
            <w:tcW w:w="1676" w:type="dxa"/>
          </w:tcPr>
          <w:p w:rsidR="006A18FD" w:rsidRDefault="002D29FC">
            <w:pPr>
              <w:spacing w:before="1"/>
              <w:ind w:left="103"/>
              <w:rPr>
                <w:rFonts w:ascii="Calibri" w:hAnsi="Calibri"/>
                <w:sz w:val="18"/>
              </w:rPr>
            </w:pPr>
            <w:r>
              <w:rPr>
                <w:rFonts w:ascii="Calibri" w:hAnsi="Calibri"/>
                <w:sz w:val="18"/>
              </w:rPr>
              <w:t>£3,482 per year</w:t>
            </w:r>
          </w:p>
        </w:tc>
        <w:tc>
          <w:tcPr>
            <w:tcW w:w="6135" w:type="dxa"/>
          </w:tcPr>
          <w:p w:rsidR="006A18FD" w:rsidRDefault="002D29FC">
            <w:pPr>
              <w:spacing w:before="1"/>
              <w:ind w:left="102" w:right="176"/>
              <w:rPr>
                <w:rFonts w:ascii="Calibri"/>
                <w:sz w:val="18"/>
              </w:rPr>
            </w:pPr>
            <w:r>
              <w:rPr>
                <w:rFonts w:ascii="Calibri"/>
                <w:sz w:val="18"/>
              </w:rPr>
              <w:t>Based on the new-build and land requirements of NHS facilities, but adjusted to reflect shared office space for administration, and recreational and changing</w:t>
            </w:r>
          </w:p>
          <w:p w:rsidR="006A18FD" w:rsidRDefault="002D29FC">
            <w:pPr>
              <w:spacing w:line="198" w:lineRule="exact"/>
              <w:ind w:left="102"/>
              <w:rPr>
                <w:rFonts w:ascii="Calibri"/>
                <w:sz w:val="18"/>
              </w:rPr>
            </w:pPr>
            <w:r>
              <w:rPr>
                <w:rFonts w:ascii="Calibri"/>
                <w:sz w:val="18"/>
              </w:rPr>
              <w:t>facilities.</w:t>
            </w:r>
            <w:r>
              <w:rPr>
                <w:rFonts w:ascii="Calibri"/>
                <w:position w:val="5"/>
                <w:sz w:val="12"/>
              </w:rPr>
              <w:t>6,</w:t>
            </w:r>
            <w:r>
              <w:rPr>
                <w:rFonts w:ascii="Calibri"/>
                <w:color w:val="221F1F"/>
                <w:position w:val="5"/>
                <w:sz w:val="12"/>
              </w:rPr>
              <w:t xml:space="preserve">7 </w:t>
            </w:r>
            <w:r>
              <w:rPr>
                <w:rFonts w:ascii="Calibri"/>
                <w:sz w:val="18"/>
              </w:rPr>
              <w:t>Treatment space has not been included.</w:t>
            </w:r>
          </w:p>
        </w:tc>
      </w:tr>
      <w:tr w:rsidR="006A18FD">
        <w:trPr>
          <w:trHeight w:val="880"/>
        </w:trPr>
        <w:tc>
          <w:tcPr>
            <w:tcW w:w="2232" w:type="dxa"/>
          </w:tcPr>
          <w:p w:rsidR="006A18FD" w:rsidRDefault="002D29FC">
            <w:pPr>
              <w:spacing w:before="1"/>
              <w:ind w:left="52"/>
              <w:rPr>
                <w:rFonts w:ascii="Calibri"/>
                <w:sz w:val="18"/>
              </w:rPr>
            </w:pPr>
            <w:r>
              <w:rPr>
                <w:rFonts w:ascii="Calibri"/>
                <w:sz w:val="18"/>
              </w:rPr>
              <w:t>Working time</w:t>
            </w:r>
          </w:p>
        </w:tc>
        <w:tc>
          <w:tcPr>
            <w:tcW w:w="1676" w:type="dxa"/>
          </w:tcPr>
          <w:p w:rsidR="006A18FD" w:rsidRDefault="002D29FC">
            <w:pPr>
              <w:spacing w:before="1"/>
              <w:ind w:left="103" w:right="168"/>
              <w:rPr>
                <w:rFonts w:ascii="Calibri"/>
                <w:sz w:val="18"/>
              </w:rPr>
            </w:pPr>
            <w:r>
              <w:rPr>
                <w:rFonts w:ascii="Calibri"/>
                <w:sz w:val="18"/>
              </w:rPr>
              <w:t>41.9 weeks per year</w:t>
            </w:r>
          </w:p>
          <w:p w:rsidR="006A18FD" w:rsidRDefault="002D29FC">
            <w:pPr>
              <w:spacing w:line="220" w:lineRule="atLeast"/>
              <w:ind w:left="103" w:right="478"/>
              <w:rPr>
                <w:rFonts w:ascii="Calibri"/>
                <w:sz w:val="18"/>
              </w:rPr>
            </w:pPr>
            <w:r>
              <w:rPr>
                <w:rFonts w:ascii="Calibri"/>
                <w:sz w:val="18"/>
              </w:rPr>
              <w:t>37.5 hours per week</w:t>
            </w:r>
          </w:p>
        </w:tc>
        <w:tc>
          <w:tcPr>
            <w:tcW w:w="6135" w:type="dxa"/>
          </w:tcPr>
          <w:p w:rsidR="006A18FD" w:rsidRDefault="002D29FC">
            <w:pPr>
              <w:spacing w:before="1"/>
              <w:ind w:left="102" w:right="250"/>
              <w:rPr>
                <w:rFonts w:ascii="Calibri"/>
                <w:sz w:val="12"/>
              </w:rPr>
            </w:pPr>
            <w:r>
              <w:rPr>
                <w:rFonts w:ascii="Calibri"/>
                <w:sz w:val="18"/>
              </w:rPr>
              <w:t>Unit costs are based on 1,573 hours per year: 225 working days minus sickness absence and training/study days as reported for all NHS staff groups.</w:t>
            </w:r>
            <w:r>
              <w:rPr>
                <w:rFonts w:ascii="Calibri"/>
                <w:position w:val="5"/>
                <w:sz w:val="12"/>
              </w:rPr>
              <w:t>8</w:t>
            </w:r>
          </w:p>
        </w:tc>
      </w:tr>
      <w:tr w:rsidR="006A18FD">
        <w:trPr>
          <w:trHeight w:val="679"/>
        </w:trPr>
        <w:tc>
          <w:tcPr>
            <w:tcW w:w="2232" w:type="dxa"/>
          </w:tcPr>
          <w:p w:rsidR="006A18FD" w:rsidRDefault="002D29FC">
            <w:pPr>
              <w:ind w:left="52" w:right="194"/>
              <w:rPr>
                <w:rFonts w:ascii="Calibri"/>
                <w:sz w:val="18"/>
              </w:rPr>
            </w:pPr>
            <w:r>
              <w:rPr>
                <w:rFonts w:ascii="Calibri"/>
                <w:sz w:val="18"/>
              </w:rPr>
              <w:t>Ratio of direct to indirect time on:</w:t>
            </w:r>
          </w:p>
          <w:p w:rsidR="006A18FD" w:rsidRDefault="002D29FC">
            <w:pPr>
              <w:spacing w:before="27" w:line="199" w:lineRule="exact"/>
              <w:ind w:left="52"/>
              <w:rPr>
                <w:rFonts w:ascii="Calibri"/>
                <w:sz w:val="18"/>
              </w:rPr>
            </w:pPr>
            <w:r>
              <w:rPr>
                <w:rFonts w:ascii="Calibri"/>
                <w:sz w:val="18"/>
              </w:rPr>
              <w:t>Face-to-face contact</w:t>
            </w:r>
          </w:p>
        </w:tc>
        <w:tc>
          <w:tcPr>
            <w:tcW w:w="1676" w:type="dxa"/>
          </w:tcPr>
          <w:p w:rsidR="006A18FD" w:rsidRDefault="006A18FD">
            <w:pPr>
              <w:rPr>
                <w:rFonts w:ascii="Calibri"/>
                <w:sz w:val="18"/>
              </w:rPr>
            </w:pPr>
          </w:p>
          <w:p w:rsidR="006A18FD" w:rsidRDefault="006A18FD">
            <w:pPr>
              <w:spacing w:before="11"/>
              <w:rPr>
                <w:rFonts w:ascii="Calibri"/>
                <w:sz w:val="19"/>
              </w:rPr>
            </w:pPr>
          </w:p>
          <w:p w:rsidR="006A18FD" w:rsidRDefault="002D29FC">
            <w:pPr>
              <w:spacing w:line="199" w:lineRule="exact"/>
              <w:ind w:left="103"/>
              <w:rPr>
                <w:rFonts w:ascii="Calibri"/>
                <w:sz w:val="18"/>
              </w:rPr>
            </w:pPr>
            <w:r>
              <w:rPr>
                <w:rFonts w:ascii="Calibri"/>
                <w:color w:val="221F1F"/>
                <w:sz w:val="18"/>
              </w:rPr>
              <w:t>1:0.47</w:t>
            </w:r>
          </w:p>
        </w:tc>
        <w:tc>
          <w:tcPr>
            <w:tcW w:w="6135" w:type="dxa"/>
          </w:tcPr>
          <w:p w:rsidR="006A18FD" w:rsidRDefault="002D29FC">
            <w:pPr>
              <w:ind w:left="102" w:right="151"/>
              <w:rPr>
                <w:rFonts w:ascii="Calibri"/>
                <w:sz w:val="12"/>
              </w:rPr>
            </w:pPr>
            <w:r>
              <w:rPr>
                <w:rFonts w:ascii="Calibri"/>
                <w:color w:val="221F1F"/>
                <w:sz w:val="18"/>
              </w:rPr>
              <w:t>Drawn from a study by Marsden &amp; colleagues (2019) where it was reported that every hour of face-to-face time required 28 minutes of non face-to-face time.</w:t>
            </w:r>
            <w:r>
              <w:rPr>
                <w:rFonts w:ascii="Calibri"/>
                <w:color w:val="221F1F"/>
                <w:position w:val="5"/>
                <w:sz w:val="12"/>
              </w:rPr>
              <w:t>9</w:t>
            </w:r>
          </w:p>
        </w:tc>
      </w:tr>
      <w:tr w:rsidR="006A18FD">
        <w:trPr>
          <w:trHeight w:val="220"/>
        </w:trPr>
        <w:tc>
          <w:tcPr>
            <w:tcW w:w="2232" w:type="dxa"/>
          </w:tcPr>
          <w:p w:rsidR="006A18FD" w:rsidRDefault="002D29FC">
            <w:pPr>
              <w:spacing w:before="1" w:line="199" w:lineRule="exact"/>
              <w:ind w:left="52"/>
              <w:rPr>
                <w:rFonts w:ascii="Calibri"/>
                <w:sz w:val="18"/>
              </w:rPr>
            </w:pPr>
            <w:r>
              <w:rPr>
                <w:rFonts w:ascii="Calibri"/>
                <w:sz w:val="18"/>
              </w:rPr>
              <w:t>Length of contact</w:t>
            </w:r>
          </w:p>
        </w:tc>
        <w:tc>
          <w:tcPr>
            <w:tcW w:w="1676" w:type="dxa"/>
          </w:tcPr>
          <w:p w:rsidR="006A18FD" w:rsidRDefault="006A18FD">
            <w:pPr>
              <w:rPr>
                <w:rFonts w:ascii="Times New Roman"/>
                <w:sz w:val="14"/>
              </w:rPr>
            </w:pPr>
          </w:p>
        </w:tc>
        <w:tc>
          <w:tcPr>
            <w:tcW w:w="6135" w:type="dxa"/>
          </w:tcPr>
          <w:p w:rsidR="006A18FD" w:rsidRDefault="006A18FD">
            <w:pPr>
              <w:rPr>
                <w:rFonts w:ascii="Times New Roman"/>
                <w:sz w:val="14"/>
              </w:rPr>
            </w:pPr>
          </w:p>
        </w:tc>
      </w:tr>
      <w:tr w:rsidR="006A18FD">
        <w:trPr>
          <w:trHeight w:val="340"/>
        </w:trPr>
        <w:tc>
          <w:tcPr>
            <w:tcW w:w="10044" w:type="dxa"/>
            <w:gridSpan w:val="3"/>
          </w:tcPr>
          <w:p w:rsidR="006A18FD" w:rsidRDefault="002D29FC">
            <w:pPr>
              <w:spacing w:before="1"/>
              <w:ind w:left="52"/>
              <w:rPr>
                <w:rFonts w:ascii="Calibri"/>
                <w:b/>
                <w:sz w:val="18"/>
              </w:rPr>
            </w:pPr>
            <w:r>
              <w:rPr>
                <w:rFonts w:ascii="Calibri"/>
                <w:b/>
                <w:sz w:val="18"/>
              </w:rPr>
              <w:t>Unit costs available 2018/2019 (costs including qualifications given in brackets)</w:t>
            </w:r>
          </w:p>
        </w:tc>
      </w:tr>
      <w:tr w:rsidR="006A18FD">
        <w:trPr>
          <w:trHeight w:val="220"/>
        </w:trPr>
        <w:tc>
          <w:tcPr>
            <w:tcW w:w="10044" w:type="dxa"/>
            <w:gridSpan w:val="3"/>
          </w:tcPr>
          <w:p w:rsidR="006A18FD" w:rsidRDefault="002D29FC">
            <w:pPr>
              <w:spacing w:line="200" w:lineRule="exact"/>
              <w:ind w:left="52"/>
              <w:rPr>
                <w:rFonts w:ascii="Calibri" w:hAnsi="Calibri"/>
                <w:sz w:val="18"/>
              </w:rPr>
            </w:pPr>
            <w:r>
              <w:rPr>
                <w:rFonts w:ascii="Calibri" w:hAnsi="Calibri"/>
                <w:sz w:val="18"/>
              </w:rPr>
              <w:t>£47 (£52) per hour.  £69 (£76) per hour with qualifications.</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13"/>
        <w:ind w:left="436" w:hanging="284"/>
        <w:rPr>
          <w:rFonts w:ascii="Calibri"/>
          <w:sz w:val="16"/>
        </w:rPr>
      </w:pPr>
      <w:r>
        <w:rPr>
          <w:rFonts w:ascii="Calibri"/>
          <w:position w:val="5"/>
          <w:sz w:val="10"/>
        </w:rPr>
        <w:t xml:space="preserve">1 </w:t>
      </w:r>
      <w:r>
        <w:rPr>
          <w:rFonts w:ascii="Calibri"/>
          <w:sz w:val="16"/>
        </w:rPr>
        <w:t xml:space="preserve">Baker, S., &amp; Lloyd, C. (2012) </w:t>
      </w:r>
      <w:r>
        <w:rPr>
          <w:rFonts w:ascii="Calibri"/>
          <w:i/>
          <w:sz w:val="16"/>
        </w:rPr>
        <w:t>A national study of acute care Alcohol Health Workers</w:t>
      </w:r>
      <w:r>
        <w:rPr>
          <w:rFonts w:ascii="Calibri"/>
          <w:sz w:val="16"/>
        </w:rPr>
        <w:t xml:space="preserve">, Alcohol Research UK. </w:t>
      </w:r>
      <w:hyperlink r:id="rId144">
        <w:r>
          <w:rPr>
            <w:rFonts w:ascii="Calibri"/>
            <w:sz w:val="16"/>
            <w:u w:val="single"/>
          </w:rPr>
          <w:t>http://alcoholresearchuk.org/downloads/finalReports/FinalReport_0115.pdf</w:t>
        </w:r>
        <w:r>
          <w:rPr>
            <w:rFonts w:ascii="Calibri"/>
            <w:sz w:val="16"/>
          </w:rPr>
          <w:t>.</w:t>
        </w:r>
      </w:hyperlink>
    </w:p>
    <w:p w:rsidR="006A18FD" w:rsidRDefault="002D29FC">
      <w:pPr>
        <w:spacing w:line="194" w:lineRule="exact"/>
        <w:ind w:left="152"/>
        <w:rPr>
          <w:rFonts w:ascii="Times New Roman" w:hAnsi="Times New Roman"/>
          <w:sz w:val="16"/>
        </w:rPr>
      </w:pPr>
      <w:r>
        <w:rPr>
          <w:rFonts w:ascii="Calibri" w:hAnsi="Calibri"/>
          <w:position w:val="4"/>
          <w:sz w:val="10"/>
        </w:rPr>
        <w:t xml:space="preserve">2 </w:t>
      </w:r>
      <w:r>
        <w:rPr>
          <w:rFonts w:ascii="Calibri" w:hAnsi="Calibri"/>
          <w:sz w:val="16"/>
        </w:rPr>
        <w:t xml:space="preserve">NHS Digital (2018) </w:t>
      </w:r>
      <w:r>
        <w:rPr>
          <w:rFonts w:ascii="Calibri" w:hAnsi="Calibri"/>
          <w:i/>
          <w:sz w:val="16"/>
        </w:rPr>
        <w:t xml:space="preserve">NHS staff earnings estimates, 12-month period from May 2017 – April 2018 </w:t>
      </w:r>
      <w:r>
        <w:rPr>
          <w:rFonts w:ascii="Calibri" w:hAnsi="Calibri"/>
          <w:sz w:val="16"/>
        </w:rPr>
        <w:t>(not publicly available), NHS Digital, Leeds</w:t>
      </w:r>
      <w:r>
        <w:rPr>
          <w:rFonts w:ascii="Times New Roman" w:hAnsi="Times New Roman"/>
          <w:sz w:val="16"/>
        </w:rPr>
        <w:t>.</w:t>
      </w:r>
    </w:p>
    <w:p w:rsidR="006A18FD" w:rsidRDefault="002D29FC">
      <w:pPr>
        <w:spacing w:before="2"/>
        <w:ind w:left="436" w:right="384" w:hanging="284"/>
        <w:rPr>
          <w:rFonts w:ascii="Calibri"/>
          <w:sz w:val="16"/>
        </w:rPr>
      </w:pPr>
      <w:r>
        <w:rPr>
          <w:rFonts w:ascii="Calibri"/>
          <w:position w:val="5"/>
          <w:sz w:val="10"/>
        </w:rPr>
        <w:t xml:space="preserve">3 </w:t>
      </w:r>
      <w:r>
        <w:rPr>
          <w:rFonts w:ascii="Calibri"/>
          <w:sz w:val="16"/>
        </w:rPr>
        <w:t xml:space="preserve">NHS Employers (2016) </w:t>
      </w:r>
      <w:r>
        <w:rPr>
          <w:rFonts w:ascii="Calibri"/>
          <w:i/>
          <w:sz w:val="16"/>
        </w:rPr>
        <w:t>NHS Terms and Conditions of Service Handbook (Agenda for Change)</w:t>
      </w:r>
      <w:r>
        <w:rPr>
          <w:rFonts w:ascii="Calibri"/>
          <w:sz w:val="16"/>
        </w:rPr>
        <w:t xml:space="preserve">, </w:t>
      </w:r>
      <w:hyperlink r:id="rId145">
        <w:r>
          <w:rPr>
            <w:rFonts w:ascii="Calibri"/>
            <w:sz w:val="16"/>
            <w:u w:val="single"/>
          </w:rPr>
          <w:t>http://www.nhsemployers.org/your-workforce/pay-and-</w:t>
        </w:r>
      </w:hyperlink>
      <w:r>
        <w:rPr>
          <w:rFonts w:ascii="Calibri"/>
          <w:sz w:val="16"/>
        </w:rPr>
        <w:t xml:space="preserve"> </w:t>
      </w:r>
      <w:hyperlink r:id="rId146">
        <w:r>
          <w:rPr>
            <w:rFonts w:ascii="Calibri"/>
            <w:sz w:val="16"/>
            <w:u w:val="single"/>
          </w:rPr>
          <w:t>reward/nhs-terms-and-conditions/nhs-terms-and-conditions-of-service-handbook</w:t>
        </w:r>
        <w:r>
          <w:rPr>
            <w:rFonts w:ascii="Calibri"/>
            <w:sz w:val="16"/>
          </w:rPr>
          <w:t>.</w:t>
        </w:r>
      </w:hyperlink>
    </w:p>
    <w:p w:rsidR="006A18FD" w:rsidRDefault="002D29FC">
      <w:pPr>
        <w:spacing w:before="1"/>
        <w:ind w:left="436" w:hanging="284"/>
        <w:rPr>
          <w:rFonts w:ascii="Calibri"/>
          <w:sz w:val="16"/>
        </w:rPr>
      </w:pPr>
      <w:r>
        <w:rPr>
          <w:rFonts w:ascii="Calibri"/>
          <w:position w:val="5"/>
          <w:sz w:val="10"/>
        </w:rPr>
        <w:t xml:space="preserve">4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ind w:left="436" w:right="173" w:hanging="284"/>
        <w:rPr>
          <w:rFonts w:ascii="Calibri"/>
          <w:sz w:val="16"/>
        </w:rPr>
      </w:pPr>
      <w:r>
        <w:rPr>
          <w:rFonts w:ascii="Calibri"/>
          <w:position w:val="5"/>
          <w:sz w:val="10"/>
        </w:rPr>
        <w:t xml:space="preserve">5 </w:t>
      </w:r>
      <w:r>
        <w:rPr>
          <w:rFonts w:ascii="Calibri"/>
          <w:sz w:val="16"/>
        </w:rPr>
        <w:t xml:space="preserve">Monitor (2016) </w:t>
      </w:r>
      <w:r>
        <w:rPr>
          <w:rFonts w:ascii="Calibri"/>
          <w:i/>
          <w:sz w:val="16"/>
        </w:rPr>
        <w:t>NHS Foundation Trusts: Consolidation (FTC) files 2014/15</w:t>
      </w:r>
      <w:r>
        <w:rPr>
          <w:rFonts w:ascii="Calibri"/>
          <w:sz w:val="16"/>
        </w:rPr>
        <w:t xml:space="preserve">, </w:t>
      </w:r>
      <w:hyperlink r:id="rId147">
        <w:r>
          <w:rPr>
            <w:rFonts w:ascii="Calibri"/>
            <w:sz w:val="16"/>
            <w:u w:val="single"/>
          </w:rPr>
          <w:t>https://www.gov.uk/government/publications/nhs-foundation-trust-accounts-</w:t>
        </w:r>
      </w:hyperlink>
      <w:r>
        <w:rPr>
          <w:rFonts w:ascii="Calibri"/>
          <w:sz w:val="16"/>
        </w:rPr>
        <w:t xml:space="preserve"> </w:t>
      </w:r>
      <w:hyperlink r:id="rId148">
        <w:r>
          <w:rPr>
            <w:rFonts w:ascii="Calibri"/>
            <w:sz w:val="16"/>
            <w:u w:val="single"/>
          </w:rPr>
          <w:t>consolidation-ftc-files-201415</w:t>
        </w:r>
        <w:r>
          <w:rPr>
            <w:rFonts w:ascii="Calibri"/>
            <w:sz w:val="16"/>
          </w:rPr>
          <w:t>.</w:t>
        </w:r>
      </w:hyperlink>
    </w:p>
    <w:p w:rsidR="006A18FD" w:rsidRDefault="002D29FC">
      <w:pPr>
        <w:ind w:left="436" w:right="1704"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49">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1" w:line="195" w:lineRule="exact"/>
        <w:ind w:left="152"/>
        <w:rPr>
          <w:rFonts w:ascii="Calibri"/>
          <w:sz w:val="16"/>
        </w:rPr>
      </w:pPr>
      <w:r>
        <w:rPr>
          <w:rFonts w:ascii="Calibri"/>
          <w:position w:val="5"/>
          <w:sz w:val="10"/>
        </w:rPr>
        <w:t xml:space="preserve">7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line="244" w:lineRule="auto"/>
        <w:ind w:left="152" w:right="153"/>
        <w:rPr>
          <w:rFonts w:ascii="Calibri"/>
          <w:sz w:val="16"/>
        </w:rPr>
      </w:pPr>
      <w:r>
        <w:rPr>
          <w:rFonts w:ascii="Calibri"/>
          <w:position w:val="7"/>
          <w:sz w:val="13"/>
        </w:rPr>
        <w:t xml:space="preserve">8 </w:t>
      </w:r>
      <w:r>
        <w:rPr>
          <w:rFonts w:ascii="Calibri"/>
          <w:sz w:val="16"/>
        </w:rPr>
        <w:t xml:space="preserve">Contracted hours are taken from NHS Digital, NHS sickness absence rates, January 2019 to March 2019 and Annual Summary 2010-11 to 2018-19, NHS Digital, London. </w:t>
      </w:r>
      <w:hyperlink r:id="rId150">
        <w:r>
          <w:rPr>
            <w:rFonts w:ascii="Calibri"/>
            <w:sz w:val="16"/>
            <w:u w:val="single"/>
          </w:rPr>
          <w:t>https://digital.nhs.uk/data-and-information/publications/statistical/nhs-sickness-absence-rates/january-2019-to-march-2019-and-annual-</w:t>
        </w:r>
      </w:hyperlink>
      <w:hyperlink r:id="rId151">
        <w:r>
          <w:rPr>
            <w:rFonts w:ascii="Calibri"/>
            <w:sz w:val="16"/>
            <w:u w:val="single"/>
          </w:rPr>
          <w:t xml:space="preserve"> summary-2010-11-to-2018-19</w:t>
        </w:r>
        <w:r>
          <w:rPr>
            <w:rFonts w:ascii="Calibri"/>
            <w:sz w:val="16"/>
          </w:rPr>
          <w:t xml:space="preserve"> </w:t>
        </w:r>
      </w:hyperlink>
      <w:r>
        <w:rPr>
          <w:rFonts w:ascii="Calibri"/>
          <w:sz w:val="16"/>
        </w:rPr>
        <w:t>[accessed 1 October 2019].</w:t>
      </w:r>
    </w:p>
    <w:p w:rsidR="006A18FD" w:rsidRDefault="002D29FC">
      <w:pPr>
        <w:ind w:left="436" w:right="239" w:hanging="284"/>
        <w:rPr>
          <w:rFonts w:ascii="Calibri"/>
          <w:sz w:val="16"/>
        </w:rPr>
      </w:pPr>
      <w:r>
        <w:rPr>
          <w:rFonts w:ascii="Calibri"/>
          <w:position w:val="5"/>
          <w:sz w:val="10"/>
        </w:rPr>
        <w:t xml:space="preserve">9 </w:t>
      </w:r>
      <w:r>
        <w:rPr>
          <w:rFonts w:ascii="Calibri"/>
          <w:sz w:val="16"/>
        </w:rPr>
        <w:t xml:space="preserve">Marsden, J., Stillwell, G., James, K., Shearer, J., Byford, S., Hellier, J., Kelleher, M., Kelly, J., Murphy, C. &amp; Mitcheson, L. (2019) Efficacy and cost- effectiveness of an adjunctive personalised psychosocial intervention in treatment-resistant maintenance opioid agonist therapy: a pragmatic, open- label, randomised controlled trial, </w:t>
      </w:r>
      <w:r>
        <w:rPr>
          <w:rFonts w:ascii="Calibri"/>
          <w:i/>
          <w:sz w:val="16"/>
        </w:rPr>
        <w:t>Lancet Psychiatry 2019</w:t>
      </w:r>
      <w:r>
        <w:rPr>
          <w:rFonts w:ascii="Calibri"/>
          <w:sz w:val="16"/>
        </w:rPr>
        <w:t>; 6:391-402 (supplementary appendix).</w:t>
      </w:r>
    </w:p>
    <w:p w:rsidR="006A18FD" w:rsidRDefault="006A18FD">
      <w:pPr>
        <w:rPr>
          <w:rFonts w:ascii="Calibri"/>
          <w:sz w:val="16"/>
        </w:rPr>
        <w:sectPr w:rsidR="006A18FD">
          <w:headerReference w:type="default" r:id="rId152"/>
          <w:pgSz w:w="11910" w:h="16840"/>
          <w:pgMar w:top="660" w:right="580" w:bottom="280" w:left="98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153"/>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6"/>
        <w:rPr>
          <w:rFonts w:ascii="Times New Roman"/>
          <w:sz w:val="24"/>
        </w:rPr>
      </w:pPr>
    </w:p>
    <w:p w:rsidR="006A18FD" w:rsidRPr="0025638D" w:rsidRDefault="002D29FC" w:rsidP="008E3FA8">
      <w:pPr>
        <w:pStyle w:val="ListParagraph"/>
        <w:numPr>
          <w:ilvl w:val="0"/>
          <w:numId w:val="23"/>
        </w:numPr>
        <w:tabs>
          <w:tab w:val="left" w:pos="142"/>
        </w:tabs>
        <w:spacing w:before="100"/>
        <w:ind w:hanging="882"/>
        <w:rPr>
          <w:rFonts w:ascii="Cambria"/>
          <w:b/>
          <w:sz w:val="36"/>
        </w:rPr>
      </w:pPr>
      <w:r w:rsidRPr="0025638D">
        <w:rPr>
          <w:rFonts w:ascii="Cambria"/>
          <w:b/>
          <w:sz w:val="36"/>
        </w:rPr>
        <w:t>Services for adults requiring learning disability</w:t>
      </w:r>
      <w:r w:rsidRPr="0025638D">
        <w:rPr>
          <w:rFonts w:ascii="Cambria"/>
          <w:b/>
          <w:spacing w:val="-41"/>
          <w:sz w:val="36"/>
        </w:rPr>
        <w:t xml:space="preserve"> </w:t>
      </w:r>
      <w:r w:rsidRPr="0025638D">
        <w:rPr>
          <w:rFonts w:ascii="Cambria"/>
          <w:b/>
          <w:sz w:val="36"/>
        </w:rPr>
        <w:t>support</w:t>
      </w:r>
    </w:p>
    <w:p w:rsidR="006A18FD" w:rsidRPr="0025638D" w:rsidRDefault="002D29FC" w:rsidP="008E3FA8">
      <w:pPr>
        <w:pStyle w:val="ListParagraph"/>
        <w:numPr>
          <w:ilvl w:val="1"/>
          <w:numId w:val="23"/>
        </w:numPr>
        <w:tabs>
          <w:tab w:val="left" w:pos="679"/>
          <w:tab w:val="left" w:pos="680"/>
        </w:tabs>
        <w:spacing w:before="304" w:line="276" w:lineRule="auto"/>
        <w:ind w:right="622"/>
        <w:rPr>
          <w:rFonts w:ascii="Calibri"/>
          <w:sz w:val="28"/>
        </w:rPr>
      </w:pPr>
      <w:r w:rsidRPr="0025638D">
        <w:rPr>
          <w:rFonts w:ascii="Calibri"/>
          <w:sz w:val="28"/>
        </w:rPr>
        <w:t>Local authority own-provision day care for adults requiring learning disability support (age</w:t>
      </w:r>
      <w:r w:rsidRPr="0025638D">
        <w:rPr>
          <w:rFonts w:ascii="Calibri"/>
          <w:spacing w:val="-12"/>
          <w:sz w:val="28"/>
        </w:rPr>
        <w:t xml:space="preserve"> </w:t>
      </w:r>
      <w:r w:rsidRPr="0025638D">
        <w:rPr>
          <w:rFonts w:ascii="Calibri"/>
          <w:sz w:val="28"/>
        </w:rPr>
        <w:t>18-64)</w:t>
      </w:r>
    </w:p>
    <w:p w:rsidR="006A18FD" w:rsidRPr="0025638D" w:rsidRDefault="002D29FC" w:rsidP="008E3FA8">
      <w:pPr>
        <w:pStyle w:val="ListParagraph"/>
        <w:numPr>
          <w:ilvl w:val="1"/>
          <w:numId w:val="23"/>
        </w:numPr>
        <w:tabs>
          <w:tab w:val="left" w:pos="679"/>
          <w:tab w:val="left" w:pos="680"/>
        </w:tabs>
        <w:spacing w:before="120"/>
        <w:rPr>
          <w:rFonts w:ascii="Calibri"/>
          <w:sz w:val="28"/>
        </w:rPr>
      </w:pPr>
      <w:r w:rsidRPr="0025638D">
        <w:rPr>
          <w:rFonts w:ascii="Calibri"/>
          <w:sz w:val="28"/>
        </w:rPr>
        <w:t>Advocacy for parents requiring learning disability</w:t>
      </w:r>
      <w:r w:rsidRPr="0025638D">
        <w:rPr>
          <w:rFonts w:ascii="Calibri"/>
          <w:spacing w:val="-18"/>
          <w:sz w:val="28"/>
        </w:rPr>
        <w:t xml:space="preserve"> </w:t>
      </w:r>
      <w:r w:rsidRPr="0025638D">
        <w:rPr>
          <w:rFonts w:ascii="Calibri"/>
          <w:sz w:val="28"/>
        </w:rPr>
        <w:t>support</w:t>
      </w:r>
    </w:p>
    <w:p w:rsidR="006A18FD" w:rsidRPr="0025638D" w:rsidRDefault="002D29FC" w:rsidP="008E3FA8">
      <w:pPr>
        <w:pStyle w:val="ListParagraph"/>
        <w:numPr>
          <w:ilvl w:val="1"/>
          <w:numId w:val="23"/>
        </w:numPr>
        <w:tabs>
          <w:tab w:val="left" w:pos="679"/>
          <w:tab w:val="left" w:pos="680"/>
        </w:tabs>
        <w:spacing w:before="169"/>
        <w:rPr>
          <w:rFonts w:ascii="Calibri"/>
          <w:sz w:val="28"/>
        </w:rPr>
      </w:pPr>
      <w:r w:rsidRPr="0025638D">
        <w:rPr>
          <w:rFonts w:ascii="Calibri"/>
          <w:sz w:val="28"/>
        </w:rPr>
        <w:t>Residential care homes for adults requiring learning disability</w:t>
      </w:r>
      <w:r w:rsidRPr="0025638D">
        <w:rPr>
          <w:rFonts w:ascii="Calibri"/>
          <w:spacing w:val="-25"/>
          <w:sz w:val="28"/>
        </w:rPr>
        <w:t xml:space="preserve"> </w:t>
      </w:r>
      <w:r w:rsidRPr="0025638D">
        <w:rPr>
          <w:rFonts w:ascii="Calibri"/>
          <w:sz w:val="28"/>
        </w:rPr>
        <w:t>support</w:t>
      </w:r>
    </w:p>
    <w:p w:rsidR="006A18FD" w:rsidRPr="0025638D" w:rsidRDefault="002D29FC" w:rsidP="008E3FA8">
      <w:pPr>
        <w:pStyle w:val="ListParagraph"/>
        <w:numPr>
          <w:ilvl w:val="1"/>
          <w:numId w:val="23"/>
        </w:numPr>
        <w:tabs>
          <w:tab w:val="left" w:pos="656"/>
        </w:tabs>
        <w:spacing w:before="171"/>
        <w:rPr>
          <w:rFonts w:ascii="Calibri"/>
          <w:sz w:val="28"/>
        </w:rPr>
      </w:pPr>
      <w:r w:rsidRPr="0025638D">
        <w:rPr>
          <w:rFonts w:ascii="Calibri"/>
          <w:sz w:val="28"/>
        </w:rPr>
        <w:t>Care homes for adults with autism and complex</w:t>
      </w:r>
      <w:r w:rsidRPr="0025638D">
        <w:rPr>
          <w:rFonts w:ascii="Calibri"/>
          <w:spacing w:val="-20"/>
          <w:sz w:val="28"/>
        </w:rPr>
        <w:t xml:space="preserve"> </w:t>
      </w:r>
      <w:r w:rsidRPr="0025638D">
        <w:rPr>
          <w:rFonts w:ascii="Calibri"/>
          <w:sz w:val="28"/>
        </w:rPr>
        <w:t>needs</w:t>
      </w:r>
    </w:p>
    <w:p w:rsidR="006A18FD" w:rsidRPr="0025638D" w:rsidRDefault="002D29FC" w:rsidP="008E3FA8">
      <w:pPr>
        <w:pStyle w:val="ListParagraph"/>
        <w:numPr>
          <w:ilvl w:val="1"/>
          <w:numId w:val="23"/>
        </w:numPr>
        <w:tabs>
          <w:tab w:val="left" w:pos="656"/>
        </w:tabs>
        <w:spacing w:before="171" w:line="276" w:lineRule="auto"/>
        <w:ind w:right="100"/>
        <w:rPr>
          <w:rFonts w:ascii="Calibri"/>
          <w:sz w:val="28"/>
        </w:rPr>
      </w:pPr>
      <w:r w:rsidRPr="0025638D">
        <w:rPr>
          <w:rFonts w:ascii="Calibri"/>
          <w:sz w:val="28"/>
        </w:rPr>
        <w:t>Positive behavioural support for adults with intellectual disabilities and behaviour that</w:t>
      </w:r>
      <w:r w:rsidRPr="0025638D">
        <w:rPr>
          <w:rFonts w:ascii="Calibri"/>
          <w:spacing w:val="-8"/>
          <w:sz w:val="28"/>
        </w:rPr>
        <w:t xml:space="preserve"> </w:t>
      </w:r>
      <w:r w:rsidRPr="0025638D">
        <w:rPr>
          <w:rFonts w:ascii="Calibri"/>
          <w:sz w:val="28"/>
        </w:rPr>
        <w:t>challenges</w:t>
      </w:r>
    </w:p>
    <w:p w:rsidR="006A18FD" w:rsidRDefault="006A18FD">
      <w:pPr>
        <w:spacing w:line="276" w:lineRule="auto"/>
        <w:rPr>
          <w:rFonts w:ascii="Calibri"/>
          <w:sz w:val="28"/>
        </w:rPr>
        <w:sectPr w:rsidR="006A18FD">
          <w:headerReference w:type="default" r:id="rId154"/>
          <w:pgSz w:w="11910" w:h="16840"/>
          <w:pgMar w:top="1580" w:right="840" w:bottom="280" w:left="1020" w:header="0"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3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31" name="Line 18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1BEE21" id="Group 18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UWZnMH4CAACBBQAA&#10;DgAAAAAAAAAAAAAAAAAuAgAAZHJzL2Uyb0RvYy54bWxQSwECLQAUAAYACAAAACEALXfkXNoAAAAE&#10;AQAADwAAAAAAAAAAAAAAAADYBAAAZHJzL2Rvd25yZXYueG1sUEsFBgAAAAAEAAQA8wAAAN8FAAAA&#10;AA==&#10;">
                <v:line id="Line 18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w10:anchorlock/>
              </v:group>
            </w:pict>
          </mc:Fallback>
        </mc:AlternateContent>
      </w:r>
    </w:p>
    <w:p w:rsidR="006A18FD" w:rsidRDefault="0025638D" w:rsidP="0025638D">
      <w:pPr>
        <w:pStyle w:val="Heading2"/>
      </w:pPr>
      <w:r>
        <w:t xml:space="preserve">4.1 </w:t>
      </w:r>
      <w:r w:rsidR="002D29FC">
        <w:t>Local authority own-provision day care for adults requiring learning disability support (age</w:t>
      </w:r>
      <w:r w:rsidR="002D29FC">
        <w:rPr>
          <w:spacing w:val="-18"/>
        </w:rPr>
        <w:t xml:space="preserve"> </w:t>
      </w:r>
      <w:r w:rsidR="002D29FC">
        <w:t>18-64)</w:t>
      </w:r>
    </w:p>
    <w:p w:rsidR="006A18FD" w:rsidRDefault="002D29FC">
      <w:pPr>
        <w:spacing w:before="115" w:line="276" w:lineRule="auto"/>
        <w:ind w:left="140" w:right="195"/>
        <w:rPr>
          <w:rFonts w:ascii="Calibri" w:hAnsi="Calibri"/>
          <w:sz w:val="20"/>
        </w:rPr>
      </w:pPr>
      <w:r>
        <w:rPr>
          <w:rFonts w:ascii="Calibri" w:hAnsi="Calibri"/>
          <w:sz w:val="20"/>
        </w:rPr>
        <w:t>As day care expenditure is now combined with other expenditure in the ASC-FR data collection,</w:t>
      </w:r>
      <w:r>
        <w:rPr>
          <w:rFonts w:ascii="Calibri" w:hAnsi="Calibri"/>
          <w:position w:val="7"/>
          <w:sz w:val="13"/>
        </w:rPr>
        <w:t xml:space="preserve">1  </w:t>
      </w:r>
      <w:r>
        <w:rPr>
          <w:rFonts w:ascii="Calibri" w:hAnsi="Calibri"/>
          <w:sz w:val="20"/>
        </w:rPr>
        <w:t>this table uses the Personal Social Services Expenditure return (PSS EX1)</w:t>
      </w:r>
      <w:r>
        <w:rPr>
          <w:rFonts w:ascii="Calibri" w:hAnsi="Calibri"/>
          <w:position w:val="5"/>
          <w:sz w:val="12"/>
        </w:rPr>
        <w:t xml:space="preserve">2 </w:t>
      </w:r>
      <w:r>
        <w:rPr>
          <w:rFonts w:ascii="Calibri" w:hAnsi="Calibri"/>
          <w:sz w:val="20"/>
        </w:rPr>
        <w:t>for 2013/2014 for expenditure costs, which have been uprated using the PSS pay &amp; prices inflator. The median cost was £345 per client week and the mean cost was £359 per client week (including capital costs). These data do not report on the number of sessions clients attended each week.</w:t>
      </w:r>
    </w:p>
    <w:p w:rsidR="006A18FD" w:rsidRDefault="002D29FC">
      <w:pPr>
        <w:spacing w:before="119" w:line="276" w:lineRule="auto"/>
        <w:ind w:left="140" w:right="195"/>
        <w:rPr>
          <w:rFonts w:ascii="Calibri" w:hAnsi="Calibri"/>
          <w:sz w:val="20"/>
        </w:rPr>
      </w:pPr>
      <w:r>
        <w:rPr>
          <w:rFonts w:ascii="Calibri" w:hAnsi="Calibri"/>
          <w:sz w:val="20"/>
        </w:rPr>
        <w:t>To determine the best unit of activity, we submitted a Freedom of Information request to ask local authorities the duration of a ‘unit of activity’ and to provide approximate guidance on how many times a week clients attend.</w:t>
      </w:r>
    </w:p>
    <w:p w:rsidR="006A18FD" w:rsidRDefault="002D29FC">
      <w:pPr>
        <w:spacing w:before="116" w:line="276" w:lineRule="auto"/>
        <w:ind w:left="140" w:right="155"/>
        <w:rPr>
          <w:rFonts w:ascii="Calibri"/>
          <w:sz w:val="20"/>
        </w:rPr>
      </w:pPr>
      <w:r>
        <w:rPr>
          <w:rFonts w:ascii="Calibri"/>
          <w:sz w:val="20"/>
        </w:rPr>
        <w:t>Based on information provided by ten local authorities,</w:t>
      </w:r>
      <w:r>
        <w:rPr>
          <w:rFonts w:ascii="Calibri"/>
          <w:position w:val="7"/>
          <w:sz w:val="13"/>
        </w:rPr>
        <w:t xml:space="preserve">3  </w:t>
      </w:r>
      <w:r>
        <w:rPr>
          <w:rFonts w:ascii="Calibri"/>
          <w:sz w:val="20"/>
        </w:rPr>
        <w:t>we have calculated an average cost per client attendance and also a cost per client hour. We have then used this information to calculate the cost of a client session lasting 3.5 hours, which is a typical standard unit of day care for most local authorities responding to our information request.</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5B5AB5">
        <w:trPr>
          <w:trHeight w:val="600"/>
          <w:tblHeader/>
        </w:trPr>
        <w:tc>
          <w:tcPr>
            <w:tcW w:w="2232" w:type="dxa"/>
          </w:tcPr>
          <w:p w:rsidR="006A18FD" w:rsidRDefault="002D29FC">
            <w:pPr>
              <w:spacing w:before="2"/>
              <w:ind w:left="52" w:right="971"/>
              <w:rPr>
                <w:rFonts w:ascii="Calibri"/>
                <w:b/>
                <w:sz w:val="20"/>
              </w:rPr>
            </w:pPr>
            <w:r>
              <w:rPr>
                <w:rFonts w:ascii="Calibri"/>
                <w:b/>
                <w:sz w:val="20"/>
              </w:rPr>
              <w:t>Costs and unit estimation</w:t>
            </w:r>
          </w:p>
        </w:tc>
        <w:tc>
          <w:tcPr>
            <w:tcW w:w="1673" w:type="dxa"/>
          </w:tcPr>
          <w:p w:rsidR="006A18FD" w:rsidRDefault="002D29FC">
            <w:pPr>
              <w:spacing w:before="2"/>
              <w:ind w:left="102"/>
              <w:rPr>
                <w:rFonts w:ascii="Calibri"/>
                <w:b/>
                <w:sz w:val="20"/>
              </w:rPr>
            </w:pPr>
            <w:r>
              <w:rPr>
                <w:rFonts w:ascii="Calibri"/>
                <w:b/>
                <w:sz w:val="20"/>
              </w:rPr>
              <w:t>2018/2019 value</w:t>
            </w:r>
          </w:p>
        </w:tc>
        <w:tc>
          <w:tcPr>
            <w:tcW w:w="6138" w:type="dxa"/>
          </w:tcPr>
          <w:p w:rsidR="006A18FD" w:rsidRDefault="002D29FC">
            <w:pPr>
              <w:spacing w:before="2"/>
              <w:ind w:left="102"/>
              <w:rPr>
                <w:rFonts w:ascii="Calibri"/>
                <w:b/>
                <w:sz w:val="20"/>
              </w:rPr>
            </w:pPr>
            <w:r>
              <w:rPr>
                <w:rFonts w:ascii="Calibri"/>
                <w:b/>
                <w:sz w:val="20"/>
              </w:rPr>
              <w:t>Notes</w:t>
            </w:r>
          </w:p>
        </w:tc>
      </w:tr>
      <w:tr w:rsidR="006A18FD">
        <w:trPr>
          <w:trHeight w:val="960"/>
        </w:trPr>
        <w:tc>
          <w:tcPr>
            <w:tcW w:w="2232" w:type="dxa"/>
          </w:tcPr>
          <w:p w:rsidR="006A18FD" w:rsidRDefault="002D29FC">
            <w:pPr>
              <w:spacing w:before="1"/>
              <w:ind w:left="103"/>
              <w:rPr>
                <w:rFonts w:ascii="Calibri"/>
                <w:sz w:val="20"/>
              </w:rPr>
            </w:pPr>
            <w:r>
              <w:rPr>
                <w:rFonts w:ascii="Calibri"/>
                <w:sz w:val="20"/>
              </w:rPr>
              <w:t>Capital costs</w:t>
            </w:r>
          </w:p>
          <w:p w:rsidR="006A18FD" w:rsidRDefault="002D29FC">
            <w:pPr>
              <w:ind w:left="103"/>
              <w:rPr>
                <w:rFonts w:ascii="Calibri"/>
                <w:sz w:val="20"/>
              </w:rPr>
            </w:pPr>
            <w:r>
              <w:rPr>
                <w:rFonts w:ascii="Calibri"/>
                <w:sz w:val="20"/>
              </w:rPr>
              <w:t>A. Buildings and oncosts</w:t>
            </w:r>
          </w:p>
        </w:tc>
        <w:tc>
          <w:tcPr>
            <w:tcW w:w="1673" w:type="dxa"/>
          </w:tcPr>
          <w:p w:rsidR="006A18FD" w:rsidRDefault="006A18FD">
            <w:pPr>
              <w:spacing w:before="2"/>
              <w:rPr>
                <w:rFonts w:ascii="Calibri"/>
                <w:sz w:val="20"/>
              </w:rPr>
            </w:pPr>
          </w:p>
          <w:p w:rsidR="006A18FD" w:rsidRDefault="002D29FC">
            <w:pPr>
              <w:ind w:left="102" w:right="272"/>
              <w:rPr>
                <w:rFonts w:ascii="Calibri" w:hAnsi="Calibri"/>
                <w:sz w:val="20"/>
              </w:rPr>
            </w:pPr>
            <w:r>
              <w:rPr>
                <w:rFonts w:ascii="Calibri" w:hAnsi="Calibri"/>
                <w:sz w:val="20"/>
              </w:rPr>
              <w:t>£6.30 per client attendance</w:t>
            </w:r>
          </w:p>
        </w:tc>
        <w:tc>
          <w:tcPr>
            <w:tcW w:w="6138" w:type="dxa"/>
          </w:tcPr>
          <w:p w:rsidR="006A18FD" w:rsidRDefault="002D29FC">
            <w:pPr>
              <w:spacing w:before="1"/>
              <w:ind w:left="102" w:right="124"/>
              <w:rPr>
                <w:rFonts w:ascii="Calibri"/>
                <w:sz w:val="19"/>
              </w:rPr>
            </w:pPr>
            <w:r>
              <w:rPr>
                <w:rFonts w:ascii="Calibri"/>
                <w:sz w:val="20"/>
              </w:rPr>
              <w:t>Based on the new-build and land requirements for local authority day care facilities (which do not distinguish client group). Capital costs have been annuitised over 60 years at a discount rate of 3.5 per cent</w:t>
            </w:r>
            <w:r>
              <w:rPr>
                <w:rFonts w:ascii="Calibri"/>
                <w:sz w:val="19"/>
              </w:rPr>
              <w:t>,</w:t>
            </w:r>
          </w:p>
          <w:p w:rsidR="006A18FD" w:rsidRDefault="002D29FC">
            <w:pPr>
              <w:spacing w:line="224" w:lineRule="exact"/>
              <w:ind w:left="102"/>
              <w:rPr>
                <w:rFonts w:ascii="Calibri"/>
                <w:sz w:val="13"/>
              </w:rPr>
            </w:pPr>
            <w:r>
              <w:rPr>
                <w:rFonts w:ascii="Calibri"/>
                <w:sz w:val="20"/>
              </w:rPr>
              <w:t>declining to 3 per cent after 30 years</w:t>
            </w:r>
            <w:r>
              <w:rPr>
                <w:rFonts w:ascii="Calibri"/>
                <w:sz w:val="19"/>
              </w:rPr>
              <w:t>.</w:t>
            </w:r>
            <w:r>
              <w:rPr>
                <w:rFonts w:ascii="Calibri"/>
                <w:position w:val="7"/>
                <w:sz w:val="13"/>
              </w:rPr>
              <w:t>4</w:t>
            </w:r>
          </w:p>
        </w:tc>
      </w:tr>
      <w:tr w:rsidR="006A18FD">
        <w:trPr>
          <w:trHeight w:val="720"/>
        </w:trPr>
        <w:tc>
          <w:tcPr>
            <w:tcW w:w="2232" w:type="dxa"/>
          </w:tcPr>
          <w:p w:rsidR="006A18FD" w:rsidRDefault="002D29FC">
            <w:pPr>
              <w:spacing w:line="243" w:lineRule="exact"/>
              <w:ind w:left="103"/>
              <w:rPr>
                <w:rFonts w:ascii="Calibri"/>
                <w:sz w:val="20"/>
              </w:rPr>
            </w:pPr>
            <w:r>
              <w:rPr>
                <w:rFonts w:ascii="Calibri"/>
                <w:sz w:val="20"/>
              </w:rPr>
              <w:t>B. Land</w:t>
            </w:r>
          </w:p>
        </w:tc>
        <w:tc>
          <w:tcPr>
            <w:tcW w:w="1673" w:type="dxa"/>
          </w:tcPr>
          <w:p w:rsidR="006A18FD" w:rsidRDefault="002D29FC">
            <w:pPr>
              <w:ind w:left="102" w:right="272"/>
              <w:rPr>
                <w:rFonts w:ascii="Calibri" w:hAnsi="Calibri"/>
                <w:sz w:val="20"/>
              </w:rPr>
            </w:pPr>
            <w:r>
              <w:rPr>
                <w:rFonts w:ascii="Calibri" w:hAnsi="Calibri"/>
                <w:sz w:val="20"/>
              </w:rPr>
              <w:t>£2.20 per client attendance</w:t>
            </w:r>
          </w:p>
        </w:tc>
        <w:tc>
          <w:tcPr>
            <w:tcW w:w="6138" w:type="dxa"/>
          </w:tcPr>
          <w:p w:rsidR="006A18FD" w:rsidRDefault="002D29FC">
            <w:pPr>
              <w:spacing w:before="1" w:line="237" w:lineRule="auto"/>
              <w:ind w:left="102" w:right="215"/>
              <w:rPr>
                <w:rFonts w:ascii="Calibri"/>
                <w:sz w:val="20"/>
              </w:rPr>
            </w:pPr>
            <w:r>
              <w:rPr>
                <w:rFonts w:ascii="Calibri"/>
                <w:sz w:val="20"/>
              </w:rPr>
              <w:t>Based on Ministry of Housing, Communities &amp; Local Government land estimates.</w:t>
            </w:r>
            <w:r>
              <w:rPr>
                <w:rFonts w:ascii="Calibri"/>
                <w:position w:val="7"/>
                <w:sz w:val="13"/>
              </w:rPr>
              <w:t xml:space="preserve">5 </w:t>
            </w:r>
            <w:r>
              <w:rPr>
                <w:rFonts w:ascii="Calibri"/>
                <w:sz w:val="20"/>
              </w:rPr>
              <w:t>The cost of land has been annuitised at 3.5 per cent over 60</w:t>
            </w:r>
          </w:p>
          <w:p w:rsidR="006A18FD" w:rsidRDefault="002D29FC">
            <w:pPr>
              <w:spacing w:line="223" w:lineRule="exact"/>
              <w:ind w:left="102"/>
              <w:rPr>
                <w:rFonts w:ascii="Calibri"/>
                <w:sz w:val="20"/>
              </w:rPr>
            </w:pPr>
            <w:r>
              <w:rPr>
                <w:rFonts w:ascii="Calibri"/>
                <w:sz w:val="20"/>
              </w:rPr>
              <w:t>years, declining to 3 per cent after 30 years.</w:t>
            </w:r>
          </w:p>
        </w:tc>
      </w:tr>
      <w:tr w:rsidR="006A18FD">
        <w:trPr>
          <w:trHeight w:val="720"/>
        </w:trPr>
        <w:tc>
          <w:tcPr>
            <w:tcW w:w="2232" w:type="dxa"/>
          </w:tcPr>
          <w:p w:rsidR="006A18FD" w:rsidRDefault="002D29FC">
            <w:pPr>
              <w:spacing w:before="1"/>
              <w:ind w:left="103"/>
              <w:rPr>
                <w:rFonts w:ascii="Calibri"/>
                <w:sz w:val="20"/>
              </w:rPr>
            </w:pPr>
            <w:r>
              <w:rPr>
                <w:rFonts w:ascii="Calibri"/>
                <w:sz w:val="20"/>
              </w:rPr>
              <w:t>C. Other capital</w:t>
            </w:r>
          </w:p>
        </w:tc>
        <w:tc>
          <w:tcPr>
            <w:tcW w:w="1673" w:type="dxa"/>
          </w:tcPr>
          <w:p w:rsidR="006A18FD" w:rsidRDefault="006A18FD">
            <w:pPr>
              <w:rPr>
                <w:rFonts w:ascii="Times New Roman"/>
                <w:sz w:val="18"/>
              </w:rPr>
            </w:pPr>
          </w:p>
        </w:tc>
        <w:tc>
          <w:tcPr>
            <w:tcW w:w="6138" w:type="dxa"/>
          </w:tcPr>
          <w:p w:rsidR="006A18FD" w:rsidRDefault="002D29FC">
            <w:pPr>
              <w:spacing w:before="1"/>
              <w:ind w:left="102" w:right="415"/>
              <w:rPr>
                <w:rFonts w:ascii="Calibri"/>
                <w:sz w:val="20"/>
              </w:rPr>
            </w:pPr>
            <w:r>
              <w:rPr>
                <w:rFonts w:ascii="Calibri"/>
                <w:sz w:val="20"/>
              </w:rPr>
              <w:t>Capital costs not relating to buildings and oncosts are included in the revenue costs so no additional cost has been added for other capital</w:t>
            </w:r>
          </w:p>
          <w:p w:rsidR="006A18FD" w:rsidRDefault="002D29FC">
            <w:pPr>
              <w:spacing w:line="223" w:lineRule="exact"/>
              <w:ind w:left="102"/>
              <w:rPr>
                <w:rFonts w:ascii="Calibri"/>
                <w:sz w:val="20"/>
              </w:rPr>
            </w:pPr>
            <w:r>
              <w:rPr>
                <w:rFonts w:ascii="Calibri"/>
                <w:sz w:val="20"/>
              </w:rPr>
              <w:t>such as equipment and durables.</w:t>
            </w:r>
          </w:p>
        </w:tc>
      </w:tr>
      <w:tr w:rsidR="006A18FD">
        <w:trPr>
          <w:trHeight w:val="1700"/>
        </w:trPr>
        <w:tc>
          <w:tcPr>
            <w:tcW w:w="2232" w:type="dxa"/>
          </w:tcPr>
          <w:p w:rsidR="006A18FD" w:rsidRDefault="002D29FC">
            <w:pPr>
              <w:spacing w:before="1"/>
              <w:ind w:left="103" w:right="249"/>
              <w:rPr>
                <w:rFonts w:ascii="Calibri"/>
                <w:sz w:val="20"/>
              </w:rPr>
            </w:pPr>
            <w:r>
              <w:rPr>
                <w:rFonts w:ascii="Calibri"/>
                <w:sz w:val="20"/>
              </w:rPr>
              <w:t>D. Total local authority expenditure (minus capital)</w:t>
            </w:r>
          </w:p>
        </w:tc>
        <w:tc>
          <w:tcPr>
            <w:tcW w:w="1673" w:type="dxa"/>
          </w:tcPr>
          <w:p w:rsidR="006A18FD" w:rsidRDefault="002D29FC">
            <w:pPr>
              <w:spacing w:before="1"/>
              <w:ind w:left="102" w:right="424"/>
              <w:rPr>
                <w:rFonts w:ascii="Calibri" w:hAnsi="Calibri"/>
                <w:sz w:val="20"/>
              </w:rPr>
            </w:pPr>
            <w:r>
              <w:rPr>
                <w:rFonts w:ascii="Calibri" w:hAnsi="Calibri"/>
                <w:sz w:val="20"/>
              </w:rPr>
              <w:t>£64 per client attendance</w:t>
            </w:r>
          </w:p>
        </w:tc>
        <w:tc>
          <w:tcPr>
            <w:tcW w:w="6138" w:type="dxa"/>
          </w:tcPr>
          <w:p w:rsidR="006A18FD" w:rsidRDefault="002D29FC">
            <w:pPr>
              <w:spacing w:before="4" w:line="237" w:lineRule="auto"/>
              <w:ind w:left="102" w:right="128"/>
              <w:rPr>
                <w:rFonts w:ascii="Calibri" w:hAnsi="Calibri"/>
                <w:sz w:val="20"/>
              </w:rPr>
            </w:pPr>
            <w:r>
              <w:rPr>
                <w:rFonts w:ascii="Calibri" w:hAnsi="Calibri"/>
                <w:sz w:val="20"/>
              </w:rPr>
              <w:t>The median cost per client week has been taken from PSS EX1 2013/2014</w:t>
            </w:r>
            <w:r>
              <w:rPr>
                <w:rFonts w:ascii="Calibri" w:hAnsi="Calibri"/>
                <w:position w:val="7"/>
                <w:sz w:val="13"/>
              </w:rPr>
              <w:t xml:space="preserve">1 </w:t>
            </w:r>
            <w:r>
              <w:rPr>
                <w:rFonts w:ascii="Calibri" w:hAnsi="Calibri"/>
                <w:sz w:val="20"/>
              </w:rPr>
              <w:t>and uprated using the PSS pay &amp; prices index. Assuming people requiring learning disability support attend on average 4.8 times per week (4 hours in duration),</w:t>
            </w:r>
            <w:r>
              <w:rPr>
                <w:rFonts w:ascii="Calibri" w:hAnsi="Calibri"/>
                <w:position w:val="7"/>
                <w:sz w:val="13"/>
              </w:rPr>
              <w:t xml:space="preserve">2 </w:t>
            </w:r>
            <w:r>
              <w:rPr>
                <w:rFonts w:ascii="Calibri" w:hAnsi="Calibri"/>
                <w:sz w:val="20"/>
              </w:rPr>
              <w:t>the mean cost per day care attendance is £65. Capital charges relating to buildings have been deducted.</w:t>
            </w:r>
          </w:p>
          <w:p w:rsidR="006A18FD" w:rsidRDefault="002D29FC">
            <w:pPr>
              <w:spacing w:before="1" w:line="243" w:lineRule="exact"/>
              <w:ind w:left="102"/>
              <w:rPr>
                <w:rFonts w:ascii="Calibri" w:hAnsi="Calibri"/>
                <w:sz w:val="20"/>
              </w:rPr>
            </w:pPr>
            <w:r>
              <w:rPr>
                <w:rFonts w:ascii="Calibri" w:hAnsi="Calibri"/>
                <w:sz w:val="20"/>
              </w:rPr>
              <w:t>Councils reporting costs of over £2,000 per client week have not been</w:t>
            </w:r>
          </w:p>
          <w:p w:rsidR="006A18FD" w:rsidRDefault="002D29FC">
            <w:pPr>
              <w:spacing w:line="222" w:lineRule="exact"/>
              <w:ind w:left="102"/>
              <w:rPr>
                <w:rFonts w:ascii="Calibri"/>
                <w:sz w:val="20"/>
              </w:rPr>
            </w:pPr>
            <w:r>
              <w:rPr>
                <w:rFonts w:ascii="Calibri"/>
                <w:sz w:val="20"/>
              </w:rPr>
              <w:t>included in this estimate.</w:t>
            </w:r>
          </w:p>
        </w:tc>
      </w:tr>
      <w:tr w:rsidR="006A18FD">
        <w:trPr>
          <w:trHeight w:val="720"/>
        </w:trPr>
        <w:tc>
          <w:tcPr>
            <w:tcW w:w="2232" w:type="dxa"/>
          </w:tcPr>
          <w:p w:rsidR="006A18FD" w:rsidRDefault="002D29FC">
            <w:pPr>
              <w:spacing w:before="1"/>
              <w:ind w:left="103"/>
              <w:rPr>
                <w:rFonts w:ascii="Calibri"/>
                <w:sz w:val="20"/>
              </w:rPr>
            </w:pPr>
            <w:r>
              <w:rPr>
                <w:rFonts w:ascii="Calibri"/>
                <w:sz w:val="20"/>
              </w:rPr>
              <w:t>E. Overheads</w:t>
            </w:r>
          </w:p>
        </w:tc>
        <w:tc>
          <w:tcPr>
            <w:tcW w:w="1673" w:type="dxa"/>
          </w:tcPr>
          <w:p w:rsidR="006A18FD" w:rsidRDefault="006A18FD">
            <w:pPr>
              <w:rPr>
                <w:rFonts w:ascii="Times New Roman"/>
                <w:sz w:val="18"/>
              </w:rPr>
            </w:pPr>
          </w:p>
        </w:tc>
        <w:tc>
          <w:tcPr>
            <w:tcW w:w="6138" w:type="dxa"/>
          </w:tcPr>
          <w:p w:rsidR="006A18FD" w:rsidRDefault="002D29FC">
            <w:pPr>
              <w:spacing w:before="1" w:line="240" w:lineRule="atLeast"/>
              <w:ind w:left="102"/>
              <w:rPr>
                <w:rFonts w:ascii="Calibri"/>
                <w:sz w:val="20"/>
              </w:rPr>
            </w:pPr>
            <w:r>
              <w:rPr>
                <w:rFonts w:ascii="Calibri"/>
                <w:sz w:val="20"/>
              </w:rPr>
              <w:t>Social services management and support services (SSMSS) costs are included in PSS EX1 expenditure figures so no additional overheads have been added.</w:t>
            </w:r>
          </w:p>
        </w:tc>
      </w:tr>
      <w:tr w:rsidR="006A18FD">
        <w:trPr>
          <w:trHeight w:val="239"/>
        </w:trPr>
        <w:tc>
          <w:tcPr>
            <w:tcW w:w="2232" w:type="dxa"/>
          </w:tcPr>
          <w:p w:rsidR="006A18FD" w:rsidRDefault="002D29FC">
            <w:pPr>
              <w:spacing w:line="223" w:lineRule="exact"/>
              <w:ind w:left="103"/>
              <w:rPr>
                <w:rFonts w:ascii="Calibri"/>
                <w:sz w:val="20"/>
              </w:rPr>
            </w:pPr>
            <w:r>
              <w:rPr>
                <w:rFonts w:ascii="Calibri"/>
                <w:sz w:val="20"/>
              </w:rPr>
              <w:t>Use of facility by client</w:t>
            </w:r>
          </w:p>
        </w:tc>
        <w:tc>
          <w:tcPr>
            <w:tcW w:w="1673" w:type="dxa"/>
          </w:tcPr>
          <w:p w:rsidR="006A18FD" w:rsidRDefault="006A18FD">
            <w:pPr>
              <w:rPr>
                <w:rFonts w:ascii="Times New Roman"/>
                <w:sz w:val="16"/>
              </w:rPr>
            </w:pPr>
          </w:p>
        </w:tc>
        <w:tc>
          <w:tcPr>
            <w:tcW w:w="6138" w:type="dxa"/>
          </w:tcPr>
          <w:p w:rsidR="006A18FD" w:rsidRDefault="002D29FC">
            <w:pPr>
              <w:spacing w:line="223" w:lineRule="exact"/>
              <w:ind w:left="102"/>
              <w:rPr>
                <w:rFonts w:ascii="Calibri"/>
                <w:sz w:val="12"/>
              </w:rPr>
            </w:pPr>
            <w:r>
              <w:rPr>
                <w:rFonts w:ascii="Calibri"/>
                <w:sz w:val="20"/>
              </w:rPr>
              <w:t>Assumes clients attend 4.8 times per week.</w:t>
            </w:r>
            <w:r>
              <w:rPr>
                <w:rFonts w:ascii="Calibri"/>
                <w:position w:val="5"/>
                <w:sz w:val="12"/>
              </w:rPr>
              <w:t>3</w:t>
            </w:r>
          </w:p>
        </w:tc>
      </w:tr>
      <w:tr w:rsidR="006A18FD">
        <w:trPr>
          <w:trHeight w:val="240"/>
        </w:trPr>
        <w:tc>
          <w:tcPr>
            <w:tcW w:w="2232" w:type="dxa"/>
          </w:tcPr>
          <w:p w:rsidR="006A18FD" w:rsidRDefault="002D29FC">
            <w:pPr>
              <w:spacing w:before="1" w:line="223" w:lineRule="exact"/>
              <w:ind w:left="103"/>
              <w:rPr>
                <w:rFonts w:ascii="Calibri"/>
                <w:sz w:val="20"/>
              </w:rPr>
            </w:pPr>
            <w:r>
              <w:rPr>
                <w:rFonts w:ascii="Calibri"/>
                <w:sz w:val="20"/>
              </w:rPr>
              <w:t>Occupancy</w:t>
            </w:r>
          </w:p>
        </w:tc>
        <w:tc>
          <w:tcPr>
            <w:tcW w:w="1673" w:type="dxa"/>
          </w:tcPr>
          <w:p w:rsidR="006A18FD" w:rsidRDefault="006A18FD">
            <w:pPr>
              <w:rPr>
                <w:rFonts w:ascii="Times New Roman"/>
                <w:sz w:val="16"/>
              </w:rPr>
            </w:pPr>
          </w:p>
        </w:tc>
        <w:tc>
          <w:tcPr>
            <w:tcW w:w="6138" w:type="dxa"/>
          </w:tcPr>
          <w:p w:rsidR="006A18FD" w:rsidRDefault="002D29FC">
            <w:pPr>
              <w:spacing w:before="1" w:line="223" w:lineRule="exact"/>
              <w:ind w:left="102"/>
              <w:rPr>
                <w:rFonts w:ascii="Calibri"/>
                <w:sz w:val="20"/>
              </w:rPr>
            </w:pPr>
            <w:r>
              <w:rPr>
                <w:rFonts w:ascii="Calibri"/>
                <w:sz w:val="20"/>
              </w:rPr>
              <w:t>No current information is available.</w:t>
            </w:r>
          </w:p>
        </w:tc>
      </w:tr>
      <w:tr w:rsidR="006A18FD">
        <w:trPr>
          <w:trHeight w:val="240"/>
        </w:trPr>
        <w:tc>
          <w:tcPr>
            <w:tcW w:w="2232" w:type="dxa"/>
          </w:tcPr>
          <w:p w:rsidR="006A18FD" w:rsidRDefault="002D29FC">
            <w:pPr>
              <w:spacing w:line="222" w:lineRule="exact"/>
              <w:ind w:left="103"/>
              <w:rPr>
                <w:rFonts w:ascii="Calibri"/>
                <w:sz w:val="20"/>
              </w:rPr>
            </w:pPr>
            <w:r>
              <w:rPr>
                <w:rFonts w:ascii="Calibri"/>
                <w:sz w:val="20"/>
              </w:rPr>
              <w:t>London multiplier</w:t>
            </w:r>
          </w:p>
        </w:tc>
        <w:tc>
          <w:tcPr>
            <w:tcW w:w="1673" w:type="dxa"/>
          </w:tcPr>
          <w:p w:rsidR="006A18FD" w:rsidRDefault="006A18FD">
            <w:pPr>
              <w:rPr>
                <w:rFonts w:ascii="Times New Roman"/>
                <w:sz w:val="16"/>
              </w:rPr>
            </w:pPr>
          </w:p>
        </w:tc>
        <w:tc>
          <w:tcPr>
            <w:tcW w:w="6138" w:type="dxa"/>
          </w:tcPr>
          <w:p w:rsidR="006A18FD" w:rsidRDefault="002D29FC">
            <w:pPr>
              <w:spacing w:line="219" w:lineRule="exact"/>
              <w:ind w:left="102"/>
              <w:rPr>
                <w:rFonts w:ascii="Calibri"/>
                <w:sz w:val="18"/>
              </w:rPr>
            </w:pPr>
            <w:r>
              <w:rPr>
                <w:rFonts w:ascii="Calibri"/>
                <w:sz w:val="18"/>
              </w:rPr>
              <w:t>See previous volume for information on multipliers</w:t>
            </w:r>
          </w:p>
        </w:tc>
      </w:tr>
      <w:tr w:rsidR="006A18FD">
        <w:trPr>
          <w:trHeight w:val="360"/>
        </w:trPr>
        <w:tc>
          <w:tcPr>
            <w:tcW w:w="10044" w:type="dxa"/>
            <w:gridSpan w:val="3"/>
          </w:tcPr>
          <w:p w:rsidR="006A18FD" w:rsidRDefault="002D29FC">
            <w:pPr>
              <w:spacing w:before="3"/>
              <w:ind w:left="103"/>
              <w:rPr>
                <w:rFonts w:ascii="Calibri"/>
                <w:b/>
                <w:sz w:val="20"/>
              </w:rPr>
            </w:pPr>
            <w:r>
              <w:rPr>
                <w:rFonts w:ascii="Calibri"/>
                <w:b/>
                <w:sz w:val="20"/>
              </w:rPr>
              <w:t>Unit costs available 2018/2019</w:t>
            </w:r>
          </w:p>
        </w:tc>
      </w:tr>
      <w:tr w:rsidR="006A18FD">
        <w:trPr>
          <w:trHeight w:val="240"/>
        </w:trPr>
        <w:tc>
          <w:tcPr>
            <w:tcW w:w="10044" w:type="dxa"/>
            <w:gridSpan w:val="3"/>
          </w:tcPr>
          <w:p w:rsidR="006A18FD" w:rsidRDefault="002D29FC">
            <w:pPr>
              <w:spacing w:before="1" w:line="223" w:lineRule="exact"/>
              <w:ind w:left="103"/>
              <w:rPr>
                <w:rFonts w:ascii="Calibri" w:hAnsi="Calibri"/>
                <w:sz w:val="20"/>
              </w:rPr>
            </w:pPr>
            <w:r>
              <w:rPr>
                <w:rFonts w:ascii="Calibri" w:hAnsi="Calibri"/>
                <w:sz w:val="20"/>
              </w:rPr>
              <w:t>£72 per client attendance (includes A to D); £18.10 per client hour; £63.40 per client session lasting 3.5 hours.</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38"/>
        <w:ind w:left="423" w:right="459" w:hanging="284"/>
        <w:rPr>
          <w:rFonts w:ascii="Calibri"/>
          <w:sz w:val="16"/>
        </w:rPr>
      </w:pPr>
      <w:r>
        <w:rPr>
          <w:rFonts w:ascii="Calibri"/>
          <w:position w:val="5"/>
          <w:sz w:val="10"/>
        </w:rPr>
        <w:t xml:space="preserve">1 </w:t>
      </w:r>
      <w:r>
        <w:rPr>
          <w:rFonts w:ascii="Calibri"/>
          <w:sz w:val="16"/>
        </w:rPr>
        <w:t xml:space="preserve">Calculated using NHS Digital (2018) Calculated using NHS Digital (2018) </w:t>
      </w:r>
      <w:r>
        <w:rPr>
          <w:rFonts w:ascii="Calibri"/>
          <w:i/>
          <w:sz w:val="16"/>
        </w:rPr>
        <w:t>Adult Social Care Finance Return (ASC-FR)</w:t>
      </w:r>
      <w:r>
        <w:rPr>
          <w:rFonts w:ascii="Calibri"/>
          <w:sz w:val="16"/>
        </w:rPr>
        <w:t>, NHS Digital 2018/19, https://digital.nhs.uk/data-and-information/publications/statistical/adult-social-care-activity-and-finance-report/2017-198 [accessed 23 October, 2019], in collaboration with the Department of Health and Social Care.</w:t>
      </w:r>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Health &amp; Social Care Information Centre (2014) </w:t>
      </w:r>
      <w:r>
        <w:rPr>
          <w:rFonts w:ascii="Calibri"/>
          <w:i/>
          <w:sz w:val="16"/>
        </w:rPr>
        <w:t>PSS EX1 2013/14</w:t>
      </w:r>
      <w:r>
        <w:rPr>
          <w:rFonts w:ascii="Calibri"/>
          <w:sz w:val="16"/>
        </w:rPr>
        <w:t>, Health &amp; Social Care Information Centre, Leeds.</w:t>
      </w:r>
    </w:p>
    <w:p w:rsidR="006A18FD" w:rsidRDefault="002D29FC">
      <w:pPr>
        <w:spacing w:line="195" w:lineRule="exact"/>
        <w:ind w:left="140"/>
        <w:rPr>
          <w:rFonts w:ascii="Calibri"/>
          <w:sz w:val="16"/>
        </w:rPr>
      </w:pPr>
      <w:r>
        <w:rPr>
          <w:rFonts w:ascii="Calibri"/>
          <w:position w:val="5"/>
          <w:sz w:val="10"/>
        </w:rPr>
        <w:t xml:space="preserve">3  </w:t>
      </w:r>
      <w:r>
        <w:rPr>
          <w:rFonts w:ascii="Calibri"/>
          <w:sz w:val="16"/>
        </w:rPr>
        <w:t>Based on research carried out by PSSRU in 2014.</w:t>
      </w:r>
    </w:p>
    <w:p w:rsidR="006A18FD" w:rsidRDefault="002D29FC">
      <w:pPr>
        <w:spacing w:before="1" w:line="195" w:lineRule="exact"/>
        <w:ind w:left="140"/>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55">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6A18FD">
      <w:pPr>
        <w:rPr>
          <w:rFonts w:ascii="Calibri"/>
          <w:sz w:val="16"/>
        </w:rPr>
        <w:sectPr w:rsidR="006A18FD">
          <w:headerReference w:type="even" r:id="rId156"/>
          <w:headerReference w:type="default" r:id="rId157"/>
          <w:pgSz w:w="11910" w:h="16840"/>
          <w:pgMar w:top="980" w:right="980" w:bottom="280" w:left="580" w:header="763" w:footer="0" w:gutter="0"/>
          <w:pgNumType w:start="54"/>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2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29" name="Line 18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2FC38" id="Group 18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w4PY534CAACBBQAA&#10;DgAAAAAAAAAAAAAAAAAuAgAAZHJzL2Uyb0RvYy54bWxQSwECLQAUAAYACAAAACEALXfkXNoAAAAE&#10;AQAADwAAAAAAAAAAAAAAAADYBAAAZHJzL2Rvd25yZXYueG1sUEsFBgAAAAAEAAQA8wAAAN8FAAAA&#10;AA==&#10;">
                <v:line id="Line 18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anchorlock/>
              </v:group>
            </w:pict>
          </mc:Fallback>
        </mc:AlternateContent>
      </w:r>
    </w:p>
    <w:p w:rsidR="006A18FD" w:rsidRDefault="0025638D" w:rsidP="0025638D">
      <w:pPr>
        <w:pStyle w:val="Heading2"/>
      </w:pPr>
      <w:r>
        <w:t xml:space="preserve">4.2 </w:t>
      </w:r>
      <w:r w:rsidR="002D29FC">
        <w:t>Advocacy for parents requiring learning disability</w:t>
      </w:r>
      <w:r w:rsidR="002D29FC">
        <w:rPr>
          <w:spacing w:val="-32"/>
        </w:rPr>
        <w:t xml:space="preserve"> </w:t>
      </w:r>
      <w:r w:rsidR="002D29FC">
        <w:t>support</w:t>
      </w:r>
    </w:p>
    <w:p w:rsidR="006A18FD" w:rsidRDefault="002D29FC">
      <w:pPr>
        <w:spacing w:before="172" w:line="276" w:lineRule="auto"/>
        <w:ind w:left="152" w:right="188"/>
        <w:rPr>
          <w:rFonts w:ascii="Calibri" w:hAnsi="Calibri"/>
          <w:sz w:val="12"/>
        </w:rPr>
      </w:pPr>
      <w:r>
        <w:rPr>
          <w:rFonts w:ascii="Calibri" w:hAnsi="Calibri"/>
          <w:sz w:val="18"/>
        </w:rPr>
        <w:t>Advocacy can help service users to understand their rights and choices and also to support them in resolving issues of great significance to their lives. We have drawn on an article by Bauer et al. (2014)</w:t>
      </w:r>
      <w:r>
        <w:rPr>
          <w:rFonts w:ascii="Calibri" w:hAnsi="Calibri"/>
          <w:position w:val="5"/>
          <w:sz w:val="12"/>
        </w:rPr>
        <w:t xml:space="preserve">1 </w:t>
      </w:r>
      <w:r>
        <w:rPr>
          <w:rFonts w:ascii="Calibri" w:hAnsi="Calibri"/>
          <w:sz w:val="18"/>
        </w:rPr>
        <w:t>for the costs of providing an advocate for parents with learning disabilities and at risk of having their children taken into care. Based on information provided by two of the four projects and taking mid- points of salary ranges provided, combined with routine data and assumptions made for staff employed by local authorities, the mean cost of an advocacy intervention consuming 95 hours of client-related work (including one-to-one sessions, external meetings, but excluding travel and training costs) was £4,972. Information on the wider costs and benefits of advocacy and early intervention signposted or referred to by the advocate can be found in the referenced paper (Bauer et al., 2014).</w:t>
      </w:r>
      <w:r>
        <w:rPr>
          <w:rFonts w:ascii="Calibri" w:hAnsi="Calibri"/>
          <w:position w:val="5"/>
          <w:sz w:val="12"/>
        </w:rPr>
        <w:t>1</w:t>
      </w:r>
    </w:p>
    <w:p w:rsidR="006A18FD" w:rsidRDefault="002D29FC">
      <w:pPr>
        <w:spacing w:before="122" w:line="276" w:lineRule="auto"/>
        <w:ind w:left="152" w:right="577"/>
        <w:rPr>
          <w:rFonts w:ascii="Calibri"/>
          <w:sz w:val="18"/>
        </w:rPr>
      </w:pPr>
      <w:r>
        <w:rPr>
          <w:rFonts w:ascii="Calibri"/>
          <w:sz w:val="18"/>
        </w:rPr>
        <w:t>The costs below are based on the average of two advocacy projects. Project A is in rural and urban parts of the country where most service users are in areas of deprivation; and Project B is in urban regions with large areas of poverty and child protection issues.</w:t>
      </w:r>
    </w:p>
    <w:p w:rsidR="006A18FD" w:rsidRDefault="006A18FD">
      <w:pPr>
        <w:spacing w:before="10"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493"/>
        <w:gridCol w:w="6541"/>
      </w:tblGrid>
      <w:tr w:rsidR="006A18FD" w:rsidTr="005B5AB5">
        <w:trPr>
          <w:trHeight w:val="400"/>
          <w:tblHeader/>
        </w:trPr>
        <w:tc>
          <w:tcPr>
            <w:tcW w:w="2000" w:type="dxa"/>
          </w:tcPr>
          <w:p w:rsidR="006A18FD" w:rsidRDefault="002D29FC">
            <w:pPr>
              <w:spacing w:line="206" w:lineRule="exact"/>
              <w:ind w:left="105"/>
              <w:rPr>
                <w:rFonts w:ascii="Calibri"/>
                <w:b/>
                <w:sz w:val="17"/>
              </w:rPr>
            </w:pPr>
            <w:r>
              <w:rPr>
                <w:rFonts w:ascii="Calibri"/>
                <w:b/>
                <w:sz w:val="17"/>
              </w:rPr>
              <w:t>Costs and unit</w:t>
            </w:r>
          </w:p>
          <w:p w:rsidR="006A18FD" w:rsidRDefault="002D29FC">
            <w:pPr>
              <w:spacing w:before="1" w:line="187" w:lineRule="exact"/>
              <w:ind w:left="105"/>
              <w:rPr>
                <w:rFonts w:ascii="Calibri"/>
                <w:b/>
                <w:sz w:val="17"/>
              </w:rPr>
            </w:pPr>
            <w:r>
              <w:rPr>
                <w:rFonts w:ascii="Calibri"/>
                <w:b/>
                <w:sz w:val="17"/>
              </w:rPr>
              <w:t>estimation</w:t>
            </w:r>
          </w:p>
        </w:tc>
        <w:tc>
          <w:tcPr>
            <w:tcW w:w="1493" w:type="dxa"/>
          </w:tcPr>
          <w:p w:rsidR="006A18FD" w:rsidRDefault="002D29FC">
            <w:pPr>
              <w:spacing w:line="206" w:lineRule="exact"/>
              <w:ind w:left="105"/>
              <w:rPr>
                <w:rFonts w:ascii="Calibri"/>
                <w:b/>
                <w:sz w:val="17"/>
              </w:rPr>
            </w:pPr>
            <w:r>
              <w:rPr>
                <w:rFonts w:ascii="Calibri"/>
                <w:b/>
                <w:sz w:val="17"/>
              </w:rPr>
              <w:t>2018/2019 value</w:t>
            </w:r>
          </w:p>
        </w:tc>
        <w:tc>
          <w:tcPr>
            <w:tcW w:w="6541" w:type="dxa"/>
          </w:tcPr>
          <w:p w:rsidR="006A18FD" w:rsidRDefault="002D29FC">
            <w:pPr>
              <w:spacing w:line="206" w:lineRule="exact"/>
              <w:ind w:left="105"/>
              <w:rPr>
                <w:rFonts w:ascii="Calibri"/>
                <w:b/>
                <w:sz w:val="17"/>
              </w:rPr>
            </w:pPr>
            <w:r>
              <w:rPr>
                <w:rFonts w:ascii="Calibri"/>
                <w:b/>
                <w:sz w:val="17"/>
              </w:rPr>
              <w:t>Notes (for further clarification see Commentary)</w:t>
            </w:r>
          </w:p>
        </w:tc>
      </w:tr>
      <w:tr w:rsidR="006A18FD">
        <w:trPr>
          <w:trHeight w:val="620"/>
        </w:trPr>
        <w:tc>
          <w:tcPr>
            <w:tcW w:w="2000" w:type="dxa"/>
          </w:tcPr>
          <w:p w:rsidR="006A18FD" w:rsidRDefault="002D29FC">
            <w:pPr>
              <w:spacing w:before="1"/>
              <w:ind w:left="105"/>
              <w:rPr>
                <w:rFonts w:ascii="Calibri"/>
                <w:sz w:val="17"/>
              </w:rPr>
            </w:pPr>
            <w:r>
              <w:rPr>
                <w:rFonts w:ascii="Calibri"/>
                <w:sz w:val="17"/>
              </w:rPr>
              <w:t>A.Wages/salary</w:t>
            </w:r>
          </w:p>
        </w:tc>
        <w:tc>
          <w:tcPr>
            <w:tcW w:w="1493" w:type="dxa"/>
          </w:tcPr>
          <w:p w:rsidR="006A18FD" w:rsidRDefault="002D29FC">
            <w:pPr>
              <w:spacing w:before="1"/>
              <w:ind w:left="105"/>
              <w:rPr>
                <w:rFonts w:ascii="Calibri" w:hAnsi="Calibri"/>
                <w:sz w:val="17"/>
              </w:rPr>
            </w:pPr>
            <w:r>
              <w:rPr>
                <w:rFonts w:ascii="Calibri" w:hAnsi="Calibri"/>
                <w:sz w:val="17"/>
              </w:rPr>
              <w:t>£39,093 per year</w:t>
            </w:r>
          </w:p>
        </w:tc>
        <w:tc>
          <w:tcPr>
            <w:tcW w:w="6541" w:type="dxa"/>
          </w:tcPr>
          <w:p w:rsidR="006A18FD" w:rsidRDefault="002D29FC">
            <w:pPr>
              <w:spacing w:before="1" w:line="207" w:lineRule="exact"/>
              <w:ind w:left="105"/>
              <w:rPr>
                <w:rFonts w:ascii="Calibri" w:hAnsi="Calibri"/>
                <w:sz w:val="17"/>
              </w:rPr>
            </w:pPr>
            <w:r>
              <w:rPr>
                <w:rFonts w:ascii="Calibri" w:hAnsi="Calibri"/>
                <w:b/>
                <w:sz w:val="17"/>
              </w:rPr>
              <w:t xml:space="preserve">Project A:  </w:t>
            </w:r>
            <w:r>
              <w:rPr>
                <w:rFonts w:ascii="Calibri" w:hAnsi="Calibri"/>
                <w:sz w:val="17"/>
              </w:rPr>
              <w:t>two part-time advocates (salary range £20,000-£25,000);</w:t>
            </w:r>
          </w:p>
          <w:p w:rsidR="006A18FD" w:rsidRDefault="002D29FC">
            <w:pPr>
              <w:spacing w:line="207" w:lineRule="exact"/>
              <w:ind w:left="105"/>
              <w:rPr>
                <w:rFonts w:ascii="Calibri" w:hAnsi="Calibri"/>
                <w:sz w:val="17"/>
              </w:rPr>
            </w:pPr>
            <w:r>
              <w:rPr>
                <w:rFonts w:ascii="Calibri" w:hAnsi="Calibri"/>
                <w:b/>
                <w:sz w:val="17"/>
              </w:rPr>
              <w:t xml:space="preserve">Project B:  </w:t>
            </w:r>
            <w:r>
              <w:rPr>
                <w:rFonts w:ascii="Calibri" w:hAnsi="Calibri"/>
                <w:sz w:val="17"/>
              </w:rPr>
              <w:t>80 per cent of a service manager (salary range £29,604-£31,766), plus one part-</w:t>
            </w:r>
          </w:p>
          <w:p w:rsidR="006A18FD" w:rsidRDefault="002D29FC">
            <w:pPr>
              <w:spacing w:line="189" w:lineRule="exact"/>
              <w:ind w:left="105"/>
              <w:rPr>
                <w:rFonts w:ascii="Calibri" w:hAnsi="Calibri"/>
                <w:sz w:val="17"/>
              </w:rPr>
            </w:pPr>
            <w:r>
              <w:rPr>
                <w:rFonts w:ascii="Calibri" w:hAnsi="Calibri"/>
                <w:sz w:val="17"/>
              </w:rPr>
              <w:t>time (3.5 hours per week) advocate (salary range £26,401-£28,031).</w:t>
            </w:r>
          </w:p>
        </w:tc>
      </w:tr>
      <w:tr w:rsidR="006A18FD">
        <w:trPr>
          <w:trHeight w:val="400"/>
        </w:trPr>
        <w:tc>
          <w:tcPr>
            <w:tcW w:w="2000" w:type="dxa"/>
          </w:tcPr>
          <w:p w:rsidR="006A18FD" w:rsidRDefault="002D29FC">
            <w:pPr>
              <w:spacing w:line="206" w:lineRule="exact"/>
              <w:ind w:left="105"/>
              <w:rPr>
                <w:rFonts w:ascii="Calibri"/>
                <w:sz w:val="17"/>
              </w:rPr>
            </w:pPr>
            <w:r>
              <w:rPr>
                <w:rFonts w:ascii="Calibri"/>
                <w:sz w:val="17"/>
              </w:rPr>
              <w:t>B. Salary oncosts</w:t>
            </w:r>
          </w:p>
        </w:tc>
        <w:tc>
          <w:tcPr>
            <w:tcW w:w="1493" w:type="dxa"/>
          </w:tcPr>
          <w:p w:rsidR="006A18FD" w:rsidRDefault="002D29FC">
            <w:pPr>
              <w:spacing w:line="206" w:lineRule="exact"/>
              <w:ind w:left="105"/>
              <w:rPr>
                <w:rFonts w:ascii="Calibri" w:hAnsi="Calibri"/>
                <w:sz w:val="17"/>
              </w:rPr>
            </w:pPr>
            <w:r>
              <w:rPr>
                <w:rFonts w:ascii="Calibri" w:hAnsi="Calibri"/>
                <w:sz w:val="17"/>
              </w:rPr>
              <w:t>£9,715 per year</w:t>
            </w:r>
          </w:p>
        </w:tc>
        <w:tc>
          <w:tcPr>
            <w:tcW w:w="6541" w:type="dxa"/>
          </w:tcPr>
          <w:p w:rsidR="006A18FD" w:rsidRDefault="002D29FC">
            <w:pPr>
              <w:spacing w:line="206" w:lineRule="exact"/>
              <w:ind w:left="105"/>
              <w:rPr>
                <w:rFonts w:ascii="Calibri" w:hAnsi="Calibri"/>
                <w:sz w:val="17"/>
              </w:rPr>
            </w:pPr>
            <w:r>
              <w:rPr>
                <w:rFonts w:ascii="Calibri" w:hAnsi="Calibri"/>
                <w:sz w:val="17"/>
              </w:rPr>
              <w:t>Employer’s national insurance is included plus 17 per cent of salary for employer’s</w:t>
            </w:r>
          </w:p>
          <w:p w:rsidR="006A18FD" w:rsidRDefault="002D29FC">
            <w:pPr>
              <w:spacing w:before="1" w:line="187" w:lineRule="exact"/>
              <w:ind w:left="105"/>
              <w:rPr>
                <w:rFonts w:ascii="Calibri"/>
                <w:sz w:val="17"/>
              </w:rPr>
            </w:pPr>
            <w:r>
              <w:rPr>
                <w:rFonts w:ascii="Calibri"/>
                <w:sz w:val="17"/>
              </w:rPr>
              <w:t>contribution to superannuation.</w:t>
            </w:r>
          </w:p>
        </w:tc>
      </w:tr>
      <w:tr w:rsidR="006A18FD">
        <w:trPr>
          <w:trHeight w:val="1660"/>
        </w:trPr>
        <w:tc>
          <w:tcPr>
            <w:tcW w:w="2000" w:type="dxa"/>
          </w:tcPr>
          <w:p w:rsidR="006A18FD" w:rsidRDefault="002D29FC">
            <w:pPr>
              <w:ind w:left="105"/>
              <w:rPr>
                <w:rFonts w:ascii="Calibri"/>
                <w:sz w:val="17"/>
              </w:rPr>
            </w:pPr>
            <w:r>
              <w:rPr>
                <w:rFonts w:ascii="Calibri"/>
                <w:sz w:val="17"/>
              </w:rPr>
              <w:t>C. Overheads Management/supervision</w:t>
            </w:r>
          </w:p>
          <w:p w:rsidR="006A18FD" w:rsidRDefault="006A18FD">
            <w:pPr>
              <w:rPr>
                <w:rFonts w:ascii="Calibri"/>
                <w:sz w:val="16"/>
              </w:rPr>
            </w:pPr>
          </w:p>
          <w:p w:rsidR="006A18FD" w:rsidRDefault="006A18FD">
            <w:pPr>
              <w:rPr>
                <w:rFonts w:ascii="Calibri"/>
                <w:sz w:val="18"/>
              </w:rPr>
            </w:pPr>
          </w:p>
          <w:p w:rsidR="006A18FD" w:rsidRDefault="002D29FC">
            <w:pPr>
              <w:ind w:left="105" w:right="571"/>
              <w:rPr>
                <w:rFonts w:ascii="Calibri"/>
                <w:sz w:val="17"/>
              </w:rPr>
            </w:pPr>
            <w:r>
              <w:rPr>
                <w:rFonts w:ascii="Calibri"/>
                <w:sz w:val="17"/>
              </w:rPr>
              <w:t>Direct overheads Indirect overheads</w:t>
            </w:r>
          </w:p>
        </w:tc>
        <w:tc>
          <w:tcPr>
            <w:tcW w:w="1493" w:type="dxa"/>
          </w:tcPr>
          <w:p w:rsidR="006A18FD" w:rsidRDefault="006A18FD">
            <w:pPr>
              <w:rPr>
                <w:rFonts w:ascii="Calibri"/>
                <w:sz w:val="17"/>
              </w:rPr>
            </w:pPr>
          </w:p>
          <w:p w:rsidR="006A18FD" w:rsidRDefault="002D29FC">
            <w:pPr>
              <w:ind w:left="105"/>
              <w:rPr>
                <w:rFonts w:ascii="Calibri" w:hAnsi="Calibri"/>
                <w:sz w:val="17"/>
              </w:rPr>
            </w:pPr>
            <w:r>
              <w:rPr>
                <w:rFonts w:ascii="Calibri" w:hAnsi="Calibri"/>
                <w:sz w:val="17"/>
              </w:rPr>
              <w:t>£7,117 per year</w:t>
            </w:r>
          </w:p>
          <w:p w:rsidR="006A18FD" w:rsidRDefault="006A18FD">
            <w:pPr>
              <w:rPr>
                <w:rFonts w:ascii="Calibri"/>
                <w:sz w:val="16"/>
              </w:rPr>
            </w:pPr>
          </w:p>
          <w:p w:rsidR="006A18FD" w:rsidRDefault="006A18FD">
            <w:pPr>
              <w:spacing w:before="11"/>
              <w:rPr>
                <w:rFonts w:ascii="Calibri"/>
                <w:sz w:val="17"/>
              </w:rPr>
            </w:pPr>
          </w:p>
          <w:p w:rsidR="006A18FD" w:rsidRDefault="002D29FC">
            <w:pPr>
              <w:ind w:left="105"/>
              <w:rPr>
                <w:rFonts w:ascii="Calibri" w:hAnsi="Calibri"/>
                <w:sz w:val="17"/>
              </w:rPr>
            </w:pPr>
            <w:r>
              <w:rPr>
                <w:rFonts w:ascii="Calibri" w:hAnsi="Calibri"/>
                <w:sz w:val="17"/>
              </w:rPr>
              <w:t>£3,417 per year</w:t>
            </w:r>
          </w:p>
          <w:p w:rsidR="006A18FD" w:rsidRDefault="002D29FC">
            <w:pPr>
              <w:spacing w:before="1"/>
              <w:ind w:left="105"/>
              <w:rPr>
                <w:rFonts w:ascii="Calibri" w:hAnsi="Calibri"/>
                <w:sz w:val="17"/>
              </w:rPr>
            </w:pPr>
            <w:r>
              <w:rPr>
                <w:rFonts w:ascii="Calibri" w:hAnsi="Calibri"/>
                <w:sz w:val="17"/>
              </w:rPr>
              <w:t>£7,809 per year</w:t>
            </w:r>
          </w:p>
        </w:tc>
        <w:tc>
          <w:tcPr>
            <w:tcW w:w="6541" w:type="dxa"/>
          </w:tcPr>
          <w:p w:rsidR="006A18FD" w:rsidRDefault="002D29FC">
            <w:pPr>
              <w:ind w:left="105" w:right="171"/>
              <w:rPr>
                <w:rFonts w:ascii="Calibri"/>
                <w:sz w:val="17"/>
              </w:rPr>
            </w:pPr>
            <w:r>
              <w:rPr>
                <w:rFonts w:ascii="Calibri"/>
                <w:b/>
                <w:sz w:val="17"/>
              </w:rPr>
              <w:t xml:space="preserve">Project A : </w:t>
            </w:r>
            <w:r>
              <w:rPr>
                <w:rFonts w:ascii="Calibri"/>
                <w:sz w:val="17"/>
              </w:rPr>
              <w:t xml:space="preserve">supervision from a service manager for 2 hours per month (24 hours per year) </w:t>
            </w:r>
            <w:r>
              <w:rPr>
                <w:rFonts w:ascii="Calibri"/>
                <w:b/>
                <w:sz w:val="17"/>
              </w:rPr>
              <w:t>Project B</w:t>
            </w:r>
            <w:r>
              <w:rPr>
                <w:rFonts w:ascii="Calibri"/>
                <w:sz w:val="17"/>
              </w:rPr>
              <w:t>: service manager is provided with 4 hours formal supervision and 20 hours informal supervision per month (288 hours per year). Advocate has 3 hours formal and 3 hours informal supervision by manager per month (72 hours per year).</w:t>
            </w:r>
          </w:p>
          <w:p w:rsidR="006A18FD" w:rsidRDefault="002D29FC">
            <w:pPr>
              <w:ind w:left="105" w:right="171"/>
              <w:rPr>
                <w:rFonts w:ascii="Calibri"/>
                <w:sz w:val="17"/>
              </w:rPr>
            </w:pPr>
            <w:r>
              <w:rPr>
                <w:rFonts w:ascii="Calibri"/>
                <w:sz w:val="17"/>
              </w:rPr>
              <w:t>Premises costs (office, stationery, utilities etc.) are estimated at 7 per cent of salary costs.</w:t>
            </w:r>
            <w:r>
              <w:rPr>
                <w:rFonts w:ascii="Calibri"/>
                <w:position w:val="5"/>
                <w:sz w:val="11"/>
              </w:rPr>
              <w:t xml:space="preserve">2 </w:t>
            </w:r>
            <w:r>
              <w:rPr>
                <w:rFonts w:ascii="Calibri"/>
                <w:sz w:val="17"/>
              </w:rPr>
              <w:t>Indirect overheads assumed to be 16 per cent of direct care salary costs.</w:t>
            </w:r>
            <w:r>
              <w:rPr>
                <w:rFonts w:ascii="Calibri"/>
                <w:position w:val="5"/>
                <w:sz w:val="11"/>
              </w:rPr>
              <w:t xml:space="preserve">2 </w:t>
            </w:r>
            <w:r>
              <w:rPr>
                <w:rFonts w:ascii="Calibri"/>
                <w:sz w:val="17"/>
              </w:rPr>
              <w:t>They include general management and support services such as finance and human resource</w:t>
            </w:r>
          </w:p>
          <w:p w:rsidR="006A18FD" w:rsidRDefault="002D29FC">
            <w:pPr>
              <w:spacing w:line="189" w:lineRule="exact"/>
              <w:ind w:left="105"/>
              <w:rPr>
                <w:rFonts w:ascii="Calibri"/>
                <w:sz w:val="17"/>
              </w:rPr>
            </w:pPr>
            <w:r>
              <w:rPr>
                <w:rFonts w:ascii="Calibri"/>
                <w:sz w:val="17"/>
              </w:rPr>
              <w:t>departments.</w:t>
            </w:r>
          </w:p>
        </w:tc>
      </w:tr>
      <w:tr w:rsidR="006A18FD">
        <w:trPr>
          <w:trHeight w:val="400"/>
        </w:trPr>
        <w:tc>
          <w:tcPr>
            <w:tcW w:w="2000" w:type="dxa"/>
          </w:tcPr>
          <w:p w:rsidR="006A18FD" w:rsidRDefault="002D29FC">
            <w:pPr>
              <w:spacing w:line="206" w:lineRule="exact"/>
              <w:ind w:left="105"/>
              <w:rPr>
                <w:rFonts w:ascii="Calibri"/>
                <w:sz w:val="17"/>
              </w:rPr>
            </w:pPr>
            <w:r>
              <w:rPr>
                <w:rFonts w:ascii="Calibri"/>
                <w:sz w:val="17"/>
              </w:rPr>
              <w:t>D. Qualifications</w:t>
            </w:r>
          </w:p>
        </w:tc>
        <w:tc>
          <w:tcPr>
            <w:tcW w:w="1493" w:type="dxa"/>
          </w:tcPr>
          <w:p w:rsidR="006A18FD" w:rsidRDefault="002D29FC">
            <w:pPr>
              <w:spacing w:line="206" w:lineRule="exact"/>
              <w:ind w:left="105"/>
              <w:rPr>
                <w:rFonts w:ascii="Calibri"/>
                <w:sz w:val="17"/>
              </w:rPr>
            </w:pPr>
            <w:r>
              <w:rPr>
                <w:rFonts w:ascii="Calibri"/>
                <w:sz w:val="17"/>
              </w:rPr>
              <w:t>No costs available</w:t>
            </w:r>
          </w:p>
        </w:tc>
        <w:tc>
          <w:tcPr>
            <w:tcW w:w="6541" w:type="dxa"/>
          </w:tcPr>
          <w:p w:rsidR="006A18FD" w:rsidRDefault="002D29FC">
            <w:pPr>
              <w:spacing w:line="206" w:lineRule="exact"/>
              <w:ind w:left="105"/>
              <w:rPr>
                <w:rFonts w:ascii="Calibri"/>
                <w:sz w:val="17"/>
              </w:rPr>
            </w:pPr>
            <w:r>
              <w:rPr>
                <w:rFonts w:ascii="Calibri"/>
                <w:b/>
                <w:sz w:val="17"/>
              </w:rPr>
              <w:t xml:space="preserve">Project A: </w:t>
            </w:r>
            <w:r>
              <w:rPr>
                <w:rFonts w:ascii="Calibri"/>
                <w:sz w:val="17"/>
              </w:rPr>
              <w:t>advocates required 20 hours of national advocacy training.</w:t>
            </w:r>
          </w:p>
          <w:p w:rsidR="006A18FD" w:rsidRDefault="002D29FC">
            <w:pPr>
              <w:spacing w:before="1" w:line="187" w:lineRule="exact"/>
              <w:ind w:left="105"/>
              <w:rPr>
                <w:rFonts w:ascii="Calibri"/>
                <w:sz w:val="17"/>
              </w:rPr>
            </w:pPr>
            <w:r>
              <w:rPr>
                <w:rFonts w:ascii="Calibri"/>
                <w:b/>
                <w:sz w:val="17"/>
              </w:rPr>
              <w:t>Project B</w:t>
            </w:r>
            <w:r>
              <w:rPr>
                <w:rFonts w:ascii="Calibri"/>
                <w:sz w:val="17"/>
              </w:rPr>
              <w:t>: NVQ level 4 management and national advocacy qualification required.</w:t>
            </w:r>
          </w:p>
        </w:tc>
      </w:tr>
      <w:tr w:rsidR="006A18FD">
        <w:trPr>
          <w:trHeight w:val="820"/>
        </w:trPr>
        <w:tc>
          <w:tcPr>
            <w:tcW w:w="2000" w:type="dxa"/>
          </w:tcPr>
          <w:p w:rsidR="006A18FD" w:rsidRDefault="002D29FC">
            <w:pPr>
              <w:spacing w:line="206" w:lineRule="exact"/>
              <w:ind w:left="105"/>
              <w:rPr>
                <w:rFonts w:ascii="Calibri"/>
                <w:sz w:val="17"/>
              </w:rPr>
            </w:pPr>
            <w:r>
              <w:rPr>
                <w:rFonts w:ascii="Calibri"/>
                <w:sz w:val="17"/>
              </w:rPr>
              <w:t>E. Training</w:t>
            </w:r>
          </w:p>
        </w:tc>
        <w:tc>
          <w:tcPr>
            <w:tcW w:w="1493" w:type="dxa"/>
          </w:tcPr>
          <w:p w:rsidR="006A18FD" w:rsidRDefault="002D29FC">
            <w:pPr>
              <w:spacing w:line="206" w:lineRule="exact"/>
              <w:ind w:left="105"/>
              <w:rPr>
                <w:rFonts w:ascii="Calibri"/>
                <w:sz w:val="17"/>
              </w:rPr>
            </w:pPr>
            <w:r>
              <w:rPr>
                <w:rFonts w:ascii="Calibri"/>
                <w:sz w:val="17"/>
              </w:rPr>
              <w:t>No costs available</w:t>
            </w:r>
          </w:p>
        </w:tc>
        <w:tc>
          <w:tcPr>
            <w:tcW w:w="6541" w:type="dxa"/>
          </w:tcPr>
          <w:p w:rsidR="006A18FD" w:rsidRDefault="002D29FC">
            <w:pPr>
              <w:ind w:left="105" w:right="171"/>
              <w:rPr>
                <w:rFonts w:ascii="Calibri"/>
                <w:sz w:val="17"/>
              </w:rPr>
            </w:pPr>
            <w:r>
              <w:rPr>
                <w:rFonts w:ascii="Calibri"/>
                <w:b/>
                <w:sz w:val="17"/>
              </w:rPr>
              <w:t>Project A</w:t>
            </w:r>
            <w:r>
              <w:rPr>
                <w:rFonts w:ascii="Calibri"/>
                <w:sz w:val="17"/>
              </w:rPr>
              <w:t>: further training consisted of 8 hours by Family Rights Group plus additional training to individual requirements.</w:t>
            </w:r>
          </w:p>
          <w:p w:rsidR="006A18FD" w:rsidRDefault="002D29FC">
            <w:pPr>
              <w:spacing w:before="1" w:line="207" w:lineRule="exact"/>
              <w:ind w:left="105"/>
              <w:rPr>
                <w:rFonts w:ascii="Calibri"/>
                <w:sz w:val="17"/>
              </w:rPr>
            </w:pPr>
            <w:r>
              <w:rPr>
                <w:rFonts w:ascii="Calibri"/>
                <w:b/>
                <w:sz w:val="17"/>
              </w:rPr>
              <w:t>Project B</w:t>
            </w:r>
            <w:r>
              <w:rPr>
                <w:rFonts w:ascii="Calibri"/>
                <w:sz w:val="17"/>
              </w:rPr>
              <w:t>: 5 days per year provided by a range of safeguarding, advocacy, legal and</w:t>
            </w:r>
          </w:p>
          <w:p w:rsidR="006A18FD" w:rsidRDefault="002D29FC">
            <w:pPr>
              <w:spacing w:before="1" w:line="187" w:lineRule="exact"/>
              <w:ind w:left="105"/>
              <w:rPr>
                <w:rFonts w:ascii="Calibri"/>
                <w:sz w:val="17"/>
              </w:rPr>
            </w:pPr>
            <w:r>
              <w:rPr>
                <w:rFonts w:ascii="Calibri"/>
                <w:sz w:val="17"/>
              </w:rPr>
              <w:t>community organisations.</w:t>
            </w:r>
          </w:p>
        </w:tc>
      </w:tr>
      <w:tr w:rsidR="006A18FD">
        <w:trPr>
          <w:trHeight w:val="820"/>
        </w:trPr>
        <w:tc>
          <w:tcPr>
            <w:tcW w:w="2000" w:type="dxa"/>
          </w:tcPr>
          <w:p w:rsidR="006A18FD" w:rsidRDefault="002D29FC">
            <w:pPr>
              <w:spacing w:line="206" w:lineRule="exact"/>
              <w:ind w:left="105"/>
              <w:rPr>
                <w:rFonts w:ascii="Calibri"/>
                <w:sz w:val="17"/>
              </w:rPr>
            </w:pPr>
            <w:r>
              <w:rPr>
                <w:rFonts w:ascii="Calibri"/>
                <w:sz w:val="17"/>
              </w:rPr>
              <w:t>F. Capital overheads</w:t>
            </w:r>
          </w:p>
        </w:tc>
        <w:tc>
          <w:tcPr>
            <w:tcW w:w="1493" w:type="dxa"/>
          </w:tcPr>
          <w:p w:rsidR="006A18FD" w:rsidRDefault="002D29FC">
            <w:pPr>
              <w:spacing w:line="206" w:lineRule="exact"/>
              <w:ind w:left="105"/>
              <w:rPr>
                <w:rFonts w:ascii="Calibri" w:hAnsi="Calibri"/>
                <w:sz w:val="17"/>
              </w:rPr>
            </w:pPr>
            <w:r>
              <w:rPr>
                <w:rFonts w:ascii="Calibri" w:hAnsi="Calibri"/>
                <w:sz w:val="17"/>
              </w:rPr>
              <w:t>£3,191 per year</w:t>
            </w:r>
          </w:p>
        </w:tc>
        <w:tc>
          <w:tcPr>
            <w:tcW w:w="6541" w:type="dxa"/>
          </w:tcPr>
          <w:p w:rsidR="006A18FD" w:rsidRDefault="002D29FC">
            <w:pPr>
              <w:ind w:left="105" w:right="438"/>
              <w:rPr>
                <w:rFonts w:ascii="Calibri"/>
                <w:sz w:val="17"/>
              </w:rPr>
            </w:pPr>
            <w:r>
              <w:rPr>
                <w:rFonts w:ascii="Calibri"/>
                <w:sz w:val="17"/>
              </w:rPr>
              <w:t>It is assumed that one office is used and costs are based on the new-build and land requirements of a local office and shared facilities for waiting, interviews and clerical support.  Capital costs have been annuitised over 60 years at a discount rate of 3.5 per</w:t>
            </w:r>
          </w:p>
          <w:p w:rsidR="006A18FD" w:rsidRDefault="002D29FC">
            <w:pPr>
              <w:spacing w:before="2" w:line="187" w:lineRule="exact"/>
              <w:ind w:left="105"/>
              <w:rPr>
                <w:rFonts w:ascii="Calibri"/>
                <w:sz w:val="17"/>
              </w:rPr>
            </w:pPr>
            <w:r>
              <w:rPr>
                <w:rFonts w:ascii="Calibri"/>
                <w:sz w:val="17"/>
              </w:rPr>
              <w:t>cent, declining to 3 per cent after 30 years.</w:t>
            </w:r>
          </w:p>
        </w:tc>
      </w:tr>
      <w:tr w:rsidR="006A18FD">
        <w:trPr>
          <w:trHeight w:val="400"/>
        </w:trPr>
        <w:tc>
          <w:tcPr>
            <w:tcW w:w="2000" w:type="dxa"/>
          </w:tcPr>
          <w:p w:rsidR="006A18FD" w:rsidRDefault="002D29FC">
            <w:pPr>
              <w:spacing w:line="206" w:lineRule="exact"/>
              <w:ind w:left="105"/>
              <w:rPr>
                <w:rFonts w:ascii="Calibri"/>
                <w:sz w:val="17"/>
              </w:rPr>
            </w:pPr>
            <w:r>
              <w:rPr>
                <w:rFonts w:ascii="Calibri"/>
                <w:sz w:val="17"/>
              </w:rPr>
              <w:t>G. Travel</w:t>
            </w:r>
          </w:p>
        </w:tc>
        <w:tc>
          <w:tcPr>
            <w:tcW w:w="1493" w:type="dxa"/>
          </w:tcPr>
          <w:p w:rsidR="006A18FD" w:rsidRDefault="002D29FC">
            <w:pPr>
              <w:spacing w:line="206" w:lineRule="exact"/>
              <w:ind w:left="105" w:firstLine="38"/>
              <w:rPr>
                <w:rFonts w:ascii="Calibri"/>
                <w:sz w:val="17"/>
              </w:rPr>
            </w:pPr>
            <w:r>
              <w:rPr>
                <w:rFonts w:ascii="Calibri"/>
                <w:sz w:val="17"/>
              </w:rPr>
              <w:t>No costs</w:t>
            </w:r>
          </w:p>
          <w:p w:rsidR="006A18FD" w:rsidRDefault="002D29FC">
            <w:pPr>
              <w:spacing w:before="1" w:line="187" w:lineRule="exact"/>
              <w:ind w:left="105"/>
              <w:rPr>
                <w:rFonts w:ascii="Calibri"/>
                <w:sz w:val="17"/>
              </w:rPr>
            </w:pPr>
            <w:r>
              <w:rPr>
                <w:rFonts w:ascii="Calibri"/>
                <w:sz w:val="17"/>
              </w:rPr>
              <w:t>available</w:t>
            </w:r>
          </w:p>
        </w:tc>
        <w:tc>
          <w:tcPr>
            <w:tcW w:w="6541" w:type="dxa"/>
          </w:tcPr>
          <w:p w:rsidR="006A18FD" w:rsidRDefault="002D29FC">
            <w:pPr>
              <w:spacing w:line="206" w:lineRule="exact"/>
              <w:ind w:left="105"/>
              <w:rPr>
                <w:rFonts w:ascii="Calibri"/>
                <w:sz w:val="17"/>
              </w:rPr>
            </w:pPr>
            <w:r>
              <w:rPr>
                <w:rFonts w:ascii="Calibri"/>
                <w:b/>
                <w:sz w:val="17"/>
              </w:rPr>
              <w:t>Project A</w:t>
            </w:r>
            <w:r>
              <w:rPr>
                <w:rFonts w:ascii="Calibri"/>
                <w:sz w:val="17"/>
              </w:rPr>
              <w:t>: average travel time per intervention = 70 minutes, range (40-120 minutes)</w:t>
            </w:r>
          </w:p>
          <w:p w:rsidR="006A18FD" w:rsidRDefault="002D29FC">
            <w:pPr>
              <w:spacing w:before="1" w:line="187" w:lineRule="exact"/>
              <w:ind w:left="105"/>
              <w:rPr>
                <w:rFonts w:ascii="Calibri"/>
                <w:sz w:val="17"/>
              </w:rPr>
            </w:pPr>
            <w:r>
              <w:rPr>
                <w:rFonts w:ascii="Calibri"/>
                <w:b/>
                <w:sz w:val="17"/>
              </w:rPr>
              <w:t>Project B</w:t>
            </w:r>
            <w:r>
              <w:rPr>
                <w:rFonts w:ascii="Calibri"/>
                <w:sz w:val="17"/>
              </w:rPr>
              <w:t>: average travel time = 15 minutes.</w:t>
            </w:r>
          </w:p>
        </w:tc>
      </w:tr>
      <w:tr w:rsidR="006A18FD">
        <w:trPr>
          <w:trHeight w:val="620"/>
        </w:trPr>
        <w:tc>
          <w:tcPr>
            <w:tcW w:w="2000" w:type="dxa"/>
          </w:tcPr>
          <w:p w:rsidR="006A18FD" w:rsidRDefault="002D29FC">
            <w:pPr>
              <w:spacing w:line="206" w:lineRule="exact"/>
              <w:ind w:left="105"/>
              <w:rPr>
                <w:rFonts w:ascii="Calibri"/>
                <w:sz w:val="17"/>
              </w:rPr>
            </w:pPr>
            <w:r>
              <w:rPr>
                <w:rFonts w:ascii="Calibri"/>
                <w:sz w:val="17"/>
              </w:rPr>
              <w:t>Working time</w:t>
            </w:r>
          </w:p>
        </w:tc>
        <w:tc>
          <w:tcPr>
            <w:tcW w:w="1493" w:type="dxa"/>
          </w:tcPr>
          <w:p w:rsidR="006A18FD" w:rsidRDefault="002D29FC">
            <w:pPr>
              <w:ind w:left="105" w:right="100"/>
              <w:rPr>
                <w:rFonts w:ascii="Calibri"/>
                <w:sz w:val="17"/>
              </w:rPr>
            </w:pPr>
            <w:r>
              <w:rPr>
                <w:rFonts w:ascii="Calibri"/>
                <w:sz w:val="17"/>
              </w:rPr>
              <w:t>41 weeks per year 37 hours per</w:t>
            </w:r>
          </w:p>
          <w:p w:rsidR="006A18FD" w:rsidRDefault="002D29FC">
            <w:pPr>
              <w:spacing w:before="1" w:line="189" w:lineRule="exact"/>
              <w:ind w:left="105"/>
              <w:rPr>
                <w:rFonts w:ascii="Calibri"/>
                <w:sz w:val="17"/>
              </w:rPr>
            </w:pPr>
            <w:r>
              <w:rPr>
                <w:rFonts w:ascii="Calibri"/>
                <w:sz w:val="17"/>
              </w:rPr>
              <w:t>week</w:t>
            </w:r>
          </w:p>
        </w:tc>
        <w:tc>
          <w:tcPr>
            <w:tcW w:w="6541" w:type="dxa"/>
          </w:tcPr>
          <w:p w:rsidR="006A18FD" w:rsidRDefault="002D29FC">
            <w:pPr>
              <w:spacing w:line="206" w:lineRule="exact"/>
              <w:ind w:left="105"/>
              <w:rPr>
                <w:rFonts w:ascii="Calibri"/>
                <w:sz w:val="17"/>
              </w:rPr>
            </w:pPr>
            <w:r>
              <w:rPr>
                <w:rFonts w:ascii="Calibri"/>
                <w:sz w:val="17"/>
              </w:rPr>
              <w:t>Includes 29 days annual leave and 8 statutory leave days.  Ten days for study/training and</w:t>
            </w:r>
          </w:p>
          <w:p w:rsidR="006A18FD" w:rsidRDefault="002D29FC">
            <w:pPr>
              <w:spacing w:before="1" w:line="207" w:lineRule="exact"/>
              <w:ind w:left="105"/>
              <w:rPr>
                <w:rFonts w:ascii="Calibri"/>
                <w:sz w:val="17"/>
              </w:rPr>
            </w:pPr>
            <w:r>
              <w:rPr>
                <w:rFonts w:ascii="Calibri"/>
                <w:sz w:val="17"/>
              </w:rPr>
              <w:t>8.5 days sickness leave have been assumed based on the median average sickness absence</w:t>
            </w:r>
          </w:p>
          <w:p w:rsidR="006A18FD" w:rsidRDefault="002D29FC">
            <w:pPr>
              <w:spacing w:line="189" w:lineRule="exact"/>
              <w:ind w:left="105"/>
              <w:rPr>
                <w:rFonts w:ascii="Calibri"/>
                <w:sz w:val="17"/>
              </w:rPr>
            </w:pPr>
            <w:r>
              <w:rPr>
                <w:rFonts w:ascii="Calibri"/>
                <w:sz w:val="17"/>
              </w:rPr>
              <w:t>level in England for all authorities.</w:t>
            </w:r>
            <w:r>
              <w:rPr>
                <w:rFonts w:ascii="Calibri"/>
                <w:position w:val="5"/>
                <w:sz w:val="11"/>
              </w:rPr>
              <w:t xml:space="preserve">3   </w:t>
            </w:r>
            <w:r>
              <w:rPr>
                <w:rFonts w:ascii="Calibri"/>
                <w:sz w:val="17"/>
              </w:rPr>
              <w:t>Unit costs assume 1,513 working hours.</w:t>
            </w:r>
          </w:p>
        </w:tc>
      </w:tr>
      <w:tr w:rsidR="006A18FD">
        <w:trPr>
          <w:trHeight w:val="620"/>
        </w:trPr>
        <w:tc>
          <w:tcPr>
            <w:tcW w:w="2000" w:type="dxa"/>
          </w:tcPr>
          <w:p w:rsidR="006A18FD" w:rsidRDefault="002D29FC">
            <w:pPr>
              <w:ind w:left="105" w:right="133"/>
              <w:rPr>
                <w:rFonts w:ascii="Calibri"/>
                <w:sz w:val="17"/>
              </w:rPr>
            </w:pPr>
            <w:r>
              <w:rPr>
                <w:rFonts w:ascii="Calibri"/>
                <w:sz w:val="17"/>
              </w:rPr>
              <w:t>Ratio of direct to indirect time on client-related</w:t>
            </w:r>
          </w:p>
          <w:p w:rsidR="006A18FD" w:rsidRDefault="002D29FC">
            <w:pPr>
              <w:spacing w:before="2" w:line="187" w:lineRule="exact"/>
              <w:ind w:left="105"/>
              <w:rPr>
                <w:rFonts w:ascii="Calibri"/>
                <w:sz w:val="17"/>
              </w:rPr>
            </w:pPr>
            <w:r>
              <w:rPr>
                <w:rFonts w:ascii="Calibri"/>
                <w:sz w:val="17"/>
              </w:rPr>
              <w:t>work</w:t>
            </w:r>
          </w:p>
        </w:tc>
        <w:tc>
          <w:tcPr>
            <w:tcW w:w="1493" w:type="dxa"/>
          </w:tcPr>
          <w:p w:rsidR="006A18FD" w:rsidRDefault="002D29FC">
            <w:pPr>
              <w:spacing w:line="206" w:lineRule="exact"/>
              <w:ind w:left="105"/>
              <w:rPr>
                <w:rFonts w:ascii="Calibri"/>
                <w:sz w:val="17"/>
              </w:rPr>
            </w:pPr>
            <w:r>
              <w:rPr>
                <w:rFonts w:ascii="Calibri"/>
                <w:sz w:val="17"/>
              </w:rPr>
              <w:t>1:0.13</w:t>
            </w:r>
          </w:p>
        </w:tc>
        <w:tc>
          <w:tcPr>
            <w:tcW w:w="6541" w:type="dxa"/>
          </w:tcPr>
          <w:p w:rsidR="006A18FD" w:rsidRDefault="002D29FC">
            <w:pPr>
              <w:spacing w:line="206" w:lineRule="exact"/>
              <w:ind w:left="105"/>
              <w:rPr>
                <w:rFonts w:ascii="Calibri"/>
                <w:sz w:val="11"/>
              </w:rPr>
            </w:pPr>
            <w:r>
              <w:rPr>
                <w:rFonts w:ascii="Calibri"/>
                <w:sz w:val="17"/>
              </w:rPr>
              <w:t xml:space="preserve">1,344 hours of client-related work are assumed per year. </w:t>
            </w:r>
            <w:r>
              <w:rPr>
                <w:rFonts w:ascii="Calibri"/>
                <w:position w:val="5"/>
                <w:sz w:val="11"/>
              </w:rPr>
              <w:t>1</w:t>
            </w:r>
          </w:p>
        </w:tc>
      </w:tr>
      <w:tr w:rsidR="006A18FD">
        <w:trPr>
          <w:trHeight w:val="200"/>
        </w:trPr>
        <w:tc>
          <w:tcPr>
            <w:tcW w:w="2000" w:type="dxa"/>
          </w:tcPr>
          <w:p w:rsidR="006A18FD" w:rsidRDefault="002D29FC">
            <w:pPr>
              <w:spacing w:line="188" w:lineRule="exact"/>
              <w:ind w:left="105"/>
              <w:rPr>
                <w:rFonts w:ascii="Calibri"/>
                <w:sz w:val="17"/>
              </w:rPr>
            </w:pPr>
            <w:r>
              <w:rPr>
                <w:rFonts w:ascii="Calibri"/>
                <w:sz w:val="17"/>
              </w:rPr>
              <w:t>Caseload</w:t>
            </w:r>
          </w:p>
        </w:tc>
        <w:tc>
          <w:tcPr>
            <w:tcW w:w="1493" w:type="dxa"/>
          </w:tcPr>
          <w:p w:rsidR="006A18FD" w:rsidRDefault="006A18FD">
            <w:pPr>
              <w:rPr>
                <w:rFonts w:ascii="Times New Roman"/>
                <w:sz w:val="14"/>
              </w:rPr>
            </w:pPr>
          </w:p>
        </w:tc>
        <w:tc>
          <w:tcPr>
            <w:tcW w:w="6541" w:type="dxa"/>
          </w:tcPr>
          <w:p w:rsidR="006A18FD" w:rsidRDefault="002D29FC">
            <w:pPr>
              <w:spacing w:line="188" w:lineRule="exact"/>
              <w:ind w:left="105"/>
              <w:rPr>
                <w:rFonts w:ascii="Calibri"/>
                <w:sz w:val="17"/>
              </w:rPr>
            </w:pPr>
            <w:r>
              <w:rPr>
                <w:rFonts w:ascii="Calibri"/>
                <w:b/>
                <w:sz w:val="17"/>
              </w:rPr>
              <w:t xml:space="preserve">Project A: </w:t>
            </w:r>
            <w:r>
              <w:rPr>
                <w:rFonts w:ascii="Calibri"/>
                <w:sz w:val="17"/>
              </w:rPr>
              <w:t xml:space="preserve">Caseload of 8-10 parents.  </w:t>
            </w:r>
            <w:r>
              <w:rPr>
                <w:rFonts w:ascii="Calibri"/>
                <w:b/>
                <w:sz w:val="17"/>
              </w:rPr>
              <w:t xml:space="preserve">Project B: </w:t>
            </w:r>
            <w:r>
              <w:rPr>
                <w:rFonts w:ascii="Calibri"/>
                <w:sz w:val="17"/>
              </w:rPr>
              <w:t>10 families.</w:t>
            </w:r>
          </w:p>
        </w:tc>
      </w:tr>
      <w:tr w:rsidR="006A18FD">
        <w:trPr>
          <w:trHeight w:val="620"/>
        </w:trPr>
        <w:tc>
          <w:tcPr>
            <w:tcW w:w="2000" w:type="dxa"/>
          </w:tcPr>
          <w:p w:rsidR="006A18FD" w:rsidRDefault="002D29FC">
            <w:pPr>
              <w:spacing w:line="206" w:lineRule="exact"/>
              <w:ind w:left="105"/>
              <w:rPr>
                <w:rFonts w:ascii="Calibri"/>
                <w:sz w:val="17"/>
              </w:rPr>
            </w:pPr>
            <w:r>
              <w:rPr>
                <w:rFonts w:ascii="Calibri"/>
                <w:sz w:val="17"/>
              </w:rPr>
              <w:t>Time per case</w:t>
            </w:r>
          </w:p>
        </w:tc>
        <w:tc>
          <w:tcPr>
            <w:tcW w:w="1493" w:type="dxa"/>
          </w:tcPr>
          <w:p w:rsidR="006A18FD" w:rsidRDefault="002D29FC">
            <w:pPr>
              <w:ind w:left="105" w:right="154"/>
              <w:rPr>
                <w:rFonts w:ascii="Calibri"/>
                <w:sz w:val="17"/>
              </w:rPr>
            </w:pPr>
            <w:r>
              <w:rPr>
                <w:rFonts w:ascii="Calibri"/>
                <w:sz w:val="17"/>
              </w:rPr>
              <w:t>95 hours of client related work.</w:t>
            </w:r>
          </w:p>
        </w:tc>
        <w:tc>
          <w:tcPr>
            <w:tcW w:w="6541" w:type="dxa"/>
          </w:tcPr>
          <w:p w:rsidR="006A18FD" w:rsidRDefault="002D29FC">
            <w:pPr>
              <w:ind w:left="105" w:right="116"/>
              <w:rPr>
                <w:rFonts w:ascii="Calibri"/>
                <w:sz w:val="17"/>
              </w:rPr>
            </w:pPr>
            <w:r>
              <w:rPr>
                <w:rFonts w:ascii="Calibri"/>
                <w:sz w:val="17"/>
              </w:rPr>
              <w:t>On average, an advocacy intervention consisted of 95 hours of client-related work (one-to- one sessions, external meetings travelling and preparation time) provided over a 10-month</w:t>
            </w:r>
          </w:p>
          <w:p w:rsidR="006A18FD" w:rsidRDefault="002D29FC">
            <w:pPr>
              <w:spacing w:before="1" w:line="189" w:lineRule="exact"/>
              <w:ind w:left="105"/>
              <w:rPr>
                <w:rFonts w:ascii="Calibri"/>
                <w:sz w:val="17"/>
              </w:rPr>
            </w:pPr>
            <w:r>
              <w:rPr>
                <w:rFonts w:ascii="Calibri"/>
                <w:sz w:val="17"/>
              </w:rPr>
              <w:t>period.  Face-to-face time ranged from 3 to 68 hours.</w:t>
            </w:r>
          </w:p>
        </w:tc>
      </w:tr>
      <w:tr w:rsidR="006A18FD">
        <w:trPr>
          <w:trHeight w:val="320"/>
        </w:trPr>
        <w:tc>
          <w:tcPr>
            <w:tcW w:w="10034" w:type="dxa"/>
            <w:gridSpan w:val="3"/>
          </w:tcPr>
          <w:p w:rsidR="006A18FD" w:rsidRDefault="002D29FC">
            <w:pPr>
              <w:spacing w:line="206" w:lineRule="exact"/>
              <w:ind w:left="105"/>
              <w:rPr>
                <w:rFonts w:ascii="Calibri"/>
                <w:b/>
                <w:sz w:val="17"/>
              </w:rPr>
            </w:pPr>
            <w:r>
              <w:rPr>
                <w:rFonts w:ascii="Calibri"/>
                <w:b/>
                <w:sz w:val="17"/>
              </w:rPr>
              <w:t>Unit costs available 2018/2019</w:t>
            </w:r>
          </w:p>
        </w:tc>
      </w:tr>
      <w:tr w:rsidR="006A18FD">
        <w:trPr>
          <w:trHeight w:val="620"/>
        </w:trPr>
        <w:tc>
          <w:tcPr>
            <w:tcW w:w="10034" w:type="dxa"/>
            <w:gridSpan w:val="3"/>
          </w:tcPr>
          <w:p w:rsidR="006A18FD" w:rsidRDefault="002D29FC">
            <w:pPr>
              <w:ind w:left="105" w:right="2333"/>
              <w:rPr>
                <w:rFonts w:ascii="Calibri" w:hAnsi="Calibri"/>
                <w:sz w:val="17"/>
              </w:rPr>
            </w:pPr>
            <w:r>
              <w:rPr>
                <w:rFonts w:ascii="Calibri" w:hAnsi="Calibri"/>
                <w:sz w:val="17"/>
              </w:rPr>
              <w:t>Average cost per working hour £31, average cost per client-related hour £52. (Estimates exclude travel costs). Average total cost £70,342; Total cost for project A: £41,440; Total cost for project B: £99,244.</w:t>
            </w:r>
          </w:p>
          <w:p w:rsidR="006A18FD" w:rsidRDefault="002D29FC">
            <w:pPr>
              <w:spacing w:before="1" w:line="189" w:lineRule="exact"/>
              <w:ind w:left="105"/>
              <w:rPr>
                <w:rFonts w:ascii="Calibri" w:hAnsi="Calibri"/>
                <w:sz w:val="17"/>
              </w:rPr>
            </w:pPr>
            <w:r>
              <w:rPr>
                <w:rFonts w:ascii="Calibri" w:hAnsi="Calibri"/>
                <w:sz w:val="17"/>
              </w:rPr>
              <w:t>Average cost per advocacy intervention (based on 95 hours); £4,972 (Project A £2,929 and Project B £7,015).</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4"/>
        <w:rPr>
          <w:rFonts w:ascii="Calibri"/>
          <w:sz w:val="26"/>
        </w:rPr>
      </w:pPr>
    </w:p>
    <w:p w:rsidR="006A18FD" w:rsidRDefault="002D29FC">
      <w:pPr>
        <w:spacing w:before="1" w:line="278" w:lineRule="auto"/>
        <w:ind w:left="436" w:hanging="284"/>
        <w:rPr>
          <w:rFonts w:ascii="Calibri"/>
          <w:sz w:val="16"/>
        </w:rPr>
      </w:pPr>
      <w:r>
        <w:rPr>
          <w:rFonts w:ascii="Calibri"/>
          <w:position w:val="5"/>
          <w:sz w:val="10"/>
        </w:rPr>
        <w:t xml:space="preserve">1 </w:t>
      </w:r>
      <w:r>
        <w:rPr>
          <w:rFonts w:ascii="Calibri"/>
          <w:sz w:val="16"/>
        </w:rPr>
        <w:t xml:space="preserve">Bauer, A., Wistow, G., Dixon, J. &amp; Knapp, M. (2014) Investing in advocacy for parents with learning disabilities: what is the economic argument? </w:t>
      </w:r>
      <w:r>
        <w:rPr>
          <w:rFonts w:ascii="Calibri"/>
          <w:i/>
          <w:sz w:val="16"/>
        </w:rPr>
        <w:t xml:space="preserve">British Journal of Learning Disabilities, </w:t>
      </w:r>
      <w:r>
        <w:rPr>
          <w:rFonts w:ascii="Calibri"/>
          <w:sz w:val="16"/>
        </w:rPr>
        <w:t>doi: 10.111.bld.12089.</w:t>
      </w:r>
    </w:p>
    <w:p w:rsidR="006A18FD" w:rsidRDefault="002D29FC">
      <w:pPr>
        <w:ind w:left="436" w:right="498" w:hanging="284"/>
        <w:rPr>
          <w:rFonts w:ascii="Calibri"/>
          <w:sz w:val="16"/>
        </w:rPr>
      </w:pPr>
      <w:r>
        <w:rPr>
          <w:rFonts w:ascii="Calibri"/>
          <w:position w:val="5"/>
          <w:sz w:val="10"/>
        </w:rPr>
        <w:t xml:space="preserve">2 </w:t>
      </w:r>
      <w:r>
        <w:rPr>
          <w:rFonts w:ascii="Calibri"/>
          <w:sz w:val="16"/>
        </w:rPr>
        <w:t xml:space="preserve">Based on information taken from Selwyn, J., Sempik, J., Thurston, P. &amp; Wijedasa, D. (2009) </w:t>
      </w:r>
      <w:r>
        <w:rPr>
          <w:rFonts w:ascii="Calibri"/>
          <w:i/>
          <w:sz w:val="16"/>
        </w:rPr>
        <w:t>Adoption and the inter-agency fee</w:t>
      </w:r>
      <w:r>
        <w:rPr>
          <w:rFonts w:ascii="Calibri"/>
          <w:sz w:val="16"/>
        </w:rPr>
        <w:t xml:space="preserve">, University of Bristol, Bristol; and Glendinning, C. et al. (2010). </w:t>
      </w: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before="5" w:line="194" w:lineRule="exact"/>
        <w:ind w:left="152"/>
        <w:rPr>
          <w:rFonts w:ascii="Calibri"/>
          <w:sz w:val="16"/>
        </w:rPr>
      </w:pPr>
      <w:r>
        <w:rPr>
          <w:rFonts w:ascii="Calibri"/>
          <w:position w:val="5"/>
          <w:sz w:val="10"/>
        </w:rPr>
        <w:t xml:space="preserve">3 </w:t>
      </w:r>
      <w:r>
        <w:rPr>
          <w:rFonts w:ascii="Calibri"/>
          <w:sz w:val="16"/>
        </w:rPr>
        <w:t xml:space="preserve">Skills for Care (2018) </w:t>
      </w:r>
      <w:r>
        <w:rPr>
          <w:rFonts w:ascii="Calibri"/>
          <w:i/>
          <w:sz w:val="16"/>
        </w:rPr>
        <w:t>National Minimum Dataset-Social Care online</w:t>
      </w:r>
      <w:r>
        <w:rPr>
          <w:rFonts w:ascii="Calibri"/>
          <w:sz w:val="16"/>
        </w:rPr>
        <w:t xml:space="preserve">, </w:t>
      </w:r>
      <w:hyperlink r:id="rId158">
        <w:r>
          <w:rPr>
            <w:rFonts w:ascii="Calibri"/>
            <w:sz w:val="16"/>
            <w:u w:val="single"/>
          </w:rPr>
          <w:t>https://www.nmds-sc-online.org.uk/</w:t>
        </w:r>
        <w:r>
          <w:rPr>
            <w:rFonts w:ascii="Calibri"/>
            <w:sz w:val="16"/>
          </w:rPr>
          <w:t xml:space="preserve"> </w:t>
        </w:r>
      </w:hyperlink>
      <w:r>
        <w:rPr>
          <w:rFonts w:ascii="Calibri"/>
          <w:sz w:val="16"/>
        </w:rPr>
        <w:t>[accessed 11 October 2018].</w:t>
      </w:r>
    </w:p>
    <w:p w:rsidR="006A18FD" w:rsidRDefault="006A18FD">
      <w:pPr>
        <w:spacing w:line="194" w:lineRule="exact"/>
        <w:rPr>
          <w:rFonts w:ascii="Calibri"/>
          <w:sz w:val="16"/>
        </w:rPr>
        <w:sectPr w:rsidR="006A18FD">
          <w:pgSz w:w="11910" w:h="16840"/>
          <w:pgMar w:top="980" w:right="580" w:bottom="280" w:left="980" w:header="763"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2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27" name="Line 18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57F44C" id="Group 18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CsQPLZ/AgAAgQUA&#10;AA4AAAAAAAAAAAAAAAAALgIAAGRycy9lMm9Eb2MueG1sUEsBAi0AFAAGAAgAAAAhAC135FzaAAAA&#10;BAEAAA8AAAAAAAAAAAAAAAAA2QQAAGRycy9kb3ducmV2LnhtbFBLBQYAAAAABAAEAPMAAADgBQAA&#10;AAA=&#10;">
                <v:line id="Line 18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w10:anchorlock/>
              </v:group>
            </w:pict>
          </mc:Fallback>
        </mc:AlternateContent>
      </w:r>
    </w:p>
    <w:p w:rsidR="006A18FD" w:rsidRDefault="0025638D" w:rsidP="0025638D">
      <w:pPr>
        <w:pStyle w:val="Heading2"/>
      </w:pPr>
      <w:r>
        <w:t xml:space="preserve">4.3 </w:t>
      </w:r>
      <w:r w:rsidR="002D29FC">
        <w:t>Residential care homes for adults requiring learning disability support (age</w:t>
      </w:r>
      <w:r w:rsidR="002D29FC">
        <w:rPr>
          <w:spacing w:val="-7"/>
        </w:rPr>
        <w:t xml:space="preserve"> </w:t>
      </w:r>
      <w:r w:rsidR="002D29FC">
        <w:t>18-64)</w:t>
      </w:r>
    </w:p>
    <w:p w:rsidR="006A18FD" w:rsidRDefault="002D29FC">
      <w:pPr>
        <w:spacing w:before="55" w:line="261" w:lineRule="auto"/>
        <w:ind w:left="140" w:right="212"/>
        <w:rPr>
          <w:rFonts w:ascii="Calibri" w:hAnsi="Calibri"/>
          <w:sz w:val="20"/>
        </w:rPr>
      </w:pPr>
      <w:r>
        <w:rPr>
          <w:rFonts w:ascii="Calibri" w:hAnsi="Calibri"/>
          <w:sz w:val="20"/>
        </w:rPr>
        <w:t>The following schema draw on research carried out by Laing &amp; Buisson.</w:t>
      </w:r>
      <w:r>
        <w:rPr>
          <w:rFonts w:ascii="Calibri" w:hAnsi="Calibri"/>
          <w:position w:val="7"/>
          <w:sz w:val="13"/>
        </w:rPr>
        <w:t xml:space="preserve">1  </w:t>
      </w:r>
      <w:r>
        <w:rPr>
          <w:rFonts w:ascii="Calibri" w:hAnsi="Calibri"/>
          <w:sz w:val="20"/>
        </w:rPr>
        <w:t>All costs have been uprated from 2012/13 using the PSS inflators. They provide illustrative cost models in learning disabilities social care provision, first for residential care homes and then for supported living schemes. See also Laing &amp; Buisson (2016).</w:t>
      </w:r>
      <w:r>
        <w:rPr>
          <w:rFonts w:ascii="Calibri" w:hAnsi="Calibri"/>
          <w:position w:val="7"/>
          <w:sz w:val="13"/>
        </w:rPr>
        <w:t xml:space="preserve">2 </w:t>
      </w:r>
      <w:r>
        <w:rPr>
          <w:rFonts w:ascii="Calibri" w:hAnsi="Calibri"/>
          <w:sz w:val="20"/>
        </w:rPr>
        <w:t xml:space="preserve">Using Adult Social Care Finance Returns (ASC-FR) </w:t>
      </w:r>
      <w:r>
        <w:rPr>
          <w:rFonts w:ascii="Calibri" w:hAnsi="Calibri"/>
          <w:position w:val="7"/>
          <w:sz w:val="13"/>
        </w:rPr>
        <w:t xml:space="preserve">3 </w:t>
      </w:r>
      <w:r>
        <w:rPr>
          <w:rFonts w:ascii="Calibri" w:hAnsi="Calibri"/>
          <w:sz w:val="20"/>
        </w:rPr>
        <w:t>for 2018/2019, the median cost per person for adults (18 to 64) requiring learning disability support in long-term residential care was £1,520 per week and the mean cost was £1,523 per week [using unique identifiers: 8712401 (numerator in thousands of pounds), 8712402 (denominator)].</w:t>
      </w:r>
    </w:p>
    <w:p w:rsidR="006A18FD" w:rsidRDefault="0025638D" w:rsidP="0025638D">
      <w:pPr>
        <w:pStyle w:val="Heading3"/>
      </w:pPr>
      <w:r>
        <w:t xml:space="preserve">4.3.1 </w:t>
      </w:r>
      <w:r w:rsidR="002D29FC">
        <w:t>Residential care</w:t>
      </w:r>
      <w:r w:rsidR="002D29FC">
        <w:rPr>
          <w:spacing w:val="-13"/>
        </w:rPr>
        <w:t xml:space="preserve"> </w:t>
      </w:r>
      <w:r w:rsidR="002D29FC">
        <w:t>homes</w:t>
      </w:r>
    </w:p>
    <w:p w:rsidR="006A18FD" w:rsidRDefault="006A18FD">
      <w:pPr>
        <w:spacing w:before="11"/>
        <w:rPr>
          <w:rFonts w:ascii="Cambria"/>
          <w:b/>
          <w:sz w:val="8"/>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2125"/>
        <w:gridCol w:w="2552"/>
        <w:gridCol w:w="2554"/>
      </w:tblGrid>
      <w:tr w:rsidR="006A18FD" w:rsidTr="005B5AB5">
        <w:trPr>
          <w:trHeight w:val="720"/>
          <w:tblHeader/>
        </w:trPr>
        <w:tc>
          <w:tcPr>
            <w:tcW w:w="2691" w:type="dxa"/>
          </w:tcPr>
          <w:p w:rsidR="006A18FD" w:rsidRDefault="002D29FC">
            <w:pPr>
              <w:spacing w:before="123"/>
              <w:ind w:left="103"/>
              <w:rPr>
                <w:rFonts w:ascii="Calibri"/>
                <w:b/>
                <w:sz w:val="20"/>
              </w:rPr>
            </w:pPr>
            <w:r>
              <w:rPr>
                <w:rFonts w:ascii="Calibri"/>
                <w:b/>
                <w:sz w:val="20"/>
              </w:rPr>
              <w:t>Average costs</w:t>
            </w:r>
          </w:p>
        </w:tc>
        <w:tc>
          <w:tcPr>
            <w:tcW w:w="2125" w:type="dxa"/>
          </w:tcPr>
          <w:p w:rsidR="006A18FD" w:rsidRDefault="002D29FC">
            <w:pPr>
              <w:spacing w:before="121"/>
              <w:ind w:left="833" w:right="252" w:hanging="567"/>
              <w:rPr>
                <w:rFonts w:ascii="Calibri" w:hAnsi="Calibri"/>
                <w:b/>
                <w:sz w:val="20"/>
              </w:rPr>
            </w:pPr>
            <w:r>
              <w:rPr>
                <w:rFonts w:ascii="Calibri" w:hAnsi="Calibri"/>
                <w:b/>
                <w:sz w:val="20"/>
              </w:rPr>
              <w:t>Low – 30 hours per week</w:t>
            </w:r>
          </w:p>
        </w:tc>
        <w:tc>
          <w:tcPr>
            <w:tcW w:w="2552" w:type="dxa"/>
          </w:tcPr>
          <w:p w:rsidR="006A18FD" w:rsidRDefault="002D29FC">
            <w:pPr>
              <w:spacing w:before="121"/>
              <w:ind w:left="1046" w:right="285" w:hanging="747"/>
              <w:rPr>
                <w:rFonts w:ascii="Calibri" w:hAnsi="Calibri"/>
                <w:b/>
                <w:sz w:val="20"/>
              </w:rPr>
            </w:pPr>
            <w:r>
              <w:rPr>
                <w:rFonts w:ascii="Calibri" w:hAnsi="Calibri"/>
                <w:b/>
                <w:sz w:val="20"/>
              </w:rPr>
              <w:t>Medium – 60 hours per week</w:t>
            </w:r>
          </w:p>
        </w:tc>
        <w:tc>
          <w:tcPr>
            <w:tcW w:w="2554" w:type="dxa"/>
          </w:tcPr>
          <w:p w:rsidR="006A18FD" w:rsidRDefault="002D29FC">
            <w:pPr>
              <w:spacing w:before="123"/>
              <w:ind w:left="148" w:right="149"/>
              <w:jc w:val="center"/>
              <w:rPr>
                <w:rFonts w:ascii="Calibri" w:hAnsi="Calibri"/>
                <w:b/>
                <w:sz w:val="20"/>
              </w:rPr>
            </w:pPr>
            <w:r>
              <w:rPr>
                <w:rFonts w:ascii="Calibri" w:hAnsi="Calibri"/>
                <w:b/>
                <w:sz w:val="20"/>
              </w:rPr>
              <w:t>High – 100 hours per week</w:t>
            </w:r>
          </w:p>
        </w:tc>
      </w:tr>
      <w:tr w:rsidR="006A18FD">
        <w:trPr>
          <w:trHeight w:val="480"/>
        </w:trPr>
        <w:tc>
          <w:tcPr>
            <w:tcW w:w="2691" w:type="dxa"/>
          </w:tcPr>
          <w:p w:rsidR="006A18FD" w:rsidRDefault="002D29FC">
            <w:pPr>
              <w:spacing w:before="122"/>
              <w:ind w:left="103"/>
              <w:rPr>
                <w:rFonts w:ascii="Calibri"/>
                <w:sz w:val="20"/>
              </w:rPr>
            </w:pPr>
            <w:r>
              <w:rPr>
                <w:rFonts w:ascii="Calibri"/>
                <w:sz w:val="20"/>
              </w:rPr>
              <w:t>Direct staff costs</w:t>
            </w:r>
          </w:p>
        </w:tc>
        <w:tc>
          <w:tcPr>
            <w:tcW w:w="2125" w:type="dxa"/>
          </w:tcPr>
          <w:p w:rsidR="006A18FD" w:rsidRDefault="002D29FC">
            <w:pPr>
              <w:spacing w:before="122"/>
              <w:ind w:right="857"/>
              <w:jc w:val="right"/>
              <w:rPr>
                <w:rFonts w:ascii="Calibri" w:hAnsi="Calibri"/>
                <w:sz w:val="20"/>
              </w:rPr>
            </w:pPr>
            <w:r>
              <w:rPr>
                <w:rFonts w:ascii="Calibri" w:hAnsi="Calibri"/>
                <w:sz w:val="20"/>
              </w:rPr>
              <w:t>£391</w:t>
            </w:r>
          </w:p>
        </w:tc>
        <w:tc>
          <w:tcPr>
            <w:tcW w:w="2552" w:type="dxa"/>
          </w:tcPr>
          <w:p w:rsidR="006A18FD" w:rsidRDefault="002D29FC">
            <w:pPr>
              <w:spacing w:before="122"/>
              <w:ind w:left="971" w:right="971"/>
              <w:jc w:val="center"/>
              <w:rPr>
                <w:rFonts w:ascii="Calibri" w:hAnsi="Calibri"/>
                <w:sz w:val="20"/>
              </w:rPr>
            </w:pPr>
            <w:r>
              <w:rPr>
                <w:rFonts w:ascii="Calibri" w:hAnsi="Calibri"/>
                <w:sz w:val="20"/>
              </w:rPr>
              <w:t>£901</w:t>
            </w:r>
          </w:p>
        </w:tc>
        <w:tc>
          <w:tcPr>
            <w:tcW w:w="2554" w:type="dxa"/>
          </w:tcPr>
          <w:p w:rsidR="006A18FD" w:rsidRDefault="002D29FC">
            <w:pPr>
              <w:spacing w:before="122"/>
              <w:ind w:left="145" w:right="149"/>
              <w:jc w:val="center"/>
              <w:rPr>
                <w:rFonts w:ascii="Calibri" w:hAnsi="Calibri"/>
                <w:sz w:val="20"/>
              </w:rPr>
            </w:pPr>
            <w:r>
              <w:rPr>
                <w:rFonts w:ascii="Calibri" w:hAnsi="Calibri"/>
                <w:sz w:val="20"/>
              </w:rPr>
              <w:t>£1,469</w:t>
            </w:r>
          </w:p>
        </w:tc>
      </w:tr>
      <w:tr w:rsidR="006A18FD">
        <w:trPr>
          <w:trHeight w:val="480"/>
        </w:trPr>
        <w:tc>
          <w:tcPr>
            <w:tcW w:w="2691" w:type="dxa"/>
          </w:tcPr>
          <w:p w:rsidR="006A18FD" w:rsidRDefault="002D29FC">
            <w:pPr>
              <w:spacing w:before="121"/>
              <w:ind w:left="103"/>
              <w:rPr>
                <w:rFonts w:ascii="Calibri"/>
                <w:sz w:val="20"/>
              </w:rPr>
            </w:pPr>
            <w:r>
              <w:rPr>
                <w:rFonts w:ascii="Calibri"/>
                <w:sz w:val="20"/>
              </w:rPr>
              <w:t>Management supervision</w:t>
            </w:r>
          </w:p>
        </w:tc>
        <w:tc>
          <w:tcPr>
            <w:tcW w:w="2125" w:type="dxa"/>
          </w:tcPr>
          <w:p w:rsidR="006A18FD" w:rsidRDefault="002D29FC">
            <w:pPr>
              <w:spacing w:before="121"/>
              <w:ind w:right="907"/>
              <w:jc w:val="right"/>
              <w:rPr>
                <w:rFonts w:ascii="Calibri" w:hAnsi="Calibri"/>
                <w:sz w:val="20"/>
              </w:rPr>
            </w:pPr>
            <w:r>
              <w:rPr>
                <w:rFonts w:ascii="Calibri" w:hAnsi="Calibri"/>
                <w:sz w:val="20"/>
              </w:rPr>
              <w:t>£97</w:t>
            </w:r>
          </w:p>
        </w:tc>
        <w:tc>
          <w:tcPr>
            <w:tcW w:w="2552" w:type="dxa"/>
          </w:tcPr>
          <w:p w:rsidR="006A18FD" w:rsidRDefault="002D29FC">
            <w:pPr>
              <w:spacing w:before="121"/>
              <w:ind w:left="971" w:right="971"/>
              <w:jc w:val="center"/>
              <w:rPr>
                <w:rFonts w:ascii="Calibri" w:hAnsi="Calibri"/>
                <w:sz w:val="20"/>
              </w:rPr>
            </w:pPr>
            <w:r>
              <w:rPr>
                <w:rFonts w:ascii="Calibri" w:hAnsi="Calibri"/>
                <w:sz w:val="20"/>
              </w:rPr>
              <w:t>£97</w:t>
            </w:r>
          </w:p>
        </w:tc>
        <w:tc>
          <w:tcPr>
            <w:tcW w:w="2554" w:type="dxa"/>
          </w:tcPr>
          <w:p w:rsidR="006A18FD" w:rsidRDefault="002D29FC">
            <w:pPr>
              <w:spacing w:before="121"/>
              <w:ind w:left="147" w:right="149"/>
              <w:jc w:val="center"/>
              <w:rPr>
                <w:rFonts w:ascii="Calibri" w:hAnsi="Calibri"/>
                <w:sz w:val="20"/>
              </w:rPr>
            </w:pPr>
            <w:r>
              <w:rPr>
                <w:rFonts w:ascii="Calibri" w:hAnsi="Calibri"/>
                <w:sz w:val="20"/>
              </w:rPr>
              <w:t>£97</w:t>
            </w:r>
          </w:p>
        </w:tc>
      </w:tr>
      <w:tr w:rsidR="006A18FD">
        <w:trPr>
          <w:trHeight w:val="480"/>
        </w:trPr>
        <w:tc>
          <w:tcPr>
            <w:tcW w:w="2691" w:type="dxa"/>
          </w:tcPr>
          <w:p w:rsidR="006A18FD" w:rsidRDefault="002D29FC">
            <w:pPr>
              <w:spacing w:before="121"/>
              <w:ind w:left="103"/>
              <w:rPr>
                <w:rFonts w:ascii="Calibri"/>
                <w:sz w:val="20"/>
              </w:rPr>
            </w:pPr>
            <w:r>
              <w:rPr>
                <w:rFonts w:ascii="Calibri"/>
                <w:sz w:val="20"/>
              </w:rPr>
              <w:t>Sleep-in costs</w:t>
            </w:r>
          </w:p>
        </w:tc>
        <w:tc>
          <w:tcPr>
            <w:tcW w:w="2125" w:type="dxa"/>
          </w:tcPr>
          <w:p w:rsidR="006A18FD" w:rsidRDefault="002D29FC">
            <w:pPr>
              <w:spacing w:before="121"/>
              <w:ind w:right="907"/>
              <w:jc w:val="right"/>
              <w:rPr>
                <w:rFonts w:ascii="Calibri" w:hAnsi="Calibri"/>
                <w:sz w:val="20"/>
              </w:rPr>
            </w:pPr>
            <w:r>
              <w:rPr>
                <w:rFonts w:ascii="Calibri" w:hAnsi="Calibri"/>
                <w:sz w:val="20"/>
              </w:rPr>
              <w:t>£18</w:t>
            </w:r>
          </w:p>
        </w:tc>
        <w:tc>
          <w:tcPr>
            <w:tcW w:w="2552" w:type="dxa"/>
          </w:tcPr>
          <w:p w:rsidR="006A18FD" w:rsidRDefault="002D29FC">
            <w:pPr>
              <w:spacing w:before="121"/>
              <w:ind w:left="971" w:right="971"/>
              <w:jc w:val="center"/>
              <w:rPr>
                <w:rFonts w:ascii="Calibri" w:hAnsi="Calibri"/>
                <w:sz w:val="20"/>
              </w:rPr>
            </w:pPr>
            <w:r>
              <w:rPr>
                <w:rFonts w:ascii="Calibri" w:hAnsi="Calibri"/>
                <w:sz w:val="20"/>
              </w:rPr>
              <w:t>£18</w:t>
            </w:r>
          </w:p>
        </w:tc>
        <w:tc>
          <w:tcPr>
            <w:tcW w:w="2554" w:type="dxa"/>
          </w:tcPr>
          <w:p w:rsidR="006A18FD" w:rsidRDefault="002D29FC">
            <w:pPr>
              <w:spacing w:before="121"/>
              <w:ind w:left="147" w:right="149"/>
              <w:jc w:val="center"/>
              <w:rPr>
                <w:rFonts w:ascii="Calibri" w:hAnsi="Calibri"/>
                <w:sz w:val="20"/>
              </w:rPr>
            </w:pPr>
            <w:r>
              <w:rPr>
                <w:rFonts w:ascii="Calibri" w:hAnsi="Calibri"/>
                <w:sz w:val="20"/>
              </w:rPr>
              <w:t>£18</w:t>
            </w:r>
          </w:p>
        </w:tc>
      </w:tr>
      <w:tr w:rsidR="006A18FD">
        <w:trPr>
          <w:trHeight w:val="480"/>
        </w:trPr>
        <w:tc>
          <w:tcPr>
            <w:tcW w:w="2691" w:type="dxa"/>
          </w:tcPr>
          <w:p w:rsidR="006A18FD" w:rsidRDefault="002D29FC">
            <w:pPr>
              <w:spacing w:before="121"/>
              <w:ind w:left="103"/>
              <w:rPr>
                <w:rFonts w:ascii="Calibri"/>
                <w:b/>
                <w:sz w:val="20"/>
              </w:rPr>
            </w:pPr>
            <w:r>
              <w:rPr>
                <w:rFonts w:ascii="Calibri"/>
                <w:b/>
                <w:sz w:val="20"/>
              </w:rPr>
              <w:t>Total staff costs</w:t>
            </w:r>
          </w:p>
        </w:tc>
        <w:tc>
          <w:tcPr>
            <w:tcW w:w="2125" w:type="dxa"/>
          </w:tcPr>
          <w:p w:rsidR="006A18FD" w:rsidRDefault="002D29FC">
            <w:pPr>
              <w:spacing w:before="121"/>
              <w:ind w:right="857"/>
              <w:jc w:val="right"/>
              <w:rPr>
                <w:rFonts w:ascii="Calibri" w:hAnsi="Calibri"/>
                <w:sz w:val="20"/>
              </w:rPr>
            </w:pPr>
            <w:r>
              <w:rPr>
                <w:rFonts w:ascii="Calibri" w:hAnsi="Calibri"/>
                <w:sz w:val="20"/>
              </w:rPr>
              <w:t>£506</w:t>
            </w:r>
          </w:p>
        </w:tc>
        <w:tc>
          <w:tcPr>
            <w:tcW w:w="2552" w:type="dxa"/>
          </w:tcPr>
          <w:p w:rsidR="006A18FD" w:rsidRDefault="002D29FC">
            <w:pPr>
              <w:spacing w:before="121"/>
              <w:ind w:left="969" w:right="971"/>
              <w:jc w:val="center"/>
              <w:rPr>
                <w:rFonts w:ascii="Calibri" w:hAnsi="Calibri"/>
                <w:sz w:val="20"/>
              </w:rPr>
            </w:pPr>
            <w:r>
              <w:rPr>
                <w:rFonts w:ascii="Calibri" w:hAnsi="Calibri"/>
                <w:sz w:val="20"/>
              </w:rPr>
              <w:t>£1,016</w:t>
            </w:r>
          </w:p>
        </w:tc>
        <w:tc>
          <w:tcPr>
            <w:tcW w:w="2554" w:type="dxa"/>
          </w:tcPr>
          <w:p w:rsidR="006A18FD" w:rsidRDefault="002D29FC">
            <w:pPr>
              <w:spacing w:before="121"/>
              <w:ind w:left="145" w:right="149"/>
              <w:jc w:val="center"/>
              <w:rPr>
                <w:rFonts w:ascii="Calibri" w:hAnsi="Calibri"/>
                <w:sz w:val="20"/>
              </w:rPr>
            </w:pPr>
            <w:r>
              <w:rPr>
                <w:rFonts w:ascii="Calibri" w:hAnsi="Calibri"/>
                <w:sz w:val="20"/>
              </w:rPr>
              <w:t>£1,584</w:t>
            </w:r>
          </w:p>
        </w:tc>
      </w:tr>
      <w:tr w:rsidR="006A18FD">
        <w:trPr>
          <w:trHeight w:val="480"/>
        </w:trPr>
        <w:tc>
          <w:tcPr>
            <w:tcW w:w="2691" w:type="dxa"/>
          </w:tcPr>
          <w:p w:rsidR="006A18FD" w:rsidRDefault="006A18FD">
            <w:pPr>
              <w:rPr>
                <w:rFonts w:ascii="Times New Roman"/>
                <w:sz w:val="18"/>
              </w:rPr>
            </w:pPr>
          </w:p>
        </w:tc>
        <w:tc>
          <w:tcPr>
            <w:tcW w:w="2125" w:type="dxa"/>
          </w:tcPr>
          <w:p w:rsidR="006A18FD" w:rsidRDefault="006A18FD">
            <w:pPr>
              <w:rPr>
                <w:rFonts w:ascii="Times New Roman"/>
                <w:sz w:val="18"/>
              </w:rPr>
            </w:pPr>
          </w:p>
        </w:tc>
        <w:tc>
          <w:tcPr>
            <w:tcW w:w="2552" w:type="dxa"/>
          </w:tcPr>
          <w:p w:rsidR="006A18FD" w:rsidRDefault="006A18FD">
            <w:pPr>
              <w:rPr>
                <w:rFonts w:ascii="Times New Roman"/>
                <w:sz w:val="18"/>
              </w:rPr>
            </w:pPr>
          </w:p>
        </w:tc>
        <w:tc>
          <w:tcPr>
            <w:tcW w:w="2554" w:type="dxa"/>
          </w:tcPr>
          <w:p w:rsidR="006A18FD" w:rsidRDefault="006A18FD">
            <w:pPr>
              <w:rPr>
                <w:rFonts w:ascii="Times New Roman"/>
                <w:sz w:val="18"/>
              </w:rPr>
            </w:pPr>
          </w:p>
        </w:tc>
      </w:tr>
      <w:tr w:rsidR="006A18FD">
        <w:trPr>
          <w:trHeight w:val="480"/>
        </w:trPr>
        <w:tc>
          <w:tcPr>
            <w:tcW w:w="2691" w:type="dxa"/>
          </w:tcPr>
          <w:p w:rsidR="006A18FD" w:rsidRDefault="002D29FC">
            <w:pPr>
              <w:spacing w:before="121"/>
              <w:ind w:left="103"/>
              <w:rPr>
                <w:rFonts w:ascii="Calibri"/>
                <w:b/>
                <w:sz w:val="20"/>
              </w:rPr>
            </w:pPr>
            <w:r>
              <w:rPr>
                <w:rFonts w:ascii="Calibri"/>
                <w:b/>
                <w:sz w:val="20"/>
              </w:rPr>
              <w:t>Service user expenses</w:t>
            </w:r>
          </w:p>
        </w:tc>
        <w:tc>
          <w:tcPr>
            <w:tcW w:w="2125" w:type="dxa"/>
          </w:tcPr>
          <w:p w:rsidR="006A18FD" w:rsidRDefault="006A18FD">
            <w:pPr>
              <w:rPr>
                <w:rFonts w:ascii="Times New Roman"/>
                <w:sz w:val="18"/>
              </w:rPr>
            </w:pPr>
          </w:p>
        </w:tc>
        <w:tc>
          <w:tcPr>
            <w:tcW w:w="2552" w:type="dxa"/>
          </w:tcPr>
          <w:p w:rsidR="006A18FD" w:rsidRDefault="006A18FD">
            <w:pPr>
              <w:rPr>
                <w:rFonts w:ascii="Times New Roman"/>
                <w:sz w:val="18"/>
              </w:rPr>
            </w:pPr>
          </w:p>
        </w:tc>
        <w:tc>
          <w:tcPr>
            <w:tcW w:w="2554" w:type="dxa"/>
          </w:tcPr>
          <w:p w:rsidR="006A18FD" w:rsidRDefault="006A18FD">
            <w:pPr>
              <w:rPr>
                <w:rFonts w:ascii="Times New Roman"/>
                <w:sz w:val="18"/>
              </w:rPr>
            </w:pPr>
          </w:p>
        </w:tc>
      </w:tr>
      <w:tr w:rsidR="006A18FD">
        <w:trPr>
          <w:trHeight w:val="480"/>
        </w:trPr>
        <w:tc>
          <w:tcPr>
            <w:tcW w:w="2691" w:type="dxa"/>
          </w:tcPr>
          <w:p w:rsidR="006A18FD" w:rsidRDefault="002D29FC">
            <w:pPr>
              <w:spacing w:before="123"/>
              <w:ind w:left="103"/>
              <w:rPr>
                <w:rFonts w:ascii="Calibri"/>
                <w:sz w:val="20"/>
              </w:rPr>
            </w:pPr>
            <w:r>
              <w:rPr>
                <w:rFonts w:ascii="Calibri"/>
                <w:sz w:val="20"/>
              </w:rPr>
              <w:t>Support overheads</w:t>
            </w:r>
          </w:p>
        </w:tc>
        <w:tc>
          <w:tcPr>
            <w:tcW w:w="2125" w:type="dxa"/>
          </w:tcPr>
          <w:p w:rsidR="006A18FD" w:rsidRDefault="002D29FC">
            <w:pPr>
              <w:spacing w:before="123"/>
              <w:ind w:right="907"/>
              <w:jc w:val="right"/>
              <w:rPr>
                <w:rFonts w:ascii="Calibri" w:hAnsi="Calibri"/>
                <w:sz w:val="20"/>
              </w:rPr>
            </w:pPr>
            <w:r>
              <w:rPr>
                <w:rFonts w:ascii="Calibri" w:hAnsi="Calibri"/>
                <w:sz w:val="20"/>
              </w:rPr>
              <w:t>£33</w:t>
            </w:r>
          </w:p>
        </w:tc>
        <w:tc>
          <w:tcPr>
            <w:tcW w:w="2552" w:type="dxa"/>
          </w:tcPr>
          <w:p w:rsidR="006A18FD" w:rsidRDefault="002D29FC">
            <w:pPr>
              <w:spacing w:before="123"/>
              <w:ind w:left="971" w:right="971"/>
              <w:jc w:val="center"/>
              <w:rPr>
                <w:rFonts w:ascii="Calibri" w:hAnsi="Calibri"/>
                <w:sz w:val="20"/>
              </w:rPr>
            </w:pPr>
            <w:r>
              <w:rPr>
                <w:rFonts w:ascii="Calibri" w:hAnsi="Calibri"/>
                <w:sz w:val="20"/>
              </w:rPr>
              <w:t>£33</w:t>
            </w:r>
          </w:p>
        </w:tc>
        <w:tc>
          <w:tcPr>
            <w:tcW w:w="2554" w:type="dxa"/>
          </w:tcPr>
          <w:p w:rsidR="006A18FD" w:rsidRDefault="002D29FC">
            <w:pPr>
              <w:spacing w:before="123"/>
              <w:ind w:left="147" w:right="149"/>
              <w:jc w:val="center"/>
              <w:rPr>
                <w:rFonts w:ascii="Calibri" w:hAnsi="Calibri"/>
                <w:sz w:val="20"/>
              </w:rPr>
            </w:pPr>
            <w:r>
              <w:rPr>
                <w:rFonts w:ascii="Calibri" w:hAnsi="Calibri"/>
                <w:sz w:val="20"/>
              </w:rPr>
              <w:t>£33</w:t>
            </w:r>
          </w:p>
        </w:tc>
      </w:tr>
      <w:tr w:rsidR="006A18FD">
        <w:trPr>
          <w:trHeight w:val="480"/>
        </w:trPr>
        <w:tc>
          <w:tcPr>
            <w:tcW w:w="2691" w:type="dxa"/>
          </w:tcPr>
          <w:p w:rsidR="006A18FD" w:rsidRDefault="002D29FC">
            <w:pPr>
              <w:spacing w:before="121"/>
              <w:ind w:left="103"/>
              <w:rPr>
                <w:rFonts w:ascii="Calibri"/>
                <w:sz w:val="20"/>
              </w:rPr>
            </w:pPr>
            <w:r>
              <w:rPr>
                <w:rFonts w:ascii="Calibri"/>
                <w:sz w:val="20"/>
              </w:rPr>
              <w:t>Living expenditure</w:t>
            </w:r>
          </w:p>
        </w:tc>
        <w:tc>
          <w:tcPr>
            <w:tcW w:w="2125" w:type="dxa"/>
          </w:tcPr>
          <w:p w:rsidR="006A18FD" w:rsidRDefault="006A18FD">
            <w:pPr>
              <w:rPr>
                <w:rFonts w:ascii="Times New Roman"/>
                <w:sz w:val="18"/>
              </w:rPr>
            </w:pPr>
          </w:p>
        </w:tc>
        <w:tc>
          <w:tcPr>
            <w:tcW w:w="2552" w:type="dxa"/>
          </w:tcPr>
          <w:p w:rsidR="006A18FD" w:rsidRDefault="006A18FD">
            <w:pPr>
              <w:rPr>
                <w:rFonts w:ascii="Times New Roman"/>
                <w:sz w:val="18"/>
              </w:rPr>
            </w:pPr>
          </w:p>
        </w:tc>
        <w:tc>
          <w:tcPr>
            <w:tcW w:w="2554" w:type="dxa"/>
          </w:tcPr>
          <w:p w:rsidR="006A18FD" w:rsidRDefault="006A18FD">
            <w:pPr>
              <w:rPr>
                <w:rFonts w:ascii="Times New Roman"/>
                <w:sz w:val="18"/>
              </w:rPr>
            </w:pPr>
          </w:p>
        </w:tc>
      </w:tr>
      <w:tr w:rsidR="006A18FD">
        <w:trPr>
          <w:trHeight w:val="480"/>
        </w:trPr>
        <w:tc>
          <w:tcPr>
            <w:tcW w:w="2691" w:type="dxa"/>
          </w:tcPr>
          <w:p w:rsidR="006A18FD" w:rsidRDefault="002D29FC">
            <w:pPr>
              <w:spacing w:before="121"/>
              <w:ind w:left="103"/>
              <w:rPr>
                <w:rFonts w:ascii="Calibri"/>
                <w:sz w:val="20"/>
              </w:rPr>
            </w:pPr>
            <w:r>
              <w:rPr>
                <w:rFonts w:ascii="Calibri"/>
                <w:sz w:val="20"/>
              </w:rPr>
              <w:t>Other accommodation costs</w:t>
            </w:r>
          </w:p>
        </w:tc>
        <w:tc>
          <w:tcPr>
            <w:tcW w:w="2125" w:type="dxa"/>
          </w:tcPr>
          <w:p w:rsidR="006A18FD" w:rsidRDefault="006A18FD">
            <w:pPr>
              <w:rPr>
                <w:rFonts w:ascii="Times New Roman"/>
                <w:sz w:val="18"/>
              </w:rPr>
            </w:pPr>
          </w:p>
        </w:tc>
        <w:tc>
          <w:tcPr>
            <w:tcW w:w="2552" w:type="dxa"/>
          </w:tcPr>
          <w:p w:rsidR="006A18FD" w:rsidRDefault="006A18FD">
            <w:pPr>
              <w:rPr>
                <w:rFonts w:ascii="Times New Roman"/>
                <w:sz w:val="18"/>
              </w:rPr>
            </w:pPr>
          </w:p>
        </w:tc>
        <w:tc>
          <w:tcPr>
            <w:tcW w:w="2554" w:type="dxa"/>
          </w:tcPr>
          <w:p w:rsidR="006A18FD" w:rsidRDefault="006A18FD">
            <w:pPr>
              <w:rPr>
                <w:rFonts w:ascii="Times New Roman"/>
                <w:sz w:val="18"/>
              </w:rPr>
            </w:pPr>
          </w:p>
        </w:tc>
      </w:tr>
      <w:tr w:rsidR="006A18FD">
        <w:trPr>
          <w:trHeight w:val="480"/>
        </w:trPr>
        <w:tc>
          <w:tcPr>
            <w:tcW w:w="2691" w:type="dxa"/>
          </w:tcPr>
          <w:p w:rsidR="006A18FD" w:rsidRDefault="002D29FC">
            <w:pPr>
              <w:spacing w:before="121"/>
              <w:ind w:left="103"/>
              <w:rPr>
                <w:rFonts w:ascii="Calibri"/>
                <w:sz w:val="20"/>
              </w:rPr>
            </w:pPr>
            <w:r>
              <w:rPr>
                <w:rFonts w:ascii="Calibri"/>
                <w:sz w:val="20"/>
              </w:rPr>
              <w:t>Central overheads</w:t>
            </w:r>
          </w:p>
        </w:tc>
        <w:tc>
          <w:tcPr>
            <w:tcW w:w="2125" w:type="dxa"/>
          </w:tcPr>
          <w:p w:rsidR="006A18FD" w:rsidRDefault="002D29FC">
            <w:pPr>
              <w:spacing w:before="121"/>
              <w:ind w:right="857"/>
              <w:jc w:val="right"/>
              <w:rPr>
                <w:rFonts w:ascii="Calibri" w:hAnsi="Calibri"/>
                <w:sz w:val="20"/>
              </w:rPr>
            </w:pPr>
            <w:r>
              <w:rPr>
                <w:rFonts w:ascii="Calibri" w:hAnsi="Calibri"/>
                <w:sz w:val="20"/>
              </w:rPr>
              <w:t>£101</w:t>
            </w:r>
          </w:p>
        </w:tc>
        <w:tc>
          <w:tcPr>
            <w:tcW w:w="2552" w:type="dxa"/>
          </w:tcPr>
          <w:p w:rsidR="006A18FD" w:rsidRDefault="002D29FC">
            <w:pPr>
              <w:spacing w:before="121"/>
              <w:ind w:left="971" w:right="971"/>
              <w:jc w:val="center"/>
              <w:rPr>
                <w:rFonts w:ascii="Calibri" w:hAnsi="Calibri"/>
                <w:sz w:val="20"/>
              </w:rPr>
            </w:pPr>
            <w:r>
              <w:rPr>
                <w:rFonts w:ascii="Calibri" w:hAnsi="Calibri"/>
                <w:sz w:val="20"/>
              </w:rPr>
              <w:t>£101</w:t>
            </w:r>
          </w:p>
        </w:tc>
        <w:tc>
          <w:tcPr>
            <w:tcW w:w="2554" w:type="dxa"/>
          </w:tcPr>
          <w:p w:rsidR="006A18FD" w:rsidRDefault="002D29FC">
            <w:pPr>
              <w:spacing w:before="121"/>
              <w:ind w:left="147" w:right="149"/>
              <w:jc w:val="center"/>
              <w:rPr>
                <w:rFonts w:ascii="Calibri" w:hAnsi="Calibri"/>
                <w:sz w:val="20"/>
              </w:rPr>
            </w:pPr>
            <w:r>
              <w:rPr>
                <w:rFonts w:ascii="Calibri" w:hAnsi="Calibri"/>
                <w:sz w:val="20"/>
              </w:rPr>
              <w:t>£101</w:t>
            </w:r>
          </w:p>
        </w:tc>
      </w:tr>
      <w:tr w:rsidR="006A18FD">
        <w:trPr>
          <w:trHeight w:val="720"/>
        </w:trPr>
        <w:tc>
          <w:tcPr>
            <w:tcW w:w="2691" w:type="dxa"/>
          </w:tcPr>
          <w:p w:rsidR="006A18FD" w:rsidRDefault="002D29FC">
            <w:pPr>
              <w:spacing w:before="121"/>
              <w:ind w:left="103" w:right="657"/>
              <w:rPr>
                <w:rFonts w:ascii="Calibri"/>
                <w:b/>
                <w:sz w:val="20"/>
              </w:rPr>
            </w:pPr>
            <w:r>
              <w:rPr>
                <w:rFonts w:ascii="Calibri"/>
                <w:b/>
                <w:sz w:val="20"/>
              </w:rPr>
              <w:t>Total operational costs (before rent)</w:t>
            </w:r>
          </w:p>
        </w:tc>
        <w:tc>
          <w:tcPr>
            <w:tcW w:w="2125" w:type="dxa"/>
          </w:tcPr>
          <w:p w:rsidR="006A18FD" w:rsidRDefault="006A18FD">
            <w:pPr>
              <w:spacing w:before="9"/>
              <w:rPr>
                <w:rFonts w:ascii="Cambria"/>
                <w:b/>
                <w:sz w:val="20"/>
              </w:rPr>
            </w:pPr>
          </w:p>
          <w:p w:rsidR="006A18FD" w:rsidRDefault="002D29FC">
            <w:pPr>
              <w:ind w:right="857"/>
              <w:jc w:val="right"/>
              <w:rPr>
                <w:rFonts w:ascii="Calibri" w:hAnsi="Calibri"/>
                <w:b/>
                <w:sz w:val="20"/>
              </w:rPr>
            </w:pPr>
            <w:r>
              <w:rPr>
                <w:rFonts w:ascii="Calibri" w:hAnsi="Calibri"/>
                <w:b/>
                <w:sz w:val="20"/>
              </w:rPr>
              <w:t>£134</w:t>
            </w:r>
          </w:p>
        </w:tc>
        <w:tc>
          <w:tcPr>
            <w:tcW w:w="2552" w:type="dxa"/>
          </w:tcPr>
          <w:p w:rsidR="006A18FD" w:rsidRDefault="006A18FD">
            <w:pPr>
              <w:spacing w:before="9"/>
              <w:rPr>
                <w:rFonts w:ascii="Cambria"/>
                <w:b/>
                <w:sz w:val="20"/>
              </w:rPr>
            </w:pPr>
          </w:p>
          <w:p w:rsidR="006A18FD" w:rsidRDefault="002D29FC">
            <w:pPr>
              <w:ind w:left="971" w:right="971"/>
              <w:jc w:val="center"/>
              <w:rPr>
                <w:rFonts w:ascii="Calibri" w:hAnsi="Calibri"/>
                <w:b/>
                <w:sz w:val="20"/>
              </w:rPr>
            </w:pPr>
            <w:r>
              <w:rPr>
                <w:rFonts w:ascii="Calibri" w:hAnsi="Calibri"/>
                <w:b/>
                <w:sz w:val="20"/>
              </w:rPr>
              <w:t>£134</w:t>
            </w:r>
          </w:p>
        </w:tc>
        <w:tc>
          <w:tcPr>
            <w:tcW w:w="2554" w:type="dxa"/>
          </w:tcPr>
          <w:p w:rsidR="006A18FD" w:rsidRDefault="006A18FD">
            <w:pPr>
              <w:spacing w:before="9"/>
              <w:rPr>
                <w:rFonts w:ascii="Cambria"/>
                <w:b/>
                <w:sz w:val="20"/>
              </w:rPr>
            </w:pPr>
          </w:p>
          <w:p w:rsidR="006A18FD" w:rsidRDefault="002D29FC">
            <w:pPr>
              <w:ind w:left="147" w:right="149"/>
              <w:jc w:val="center"/>
              <w:rPr>
                <w:rFonts w:ascii="Calibri" w:hAnsi="Calibri"/>
                <w:b/>
                <w:sz w:val="20"/>
              </w:rPr>
            </w:pPr>
            <w:r>
              <w:rPr>
                <w:rFonts w:ascii="Calibri" w:hAnsi="Calibri"/>
                <w:b/>
                <w:sz w:val="20"/>
              </w:rPr>
              <w:t>£134</w:t>
            </w:r>
          </w:p>
        </w:tc>
      </w:tr>
      <w:tr w:rsidR="006A18FD">
        <w:trPr>
          <w:trHeight w:val="720"/>
        </w:trPr>
        <w:tc>
          <w:tcPr>
            <w:tcW w:w="2691" w:type="dxa"/>
          </w:tcPr>
          <w:p w:rsidR="006A18FD" w:rsidRDefault="002D29FC">
            <w:pPr>
              <w:spacing w:before="119"/>
              <w:ind w:left="103" w:right="342"/>
              <w:rPr>
                <w:rFonts w:ascii="Calibri"/>
                <w:sz w:val="20"/>
              </w:rPr>
            </w:pPr>
            <w:r>
              <w:rPr>
                <w:rFonts w:ascii="Calibri"/>
                <w:sz w:val="20"/>
              </w:rPr>
              <w:t>Rent (not known as paid by housing benefit)</w:t>
            </w:r>
          </w:p>
        </w:tc>
        <w:tc>
          <w:tcPr>
            <w:tcW w:w="2125" w:type="dxa"/>
          </w:tcPr>
          <w:p w:rsidR="006A18FD" w:rsidRDefault="006A18FD">
            <w:pPr>
              <w:rPr>
                <w:rFonts w:ascii="Times New Roman"/>
                <w:sz w:val="18"/>
              </w:rPr>
            </w:pPr>
          </w:p>
        </w:tc>
        <w:tc>
          <w:tcPr>
            <w:tcW w:w="2552" w:type="dxa"/>
          </w:tcPr>
          <w:p w:rsidR="006A18FD" w:rsidRDefault="006A18FD">
            <w:pPr>
              <w:rPr>
                <w:rFonts w:ascii="Times New Roman"/>
                <w:sz w:val="18"/>
              </w:rPr>
            </w:pPr>
          </w:p>
        </w:tc>
        <w:tc>
          <w:tcPr>
            <w:tcW w:w="2554" w:type="dxa"/>
          </w:tcPr>
          <w:p w:rsidR="006A18FD" w:rsidRDefault="006A18FD">
            <w:pPr>
              <w:rPr>
                <w:rFonts w:ascii="Times New Roman"/>
                <w:sz w:val="18"/>
              </w:rPr>
            </w:pPr>
          </w:p>
        </w:tc>
      </w:tr>
      <w:tr w:rsidR="006A18FD">
        <w:trPr>
          <w:trHeight w:val="720"/>
        </w:trPr>
        <w:tc>
          <w:tcPr>
            <w:tcW w:w="2691" w:type="dxa"/>
          </w:tcPr>
          <w:p w:rsidR="006A18FD" w:rsidRDefault="002D29FC">
            <w:pPr>
              <w:spacing w:before="122"/>
              <w:ind w:left="103" w:right="197"/>
              <w:rPr>
                <w:rFonts w:ascii="Calibri"/>
                <w:sz w:val="20"/>
              </w:rPr>
            </w:pPr>
            <w:r>
              <w:rPr>
                <w:rFonts w:ascii="Calibri"/>
                <w:sz w:val="20"/>
              </w:rPr>
              <w:t>Mark-up (average for sample 6%).</w:t>
            </w:r>
          </w:p>
        </w:tc>
        <w:tc>
          <w:tcPr>
            <w:tcW w:w="2125" w:type="dxa"/>
          </w:tcPr>
          <w:p w:rsidR="006A18FD" w:rsidRDefault="006A18FD">
            <w:pPr>
              <w:spacing w:before="9"/>
              <w:rPr>
                <w:rFonts w:ascii="Cambria"/>
                <w:b/>
                <w:sz w:val="20"/>
              </w:rPr>
            </w:pPr>
          </w:p>
          <w:p w:rsidR="006A18FD" w:rsidRDefault="002D29FC">
            <w:pPr>
              <w:spacing w:before="1"/>
              <w:ind w:right="907"/>
              <w:jc w:val="right"/>
              <w:rPr>
                <w:rFonts w:ascii="Calibri" w:hAnsi="Calibri"/>
                <w:sz w:val="20"/>
              </w:rPr>
            </w:pPr>
            <w:r>
              <w:rPr>
                <w:rFonts w:ascii="Calibri" w:hAnsi="Calibri"/>
                <w:sz w:val="20"/>
              </w:rPr>
              <w:t>£32</w:t>
            </w:r>
          </w:p>
        </w:tc>
        <w:tc>
          <w:tcPr>
            <w:tcW w:w="2552" w:type="dxa"/>
          </w:tcPr>
          <w:p w:rsidR="006A18FD" w:rsidRDefault="006A18FD">
            <w:pPr>
              <w:spacing w:before="9"/>
              <w:rPr>
                <w:rFonts w:ascii="Cambria"/>
                <w:b/>
                <w:sz w:val="20"/>
              </w:rPr>
            </w:pPr>
          </w:p>
          <w:p w:rsidR="006A18FD" w:rsidRDefault="002D29FC">
            <w:pPr>
              <w:spacing w:before="1"/>
              <w:ind w:left="971" w:right="971"/>
              <w:jc w:val="center"/>
              <w:rPr>
                <w:rFonts w:ascii="Calibri" w:hAnsi="Calibri"/>
                <w:sz w:val="20"/>
              </w:rPr>
            </w:pPr>
            <w:r>
              <w:rPr>
                <w:rFonts w:ascii="Calibri" w:hAnsi="Calibri"/>
                <w:sz w:val="20"/>
              </w:rPr>
              <w:t>£57</w:t>
            </w:r>
          </w:p>
        </w:tc>
        <w:tc>
          <w:tcPr>
            <w:tcW w:w="2554" w:type="dxa"/>
          </w:tcPr>
          <w:p w:rsidR="006A18FD" w:rsidRDefault="006A18FD">
            <w:pPr>
              <w:spacing w:before="9"/>
              <w:rPr>
                <w:rFonts w:ascii="Cambria"/>
                <w:b/>
                <w:sz w:val="20"/>
              </w:rPr>
            </w:pPr>
          </w:p>
          <w:p w:rsidR="006A18FD" w:rsidRDefault="002D29FC">
            <w:pPr>
              <w:spacing w:before="1"/>
              <w:ind w:left="147" w:right="149"/>
              <w:jc w:val="center"/>
              <w:rPr>
                <w:rFonts w:ascii="Calibri" w:hAnsi="Calibri"/>
                <w:sz w:val="20"/>
              </w:rPr>
            </w:pPr>
            <w:r>
              <w:rPr>
                <w:rFonts w:ascii="Calibri" w:hAnsi="Calibri"/>
                <w:sz w:val="20"/>
              </w:rPr>
              <w:t>£85</w:t>
            </w:r>
          </w:p>
        </w:tc>
      </w:tr>
      <w:tr w:rsidR="006A18FD">
        <w:trPr>
          <w:trHeight w:val="480"/>
        </w:trPr>
        <w:tc>
          <w:tcPr>
            <w:tcW w:w="2691" w:type="dxa"/>
          </w:tcPr>
          <w:p w:rsidR="006A18FD" w:rsidRDefault="002D29FC">
            <w:pPr>
              <w:spacing w:before="121"/>
              <w:ind w:left="103"/>
              <w:rPr>
                <w:rFonts w:ascii="Calibri"/>
                <w:b/>
                <w:sz w:val="20"/>
              </w:rPr>
            </w:pPr>
            <w:r>
              <w:rPr>
                <w:rFonts w:ascii="Calibri"/>
                <w:b/>
                <w:sz w:val="20"/>
              </w:rPr>
              <w:t>Grand total</w:t>
            </w:r>
          </w:p>
        </w:tc>
        <w:tc>
          <w:tcPr>
            <w:tcW w:w="2125" w:type="dxa"/>
          </w:tcPr>
          <w:p w:rsidR="006A18FD" w:rsidRDefault="002D29FC">
            <w:pPr>
              <w:spacing w:before="121"/>
              <w:ind w:right="857"/>
              <w:jc w:val="right"/>
              <w:rPr>
                <w:rFonts w:ascii="Calibri" w:hAnsi="Calibri"/>
                <w:b/>
                <w:sz w:val="20"/>
              </w:rPr>
            </w:pPr>
            <w:r>
              <w:rPr>
                <w:rFonts w:ascii="Calibri" w:hAnsi="Calibri"/>
                <w:b/>
                <w:sz w:val="20"/>
              </w:rPr>
              <w:t>£671</w:t>
            </w:r>
          </w:p>
        </w:tc>
        <w:tc>
          <w:tcPr>
            <w:tcW w:w="2552" w:type="dxa"/>
          </w:tcPr>
          <w:p w:rsidR="006A18FD" w:rsidRDefault="002D29FC">
            <w:pPr>
              <w:spacing w:before="121"/>
              <w:ind w:left="971" w:right="971"/>
              <w:jc w:val="center"/>
              <w:rPr>
                <w:rFonts w:ascii="Calibri" w:hAnsi="Calibri"/>
                <w:b/>
                <w:sz w:val="20"/>
              </w:rPr>
            </w:pPr>
            <w:r>
              <w:rPr>
                <w:rFonts w:ascii="Calibri" w:hAnsi="Calibri"/>
                <w:b/>
                <w:sz w:val="20"/>
              </w:rPr>
              <w:t>£1,207</w:t>
            </w:r>
          </w:p>
        </w:tc>
        <w:tc>
          <w:tcPr>
            <w:tcW w:w="2554" w:type="dxa"/>
          </w:tcPr>
          <w:p w:rsidR="006A18FD" w:rsidRDefault="002D29FC">
            <w:pPr>
              <w:spacing w:before="121"/>
              <w:ind w:left="147" w:right="149"/>
              <w:jc w:val="center"/>
              <w:rPr>
                <w:rFonts w:ascii="Calibri" w:hAnsi="Calibri"/>
                <w:b/>
                <w:sz w:val="20"/>
              </w:rPr>
            </w:pPr>
            <w:r>
              <w:rPr>
                <w:rFonts w:ascii="Calibri" w:hAnsi="Calibri"/>
                <w:b/>
                <w:sz w:val="20"/>
              </w:rPr>
              <w:t>£1,803</w:t>
            </w:r>
          </w:p>
        </w:tc>
      </w:tr>
    </w:tbl>
    <w:p w:rsidR="006A18FD" w:rsidRDefault="006A18FD">
      <w:pPr>
        <w:rPr>
          <w:rFonts w:ascii="Cambria"/>
          <w:b/>
          <w:sz w:val="30"/>
        </w:rPr>
      </w:pPr>
    </w:p>
    <w:p w:rsidR="006A18FD" w:rsidRDefault="006A18FD">
      <w:pPr>
        <w:rPr>
          <w:rFonts w:ascii="Cambria"/>
          <w:b/>
          <w:sz w:val="30"/>
        </w:rPr>
      </w:pPr>
    </w:p>
    <w:p w:rsidR="006A18FD" w:rsidRDefault="006A18FD">
      <w:pPr>
        <w:rPr>
          <w:rFonts w:ascii="Cambria"/>
          <w:b/>
          <w:sz w:val="30"/>
        </w:rPr>
      </w:pPr>
    </w:p>
    <w:p w:rsidR="006A18FD" w:rsidRDefault="006A18FD">
      <w:pPr>
        <w:rPr>
          <w:rFonts w:ascii="Cambria"/>
          <w:b/>
          <w:sz w:val="30"/>
        </w:rPr>
      </w:pPr>
    </w:p>
    <w:p w:rsidR="006A18FD" w:rsidRDefault="006A18FD">
      <w:pPr>
        <w:rPr>
          <w:rFonts w:ascii="Cambria"/>
          <w:b/>
          <w:sz w:val="30"/>
        </w:rPr>
      </w:pPr>
    </w:p>
    <w:p w:rsidR="006A18FD" w:rsidRDefault="006A18FD">
      <w:pPr>
        <w:rPr>
          <w:rFonts w:ascii="Cambria"/>
          <w:b/>
          <w:sz w:val="30"/>
        </w:rPr>
      </w:pPr>
    </w:p>
    <w:p w:rsidR="006A18FD" w:rsidRDefault="006A18FD">
      <w:pPr>
        <w:spacing w:before="4"/>
        <w:rPr>
          <w:rFonts w:ascii="Cambria"/>
          <w:b/>
          <w:sz w:val="39"/>
        </w:rPr>
      </w:pPr>
    </w:p>
    <w:p w:rsidR="006A18FD" w:rsidRDefault="002D29FC">
      <w:pPr>
        <w:spacing w:line="195" w:lineRule="exact"/>
        <w:ind w:left="140"/>
        <w:rPr>
          <w:rFonts w:ascii="Calibri"/>
          <w:sz w:val="16"/>
        </w:rPr>
      </w:pPr>
      <w:r>
        <w:rPr>
          <w:rFonts w:ascii="Calibri"/>
          <w:position w:val="5"/>
          <w:sz w:val="10"/>
        </w:rPr>
        <w:t xml:space="preserve">1 </w:t>
      </w:r>
      <w:r>
        <w:rPr>
          <w:rFonts w:ascii="Calibri"/>
          <w:sz w:val="16"/>
        </w:rPr>
        <w:t xml:space="preserve">Laing and Buisson (2013) </w:t>
      </w:r>
      <w:r>
        <w:rPr>
          <w:rFonts w:ascii="Calibri"/>
          <w:i/>
          <w:sz w:val="16"/>
        </w:rPr>
        <w:t>Cost Analysis Report, Surrey LD costing survey</w:t>
      </w:r>
      <w:r>
        <w:rPr>
          <w:rFonts w:ascii="Calibri"/>
          <w:sz w:val="16"/>
        </w:rPr>
        <w:t>, Laing &amp; Buisson, London.</w:t>
      </w:r>
    </w:p>
    <w:p w:rsidR="006A18FD" w:rsidRDefault="002D29FC">
      <w:pPr>
        <w:ind w:left="423" w:hanging="284"/>
        <w:rPr>
          <w:rFonts w:ascii="Calibri"/>
          <w:sz w:val="16"/>
        </w:rPr>
      </w:pPr>
      <w:r>
        <w:rPr>
          <w:rFonts w:ascii="Calibri"/>
          <w:position w:val="5"/>
          <w:sz w:val="10"/>
        </w:rPr>
        <w:t xml:space="preserve">2 </w:t>
      </w:r>
      <w:r>
        <w:rPr>
          <w:rFonts w:ascii="Calibri"/>
          <w:sz w:val="16"/>
        </w:rPr>
        <w:t xml:space="preserve">Laing and Buisson (2016) Review of actual cost levels for provision of learning disability supported living services in Lancashire, </w:t>
      </w:r>
      <w:hyperlink r:id="rId159">
        <w:r>
          <w:rPr>
            <w:rFonts w:ascii="Calibri"/>
            <w:sz w:val="16"/>
            <w:u w:val="single"/>
          </w:rPr>
          <w:t>http://www.lldc.org/wp-</w:t>
        </w:r>
      </w:hyperlink>
      <w:r>
        <w:rPr>
          <w:rFonts w:ascii="Calibri"/>
          <w:sz w:val="16"/>
        </w:rPr>
        <w:t xml:space="preserve"> </w:t>
      </w:r>
      <w:hyperlink r:id="rId160">
        <w:r>
          <w:rPr>
            <w:rFonts w:ascii="Calibri"/>
            <w:sz w:val="16"/>
            <w:u w:val="single"/>
          </w:rPr>
          <w:t>content/uploads/2016/09/LaingBuisson_LLDC_Final_Report_070916.pdf</w:t>
        </w:r>
        <w:r>
          <w:rPr>
            <w:rFonts w:ascii="Calibri"/>
            <w:sz w:val="16"/>
          </w:rPr>
          <w:t xml:space="preserve"> </w:t>
        </w:r>
      </w:hyperlink>
      <w:r>
        <w:rPr>
          <w:rFonts w:ascii="Calibri"/>
          <w:sz w:val="16"/>
        </w:rPr>
        <w:t>[accessed 28 October 2019].</w:t>
      </w:r>
    </w:p>
    <w:p w:rsidR="006A18FD" w:rsidRDefault="002D29FC">
      <w:pPr>
        <w:spacing w:before="2"/>
        <w:ind w:left="423" w:right="144" w:hanging="284"/>
        <w:rPr>
          <w:rFonts w:ascii="Calibri"/>
          <w:sz w:val="16"/>
        </w:rPr>
      </w:pPr>
      <w:r>
        <w:rPr>
          <w:rFonts w:ascii="Calibri"/>
          <w:position w:val="5"/>
          <w:sz w:val="10"/>
        </w:rPr>
        <w:t>3</w:t>
      </w:r>
      <w:r>
        <w:rPr>
          <w:rFonts w:ascii="Calibri"/>
          <w:sz w:val="16"/>
        </w:rPr>
        <w:t xml:space="preserve">Calculated using NHS Digital (2019) Calculated using NHS Digital (2018) Calculated using NHS Digital (2019) </w:t>
      </w:r>
      <w:r>
        <w:rPr>
          <w:rFonts w:ascii="Calibri"/>
          <w:i/>
          <w:sz w:val="16"/>
        </w:rPr>
        <w:t>Adult Social Care Finance Return (ASC-FR)</w:t>
      </w:r>
      <w:r>
        <w:rPr>
          <w:rFonts w:ascii="Calibri"/>
          <w:sz w:val="16"/>
        </w:rPr>
        <w:t xml:space="preserve">, NHS Digital 2018/19, </w:t>
      </w:r>
      <w:hyperlink r:id="rId161">
        <w:r>
          <w:rPr>
            <w:rFonts w:ascii="Calibri"/>
            <w:sz w:val="16"/>
            <w:u w:val="single"/>
          </w:rPr>
          <w:t>https://digital.nhs.uk/data-and-information/publications/statistical/adult-social-care-activity-and-finance-report/2018-19</w:t>
        </w:r>
        <w:r>
          <w:rPr>
            <w:rFonts w:ascii="Calibri"/>
            <w:sz w:val="16"/>
          </w:rPr>
          <w:t xml:space="preserve"> </w:t>
        </w:r>
      </w:hyperlink>
      <w:r>
        <w:rPr>
          <w:rFonts w:ascii="Calibri"/>
          <w:sz w:val="16"/>
        </w:rPr>
        <w:t>[accessed 23 October, 2019], in collaboration with the Department of Health and Social Care.</w:t>
      </w:r>
    </w:p>
    <w:p w:rsidR="006A18FD" w:rsidRDefault="006A18FD">
      <w:pPr>
        <w:rPr>
          <w:rFonts w:ascii="Calibri"/>
          <w:sz w:val="16"/>
        </w:rPr>
        <w:sectPr w:rsidR="006A18FD">
          <w:pgSz w:w="11910" w:h="16840"/>
          <w:pgMar w:top="980" w:right="980" w:bottom="280" w:left="580" w:header="763"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2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25" name="Line 18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AFC90F" id="Group 18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sIUhgfQIAAIEFAAAO&#10;AAAAAAAAAAAAAAAAAC4CAABkcnMvZTJvRG9jLnhtbFBLAQItABQABgAIAAAAIQAtd+Rc2gAAAAQB&#10;AAAPAAAAAAAAAAAAAAAAANcEAABkcnMvZG93bnJldi54bWxQSwUGAAAAAAQABADzAAAA3gUAAAAA&#10;">
                <v:line id="Line 18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w10:anchorlock/>
              </v:group>
            </w:pict>
          </mc:Fallback>
        </mc:AlternateContent>
      </w:r>
    </w:p>
    <w:p w:rsidR="006A18FD" w:rsidRDefault="0025638D" w:rsidP="0025638D">
      <w:pPr>
        <w:pStyle w:val="Heading3"/>
      </w:pPr>
      <w:r>
        <w:t xml:space="preserve">4.3.2 </w:t>
      </w:r>
      <w:r w:rsidR="002D29FC">
        <w:t>Supported</w:t>
      </w:r>
      <w:r w:rsidR="002D29FC">
        <w:rPr>
          <w:spacing w:val="-9"/>
        </w:rPr>
        <w:t xml:space="preserve"> </w:t>
      </w:r>
      <w:r w:rsidR="002D29FC">
        <w:t>Living</w:t>
      </w:r>
    </w:p>
    <w:p w:rsidR="006A18FD" w:rsidRDefault="002D29FC">
      <w:pPr>
        <w:spacing w:before="166" w:line="276" w:lineRule="auto"/>
        <w:ind w:left="152" w:right="476"/>
        <w:rPr>
          <w:rFonts w:ascii="Calibri"/>
          <w:sz w:val="20"/>
        </w:rPr>
      </w:pPr>
      <w:r>
        <w:rPr>
          <w:rFonts w:ascii="Calibri"/>
          <w:sz w:val="20"/>
        </w:rPr>
        <w:t xml:space="preserve">Supported living schemes offer care and support for people in communal living settings </w:t>
      </w:r>
      <w:r>
        <w:rPr>
          <w:rFonts w:ascii="Calibri"/>
          <w:w w:val="95"/>
          <w:sz w:val="20"/>
        </w:rPr>
        <w:t>(</w:t>
      </w:r>
      <w:hyperlink r:id="rId162">
        <w:r>
          <w:rPr>
            <w:rFonts w:ascii="Calibri"/>
            <w:w w:val="95"/>
            <w:sz w:val="20"/>
            <w:u w:val="single"/>
          </w:rPr>
          <w:t>https://www.peoplefirstinfo.org.uk/health-and-well-being/learning-disability/accommodation-for-people-with-learning-</w:t>
        </w:r>
      </w:hyperlink>
      <w:r>
        <w:rPr>
          <w:rFonts w:ascii="Calibri"/>
          <w:w w:val="95"/>
          <w:sz w:val="20"/>
        </w:rPr>
        <w:t xml:space="preserve"> </w:t>
      </w:r>
      <w:hyperlink r:id="rId163">
        <w:r>
          <w:rPr>
            <w:rFonts w:ascii="Calibri"/>
            <w:sz w:val="20"/>
            <w:u w:val="single"/>
          </w:rPr>
          <w:t>disabilities/</w:t>
        </w:r>
      </w:hyperlink>
      <w:r>
        <w:rPr>
          <w:rFonts w:ascii="Calibri"/>
          <w:sz w:val="20"/>
        </w:rPr>
        <w:t>). Support includes:</w:t>
      </w:r>
    </w:p>
    <w:p w:rsidR="006A18FD" w:rsidRDefault="002D29FC" w:rsidP="008E3FA8">
      <w:pPr>
        <w:numPr>
          <w:ilvl w:val="3"/>
          <w:numId w:val="17"/>
        </w:numPr>
        <w:tabs>
          <w:tab w:val="left" w:pos="873"/>
          <w:tab w:val="left" w:pos="874"/>
        </w:tabs>
        <w:spacing w:before="118"/>
        <w:ind w:hanging="360"/>
        <w:rPr>
          <w:rFonts w:ascii="Calibri"/>
          <w:sz w:val="20"/>
        </w:rPr>
      </w:pPr>
      <w:r>
        <w:rPr>
          <w:rFonts w:ascii="Calibri"/>
          <w:sz w:val="20"/>
        </w:rPr>
        <w:t>Assessment of ongoing care</w:t>
      </w:r>
      <w:r>
        <w:rPr>
          <w:rFonts w:ascii="Calibri"/>
          <w:spacing w:val="-15"/>
          <w:sz w:val="20"/>
        </w:rPr>
        <w:t xml:space="preserve"> </w:t>
      </w:r>
      <w:r>
        <w:rPr>
          <w:rFonts w:ascii="Calibri"/>
          <w:sz w:val="20"/>
        </w:rPr>
        <w:t>needs</w:t>
      </w:r>
    </w:p>
    <w:p w:rsidR="006A18FD" w:rsidRDefault="002D29FC" w:rsidP="008E3FA8">
      <w:pPr>
        <w:numPr>
          <w:ilvl w:val="3"/>
          <w:numId w:val="17"/>
        </w:numPr>
        <w:tabs>
          <w:tab w:val="left" w:pos="873"/>
          <w:tab w:val="left" w:pos="874"/>
        </w:tabs>
        <w:spacing w:before="21"/>
        <w:ind w:hanging="360"/>
        <w:rPr>
          <w:rFonts w:ascii="Calibri"/>
          <w:sz w:val="20"/>
        </w:rPr>
      </w:pPr>
      <w:r>
        <w:rPr>
          <w:rFonts w:ascii="Calibri"/>
          <w:sz w:val="20"/>
        </w:rPr>
        <w:t>Hands-on care and practical</w:t>
      </w:r>
      <w:r>
        <w:rPr>
          <w:rFonts w:ascii="Calibri"/>
          <w:spacing w:val="-15"/>
          <w:sz w:val="20"/>
        </w:rPr>
        <w:t xml:space="preserve"> </w:t>
      </w:r>
      <w:r>
        <w:rPr>
          <w:rFonts w:ascii="Calibri"/>
          <w:sz w:val="20"/>
        </w:rPr>
        <w:t>assistance</w:t>
      </w:r>
    </w:p>
    <w:p w:rsidR="006A18FD" w:rsidRDefault="002D29FC" w:rsidP="008E3FA8">
      <w:pPr>
        <w:numPr>
          <w:ilvl w:val="3"/>
          <w:numId w:val="17"/>
        </w:numPr>
        <w:tabs>
          <w:tab w:val="left" w:pos="873"/>
          <w:tab w:val="left" w:pos="874"/>
        </w:tabs>
        <w:spacing w:before="19"/>
        <w:ind w:hanging="360"/>
        <w:rPr>
          <w:rFonts w:ascii="Calibri"/>
          <w:sz w:val="20"/>
        </w:rPr>
      </w:pPr>
      <w:r>
        <w:rPr>
          <w:rFonts w:ascii="Calibri"/>
          <w:sz w:val="20"/>
        </w:rPr>
        <w:t>Skills</w:t>
      </w:r>
      <w:r>
        <w:rPr>
          <w:rFonts w:ascii="Calibri"/>
          <w:spacing w:val="-12"/>
          <w:sz w:val="20"/>
        </w:rPr>
        <w:t xml:space="preserve"> </w:t>
      </w:r>
      <w:r>
        <w:rPr>
          <w:rFonts w:ascii="Calibri"/>
          <w:sz w:val="20"/>
        </w:rPr>
        <w:t>training</w:t>
      </w:r>
    </w:p>
    <w:p w:rsidR="006A18FD" w:rsidRDefault="002D29FC" w:rsidP="008E3FA8">
      <w:pPr>
        <w:numPr>
          <w:ilvl w:val="3"/>
          <w:numId w:val="17"/>
        </w:numPr>
        <w:tabs>
          <w:tab w:val="left" w:pos="873"/>
          <w:tab w:val="left" w:pos="874"/>
        </w:tabs>
        <w:spacing w:before="19"/>
        <w:ind w:hanging="360"/>
        <w:rPr>
          <w:rFonts w:ascii="Calibri"/>
          <w:sz w:val="20"/>
        </w:rPr>
      </w:pPr>
      <w:r>
        <w:rPr>
          <w:rFonts w:ascii="Calibri"/>
          <w:sz w:val="20"/>
        </w:rPr>
        <w:t>Escort to community</w:t>
      </w:r>
      <w:r>
        <w:rPr>
          <w:rFonts w:ascii="Calibri"/>
          <w:spacing w:val="-13"/>
          <w:sz w:val="20"/>
        </w:rPr>
        <w:t xml:space="preserve"> </w:t>
      </w:r>
      <w:r>
        <w:rPr>
          <w:rFonts w:ascii="Calibri"/>
          <w:sz w:val="20"/>
        </w:rPr>
        <w:t>settings</w:t>
      </w:r>
    </w:p>
    <w:p w:rsidR="006A18FD" w:rsidRDefault="002D29FC" w:rsidP="008E3FA8">
      <w:pPr>
        <w:numPr>
          <w:ilvl w:val="3"/>
          <w:numId w:val="17"/>
        </w:numPr>
        <w:tabs>
          <w:tab w:val="left" w:pos="873"/>
          <w:tab w:val="left" w:pos="874"/>
        </w:tabs>
        <w:spacing w:before="19"/>
        <w:ind w:hanging="360"/>
        <w:rPr>
          <w:rFonts w:ascii="Calibri"/>
          <w:sz w:val="20"/>
        </w:rPr>
      </w:pPr>
      <w:r>
        <w:rPr>
          <w:rFonts w:ascii="Calibri"/>
          <w:sz w:val="20"/>
        </w:rPr>
        <w:t>Advice and</w:t>
      </w:r>
      <w:r>
        <w:rPr>
          <w:rFonts w:ascii="Calibri"/>
          <w:spacing w:val="-11"/>
          <w:sz w:val="20"/>
        </w:rPr>
        <w:t xml:space="preserve"> </w:t>
      </w:r>
      <w:r>
        <w:rPr>
          <w:rFonts w:ascii="Calibri"/>
          <w:sz w:val="20"/>
        </w:rPr>
        <w:t>support</w:t>
      </w:r>
    </w:p>
    <w:p w:rsidR="006A18FD" w:rsidRDefault="002D29FC">
      <w:pPr>
        <w:spacing w:before="180" w:line="273" w:lineRule="auto"/>
        <w:ind w:left="152" w:right="283"/>
        <w:rPr>
          <w:rFonts w:ascii="Calibri" w:hAnsi="Calibri"/>
          <w:sz w:val="20"/>
        </w:rPr>
      </w:pPr>
      <w:r>
        <w:rPr>
          <w:rFonts w:ascii="Calibri" w:hAnsi="Calibri"/>
          <w:sz w:val="20"/>
        </w:rPr>
        <w:t>The following costs have been drawn from a report which summarises findings and conclusions arising from the learning disabilities service provision costing survey conducted by Laing and Buisson (2013)</w:t>
      </w:r>
      <w:r>
        <w:rPr>
          <w:rFonts w:ascii="Calibri" w:hAnsi="Calibri"/>
          <w:position w:val="7"/>
          <w:sz w:val="13"/>
        </w:rPr>
        <w:t>1</w:t>
      </w:r>
      <w:r>
        <w:rPr>
          <w:rFonts w:ascii="Calibri" w:hAnsi="Calibri"/>
          <w:sz w:val="20"/>
        </w:rPr>
        <w:t>, on behalf of Surrey County Council during October and November 2012. All costs have been uprated to current price levels. See another report by Laing &amp; Buisson (2016)</w:t>
      </w:r>
      <w:r>
        <w:rPr>
          <w:rFonts w:ascii="Calibri" w:hAnsi="Calibri"/>
          <w:position w:val="7"/>
          <w:sz w:val="13"/>
        </w:rPr>
        <w:t xml:space="preserve">2 </w:t>
      </w:r>
      <w:r>
        <w:rPr>
          <w:rFonts w:ascii="Calibri" w:hAnsi="Calibri"/>
          <w:sz w:val="20"/>
        </w:rPr>
        <w:t>which identifies the costs of learning disability supported living services provided by councils’ own in-house teams in the North West region.</w:t>
      </w:r>
    </w:p>
    <w:p w:rsidR="006A18FD" w:rsidRDefault="002D29FC">
      <w:pPr>
        <w:spacing w:before="121"/>
        <w:ind w:left="152"/>
        <w:rPr>
          <w:rFonts w:ascii="Calibri"/>
          <w:b/>
          <w:sz w:val="20"/>
        </w:rPr>
      </w:pPr>
      <w:r>
        <w:rPr>
          <w:rFonts w:ascii="Calibri"/>
          <w:b/>
          <w:sz w:val="20"/>
        </w:rPr>
        <w:t>Supported Living (based on average costs for different levels of need)</w:t>
      </w:r>
    </w:p>
    <w:p w:rsidR="006A18FD" w:rsidRDefault="006A18FD">
      <w:pPr>
        <w:spacing w:before="8"/>
        <w:rPr>
          <w:rFonts w:ascii="Calibri"/>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127"/>
        <w:gridCol w:w="2268"/>
        <w:gridCol w:w="3262"/>
      </w:tblGrid>
      <w:tr w:rsidR="006A18FD" w:rsidTr="005B5AB5">
        <w:trPr>
          <w:trHeight w:val="720"/>
          <w:tblHeader/>
        </w:trPr>
        <w:tc>
          <w:tcPr>
            <w:tcW w:w="2547" w:type="dxa"/>
          </w:tcPr>
          <w:p w:rsidR="006A18FD" w:rsidRDefault="002D29FC">
            <w:pPr>
              <w:spacing w:before="121"/>
              <w:ind w:left="105"/>
              <w:rPr>
                <w:rFonts w:ascii="Calibri"/>
                <w:b/>
                <w:sz w:val="20"/>
              </w:rPr>
            </w:pPr>
            <w:r>
              <w:rPr>
                <w:rFonts w:ascii="Calibri"/>
                <w:b/>
                <w:sz w:val="20"/>
              </w:rPr>
              <w:t>Average costs</w:t>
            </w:r>
          </w:p>
        </w:tc>
        <w:tc>
          <w:tcPr>
            <w:tcW w:w="2127" w:type="dxa"/>
          </w:tcPr>
          <w:p w:rsidR="006A18FD" w:rsidRDefault="002D29FC">
            <w:pPr>
              <w:spacing w:before="121"/>
              <w:ind w:left="838" w:right="249" w:hanging="567"/>
              <w:rPr>
                <w:rFonts w:ascii="Calibri" w:hAnsi="Calibri"/>
                <w:b/>
                <w:sz w:val="20"/>
              </w:rPr>
            </w:pPr>
            <w:r>
              <w:rPr>
                <w:rFonts w:ascii="Calibri" w:hAnsi="Calibri"/>
                <w:b/>
                <w:sz w:val="20"/>
              </w:rPr>
              <w:t>Low – 30 hours per week</w:t>
            </w:r>
          </w:p>
        </w:tc>
        <w:tc>
          <w:tcPr>
            <w:tcW w:w="2268" w:type="dxa"/>
          </w:tcPr>
          <w:p w:rsidR="006A18FD" w:rsidRDefault="002D29FC">
            <w:pPr>
              <w:spacing w:before="121"/>
              <w:ind w:left="907" w:right="141" w:hanging="747"/>
              <w:rPr>
                <w:rFonts w:ascii="Calibri" w:hAnsi="Calibri"/>
                <w:b/>
                <w:sz w:val="20"/>
              </w:rPr>
            </w:pPr>
            <w:r>
              <w:rPr>
                <w:rFonts w:ascii="Calibri" w:hAnsi="Calibri"/>
                <w:b/>
                <w:sz w:val="20"/>
              </w:rPr>
              <w:t>Medium – 60 hours per week</w:t>
            </w:r>
          </w:p>
        </w:tc>
        <w:tc>
          <w:tcPr>
            <w:tcW w:w="3262" w:type="dxa"/>
          </w:tcPr>
          <w:p w:rsidR="006A18FD" w:rsidRDefault="002D29FC">
            <w:pPr>
              <w:spacing w:before="121"/>
              <w:ind w:left="503" w:right="503"/>
              <w:jc w:val="center"/>
              <w:rPr>
                <w:rFonts w:ascii="Calibri" w:hAnsi="Calibri"/>
                <w:b/>
                <w:sz w:val="20"/>
              </w:rPr>
            </w:pPr>
            <w:r>
              <w:rPr>
                <w:rFonts w:ascii="Calibri" w:hAnsi="Calibri"/>
                <w:b/>
                <w:sz w:val="20"/>
              </w:rPr>
              <w:t>High – 100 hours per week</w:t>
            </w:r>
          </w:p>
        </w:tc>
      </w:tr>
      <w:tr w:rsidR="006A18FD">
        <w:trPr>
          <w:trHeight w:val="480"/>
        </w:trPr>
        <w:tc>
          <w:tcPr>
            <w:tcW w:w="2547" w:type="dxa"/>
          </w:tcPr>
          <w:p w:rsidR="006A18FD" w:rsidRDefault="002D29FC">
            <w:pPr>
              <w:spacing w:before="123"/>
              <w:ind w:left="105"/>
              <w:rPr>
                <w:rFonts w:ascii="Calibri"/>
                <w:sz w:val="20"/>
              </w:rPr>
            </w:pPr>
            <w:r>
              <w:rPr>
                <w:rFonts w:ascii="Calibri"/>
                <w:sz w:val="20"/>
              </w:rPr>
              <w:t>Direct staff costs</w:t>
            </w:r>
          </w:p>
        </w:tc>
        <w:tc>
          <w:tcPr>
            <w:tcW w:w="2127" w:type="dxa"/>
          </w:tcPr>
          <w:p w:rsidR="006A18FD" w:rsidRDefault="002D29FC">
            <w:pPr>
              <w:spacing w:before="123"/>
              <w:ind w:left="699" w:right="758"/>
              <w:jc w:val="center"/>
              <w:rPr>
                <w:rFonts w:ascii="Calibri" w:hAnsi="Calibri"/>
                <w:sz w:val="20"/>
              </w:rPr>
            </w:pPr>
            <w:r>
              <w:rPr>
                <w:rFonts w:ascii="Calibri" w:hAnsi="Calibri"/>
                <w:sz w:val="20"/>
              </w:rPr>
              <w:t>£407</w:t>
            </w:r>
          </w:p>
        </w:tc>
        <w:tc>
          <w:tcPr>
            <w:tcW w:w="2268" w:type="dxa"/>
          </w:tcPr>
          <w:p w:rsidR="006A18FD" w:rsidRDefault="002D29FC">
            <w:pPr>
              <w:spacing w:before="123"/>
              <w:ind w:left="830" w:right="828"/>
              <w:jc w:val="center"/>
              <w:rPr>
                <w:rFonts w:ascii="Calibri" w:hAnsi="Calibri"/>
                <w:sz w:val="20"/>
              </w:rPr>
            </w:pPr>
            <w:r>
              <w:rPr>
                <w:rFonts w:ascii="Calibri" w:hAnsi="Calibri"/>
                <w:sz w:val="20"/>
              </w:rPr>
              <w:t>£881</w:t>
            </w:r>
          </w:p>
        </w:tc>
        <w:tc>
          <w:tcPr>
            <w:tcW w:w="3262" w:type="dxa"/>
          </w:tcPr>
          <w:p w:rsidR="006A18FD" w:rsidRDefault="002D29FC">
            <w:pPr>
              <w:spacing w:before="123"/>
              <w:ind w:left="503" w:right="503"/>
              <w:jc w:val="center"/>
              <w:rPr>
                <w:rFonts w:ascii="Calibri" w:hAnsi="Calibri"/>
                <w:sz w:val="20"/>
              </w:rPr>
            </w:pPr>
            <w:r>
              <w:rPr>
                <w:rFonts w:ascii="Calibri" w:hAnsi="Calibri"/>
                <w:sz w:val="20"/>
              </w:rPr>
              <w:t>£1,355</w:t>
            </w:r>
          </w:p>
        </w:tc>
      </w:tr>
      <w:tr w:rsidR="006A18FD">
        <w:trPr>
          <w:trHeight w:val="480"/>
        </w:trPr>
        <w:tc>
          <w:tcPr>
            <w:tcW w:w="2547" w:type="dxa"/>
          </w:tcPr>
          <w:p w:rsidR="006A18FD" w:rsidRDefault="002D29FC">
            <w:pPr>
              <w:spacing w:before="121"/>
              <w:ind w:left="105"/>
              <w:rPr>
                <w:rFonts w:ascii="Calibri"/>
                <w:sz w:val="20"/>
              </w:rPr>
            </w:pPr>
            <w:r>
              <w:rPr>
                <w:rFonts w:ascii="Calibri"/>
                <w:sz w:val="20"/>
              </w:rPr>
              <w:t>Management supervision</w:t>
            </w:r>
          </w:p>
        </w:tc>
        <w:tc>
          <w:tcPr>
            <w:tcW w:w="2127" w:type="dxa"/>
          </w:tcPr>
          <w:p w:rsidR="006A18FD" w:rsidRDefault="002D29FC">
            <w:pPr>
              <w:spacing w:before="121"/>
              <w:ind w:left="758" w:right="758"/>
              <w:jc w:val="center"/>
              <w:rPr>
                <w:rFonts w:ascii="Calibri" w:hAnsi="Calibri"/>
                <w:sz w:val="20"/>
              </w:rPr>
            </w:pPr>
            <w:r>
              <w:rPr>
                <w:rFonts w:ascii="Calibri" w:hAnsi="Calibri"/>
                <w:sz w:val="20"/>
              </w:rPr>
              <w:t>£134</w:t>
            </w:r>
          </w:p>
        </w:tc>
        <w:tc>
          <w:tcPr>
            <w:tcW w:w="2268" w:type="dxa"/>
          </w:tcPr>
          <w:p w:rsidR="006A18FD" w:rsidRDefault="002D29FC">
            <w:pPr>
              <w:spacing w:before="121"/>
              <w:ind w:left="830" w:right="828"/>
              <w:jc w:val="center"/>
              <w:rPr>
                <w:rFonts w:ascii="Calibri" w:hAnsi="Calibri"/>
                <w:sz w:val="20"/>
              </w:rPr>
            </w:pPr>
            <w:r>
              <w:rPr>
                <w:rFonts w:ascii="Calibri" w:hAnsi="Calibri"/>
                <w:sz w:val="20"/>
              </w:rPr>
              <w:t>£134</w:t>
            </w:r>
          </w:p>
        </w:tc>
        <w:tc>
          <w:tcPr>
            <w:tcW w:w="3262" w:type="dxa"/>
          </w:tcPr>
          <w:p w:rsidR="006A18FD" w:rsidRDefault="002D29FC">
            <w:pPr>
              <w:spacing w:before="121"/>
              <w:ind w:left="502" w:right="503"/>
              <w:jc w:val="center"/>
              <w:rPr>
                <w:rFonts w:ascii="Calibri" w:hAnsi="Calibri"/>
                <w:sz w:val="20"/>
              </w:rPr>
            </w:pPr>
            <w:r>
              <w:rPr>
                <w:rFonts w:ascii="Calibri" w:hAnsi="Calibri"/>
                <w:sz w:val="20"/>
              </w:rPr>
              <w:t>£134</w:t>
            </w:r>
          </w:p>
        </w:tc>
      </w:tr>
      <w:tr w:rsidR="006A18FD">
        <w:trPr>
          <w:trHeight w:val="480"/>
        </w:trPr>
        <w:tc>
          <w:tcPr>
            <w:tcW w:w="2547" w:type="dxa"/>
          </w:tcPr>
          <w:p w:rsidR="006A18FD" w:rsidRDefault="002D29FC">
            <w:pPr>
              <w:spacing w:before="121"/>
              <w:ind w:left="105"/>
              <w:rPr>
                <w:rFonts w:ascii="Calibri"/>
                <w:sz w:val="20"/>
              </w:rPr>
            </w:pPr>
            <w:r>
              <w:rPr>
                <w:rFonts w:ascii="Calibri"/>
                <w:sz w:val="20"/>
              </w:rPr>
              <w:t>Sleep-in costs</w:t>
            </w:r>
          </w:p>
        </w:tc>
        <w:tc>
          <w:tcPr>
            <w:tcW w:w="2127" w:type="dxa"/>
          </w:tcPr>
          <w:p w:rsidR="006A18FD" w:rsidRDefault="002D29FC">
            <w:pPr>
              <w:spacing w:before="121"/>
              <w:ind w:left="758" w:right="758"/>
              <w:jc w:val="center"/>
              <w:rPr>
                <w:rFonts w:ascii="Calibri" w:hAnsi="Calibri"/>
                <w:sz w:val="20"/>
              </w:rPr>
            </w:pPr>
            <w:r>
              <w:rPr>
                <w:rFonts w:ascii="Calibri" w:hAnsi="Calibri"/>
                <w:sz w:val="20"/>
              </w:rPr>
              <w:t>£39</w:t>
            </w:r>
          </w:p>
        </w:tc>
        <w:tc>
          <w:tcPr>
            <w:tcW w:w="2268" w:type="dxa"/>
          </w:tcPr>
          <w:p w:rsidR="006A18FD" w:rsidRDefault="002D29FC">
            <w:pPr>
              <w:spacing w:before="121"/>
              <w:ind w:left="830" w:right="828"/>
              <w:jc w:val="center"/>
              <w:rPr>
                <w:rFonts w:ascii="Calibri" w:hAnsi="Calibri"/>
                <w:sz w:val="20"/>
              </w:rPr>
            </w:pPr>
            <w:r>
              <w:rPr>
                <w:rFonts w:ascii="Calibri" w:hAnsi="Calibri"/>
                <w:sz w:val="20"/>
              </w:rPr>
              <w:t>£39</w:t>
            </w:r>
          </w:p>
        </w:tc>
        <w:tc>
          <w:tcPr>
            <w:tcW w:w="3262" w:type="dxa"/>
          </w:tcPr>
          <w:p w:rsidR="006A18FD" w:rsidRDefault="002D29FC">
            <w:pPr>
              <w:spacing w:before="121"/>
              <w:ind w:left="502" w:right="503"/>
              <w:jc w:val="center"/>
              <w:rPr>
                <w:rFonts w:ascii="Calibri" w:hAnsi="Calibri"/>
                <w:sz w:val="20"/>
              </w:rPr>
            </w:pPr>
            <w:r>
              <w:rPr>
                <w:rFonts w:ascii="Calibri" w:hAnsi="Calibri"/>
                <w:sz w:val="20"/>
              </w:rPr>
              <w:t>£39</w:t>
            </w:r>
          </w:p>
        </w:tc>
      </w:tr>
      <w:tr w:rsidR="006A18FD">
        <w:trPr>
          <w:trHeight w:val="480"/>
        </w:trPr>
        <w:tc>
          <w:tcPr>
            <w:tcW w:w="2547" w:type="dxa"/>
          </w:tcPr>
          <w:p w:rsidR="006A18FD" w:rsidRDefault="002D29FC">
            <w:pPr>
              <w:spacing w:before="121"/>
              <w:ind w:left="105"/>
              <w:rPr>
                <w:rFonts w:ascii="Calibri"/>
                <w:b/>
                <w:sz w:val="20"/>
              </w:rPr>
            </w:pPr>
            <w:r>
              <w:rPr>
                <w:rFonts w:ascii="Calibri"/>
                <w:b/>
                <w:sz w:val="20"/>
              </w:rPr>
              <w:t>Total staff costs</w:t>
            </w:r>
          </w:p>
        </w:tc>
        <w:tc>
          <w:tcPr>
            <w:tcW w:w="2127" w:type="dxa"/>
          </w:tcPr>
          <w:p w:rsidR="006A18FD" w:rsidRDefault="002D29FC">
            <w:pPr>
              <w:spacing w:before="121"/>
              <w:ind w:left="758" w:right="758"/>
              <w:jc w:val="center"/>
              <w:rPr>
                <w:rFonts w:ascii="Calibri" w:hAnsi="Calibri"/>
                <w:b/>
                <w:sz w:val="20"/>
              </w:rPr>
            </w:pPr>
            <w:r>
              <w:rPr>
                <w:rFonts w:ascii="Calibri" w:hAnsi="Calibri"/>
                <w:b/>
                <w:sz w:val="20"/>
              </w:rPr>
              <w:t>£580</w:t>
            </w:r>
          </w:p>
        </w:tc>
        <w:tc>
          <w:tcPr>
            <w:tcW w:w="2268" w:type="dxa"/>
          </w:tcPr>
          <w:p w:rsidR="006A18FD" w:rsidRDefault="002D29FC">
            <w:pPr>
              <w:spacing w:before="121"/>
              <w:ind w:left="830" w:right="828"/>
              <w:jc w:val="center"/>
              <w:rPr>
                <w:rFonts w:ascii="Calibri" w:hAnsi="Calibri"/>
                <w:b/>
                <w:sz w:val="20"/>
              </w:rPr>
            </w:pPr>
            <w:r>
              <w:rPr>
                <w:rFonts w:ascii="Calibri" w:hAnsi="Calibri"/>
                <w:b/>
                <w:sz w:val="20"/>
              </w:rPr>
              <w:t>£1,054</w:t>
            </w:r>
          </w:p>
        </w:tc>
        <w:tc>
          <w:tcPr>
            <w:tcW w:w="3262" w:type="dxa"/>
          </w:tcPr>
          <w:p w:rsidR="006A18FD" w:rsidRDefault="002D29FC">
            <w:pPr>
              <w:spacing w:before="121"/>
              <w:ind w:left="502" w:right="503"/>
              <w:jc w:val="center"/>
              <w:rPr>
                <w:rFonts w:ascii="Calibri" w:hAnsi="Calibri"/>
                <w:b/>
                <w:sz w:val="20"/>
              </w:rPr>
            </w:pPr>
            <w:r>
              <w:rPr>
                <w:rFonts w:ascii="Calibri" w:hAnsi="Calibri"/>
                <w:b/>
                <w:sz w:val="20"/>
              </w:rPr>
              <w:t>£1,528</w:t>
            </w:r>
          </w:p>
        </w:tc>
      </w:tr>
      <w:tr w:rsidR="006A18FD">
        <w:trPr>
          <w:trHeight w:val="480"/>
        </w:trPr>
        <w:tc>
          <w:tcPr>
            <w:tcW w:w="2547" w:type="dxa"/>
          </w:tcPr>
          <w:p w:rsidR="006A18FD" w:rsidRDefault="006A18FD">
            <w:pPr>
              <w:rPr>
                <w:rFonts w:ascii="Times New Roman"/>
                <w:sz w:val="18"/>
              </w:rPr>
            </w:pPr>
          </w:p>
        </w:tc>
        <w:tc>
          <w:tcPr>
            <w:tcW w:w="2127" w:type="dxa"/>
          </w:tcPr>
          <w:p w:rsidR="006A18FD" w:rsidRDefault="006A18FD">
            <w:pPr>
              <w:rPr>
                <w:rFonts w:ascii="Times New Roman"/>
                <w:sz w:val="18"/>
              </w:rPr>
            </w:pPr>
          </w:p>
        </w:tc>
        <w:tc>
          <w:tcPr>
            <w:tcW w:w="2268" w:type="dxa"/>
          </w:tcPr>
          <w:p w:rsidR="006A18FD" w:rsidRDefault="006A18FD">
            <w:pPr>
              <w:rPr>
                <w:rFonts w:ascii="Times New Roman"/>
                <w:sz w:val="18"/>
              </w:rPr>
            </w:pPr>
          </w:p>
        </w:tc>
        <w:tc>
          <w:tcPr>
            <w:tcW w:w="3262" w:type="dxa"/>
          </w:tcPr>
          <w:p w:rsidR="006A18FD" w:rsidRDefault="006A18FD">
            <w:pPr>
              <w:rPr>
                <w:rFonts w:ascii="Times New Roman"/>
                <w:sz w:val="18"/>
              </w:rPr>
            </w:pPr>
          </w:p>
        </w:tc>
      </w:tr>
      <w:tr w:rsidR="006A18FD">
        <w:trPr>
          <w:trHeight w:val="480"/>
        </w:trPr>
        <w:tc>
          <w:tcPr>
            <w:tcW w:w="2547" w:type="dxa"/>
          </w:tcPr>
          <w:p w:rsidR="006A18FD" w:rsidRDefault="002D29FC">
            <w:pPr>
              <w:spacing w:before="121"/>
              <w:ind w:left="105"/>
              <w:rPr>
                <w:rFonts w:ascii="Calibri"/>
                <w:sz w:val="20"/>
              </w:rPr>
            </w:pPr>
            <w:r>
              <w:rPr>
                <w:rFonts w:ascii="Calibri"/>
                <w:sz w:val="20"/>
              </w:rPr>
              <w:t>Service user expenses</w:t>
            </w:r>
          </w:p>
        </w:tc>
        <w:tc>
          <w:tcPr>
            <w:tcW w:w="2127" w:type="dxa"/>
          </w:tcPr>
          <w:p w:rsidR="006A18FD" w:rsidRDefault="002D29FC">
            <w:pPr>
              <w:spacing w:before="121"/>
              <w:ind w:left="758" w:right="758"/>
              <w:jc w:val="center"/>
              <w:rPr>
                <w:rFonts w:ascii="Calibri" w:hAnsi="Calibri"/>
                <w:sz w:val="20"/>
              </w:rPr>
            </w:pPr>
            <w:r>
              <w:rPr>
                <w:rFonts w:ascii="Calibri" w:hAnsi="Calibri"/>
                <w:sz w:val="20"/>
              </w:rPr>
              <w:t>£62</w:t>
            </w:r>
          </w:p>
        </w:tc>
        <w:tc>
          <w:tcPr>
            <w:tcW w:w="2268" w:type="dxa"/>
          </w:tcPr>
          <w:p w:rsidR="006A18FD" w:rsidRDefault="002D29FC">
            <w:pPr>
              <w:spacing w:before="121"/>
              <w:ind w:left="830" w:right="828"/>
              <w:jc w:val="center"/>
              <w:rPr>
                <w:rFonts w:ascii="Calibri" w:hAnsi="Calibri"/>
                <w:sz w:val="20"/>
              </w:rPr>
            </w:pPr>
            <w:r>
              <w:rPr>
                <w:rFonts w:ascii="Calibri" w:hAnsi="Calibri"/>
                <w:sz w:val="20"/>
              </w:rPr>
              <w:t>£74</w:t>
            </w:r>
          </w:p>
        </w:tc>
        <w:tc>
          <w:tcPr>
            <w:tcW w:w="3262" w:type="dxa"/>
          </w:tcPr>
          <w:p w:rsidR="006A18FD" w:rsidRDefault="002D29FC">
            <w:pPr>
              <w:spacing w:before="121"/>
              <w:ind w:left="502" w:right="503"/>
              <w:jc w:val="center"/>
              <w:rPr>
                <w:rFonts w:ascii="Calibri" w:hAnsi="Calibri"/>
                <w:sz w:val="20"/>
              </w:rPr>
            </w:pPr>
            <w:r>
              <w:rPr>
                <w:rFonts w:ascii="Calibri" w:hAnsi="Calibri"/>
                <w:sz w:val="20"/>
              </w:rPr>
              <w:t>£85</w:t>
            </w:r>
          </w:p>
        </w:tc>
      </w:tr>
      <w:tr w:rsidR="006A18FD">
        <w:trPr>
          <w:trHeight w:val="480"/>
        </w:trPr>
        <w:tc>
          <w:tcPr>
            <w:tcW w:w="2547" w:type="dxa"/>
          </w:tcPr>
          <w:p w:rsidR="006A18FD" w:rsidRDefault="002D29FC">
            <w:pPr>
              <w:spacing w:before="121"/>
              <w:ind w:left="105"/>
              <w:rPr>
                <w:rFonts w:ascii="Calibri"/>
                <w:sz w:val="20"/>
              </w:rPr>
            </w:pPr>
            <w:r>
              <w:rPr>
                <w:rFonts w:ascii="Calibri"/>
                <w:sz w:val="20"/>
              </w:rPr>
              <w:t>Support overheads</w:t>
            </w:r>
          </w:p>
        </w:tc>
        <w:tc>
          <w:tcPr>
            <w:tcW w:w="2127" w:type="dxa"/>
          </w:tcPr>
          <w:p w:rsidR="006A18FD" w:rsidRDefault="002D29FC">
            <w:pPr>
              <w:spacing w:before="121"/>
              <w:ind w:left="758" w:right="758"/>
              <w:jc w:val="center"/>
              <w:rPr>
                <w:rFonts w:ascii="Calibri" w:hAnsi="Calibri"/>
                <w:sz w:val="20"/>
              </w:rPr>
            </w:pPr>
            <w:r>
              <w:rPr>
                <w:rFonts w:ascii="Calibri" w:hAnsi="Calibri"/>
                <w:sz w:val="20"/>
              </w:rPr>
              <w:t>£45</w:t>
            </w:r>
          </w:p>
        </w:tc>
        <w:tc>
          <w:tcPr>
            <w:tcW w:w="2268" w:type="dxa"/>
          </w:tcPr>
          <w:p w:rsidR="006A18FD" w:rsidRDefault="002D29FC">
            <w:pPr>
              <w:spacing w:before="121"/>
              <w:ind w:left="830" w:right="828"/>
              <w:jc w:val="center"/>
              <w:rPr>
                <w:rFonts w:ascii="Calibri" w:hAnsi="Calibri"/>
                <w:sz w:val="20"/>
              </w:rPr>
            </w:pPr>
            <w:r>
              <w:rPr>
                <w:rFonts w:ascii="Calibri" w:hAnsi="Calibri"/>
                <w:sz w:val="20"/>
              </w:rPr>
              <w:t>£45</w:t>
            </w:r>
          </w:p>
        </w:tc>
        <w:tc>
          <w:tcPr>
            <w:tcW w:w="3262" w:type="dxa"/>
          </w:tcPr>
          <w:p w:rsidR="006A18FD" w:rsidRDefault="002D29FC">
            <w:pPr>
              <w:spacing w:before="121"/>
              <w:ind w:left="502" w:right="503"/>
              <w:jc w:val="center"/>
              <w:rPr>
                <w:rFonts w:ascii="Calibri" w:hAnsi="Calibri"/>
                <w:sz w:val="20"/>
              </w:rPr>
            </w:pPr>
            <w:r>
              <w:rPr>
                <w:rFonts w:ascii="Calibri" w:hAnsi="Calibri"/>
                <w:sz w:val="20"/>
              </w:rPr>
              <w:t>£45</w:t>
            </w:r>
          </w:p>
        </w:tc>
      </w:tr>
      <w:tr w:rsidR="006A18FD">
        <w:trPr>
          <w:trHeight w:val="480"/>
        </w:trPr>
        <w:tc>
          <w:tcPr>
            <w:tcW w:w="2547" w:type="dxa"/>
          </w:tcPr>
          <w:p w:rsidR="006A18FD" w:rsidRDefault="002D29FC">
            <w:pPr>
              <w:spacing w:before="121"/>
              <w:ind w:left="105"/>
              <w:rPr>
                <w:rFonts w:ascii="Calibri"/>
                <w:sz w:val="20"/>
              </w:rPr>
            </w:pPr>
            <w:r>
              <w:rPr>
                <w:rFonts w:ascii="Calibri"/>
                <w:sz w:val="20"/>
              </w:rPr>
              <w:t>Living expenditure</w:t>
            </w:r>
          </w:p>
        </w:tc>
        <w:tc>
          <w:tcPr>
            <w:tcW w:w="2127" w:type="dxa"/>
          </w:tcPr>
          <w:p w:rsidR="006A18FD" w:rsidRDefault="002D29FC">
            <w:pPr>
              <w:spacing w:before="121"/>
              <w:ind w:left="758" w:right="758"/>
              <w:jc w:val="center"/>
              <w:rPr>
                <w:rFonts w:ascii="Calibri" w:hAnsi="Calibri"/>
                <w:sz w:val="20"/>
              </w:rPr>
            </w:pPr>
            <w:r>
              <w:rPr>
                <w:rFonts w:ascii="Calibri" w:hAnsi="Calibri"/>
                <w:sz w:val="20"/>
              </w:rPr>
              <w:t>£79</w:t>
            </w:r>
          </w:p>
        </w:tc>
        <w:tc>
          <w:tcPr>
            <w:tcW w:w="2268" w:type="dxa"/>
          </w:tcPr>
          <w:p w:rsidR="006A18FD" w:rsidRDefault="002D29FC">
            <w:pPr>
              <w:spacing w:before="121"/>
              <w:ind w:left="830" w:right="828"/>
              <w:jc w:val="center"/>
              <w:rPr>
                <w:rFonts w:ascii="Calibri" w:hAnsi="Calibri"/>
                <w:sz w:val="20"/>
              </w:rPr>
            </w:pPr>
            <w:r>
              <w:rPr>
                <w:rFonts w:ascii="Calibri" w:hAnsi="Calibri"/>
                <w:sz w:val="20"/>
              </w:rPr>
              <w:t>£79</w:t>
            </w:r>
          </w:p>
        </w:tc>
        <w:tc>
          <w:tcPr>
            <w:tcW w:w="3262" w:type="dxa"/>
          </w:tcPr>
          <w:p w:rsidR="006A18FD" w:rsidRDefault="002D29FC">
            <w:pPr>
              <w:spacing w:before="121"/>
              <w:ind w:left="502" w:right="503"/>
              <w:jc w:val="center"/>
              <w:rPr>
                <w:rFonts w:ascii="Calibri" w:hAnsi="Calibri"/>
                <w:sz w:val="20"/>
              </w:rPr>
            </w:pPr>
            <w:r>
              <w:rPr>
                <w:rFonts w:ascii="Calibri" w:hAnsi="Calibri"/>
                <w:sz w:val="20"/>
              </w:rPr>
              <w:t>£79</w:t>
            </w:r>
          </w:p>
        </w:tc>
      </w:tr>
      <w:tr w:rsidR="006A18FD">
        <w:trPr>
          <w:trHeight w:val="480"/>
        </w:trPr>
        <w:tc>
          <w:tcPr>
            <w:tcW w:w="2547" w:type="dxa"/>
          </w:tcPr>
          <w:p w:rsidR="006A18FD" w:rsidRDefault="002D29FC">
            <w:pPr>
              <w:spacing w:before="121"/>
              <w:ind w:left="105"/>
              <w:rPr>
                <w:rFonts w:ascii="Calibri"/>
                <w:sz w:val="20"/>
              </w:rPr>
            </w:pPr>
            <w:r>
              <w:rPr>
                <w:rFonts w:ascii="Calibri"/>
                <w:sz w:val="20"/>
              </w:rPr>
              <w:t>Other accommodation costs</w:t>
            </w:r>
          </w:p>
        </w:tc>
        <w:tc>
          <w:tcPr>
            <w:tcW w:w="2127" w:type="dxa"/>
          </w:tcPr>
          <w:p w:rsidR="006A18FD" w:rsidRDefault="002D29FC">
            <w:pPr>
              <w:spacing w:before="121"/>
              <w:ind w:left="758" w:right="758"/>
              <w:jc w:val="center"/>
              <w:rPr>
                <w:rFonts w:ascii="Calibri" w:hAnsi="Calibri"/>
                <w:sz w:val="20"/>
              </w:rPr>
            </w:pPr>
            <w:r>
              <w:rPr>
                <w:rFonts w:ascii="Calibri" w:hAnsi="Calibri"/>
                <w:sz w:val="20"/>
              </w:rPr>
              <w:t>£79</w:t>
            </w:r>
          </w:p>
        </w:tc>
        <w:tc>
          <w:tcPr>
            <w:tcW w:w="2268" w:type="dxa"/>
          </w:tcPr>
          <w:p w:rsidR="006A18FD" w:rsidRDefault="002D29FC">
            <w:pPr>
              <w:spacing w:before="121"/>
              <w:ind w:left="830" w:right="828"/>
              <w:jc w:val="center"/>
              <w:rPr>
                <w:rFonts w:ascii="Calibri" w:hAnsi="Calibri"/>
                <w:sz w:val="20"/>
              </w:rPr>
            </w:pPr>
            <w:r>
              <w:rPr>
                <w:rFonts w:ascii="Calibri" w:hAnsi="Calibri"/>
                <w:sz w:val="20"/>
              </w:rPr>
              <w:t>£79</w:t>
            </w:r>
          </w:p>
        </w:tc>
        <w:tc>
          <w:tcPr>
            <w:tcW w:w="3262" w:type="dxa"/>
          </w:tcPr>
          <w:p w:rsidR="006A18FD" w:rsidRDefault="002D29FC">
            <w:pPr>
              <w:spacing w:before="121"/>
              <w:ind w:left="502" w:right="503"/>
              <w:jc w:val="center"/>
              <w:rPr>
                <w:rFonts w:ascii="Calibri" w:hAnsi="Calibri"/>
                <w:sz w:val="20"/>
              </w:rPr>
            </w:pPr>
            <w:r>
              <w:rPr>
                <w:rFonts w:ascii="Calibri" w:hAnsi="Calibri"/>
                <w:sz w:val="20"/>
              </w:rPr>
              <w:t>£79</w:t>
            </w:r>
          </w:p>
        </w:tc>
      </w:tr>
      <w:tr w:rsidR="006A18FD">
        <w:trPr>
          <w:trHeight w:val="480"/>
        </w:trPr>
        <w:tc>
          <w:tcPr>
            <w:tcW w:w="2547" w:type="dxa"/>
          </w:tcPr>
          <w:p w:rsidR="006A18FD" w:rsidRDefault="002D29FC">
            <w:pPr>
              <w:spacing w:before="123"/>
              <w:ind w:left="105"/>
              <w:rPr>
                <w:rFonts w:ascii="Calibri"/>
                <w:sz w:val="20"/>
              </w:rPr>
            </w:pPr>
            <w:r>
              <w:rPr>
                <w:rFonts w:ascii="Calibri"/>
                <w:sz w:val="20"/>
              </w:rPr>
              <w:t>Central overheads</w:t>
            </w:r>
          </w:p>
        </w:tc>
        <w:tc>
          <w:tcPr>
            <w:tcW w:w="2127" w:type="dxa"/>
          </w:tcPr>
          <w:p w:rsidR="006A18FD" w:rsidRDefault="002D29FC">
            <w:pPr>
              <w:spacing w:before="123"/>
              <w:ind w:left="758" w:right="758"/>
              <w:jc w:val="center"/>
              <w:rPr>
                <w:rFonts w:ascii="Calibri" w:hAnsi="Calibri"/>
                <w:sz w:val="20"/>
              </w:rPr>
            </w:pPr>
            <w:r>
              <w:rPr>
                <w:rFonts w:ascii="Calibri" w:hAnsi="Calibri"/>
                <w:sz w:val="20"/>
              </w:rPr>
              <w:t>£163</w:t>
            </w:r>
          </w:p>
        </w:tc>
        <w:tc>
          <w:tcPr>
            <w:tcW w:w="2268" w:type="dxa"/>
          </w:tcPr>
          <w:p w:rsidR="006A18FD" w:rsidRDefault="002D29FC">
            <w:pPr>
              <w:spacing w:before="123"/>
              <w:ind w:left="830" w:right="828"/>
              <w:jc w:val="center"/>
              <w:rPr>
                <w:rFonts w:ascii="Calibri" w:hAnsi="Calibri"/>
                <w:sz w:val="20"/>
              </w:rPr>
            </w:pPr>
            <w:r>
              <w:rPr>
                <w:rFonts w:ascii="Calibri" w:hAnsi="Calibri"/>
                <w:sz w:val="20"/>
              </w:rPr>
              <w:t>£163</w:t>
            </w:r>
          </w:p>
        </w:tc>
        <w:tc>
          <w:tcPr>
            <w:tcW w:w="3262" w:type="dxa"/>
          </w:tcPr>
          <w:p w:rsidR="006A18FD" w:rsidRDefault="002D29FC">
            <w:pPr>
              <w:spacing w:before="123"/>
              <w:ind w:left="502" w:right="503"/>
              <w:jc w:val="center"/>
              <w:rPr>
                <w:rFonts w:ascii="Calibri" w:hAnsi="Calibri"/>
                <w:sz w:val="20"/>
              </w:rPr>
            </w:pPr>
            <w:r>
              <w:rPr>
                <w:rFonts w:ascii="Calibri" w:hAnsi="Calibri"/>
                <w:sz w:val="20"/>
              </w:rPr>
              <w:t>£163</w:t>
            </w:r>
          </w:p>
        </w:tc>
      </w:tr>
      <w:tr w:rsidR="006A18FD">
        <w:trPr>
          <w:trHeight w:val="720"/>
        </w:trPr>
        <w:tc>
          <w:tcPr>
            <w:tcW w:w="2547" w:type="dxa"/>
          </w:tcPr>
          <w:p w:rsidR="006A18FD" w:rsidRDefault="002D29FC">
            <w:pPr>
              <w:spacing w:before="121"/>
              <w:ind w:left="105" w:right="511"/>
              <w:rPr>
                <w:rFonts w:ascii="Calibri"/>
                <w:b/>
                <w:sz w:val="20"/>
              </w:rPr>
            </w:pPr>
            <w:r>
              <w:rPr>
                <w:rFonts w:ascii="Calibri"/>
                <w:b/>
                <w:sz w:val="20"/>
              </w:rPr>
              <w:t>Total operational costs (before rent/ROP)</w:t>
            </w:r>
          </w:p>
        </w:tc>
        <w:tc>
          <w:tcPr>
            <w:tcW w:w="2127" w:type="dxa"/>
          </w:tcPr>
          <w:p w:rsidR="006A18FD" w:rsidRDefault="006A18FD">
            <w:pPr>
              <w:spacing w:before="11"/>
              <w:rPr>
                <w:rFonts w:ascii="Calibri"/>
                <w:b/>
                <w:sz w:val="19"/>
              </w:rPr>
            </w:pPr>
          </w:p>
          <w:p w:rsidR="006A18FD" w:rsidRDefault="002D29FC">
            <w:pPr>
              <w:spacing w:before="1"/>
              <w:ind w:left="761" w:right="758"/>
              <w:jc w:val="center"/>
              <w:rPr>
                <w:rFonts w:ascii="Calibri" w:hAnsi="Calibri"/>
                <w:sz w:val="20"/>
              </w:rPr>
            </w:pPr>
            <w:r>
              <w:rPr>
                <w:rFonts w:ascii="Calibri" w:hAnsi="Calibri"/>
                <w:sz w:val="20"/>
              </w:rPr>
              <w:t>£1,010</w:t>
            </w:r>
          </w:p>
        </w:tc>
        <w:tc>
          <w:tcPr>
            <w:tcW w:w="2268" w:type="dxa"/>
          </w:tcPr>
          <w:p w:rsidR="006A18FD" w:rsidRDefault="006A18FD">
            <w:pPr>
              <w:spacing w:before="11"/>
              <w:rPr>
                <w:rFonts w:ascii="Calibri"/>
                <w:b/>
                <w:sz w:val="19"/>
              </w:rPr>
            </w:pPr>
          </w:p>
          <w:p w:rsidR="006A18FD" w:rsidRDefault="002D29FC">
            <w:pPr>
              <w:spacing w:before="1"/>
              <w:ind w:left="829" w:right="829"/>
              <w:jc w:val="center"/>
              <w:rPr>
                <w:rFonts w:ascii="Calibri" w:hAnsi="Calibri"/>
                <w:sz w:val="20"/>
              </w:rPr>
            </w:pPr>
            <w:r>
              <w:rPr>
                <w:rFonts w:ascii="Calibri" w:hAnsi="Calibri"/>
                <w:sz w:val="20"/>
              </w:rPr>
              <w:t>£1,496</w:t>
            </w:r>
          </w:p>
        </w:tc>
        <w:tc>
          <w:tcPr>
            <w:tcW w:w="3262" w:type="dxa"/>
          </w:tcPr>
          <w:p w:rsidR="006A18FD" w:rsidRDefault="006A18FD">
            <w:pPr>
              <w:spacing w:before="11"/>
              <w:rPr>
                <w:rFonts w:ascii="Calibri"/>
                <w:b/>
                <w:sz w:val="19"/>
              </w:rPr>
            </w:pPr>
          </w:p>
          <w:p w:rsidR="006A18FD" w:rsidRDefault="002D29FC">
            <w:pPr>
              <w:spacing w:before="1"/>
              <w:ind w:left="503" w:right="503"/>
              <w:jc w:val="center"/>
              <w:rPr>
                <w:rFonts w:ascii="Calibri" w:hAnsi="Calibri"/>
                <w:sz w:val="20"/>
              </w:rPr>
            </w:pPr>
            <w:r>
              <w:rPr>
                <w:rFonts w:ascii="Calibri" w:hAnsi="Calibri"/>
                <w:sz w:val="20"/>
              </w:rPr>
              <w:t>£1,981</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11"/>
        <w:rPr>
          <w:rFonts w:ascii="Calibri"/>
          <w:b/>
          <w:sz w:val="24"/>
        </w:rPr>
      </w:pPr>
    </w:p>
    <w:p w:rsidR="006A18FD" w:rsidRDefault="002D29FC">
      <w:pPr>
        <w:spacing w:before="1" w:line="195" w:lineRule="exact"/>
        <w:ind w:left="152"/>
        <w:rPr>
          <w:rFonts w:ascii="Calibri"/>
          <w:sz w:val="16"/>
        </w:rPr>
      </w:pPr>
      <w:r>
        <w:rPr>
          <w:rFonts w:ascii="Calibri"/>
          <w:position w:val="5"/>
          <w:sz w:val="10"/>
        </w:rPr>
        <w:t xml:space="preserve">1 </w:t>
      </w:r>
      <w:r>
        <w:rPr>
          <w:rFonts w:ascii="Calibri"/>
          <w:sz w:val="16"/>
        </w:rPr>
        <w:t xml:space="preserve">Laing and Buisson (2013) Laing and Buisson (2013) </w:t>
      </w:r>
      <w:r>
        <w:rPr>
          <w:rFonts w:ascii="Calibri"/>
          <w:i/>
          <w:sz w:val="16"/>
        </w:rPr>
        <w:t>Cost Analysis Report, Surrey LD costing survey</w:t>
      </w:r>
      <w:r>
        <w:rPr>
          <w:rFonts w:ascii="Calibri"/>
          <w:sz w:val="16"/>
        </w:rPr>
        <w:t>, Laing &amp; Buisson, London.</w:t>
      </w:r>
    </w:p>
    <w:p w:rsidR="006A18FD" w:rsidRDefault="002D29FC">
      <w:pPr>
        <w:ind w:left="436" w:right="353" w:hanging="284"/>
        <w:rPr>
          <w:rFonts w:ascii="Calibri"/>
          <w:sz w:val="16"/>
        </w:rPr>
      </w:pPr>
      <w:r>
        <w:rPr>
          <w:rFonts w:ascii="Calibri"/>
          <w:position w:val="5"/>
          <w:sz w:val="10"/>
        </w:rPr>
        <w:t xml:space="preserve">2 </w:t>
      </w:r>
      <w:r>
        <w:rPr>
          <w:rFonts w:ascii="Calibri"/>
          <w:sz w:val="16"/>
        </w:rPr>
        <w:t xml:space="preserve">Laing and Buisson (2016) Review of actual cost levels for provision of Learning Disability Supported Living Services in Lancashire, </w:t>
      </w:r>
      <w:hyperlink r:id="rId164">
        <w:r>
          <w:rPr>
            <w:rFonts w:ascii="Calibri"/>
            <w:sz w:val="16"/>
            <w:u w:val="single"/>
          </w:rPr>
          <w:t>http://lldc.org/wp-</w:t>
        </w:r>
      </w:hyperlink>
      <w:r>
        <w:rPr>
          <w:rFonts w:ascii="Calibri"/>
          <w:sz w:val="16"/>
        </w:rPr>
        <w:t xml:space="preserve"> </w:t>
      </w:r>
      <w:hyperlink r:id="rId165">
        <w:r>
          <w:rPr>
            <w:rFonts w:ascii="Calibri"/>
            <w:sz w:val="16"/>
            <w:u w:val="single"/>
          </w:rPr>
          <w:t>content/uploads/2016/09/LaingBuisson_LLDC_Final_Report_070916.pdf</w:t>
        </w:r>
        <w:r>
          <w:rPr>
            <w:rFonts w:ascii="Calibri"/>
            <w:sz w:val="16"/>
          </w:rPr>
          <w:t>.</w:t>
        </w:r>
      </w:hyperlink>
    </w:p>
    <w:p w:rsidR="006A18FD" w:rsidRDefault="006A18FD">
      <w:pPr>
        <w:rPr>
          <w:rFonts w:ascii="Calibri"/>
          <w:sz w:val="16"/>
        </w:rPr>
        <w:sectPr w:rsidR="006A18FD">
          <w:pgSz w:w="11910" w:h="16840"/>
          <w:pgMar w:top="980" w:right="440" w:bottom="280" w:left="980" w:header="763"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2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23" name="Line 18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8E0FB" id="Group 17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CJ8dqJ/AgAAgQUA&#10;AA4AAAAAAAAAAAAAAAAALgIAAGRycy9lMm9Eb2MueG1sUEsBAi0AFAAGAAgAAAAhAC135FzaAAAA&#10;BAEAAA8AAAAAAAAAAAAAAAAA2QQAAGRycy9kb3ducmV2LnhtbFBLBQYAAAAABAAEAPMAAADgBQAA&#10;AAA=&#10;">
                <v:line id="Line 18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w10:anchorlock/>
              </v:group>
            </w:pict>
          </mc:Fallback>
        </mc:AlternateContent>
      </w:r>
    </w:p>
    <w:p w:rsidR="006A18FD" w:rsidRDefault="0025638D" w:rsidP="0025638D">
      <w:pPr>
        <w:pStyle w:val="Heading3"/>
      </w:pPr>
      <w:r>
        <w:t xml:space="preserve">4.3.3 </w:t>
      </w:r>
      <w:r w:rsidR="002D29FC">
        <w:t>Specialised supported</w:t>
      </w:r>
      <w:r w:rsidR="002D29FC">
        <w:rPr>
          <w:spacing w:val="-24"/>
        </w:rPr>
        <w:t xml:space="preserve"> </w:t>
      </w:r>
      <w:r w:rsidR="002D29FC">
        <w:t>housing</w:t>
      </w:r>
    </w:p>
    <w:p w:rsidR="006A18FD" w:rsidRDefault="002D29FC">
      <w:pPr>
        <w:spacing w:before="166" w:line="276" w:lineRule="auto"/>
        <w:ind w:left="140" w:right="353"/>
        <w:jc w:val="both"/>
        <w:rPr>
          <w:rFonts w:ascii="Calibri" w:hAnsi="Calibri"/>
          <w:sz w:val="20"/>
        </w:rPr>
      </w:pPr>
      <w:r>
        <w:rPr>
          <w:rFonts w:ascii="Calibri" w:hAnsi="Calibri"/>
          <w:sz w:val="20"/>
        </w:rPr>
        <w:t>A</w:t>
      </w:r>
      <w:r>
        <w:rPr>
          <w:rFonts w:ascii="Calibri" w:hAnsi="Calibri"/>
          <w:spacing w:val="-4"/>
          <w:sz w:val="20"/>
        </w:rPr>
        <w:t xml:space="preserve"> </w:t>
      </w:r>
      <w:r>
        <w:rPr>
          <w:rFonts w:ascii="Calibri" w:hAnsi="Calibri"/>
          <w:sz w:val="20"/>
        </w:rPr>
        <w:t>sub-category</w:t>
      </w:r>
      <w:r>
        <w:rPr>
          <w:rFonts w:ascii="Calibri" w:hAnsi="Calibri"/>
          <w:spacing w:val="-2"/>
          <w:sz w:val="20"/>
        </w:rPr>
        <w:t xml:space="preserve"> </w:t>
      </w:r>
      <w:r>
        <w:rPr>
          <w:rFonts w:ascii="Calibri" w:hAnsi="Calibri"/>
          <w:sz w:val="20"/>
        </w:rPr>
        <w:t>of</w:t>
      </w:r>
      <w:r>
        <w:rPr>
          <w:rFonts w:ascii="Calibri" w:hAnsi="Calibri"/>
          <w:spacing w:val="-5"/>
          <w:sz w:val="20"/>
        </w:rPr>
        <w:t xml:space="preserve"> </w:t>
      </w:r>
      <w:r>
        <w:rPr>
          <w:rFonts w:ascii="Calibri" w:hAnsi="Calibri"/>
          <w:sz w:val="20"/>
        </w:rPr>
        <w:t>supported</w:t>
      </w:r>
      <w:r>
        <w:rPr>
          <w:rFonts w:ascii="Calibri" w:hAnsi="Calibri"/>
          <w:spacing w:val="-3"/>
          <w:sz w:val="20"/>
        </w:rPr>
        <w:t xml:space="preserve"> </w:t>
      </w:r>
      <w:r>
        <w:rPr>
          <w:rFonts w:ascii="Calibri" w:hAnsi="Calibri"/>
          <w:sz w:val="20"/>
        </w:rPr>
        <w:t>housing</w:t>
      </w:r>
      <w:r>
        <w:rPr>
          <w:rFonts w:ascii="Calibri" w:hAnsi="Calibri"/>
          <w:spacing w:val="-4"/>
          <w:sz w:val="20"/>
        </w:rPr>
        <w:t xml:space="preserve"> </w:t>
      </w:r>
      <w:r>
        <w:rPr>
          <w:rFonts w:ascii="Calibri" w:hAnsi="Calibri"/>
          <w:sz w:val="20"/>
        </w:rPr>
        <w:t>is</w:t>
      </w:r>
      <w:r>
        <w:rPr>
          <w:rFonts w:ascii="Calibri" w:hAnsi="Calibri"/>
          <w:spacing w:val="-5"/>
          <w:sz w:val="20"/>
        </w:rPr>
        <w:t xml:space="preserve"> </w:t>
      </w:r>
      <w:r>
        <w:rPr>
          <w:rFonts w:ascii="Calibri" w:hAnsi="Calibri"/>
          <w:sz w:val="20"/>
        </w:rPr>
        <w:t>‘Specialised</w:t>
      </w:r>
      <w:r>
        <w:rPr>
          <w:rFonts w:ascii="Calibri" w:hAnsi="Calibri"/>
          <w:spacing w:val="-3"/>
          <w:sz w:val="20"/>
        </w:rPr>
        <w:t xml:space="preserve"> </w:t>
      </w:r>
      <w:r>
        <w:rPr>
          <w:rFonts w:ascii="Calibri" w:hAnsi="Calibri"/>
          <w:sz w:val="20"/>
        </w:rPr>
        <w:t>supported</w:t>
      </w:r>
      <w:r>
        <w:rPr>
          <w:rFonts w:ascii="Calibri" w:hAnsi="Calibri"/>
          <w:spacing w:val="-3"/>
          <w:sz w:val="20"/>
        </w:rPr>
        <w:t xml:space="preserve"> </w:t>
      </w:r>
      <w:r>
        <w:rPr>
          <w:rFonts w:ascii="Calibri" w:hAnsi="Calibri"/>
          <w:sz w:val="20"/>
        </w:rPr>
        <w:t>housing’</w:t>
      </w:r>
      <w:r>
        <w:rPr>
          <w:rFonts w:ascii="Calibri" w:hAnsi="Calibri"/>
          <w:spacing w:val="-3"/>
          <w:sz w:val="20"/>
        </w:rPr>
        <w:t xml:space="preserve"> </w:t>
      </w:r>
      <w:r>
        <w:rPr>
          <w:rFonts w:ascii="Calibri" w:hAnsi="Calibri"/>
          <w:sz w:val="20"/>
        </w:rPr>
        <w:t>(SSH)</w:t>
      </w:r>
      <w:r>
        <w:rPr>
          <w:rFonts w:ascii="Calibri" w:hAnsi="Calibri"/>
          <w:spacing w:val="-4"/>
          <w:sz w:val="20"/>
        </w:rPr>
        <w:t xml:space="preserve"> </w:t>
      </w:r>
      <w:r>
        <w:rPr>
          <w:rFonts w:ascii="Calibri" w:hAnsi="Calibri"/>
          <w:sz w:val="20"/>
        </w:rPr>
        <w:t>which</w:t>
      </w:r>
      <w:r>
        <w:rPr>
          <w:rFonts w:ascii="Calibri" w:hAnsi="Calibri"/>
          <w:spacing w:val="-3"/>
          <w:sz w:val="20"/>
        </w:rPr>
        <w:t xml:space="preserve"> </w:t>
      </w:r>
      <w:r>
        <w:rPr>
          <w:rFonts w:ascii="Calibri" w:hAnsi="Calibri"/>
          <w:sz w:val="20"/>
        </w:rPr>
        <w:t>is</w:t>
      </w:r>
      <w:r>
        <w:rPr>
          <w:rFonts w:ascii="Calibri" w:hAnsi="Calibri"/>
          <w:spacing w:val="-4"/>
          <w:sz w:val="20"/>
        </w:rPr>
        <w:t xml:space="preserve"> </w:t>
      </w:r>
      <w:r>
        <w:rPr>
          <w:rFonts w:ascii="Calibri" w:hAnsi="Calibri"/>
          <w:sz w:val="20"/>
        </w:rPr>
        <w:t>provided</w:t>
      </w:r>
      <w:r>
        <w:rPr>
          <w:rFonts w:ascii="Calibri" w:hAnsi="Calibri"/>
          <w:spacing w:val="-3"/>
          <w:sz w:val="20"/>
        </w:rPr>
        <w:t xml:space="preserve"> </w:t>
      </w:r>
      <w:r>
        <w:rPr>
          <w:rFonts w:ascii="Calibri" w:hAnsi="Calibri"/>
          <w:sz w:val="20"/>
        </w:rPr>
        <w:t>or</w:t>
      </w:r>
      <w:r>
        <w:rPr>
          <w:rFonts w:ascii="Calibri" w:hAnsi="Calibri"/>
          <w:spacing w:val="-3"/>
          <w:sz w:val="20"/>
        </w:rPr>
        <w:t xml:space="preserve"> </w:t>
      </w:r>
      <w:r>
        <w:rPr>
          <w:rFonts w:ascii="Calibri" w:hAnsi="Calibri"/>
          <w:sz w:val="20"/>
        </w:rPr>
        <w:t>managed</w:t>
      </w:r>
      <w:r>
        <w:rPr>
          <w:rFonts w:ascii="Calibri" w:hAnsi="Calibri"/>
          <w:spacing w:val="-3"/>
          <w:sz w:val="20"/>
        </w:rPr>
        <w:t xml:space="preserve"> </w:t>
      </w:r>
      <w:r>
        <w:rPr>
          <w:rFonts w:ascii="Calibri" w:hAnsi="Calibri"/>
          <w:sz w:val="20"/>
        </w:rPr>
        <w:t>by</w:t>
      </w:r>
      <w:r>
        <w:rPr>
          <w:rFonts w:ascii="Calibri" w:hAnsi="Calibri"/>
          <w:spacing w:val="-3"/>
          <w:sz w:val="20"/>
        </w:rPr>
        <w:t xml:space="preserve"> </w:t>
      </w:r>
      <w:r>
        <w:rPr>
          <w:rFonts w:ascii="Calibri" w:hAnsi="Calibri"/>
          <w:sz w:val="20"/>
        </w:rPr>
        <w:t>registered providers which are all regulated by the HCA. This relates to supported housing that is exempted entirely from social rent requirements</w:t>
      </w:r>
      <w:r>
        <w:rPr>
          <w:rFonts w:ascii="Calibri" w:hAnsi="Calibri"/>
          <w:spacing w:val="-3"/>
          <w:sz w:val="20"/>
        </w:rPr>
        <w:t xml:space="preserve"> </w:t>
      </w:r>
      <w:r>
        <w:rPr>
          <w:rFonts w:ascii="Calibri" w:hAnsi="Calibri"/>
          <w:sz w:val="20"/>
        </w:rPr>
        <w:t>and</w:t>
      </w:r>
      <w:r>
        <w:rPr>
          <w:rFonts w:ascii="Calibri" w:hAnsi="Calibri"/>
          <w:spacing w:val="-2"/>
          <w:sz w:val="20"/>
        </w:rPr>
        <w:t xml:space="preserve"> </w:t>
      </w:r>
      <w:r>
        <w:rPr>
          <w:rFonts w:ascii="Calibri" w:hAnsi="Calibri"/>
          <w:sz w:val="20"/>
        </w:rPr>
        <w:t>is</w:t>
      </w:r>
      <w:r>
        <w:rPr>
          <w:rFonts w:ascii="Calibri" w:hAnsi="Calibri"/>
          <w:spacing w:val="-3"/>
          <w:sz w:val="20"/>
        </w:rPr>
        <w:t xml:space="preserve"> </w:t>
      </w:r>
      <w:r>
        <w:rPr>
          <w:rFonts w:ascii="Calibri" w:hAnsi="Calibri"/>
          <w:sz w:val="20"/>
        </w:rPr>
        <w:t>defined</w:t>
      </w:r>
      <w:r>
        <w:rPr>
          <w:rFonts w:ascii="Calibri" w:hAnsi="Calibri"/>
          <w:spacing w:val="-2"/>
          <w:sz w:val="20"/>
        </w:rPr>
        <w:t xml:space="preserve"> </w:t>
      </w:r>
      <w:r>
        <w:rPr>
          <w:rFonts w:ascii="Calibri" w:hAnsi="Calibri"/>
          <w:sz w:val="20"/>
        </w:rPr>
        <w:t>as</w:t>
      </w:r>
      <w:r>
        <w:rPr>
          <w:rFonts w:ascii="Calibri" w:hAnsi="Calibri"/>
          <w:spacing w:val="-4"/>
          <w:sz w:val="20"/>
        </w:rPr>
        <w:t xml:space="preserve"> </w:t>
      </w:r>
      <w:r>
        <w:rPr>
          <w:rFonts w:ascii="Calibri" w:hAnsi="Calibri"/>
          <w:sz w:val="20"/>
        </w:rPr>
        <w:t>those</w:t>
      </w:r>
      <w:r>
        <w:rPr>
          <w:rFonts w:ascii="Calibri" w:hAnsi="Calibri"/>
          <w:spacing w:val="-3"/>
          <w:sz w:val="20"/>
        </w:rPr>
        <w:t xml:space="preserve"> </w:t>
      </w:r>
      <w:r>
        <w:rPr>
          <w:rFonts w:ascii="Calibri" w:hAnsi="Calibri"/>
          <w:sz w:val="20"/>
        </w:rPr>
        <w:t>properties</w:t>
      </w:r>
      <w:r>
        <w:rPr>
          <w:rFonts w:ascii="Calibri" w:hAnsi="Calibri"/>
          <w:spacing w:val="-4"/>
          <w:sz w:val="20"/>
        </w:rPr>
        <w:t xml:space="preserve"> </w:t>
      </w:r>
      <w:r>
        <w:rPr>
          <w:rFonts w:ascii="Calibri" w:hAnsi="Calibri"/>
          <w:sz w:val="20"/>
        </w:rPr>
        <w:t>developed</w:t>
      </w:r>
      <w:r>
        <w:rPr>
          <w:rFonts w:ascii="Calibri" w:hAnsi="Calibri"/>
          <w:spacing w:val="-2"/>
          <w:sz w:val="20"/>
        </w:rPr>
        <w:t xml:space="preserve"> </w:t>
      </w:r>
      <w:r>
        <w:rPr>
          <w:rFonts w:ascii="Calibri" w:hAnsi="Calibri"/>
          <w:sz w:val="20"/>
        </w:rPr>
        <w:t>in</w:t>
      </w:r>
      <w:r>
        <w:rPr>
          <w:rFonts w:ascii="Calibri" w:hAnsi="Calibri"/>
          <w:spacing w:val="-1"/>
          <w:sz w:val="20"/>
        </w:rPr>
        <w:t xml:space="preserve"> </w:t>
      </w:r>
      <w:r>
        <w:rPr>
          <w:rFonts w:ascii="Calibri" w:hAnsi="Calibri"/>
          <w:sz w:val="20"/>
        </w:rPr>
        <w:t>partnership</w:t>
      </w:r>
      <w:r>
        <w:rPr>
          <w:rFonts w:ascii="Calibri" w:hAnsi="Calibri"/>
          <w:spacing w:val="-2"/>
          <w:sz w:val="20"/>
        </w:rPr>
        <w:t xml:space="preserve"> </w:t>
      </w:r>
      <w:r>
        <w:rPr>
          <w:rFonts w:ascii="Calibri" w:hAnsi="Calibri"/>
          <w:sz w:val="20"/>
        </w:rPr>
        <w:t>with</w:t>
      </w:r>
      <w:r>
        <w:rPr>
          <w:rFonts w:ascii="Calibri" w:hAnsi="Calibri"/>
          <w:spacing w:val="-2"/>
          <w:sz w:val="20"/>
        </w:rPr>
        <w:t xml:space="preserve"> </w:t>
      </w:r>
      <w:r>
        <w:rPr>
          <w:rFonts w:ascii="Calibri" w:hAnsi="Calibri"/>
          <w:sz w:val="20"/>
        </w:rPr>
        <w:t>local</w:t>
      </w:r>
      <w:r>
        <w:rPr>
          <w:rFonts w:ascii="Calibri" w:hAnsi="Calibri"/>
          <w:spacing w:val="-2"/>
          <w:sz w:val="20"/>
        </w:rPr>
        <w:t xml:space="preserve"> </w:t>
      </w:r>
      <w:r>
        <w:rPr>
          <w:rFonts w:ascii="Calibri" w:hAnsi="Calibri"/>
          <w:sz w:val="20"/>
        </w:rPr>
        <w:t>authorities</w:t>
      </w:r>
      <w:r>
        <w:rPr>
          <w:rFonts w:ascii="Calibri" w:hAnsi="Calibri"/>
          <w:spacing w:val="-4"/>
          <w:sz w:val="20"/>
        </w:rPr>
        <w:t xml:space="preserve"> </w:t>
      </w:r>
      <w:r>
        <w:rPr>
          <w:rFonts w:ascii="Calibri" w:hAnsi="Calibri"/>
          <w:sz w:val="20"/>
        </w:rPr>
        <w:t>or</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health</w:t>
      </w:r>
      <w:r>
        <w:rPr>
          <w:rFonts w:ascii="Calibri" w:hAnsi="Calibri"/>
          <w:spacing w:val="-2"/>
          <w:sz w:val="20"/>
        </w:rPr>
        <w:t xml:space="preserve"> </w:t>
      </w:r>
      <w:r>
        <w:rPr>
          <w:rFonts w:ascii="Calibri" w:hAnsi="Calibri"/>
          <w:sz w:val="20"/>
        </w:rPr>
        <w:t>service</w:t>
      </w:r>
      <w:r>
        <w:rPr>
          <w:rFonts w:ascii="Calibri" w:hAnsi="Calibri"/>
          <w:spacing w:val="-4"/>
          <w:sz w:val="20"/>
        </w:rPr>
        <w:t xml:space="preserve"> </w:t>
      </w:r>
      <w:r>
        <w:rPr>
          <w:rFonts w:ascii="Calibri" w:hAnsi="Calibri"/>
          <w:sz w:val="20"/>
        </w:rPr>
        <w:t>(See Housing LIN</w:t>
      </w:r>
      <w:r>
        <w:rPr>
          <w:rFonts w:ascii="Calibri" w:hAnsi="Calibri"/>
          <w:position w:val="7"/>
          <w:sz w:val="13"/>
        </w:rPr>
        <w:t xml:space="preserve">1 </w:t>
      </w:r>
      <w:r>
        <w:rPr>
          <w:rFonts w:ascii="Calibri" w:hAnsi="Calibri"/>
          <w:sz w:val="20"/>
        </w:rPr>
        <w:t>for a more detailed</w:t>
      </w:r>
      <w:r>
        <w:rPr>
          <w:rFonts w:ascii="Calibri" w:hAnsi="Calibri"/>
          <w:spacing w:val="-6"/>
          <w:sz w:val="20"/>
        </w:rPr>
        <w:t xml:space="preserve"> </w:t>
      </w:r>
      <w:r>
        <w:rPr>
          <w:rFonts w:ascii="Calibri" w:hAnsi="Calibri"/>
          <w:sz w:val="20"/>
        </w:rPr>
        <w:t>definition).</w:t>
      </w:r>
    </w:p>
    <w:p w:rsidR="006A18FD" w:rsidRDefault="002D29FC">
      <w:pPr>
        <w:spacing w:before="115" w:line="276" w:lineRule="auto"/>
        <w:ind w:left="140" w:right="149"/>
        <w:rPr>
          <w:rFonts w:ascii="Calibri" w:hAnsi="Calibri"/>
          <w:sz w:val="20"/>
        </w:rPr>
      </w:pPr>
      <w:r>
        <w:rPr>
          <w:rFonts w:ascii="Calibri" w:hAnsi="Calibri"/>
          <w:sz w:val="20"/>
        </w:rPr>
        <w:t>Costs were collected from 29 registered providers. Research carried out by Housing LIN</w:t>
      </w:r>
      <w:r>
        <w:rPr>
          <w:rFonts w:ascii="Calibri" w:hAnsi="Calibri"/>
          <w:position w:val="7"/>
          <w:sz w:val="13"/>
        </w:rPr>
        <w:t xml:space="preserve">1 </w:t>
      </w:r>
      <w:r>
        <w:rPr>
          <w:rFonts w:ascii="Calibri" w:hAnsi="Calibri"/>
          <w:sz w:val="20"/>
        </w:rPr>
        <w:t>found that a person with a learning disability living in Specialised Supported Housing requires state funding of on average £1,569 per person per week for care and housing costs (housing cost and £1,337 care package cost per week).</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1400"/>
        <w:gridCol w:w="2552"/>
        <w:gridCol w:w="1985"/>
        <w:gridCol w:w="1844"/>
      </w:tblGrid>
      <w:tr w:rsidR="006A18FD" w:rsidTr="005B5AB5">
        <w:trPr>
          <w:trHeight w:val="720"/>
          <w:tblHeader/>
        </w:trPr>
        <w:tc>
          <w:tcPr>
            <w:tcW w:w="2141" w:type="dxa"/>
          </w:tcPr>
          <w:p w:rsidR="006A18FD" w:rsidRDefault="006A18FD">
            <w:pPr>
              <w:rPr>
                <w:rFonts w:ascii="Times New Roman"/>
                <w:sz w:val="18"/>
              </w:rPr>
            </w:pPr>
          </w:p>
        </w:tc>
        <w:tc>
          <w:tcPr>
            <w:tcW w:w="1400" w:type="dxa"/>
          </w:tcPr>
          <w:p w:rsidR="006A18FD" w:rsidRDefault="002D29FC">
            <w:pPr>
              <w:spacing w:before="121"/>
              <w:ind w:left="201" w:right="184" w:firstLine="153"/>
              <w:rPr>
                <w:rFonts w:ascii="Calibri"/>
                <w:b/>
                <w:sz w:val="20"/>
              </w:rPr>
            </w:pPr>
            <w:r>
              <w:rPr>
                <w:rFonts w:ascii="Calibri"/>
                <w:b/>
                <w:sz w:val="20"/>
              </w:rPr>
              <w:t>Average weekly rent</w:t>
            </w:r>
          </w:p>
        </w:tc>
        <w:tc>
          <w:tcPr>
            <w:tcW w:w="2552" w:type="dxa"/>
          </w:tcPr>
          <w:p w:rsidR="006A18FD" w:rsidRDefault="002D29FC">
            <w:pPr>
              <w:spacing w:before="121"/>
              <w:ind w:left="990" w:hanging="692"/>
              <w:rPr>
                <w:rFonts w:ascii="Calibri"/>
                <w:b/>
                <w:sz w:val="20"/>
              </w:rPr>
            </w:pPr>
            <w:r>
              <w:rPr>
                <w:rFonts w:ascii="Calibri"/>
                <w:b/>
                <w:sz w:val="20"/>
              </w:rPr>
              <w:t>Average weekly service charge</w:t>
            </w:r>
          </w:p>
        </w:tc>
        <w:tc>
          <w:tcPr>
            <w:tcW w:w="1985" w:type="dxa"/>
          </w:tcPr>
          <w:p w:rsidR="006A18FD" w:rsidRDefault="002D29FC">
            <w:pPr>
              <w:spacing w:before="123"/>
              <w:ind w:left="416" w:right="416"/>
              <w:jc w:val="center"/>
              <w:rPr>
                <w:rFonts w:ascii="Calibri"/>
                <w:b/>
                <w:sz w:val="20"/>
              </w:rPr>
            </w:pPr>
            <w:r>
              <w:rPr>
                <w:rFonts w:ascii="Calibri"/>
                <w:b/>
                <w:sz w:val="20"/>
              </w:rPr>
              <w:t>Care package</w:t>
            </w:r>
          </w:p>
        </w:tc>
        <w:tc>
          <w:tcPr>
            <w:tcW w:w="1844" w:type="dxa"/>
          </w:tcPr>
          <w:p w:rsidR="006A18FD" w:rsidRDefault="002D29FC">
            <w:pPr>
              <w:spacing w:before="123"/>
              <w:ind w:left="492" w:right="492"/>
              <w:jc w:val="center"/>
              <w:rPr>
                <w:rFonts w:ascii="Calibri"/>
                <w:b/>
                <w:sz w:val="20"/>
              </w:rPr>
            </w:pPr>
            <w:r>
              <w:rPr>
                <w:rFonts w:ascii="Calibri"/>
                <w:b/>
                <w:sz w:val="20"/>
              </w:rPr>
              <w:t>Total cost</w:t>
            </w:r>
          </w:p>
        </w:tc>
      </w:tr>
      <w:tr w:rsidR="006A18FD">
        <w:trPr>
          <w:trHeight w:val="480"/>
        </w:trPr>
        <w:tc>
          <w:tcPr>
            <w:tcW w:w="2141" w:type="dxa"/>
          </w:tcPr>
          <w:p w:rsidR="006A18FD" w:rsidRDefault="002D29FC">
            <w:pPr>
              <w:spacing w:before="121"/>
              <w:ind w:left="103"/>
              <w:rPr>
                <w:rFonts w:ascii="Calibri"/>
                <w:b/>
                <w:sz w:val="20"/>
              </w:rPr>
            </w:pPr>
            <w:r>
              <w:rPr>
                <w:rFonts w:ascii="Calibri"/>
                <w:b/>
                <w:sz w:val="20"/>
              </w:rPr>
              <w:t>Shared SSH</w:t>
            </w:r>
          </w:p>
        </w:tc>
        <w:tc>
          <w:tcPr>
            <w:tcW w:w="1400" w:type="dxa"/>
          </w:tcPr>
          <w:p w:rsidR="006A18FD" w:rsidRDefault="002D29FC">
            <w:pPr>
              <w:spacing w:before="121"/>
              <w:ind w:left="344" w:right="347"/>
              <w:jc w:val="center"/>
              <w:rPr>
                <w:rFonts w:ascii="Calibri" w:hAnsi="Calibri"/>
                <w:sz w:val="20"/>
              </w:rPr>
            </w:pPr>
            <w:r>
              <w:rPr>
                <w:rFonts w:ascii="Calibri" w:hAnsi="Calibri"/>
                <w:sz w:val="20"/>
              </w:rPr>
              <w:t>£185.60</w:t>
            </w:r>
          </w:p>
        </w:tc>
        <w:tc>
          <w:tcPr>
            <w:tcW w:w="2552" w:type="dxa"/>
          </w:tcPr>
          <w:p w:rsidR="006A18FD" w:rsidRDefault="002D29FC">
            <w:pPr>
              <w:spacing w:before="121"/>
              <w:ind w:right="993"/>
              <w:jc w:val="right"/>
              <w:rPr>
                <w:rFonts w:ascii="Calibri" w:hAnsi="Calibri"/>
                <w:sz w:val="20"/>
              </w:rPr>
            </w:pPr>
            <w:r>
              <w:rPr>
                <w:rFonts w:ascii="Calibri" w:hAnsi="Calibri"/>
                <w:w w:val="95"/>
                <w:sz w:val="20"/>
              </w:rPr>
              <w:t>£52.65</w:t>
            </w:r>
          </w:p>
        </w:tc>
        <w:tc>
          <w:tcPr>
            <w:tcW w:w="1985" w:type="dxa"/>
          </w:tcPr>
          <w:p w:rsidR="006A18FD" w:rsidRDefault="002D29FC">
            <w:pPr>
              <w:spacing w:before="121"/>
              <w:ind w:left="414" w:right="416"/>
              <w:jc w:val="center"/>
              <w:rPr>
                <w:rFonts w:ascii="Calibri" w:hAnsi="Calibri"/>
                <w:sz w:val="20"/>
              </w:rPr>
            </w:pPr>
            <w:r>
              <w:rPr>
                <w:rFonts w:ascii="Calibri" w:hAnsi="Calibri"/>
                <w:sz w:val="20"/>
              </w:rPr>
              <w:t>£1,337</w:t>
            </w:r>
          </w:p>
        </w:tc>
        <w:tc>
          <w:tcPr>
            <w:tcW w:w="1844" w:type="dxa"/>
          </w:tcPr>
          <w:p w:rsidR="006A18FD" w:rsidRDefault="002D29FC">
            <w:pPr>
              <w:spacing w:before="121"/>
              <w:ind w:left="491" w:right="492"/>
              <w:jc w:val="center"/>
              <w:rPr>
                <w:rFonts w:ascii="Calibri" w:hAnsi="Calibri"/>
                <w:sz w:val="20"/>
              </w:rPr>
            </w:pPr>
            <w:r>
              <w:rPr>
                <w:rFonts w:ascii="Calibri" w:hAnsi="Calibri"/>
                <w:sz w:val="20"/>
              </w:rPr>
              <w:t>£1,575</w:t>
            </w:r>
          </w:p>
        </w:tc>
      </w:tr>
      <w:tr w:rsidR="006A18FD">
        <w:trPr>
          <w:trHeight w:val="480"/>
        </w:trPr>
        <w:tc>
          <w:tcPr>
            <w:tcW w:w="2141" w:type="dxa"/>
          </w:tcPr>
          <w:p w:rsidR="006A18FD" w:rsidRDefault="002D29FC">
            <w:pPr>
              <w:spacing w:before="121"/>
              <w:ind w:left="103"/>
              <w:rPr>
                <w:rFonts w:ascii="Calibri"/>
                <w:b/>
                <w:sz w:val="20"/>
              </w:rPr>
            </w:pPr>
            <w:r>
              <w:rPr>
                <w:rFonts w:ascii="Calibri"/>
                <w:b/>
                <w:sz w:val="20"/>
              </w:rPr>
              <w:t>Self-contained SSH</w:t>
            </w:r>
          </w:p>
        </w:tc>
        <w:tc>
          <w:tcPr>
            <w:tcW w:w="1400" w:type="dxa"/>
          </w:tcPr>
          <w:p w:rsidR="006A18FD" w:rsidRDefault="002D29FC">
            <w:pPr>
              <w:spacing w:before="121"/>
              <w:ind w:left="344" w:right="347"/>
              <w:jc w:val="center"/>
              <w:rPr>
                <w:rFonts w:ascii="Calibri" w:hAnsi="Calibri"/>
                <w:sz w:val="20"/>
              </w:rPr>
            </w:pPr>
            <w:r>
              <w:rPr>
                <w:rFonts w:ascii="Calibri" w:hAnsi="Calibri"/>
                <w:sz w:val="20"/>
              </w:rPr>
              <w:t>£194.43</w:t>
            </w:r>
          </w:p>
        </w:tc>
        <w:tc>
          <w:tcPr>
            <w:tcW w:w="2552" w:type="dxa"/>
          </w:tcPr>
          <w:p w:rsidR="006A18FD" w:rsidRDefault="002D29FC">
            <w:pPr>
              <w:spacing w:before="121"/>
              <w:ind w:right="993"/>
              <w:jc w:val="right"/>
              <w:rPr>
                <w:rFonts w:ascii="Calibri" w:hAnsi="Calibri"/>
                <w:sz w:val="20"/>
              </w:rPr>
            </w:pPr>
            <w:r>
              <w:rPr>
                <w:rFonts w:ascii="Calibri" w:hAnsi="Calibri"/>
                <w:w w:val="95"/>
                <w:sz w:val="20"/>
              </w:rPr>
              <w:t>£48.86</w:t>
            </w:r>
          </w:p>
        </w:tc>
        <w:tc>
          <w:tcPr>
            <w:tcW w:w="1985" w:type="dxa"/>
          </w:tcPr>
          <w:p w:rsidR="006A18FD" w:rsidRDefault="002D29FC">
            <w:pPr>
              <w:spacing w:before="121"/>
              <w:ind w:left="414" w:right="416"/>
              <w:jc w:val="center"/>
              <w:rPr>
                <w:rFonts w:ascii="Calibri" w:hAnsi="Calibri"/>
                <w:sz w:val="20"/>
              </w:rPr>
            </w:pPr>
            <w:r>
              <w:rPr>
                <w:rFonts w:ascii="Calibri" w:hAnsi="Calibri"/>
                <w:sz w:val="20"/>
              </w:rPr>
              <w:t>£1,337</w:t>
            </w:r>
          </w:p>
        </w:tc>
        <w:tc>
          <w:tcPr>
            <w:tcW w:w="1844" w:type="dxa"/>
          </w:tcPr>
          <w:p w:rsidR="006A18FD" w:rsidRDefault="002D29FC">
            <w:pPr>
              <w:spacing w:before="121"/>
              <w:ind w:left="491" w:right="492"/>
              <w:jc w:val="center"/>
              <w:rPr>
                <w:rFonts w:ascii="Calibri" w:hAnsi="Calibri"/>
                <w:sz w:val="20"/>
              </w:rPr>
            </w:pPr>
            <w:r>
              <w:rPr>
                <w:rFonts w:ascii="Calibri" w:hAnsi="Calibri"/>
                <w:sz w:val="20"/>
              </w:rPr>
              <w:t>£1,580</w:t>
            </w:r>
          </w:p>
        </w:tc>
      </w:tr>
      <w:tr w:rsidR="006A18FD">
        <w:trPr>
          <w:trHeight w:val="480"/>
        </w:trPr>
        <w:tc>
          <w:tcPr>
            <w:tcW w:w="2141" w:type="dxa"/>
          </w:tcPr>
          <w:p w:rsidR="006A18FD" w:rsidRDefault="002D29FC">
            <w:pPr>
              <w:spacing w:before="121"/>
              <w:ind w:left="103"/>
              <w:rPr>
                <w:rFonts w:ascii="Calibri"/>
                <w:b/>
                <w:sz w:val="20"/>
              </w:rPr>
            </w:pPr>
            <w:r>
              <w:rPr>
                <w:rFonts w:ascii="Calibri"/>
                <w:b/>
                <w:sz w:val="20"/>
              </w:rPr>
              <w:t>All SSH</w:t>
            </w:r>
          </w:p>
        </w:tc>
        <w:tc>
          <w:tcPr>
            <w:tcW w:w="3951" w:type="dxa"/>
            <w:gridSpan w:val="2"/>
          </w:tcPr>
          <w:p w:rsidR="006A18FD" w:rsidRDefault="002D29FC">
            <w:pPr>
              <w:spacing w:before="121"/>
              <w:ind w:left="1746" w:right="1748"/>
              <w:jc w:val="center"/>
              <w:rPr>
                <w:rFonts w:ascii="Calibri" w:hAnsi="Calibri"/>
                <w:sz w:val="20"/>
              </w:rPr>
            </w:pPr>
            <w:r>
              <w:rPr>
                <w:rFonts w:ascii="Calibri" w:hAnsi="Calibri"/>
                <w:sz w:val="20"/>
              </w:rPr>
              <w:t>£232</w:t>
            </w:r>
          </w:p>
        </w:tc>
        <w:tc>
          <w:tcPr>
            <w:tcW w:w="1985" w:type="dxa"/>
          </w:tcPr>
          <w:p w:rsidR="006A18FD" w:rsidRDefault="002D29FC">
            <w:pPr>
              <w:spacing w:before="121"/>
              <w:ind w:left="414" w:right="416"/>
              <w:jc w:val="center"/>
              <w:rPr>
                <w:rFonts w:ascii="Calibri" w:hAnsi="Calibri"/>
                <w:sz w:val="20"/>
              </w:rPr>
            </w:pPr>
            <w:r>
              <w:rPr>
                <w:rFonts w:ascii="Calibri" w:hAnsi="Calibri"/>
                <w:sz w:val="20"/>
              </w:rPr>
              <w:t>£1,337</w:t>
            </w:r>
          </w:p>
        </w:tc>
        <w:tc>
          <w:tcPr>
            <w:tcW w:w="1844" w:type="dxa"/>
          </w:tcPr>
          <w:p w:rsidR="006A18FD" w:rsidRDefault="002D29FC">
            <w:pPr>
              <w:spacing w:before="121"/>
              <w:ind w:left="491" w:right="492"/>
              <w:jc w:val="center"/>
              <w:rPr>
                <w:rFonts w:ascii="Calibri" w:hAnsi="Calibri"/>
                <w:sz w:val="20"/>
              </w:rPr>
            </w:pPr>
            <w:r>
              <w:rPr>
                <w:rFonts w:ascii="Calibri" w:hAnsi="Calibri"/>
                <w:sz w:val="20"/>
              </w:rPr>
              <w:t>£1,569</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1"/>
        <w:rPr>
          <w:rFonts w:ascii="Calibri"/>
        </w:rPr>
      </w:pPr>
    </w:p>
    <w:p w:rsidR="006A18FD" w:rsidRDefault="002D29FC">
      <w:pPr>
        <w:spacing w:before="1"/>
        <w:ind w:left="423" w:right="1067" w:hanging="284"/>
        <w:rPr>
          <w:rFonts w:ascii="Calibri"/>
          <w:sz w:val="16"/>
        </w:rPr>
      </w:pPr>
      <w:r>
        <w:rPr>
          <w:rFonts w:ascii="Calibri"/>
          <w:position w:val="5"/>
          <w:sz w:val="10"/>
        </w:rPr>
        <w:t xml:space="preserve">1 </w:t>
      </w:r>
      <w:r>
        <w:rPr>
          <w:rFonts w:ascii="Calibri"/>
          <w:sz w:val="16"/>
        </w:rPr>
        <w:t xml:space="preserve">Housing LIN (2018) Funding supported housing for all, Specialised Supported Housing for people with a learning disability, </w:t>
      </w:r>
      <w:hyperlink r:id="rId166">
        <w:r>
          <w:rPr>
            <w:rFonts w:ascii="Calibri"/>
            <w:sz w:val="16"/>
            <w:u w:val="single"/>
          </w:rPr>
          <w:t>https://www.mencap.org.uk/sites/default/files/2018-04/2018.052%20Housing%20report_FINAL_WEB.pdf</w:t>
        </w:r>
        <w:r>
          <w:rPr>
            <w:rFonts w:ascii="Calibri"/>
            <w:sz w:val="16"/>
          </w:rPr>
          <w:t xml:space="preserve"> </w:t>
        </w:r>
      </w:hyperlink>
      <w:r>
        <w:rPr>
          <w:rFonts w:ascii="Calibri"/>
          <w:sz w:val="16"/>
        </w:rPr>
        <w:t>[accessed 28 October, 2019].</w:t>
      </w:r>
    </w:p>
    <w:p w:rsidR="006A18FD" w:rsidRDefault="006A18FD">
      <w:pPr>
        <w:rPr>
          <w:rFonts w:ascii="Calibri"/>
          <w:sz w:val="16"/>
        </w:rPr>
        <w:sectPr w:rsidR="006A18FD">
          <w:pgSz w:w="11910" w:h="16840"/>
          <w:pgMar w:top="980" w:right="980" w:bottom="280" w:left="580" w:header="763"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2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21" name="Line 17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EA273C" id="Group 17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Dkc8cV/AgAAgQUA&#10;AA4AAAAAAAAAAAAAAAAALgIAAGRycy9lMm9Eb2MueG1sUEsBAi0AFAAGAAgAAAAhAC135FzaAAAA&#10;BAEAAA8AAAAAAAAAAAAAAAAA2QQAAGRycy9kb3ducmV2LnhtbFBLBQYAAAAABAAEAPMAAADgBQAA&#10;AAA=&#10;">
                <v:line id="Line 17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w10:anchorlock/>
              </v:group>
            </w:pict>
          </mc:Fallback>
        </mc:AlternateContent>
      </w:r>
    </w:p>
    <w:p w:rsidR="006A18FD" w:rsidRDefault="006267D6" w:rsidP="006267D6">
      <w:pPr>
        <w:pStyle w:val="Heading2"/>
      </w:pPr>
      <w:r>
        <w:t xml:space="preserve">4.4 </w:t>
      </w:r>
      <w:r w:rsidR="002D29FC">
        <w:t>Care homes for adults with autism and complex</w:t>
      </w:r>
      <w:r>
        <w:t xml:space="preserve"> </w:t>
      </w:r>
      <w:r w:rsidR="002D29FC">
        <w:t>needs</w:t>
      </w:r>
    </w:p>
    <w:p w:rsidR="006A18FD" w:rsidRDefault="006267D6" w:rsidP="006267D6">
      <w:pPr>
        <w:pStyle w:val="Heading3"/>
      </w:pPr>
      <w:r>
        <w:t xml:space="preserve">4.4.1 </w:t>
      </w:r>
      <w:r w:rsidR="002D29FC">
        <w:t>Supported living</w:t>
      </w:r>
      <w:r w:rsidR="002D29FC">
        <w:rPr>
          <w:spacing w:val="-14"/>
        </w:rPr>
        <w:t xml:space="preserve"> </w:t>
      </w:r>
      <w:r w:rsidR="002D29FC">
        <w:t>homes</w:t>
      </w:r>
    </w:p>
    <w:p w:rsidR="006A18FD" w:rsidRDefault="002D29FC">
      <w:pPr>
        <w:spacing w:before="109" w:line="264" w:lineRule="auto"/>
        <w:ind w:left="152" w:right="164"/>
        <w:rPr>
          <w:rFonts w:ascii="Calibri"/>
          <w:sz w:val="20"/>
        </w:rPr>
      </w:pPr>
      <w:r>
        <w:rPr>
          <w:rFonts w:ascii="Calibri"/>
          <w:sz w:val="20"/>
        </w:rPr>
        <w:t xml:space="preserve">This schema was prepared in 2017, in collaboration with the Autism Alliance </w:t>
      </w:r>
      <w:hyperlink r:id="rId167">
        <w:r>
          <w:rPr>
            <w:rFonts w:ascii="Calibri"/>
            <w:sz w:val="20"/>
            <w:u w:val="single"/>
          </w:rPr>
          <w:t>http://autism-alliance.org.uk/about-us/the-</w:t>
        </w:r>
      </w:hyperlink>
      <w:r>
        <w:rPr>
          <w:rFonts w:ascii="Calibri"/>
          <w:sz w:val="20"/>
        </w:rPr>
        <w:t xml:space="preserve"> </w:t>
      </w:r>
      <w:hyperlink r:id="rId168">
        <w:r>
          <w:rPr>
            <w:rFonts w:ascii="Calibri"/>
            <w:sz w:val="20"/>
            <w:u w:val="single"/>
          </w:rPr>
          <w:t>alliance</w:t>
        </w:r>
        <w:r>
          <w:rPr>
            <w:rFonts w:ascii="Calibri"/>
            <w:sz w:val="20"/>
          </w:rPr>
          <w:t xml:space="preserve">, </w:t>
        </w:r>
      </w:hyperlink>
      <w:r>
        <w:rPr>
          <w:rFonts w:ascii="Calibri"/>
          <w:sz w:val="20"/>
        </w:rPr>
        <w:t>a major UK network of specialist autism charities supporting thousands of people with autism and complex needs. When interpreting the costs, it should be taken into account that these clients have very specific needs, resulting in the necessity for a high level of staff support (usually one-to-one) and more specialist staff training and therefore higher salaries. Costs have been uprated to 2018/2019 values using the PSS Pay and Prices Inflators.</w:t>
      </w:r>
    </w:p>
    <w:p w:rsidR="006A18FD" w:rsidRDefault="006A18FD">
      <w:pPr>
        <w:spacing w:before="4"/>
        <w:rPr>
          <w:rFonts w:ascii="Calibri"/>
          <w:sz w:val="2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552"/>
        <w:gridCol w:w="4251"/>
      </w:tblGrid>
      <w:tr w:rsidR="006A18FD" w:rsidTr="005B5AB5">
        <w:trPr>
          <w:trHeight w:val="1220"/>
          <w:tblHeader/>
        </w:trPr>
        <w:tc>
          <w:tcPr>
            <w:tcW w:w="3116" w:type="dxa"/>
          </w:tcPr>
          <w:p w:rsidR="006A18FD" w:rsidRDefault="002D29FC">
            <w:pPr>
              <w:spacing w:before="1"/>
              <w:ind w:left="105"/>
              <w:rPr>
                <w:rFonts w:ascii="Calibri"/>
                <w:b/>
                <w:sz w:val="20"/>
              </w:rPr>
            </w:pPr>
            <w:r>
              <w:rPr>
                <w:rFonts w:ascii="Calibri"/>
                <w:b/>
                <w:sz w:val="20"/>
              </w:rPr>
              <w:t>Costs and unit estimation</w:t>
            </w:r>
          </w:p>
        </w:tc>
        <w:tc>
          <w:tcPr>
            <w:tcW w:w="6803" w:type="dxa"/>
            <w:gridSpan w:val="2"/>
          </w:tcPr>
          <w:p w:rsidR="006A18FD" w:rsidRDefault="002D29FC">
            <w:pPr>
              <w:spacing w:before="1"/>
              <w:ind w:left="102" w:right="118"/>
              <w:rPr>
                <w:rFonts w:ascii="Calibri"/>
                <w:sz w:val="20"/>
              </w:rPr>
            </w:pPr>
            <w:r>
              <w:rPr>
                <w:rFonts w:ascii="Calibri"/>
                <w:sz w:val="20"/>
              </w:rPr>
              <w:t>This example is the average costs for 13 adults with autism and complex needs living in their own rented accommodation. The average care hours are 86.75 per person per week. Some people share communal facilities in addition to their self-contained flats. Actual hours of support vary from 175 per week to 16 per</w:t>
            </w:r>
          </w:p>
          <w:p w:rsidR="006A18FD" w:rsidRDefault="002D29FC">
            <w:pPr>
              <w:spacing w:line="223" w:lineRule="exact"/>
              <w:ind w:left="102"/>
              <w:rPr>
                <w:rFonts w:ascii="Calibri"/>
                <w:sz w:val="20"/>
              </w:rPr>
            </w:pPr>
            <w:r>
              <w:rPr>
                <w:rFonts w:ascii="Calibri"/>
                <w:sz w:val="20"/>
              </w:rPr>
              <w:t>week.</w:t>
            </w:r>
          </w:p>
        </w:tc>
      </w:tr>
      <w:tr w:rsidR="006A18FD">
        <w:trPr>
          <w:trHeight w:val="480"/>
        </w:trPr>
        <w:tc>
          <w:tcPr>
            <w:tcW w:w="3116" w:type="dxa"/>
          </w:tcPr>
          <w:p w:rsidR="006A18FD" w:rsidRDefault="002D29FC">
            <w:pPr>
              <w:spacing w:before="2"/>
              <w:ind w:left="105"/>
              <w:rPr>
                <w:rFonts w:ascii="Calibri"/>
                <w:b/>
                <w:sz w:val="20"/>
              </w:rPr>
            </w:pPr>
            <w:r>
              <w:rPr>
                <w:rFonts w:ascii="Calibri"/>
                <w:b/>
                <w:sz w:val="20"/>
              </w:rPr>
              <w:t>Income</w:t>
            </w:r>
          </w:p>
        </w:tc>
        <w:tc>
          <w:tcPr>
            <w:tcW w:w="2552" w:type="dxa"/>
          </w:tcPr>
          <w:p w:rsidR="006A18FD" w:rsidRDefault="002D29FC">
            <w:pPr>
              <w:spacing w:before="2" w:line="243" w:lineRule="exact"/>
              <w:ind w:left="244" w:firstLine="45"/>
              <w:rPr>
                <w:rFonts w:ascii="Calibri"/>
                <w:b/>
                <w:sz w:val="20"/>
              </w:rPr>
            </w:pPr>
            <w:r>
              <w:rPr>
                <w:rFonts w:ascii="Calibri"/>
                <w:b/>
                <w:sz w:val="20"/>
              </w:rPr>
              <w:t>Per person fee/cost per</w:t>
            </w:r>
          </w:p>
          <w:p w:rsidR="006A18FD" w:rsidRDefault="002D29FC">
            <w:pPr>
              <w:spacing w:line="222" w:lineRule="exact"/>
              <w:ind w:left="244"/>
              <w:rPr>
                <w:rFonts w:ascii="Calibri"/>
                <w:b/>
                <w:sz w:val="20"/>
              </w:rPr>
            </w:pPr>
            <w:r>
              <w:rPr>
                <w:rFonts w:ascii="Calibri"/>
                <w:b/>
                <w:sz w:val="20"/>
              </w:rPr>
              <w:t>week (including oncosts)</w:t>
            </w:r>
          </w:p>
        </w:tc>
        <w:tc>
          <w:tcPr>
            <w:tcW w:w="4251" w:type="dxa"/>
          </w:tcPr>
          <w:p w:rsidR="006A18FD" w:rsidRDefault="002D29FC">
            <w:pPr>
              <w:spacing w:before="2"/>
              <w:ind w:left="1238"/>
              <w:rPr>
                <w:rFonts w:ascii="Calibri"/>
                <w:b/>
                <w:sz w:val="20"/>
              </w:rPr>
            </w:pPr>
            <w:r>
              <w:rPr>
                <w:rFonts w:ascii="Calibri"/>
                <w:b/>
                <w:sz w:val="20"/>
              </w:rPr>
              <w:t>Total for all residents</w:t>
            </w:r>
          </w:p>
        </w:tc>
      </w:tr>
      <w:tr w:rsidR="006A18FD">
        <w:trPr>
          <w:trHeight w:val="240"/>
        </w:trPr>
        <w:tc>
          <w:tcPr>
            <w:tcW w:w="3116" w:type="dxa"/>
          </w:tcPr>
          <w:p w:rsidR="006A18FD" w:rsidRDefault="002D29FC">
            <w:pPr>
              <w:spacing w:before="1" w:line="223" w:lineRule="exact"/>
              <w:ind w:left="105"/>
              <w:rPr>
                <w:rFonts w:ascii="Calibri"/>
                <w:b/>
                <w:sz w:val="20"/>
              </w:rPr>
            </w:pPr>
            <w:r>
              <w:rPr>
                <w:rFonts w:ascii="Calibri"/>
                <w:b/>
                <w:sz w:val="20"/>
              </w:rPr>
              <w:t>Income</w:t>
            </w:r>
          </w:p>
        </w:tc>
        <w:tc>
          <w:tcPr>
            <w:tcW w:w="2552" w:type="dxa"/>
          </w:tcPr>
          <w:p w:rsidR="006A18FD" w:rsidRDefault="006A18FD">
            <w:pPr>
              <w:rPr>
                <w:rFonts w:ascii="Times New Roman"/>
                <w:sz w:val="16"/>
              </w:rPr>
            </w:pPr>
          </w:p>
        </w:tc>
        <w:tc>
          <w:tcPr>
            <w:tcW w:w="4251" w:type="dxa"/>
          </w:tcPr>
          <w:p w:rsidR="006A18FD" w:rsidRDefault="006A18FD">
            <w:pPr>
              <w:rPr>
                <w:rFonts w:ascii="Times New Roman"/>
                <w:sz w:val="16"/>
              </w:rPr>
            </w:pPr>
          </w:p>
        </w:tc>
      </w:tr>
      <w:tr w:rsidR="006A18FD">
        <w:trPr>
          <w:trHeight w:val="220"/>
        </w:trPr>
        <w:tc>
          <w:tcPr>
            <w:tcW w:w="3116" w:type="dxa"/>
          </w:tcPr>
          <w:p w:rsidR="006A18FD" w:rsidRDefault="002D29FC">
            <w:pPr>
              <w:spacing w:before="1" w:line="206" w:lineRule="exact"/>
              <w:ind w:left="105"/>
              <w:rPr>
                <w:rFonts w:ascii="Calibri"/>
                <w:sz w:val="20"/>
              </w:rPr>
            </w:pPr>
            <w:r>
              <w:rPr>
                <w:rFonts w:ascii="Calibri"/>
                <w:sz w:val="20"/>
              </w:rPr>
              <w:t>Fees</w:t>
            </w:r>
          </w:p>
        </w:tc>
        <w:tc>
          <w:tcPr>
            <w:tcW w:w="2552" w:type="dxa"/>
          </w:tcPr>
          <w:p w:rsidR="006A18FD" w:rsidRDefault="002D29FC">
            <w:pPr>
              <w:spacing w:before="1" w:line="206" w:lineRule="exact"/>
              <w:ind w:right="811"/>
              <w:jc w:val="right"/>
              <w:rPr>
                <w:rFonts w:ascii="Calibri" w:hAnsi="Calibri"/>
                <w:sz w:val="20"/>
              </w:rPr>
            </w:pPr>
            <w:r>
              <w:rPr>
                <w:rFonts w:ascii="Calibri" w:hAnsi="Calibri"/>
                <w:w w:val="95"/>
                <w:sz w:val="20"/>
              </w:rPr>
              <w:t>£1,599</w:t>
            </w:r>
          </w:p>
        </w:tc>
        <w:tc>
          <w:tcPr>
            <w:tcW w:w="4251" w:type="dxa"/>
          </w:tcPr>
          <w:p w:rsidR="006A18FD" w:rsidRDefault="002D29FC">
            <w:pPr>
              <w:spacing w:before="1" w:line="206" w:lineRule="exact"/>
              <w:ind w:left="1970"/>
              <w:rPr>
                <w:rFonts w:ascii="Calibri" w:hAnsi="Calibri"/>
                <w:sz w:val="20"/>
              </w:rPr>
            </w:pPr>
            <w:r>
              <w:rPr>
                <w:rFonts w:ascii="Calibri" w:hAnsi="Calibri"/>
                <w:sz w:val="20"/>
              </w:rPr>
              <w:t>£1,081,228</w:t>
            </w:r>
          </w:p>
        </w:tc>
      </w:tr>
      <w:tr w:rsidR="006A18FD">
        <w:trPr>
          <w:trHeight w:val="240"/>
        </w:trPr>
        <w:tc>
          <w:tcPr>
            <w:tcW w:w="3116" w:type="dxa"/>
          </w:tcPr>
          <w:p w:rsidR="006A18FD" w:rsidRDefault="002D29FC">
            <w:pPr>
              <w:spacing w:before="1" w:line="223" w:lineRule="exact"/>
              <w:ind w:left="105"/>
              <w:rPr>
                <w:rFonts w:ascii="Calibri"/>
                <w:b/>
                <w:sz w:val="20"/>
              </w:rPr>
            </w:pPr>
            <w:r>
              <w:rPr>
                <w:rFonts w:ascii="Calibri"/>
                <w:b/>
                <w:sz w:val="20"/>
              </w:rPr>
              <w:t>Costs</w:t>
            </w:r>
          </w:p>
        </w:tc>
        <w:tc>
          <w:tcPr>
            <w:tcW w:w="2552" w:type="dxa"/>
          </w:tcPr>
          <w:p w:rsidR="006A18FD" w:rsidRDefault="006A18FD">
            <w:pPr>
              <w:rPr>
                <w:rFonts w:ascii="Times New Roman"/>
                <w:sz w:val="16"/>
              </w:rPr>
            </w:pPr>
          </w:p>
        </w:tc>
        <w:tc>
          <w:tcPr>
            <w:tcW w:w="4251" w:type="dxa"/>
          </w:tcPr>
          <w:p w:rsidR="006A18FD" w:rsidRDefault="006A18FD">
            <w:pPr>
              <w:rPr>
                <w:rFonts w:ascii="Times New Roman"/>
                <w:sz w:val="16"/>
              </w:rPr>
            </w:pPr>
          </w:p>
        </w:tc>
      </w:tr>
      <w:tr w:rsidR="006A18FD">
        <w:trPr>
          <w:trHeight w:val="240"/>
        </w:trPr>
        <w:tc>
          <w:tcPr>
            <w:tcW w:w="3116" w:type="dxa"/>
          </w:tcPr>
          <w:p w:rsidR="006A18FD" w:rsidRDefault="006A18FD">
            <w:pPr>
              <w:rPr>
                <w:rFonts w:ascii="Times New Roman"/>
                <w:sz w:val="16"/>
              </w:rPr>
            </w:pPr>
          </w:p>
        </w:tc>
        <w:tc>
          <w:tcPr>
            <w:tcW w:w="2552" w:type="dxa"/>
          </w:tcPr>
          <w:p w:rsidR="006A18FD" w:rsidRDefault="006A18FD">
            <w:pPr>
              <w:rPr>
                <w:rFonts w:ascii="Times New Roman"/>
                <w:sz w:val="16"/>
              </w:rPr>
            </w:pPr>
          </w:p>
        </w:tc>
        <w:tc>
          <w:tcPr>
            <w:tcW w:w="4251" w:type="dxa"/>
          </w:tcPr>
          <w:p w:rsidR="006A18FD" w:rsidRDefault="006A18FD">
            <w:pPr>
              <w:rPr>
                <w:rFonts w:ascii="Times New Roman"/>
                <w:sz w:val="16"/>
              </w:rPr>
            </w:pP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Senior support staff</w:t>
            </w:r>
          </w:p>
        </w:tc>
        <w:tc>
          <w:tcPr>
            <w:tcW w:w="2552" w:type="dxa"/>
          </w:tcPr>
          <w:p w:rsidR="006A18FD" w:rsidRDefault="002D29FC">
            <w:pPr>
              <w:spacing w:before="1" w:line="223" w:lineRule="exact"/>
              <w:ind w:right="811"/>
              <w:jc w:val="right"/>
              <w:rPr>
                <w:rFonts w:ascii="Calibri"/>
                <w:sz w:val="20"/>
              </w:rPr>
            </w:pPr>
            <w:r>
              <w:rPr>
                <w:rFonts w:ascii="Calibri"/>
                <w:w w:val="95"/>
                <w:sz w:val="20"/>
              </w:rPr>
              <w:t>1,002</w:t>
            </w:r>
          </w:p>
        </w:tc>
        <w:tc>
          <w:tcPr>
            <w:tcW w:w="4251" w:type="dxa"/>
          </w:tcPr>
          <w:p w:rsidR="006A18FD" w:rsidRDefault="002D29FC">
            <w:pPr>
              <w:spacing w:before="1" w:line="223" w:lineRule="exact"/>
              <w:ind w:left="2124"/>
              <w:rPr>
                <w:rFonts w:ascii="Calibri" w:hAnsi="Calibri"/>
                <w:sz w:val="20"/>
              </w:rPr>
            </w:pPr>
            <w:r>
              <w:rPr>
                <w:rFonts w:ascii="Calibri" w:hAnsi="Calibri"/>
                <w:sz w:val="20"/>
              </w:rPr>
              <w:t>£677,432</w:t>
            </w: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Waking nights</w:t>
            </w:r>
          </w:p>
        </w:tc>
        <w:tc>
          <w:tcPr>
            <w:tcW w:w="2552" w:type="dxa"/>
          </w:tcPr>
          <w:p w:rsidR="006A18FD" w:rsidRDefault="002D29FC">
            <w:pPr>
              <w:spacing w:before="1" w:line="223" w:lineRule="exact"/>
              <w:ind w:right="811"/>
              <w:jc w:val="right"/>
              <w:rPr>
                <w:rFonts w:ascii="Calibri" w:hAnsi="Calibri"/>
                <w:sz w:val="20"/>
              </w:rPr>
            </w:pPr>
            <w:r>
              <w:rPr>
                <w:rFonts w:ascii="Calibri" w:hAnsi="Calibri"/>
                <w:sz w:val="20"/>
              </w:rPr>
              <w:t>£34</w:t>
            </w:r>
          </w:p>
        </w:tc>
        <w:tc>
          <w:tcPr>
            <w:tcW w:w="4251" w:type="dxa"/>
          </w:tcPr>
          <w:p w:rsidR="006A18FD" w:rsidRDefault="002D29FC">
            <w:pPr>
              <w:spacing w:before="1" w:line="223" w:lineRule="exact"/>
              <w:ind w:left="2225"/>
              <w:rPr>
                <w:rFonts w:ascii="Calibri" w:hAnsi="Calibri"/>
                <w:sz w:val="20"/>
              </w:rPr>
            </w:pPr>
            <w:r>
              <w:rPr>
                <w:rFonts w:ascii="Calibri" w:hAnsi="Calibri"/>
                <w:sz w:val="20"/>
              </w:rPr>
              <w:t>£22,746</w:t>
            </w: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Sleep in staff</w:t>
            </w:r>
          </w:p>
        </w:tc>
        <w:tc>
          <w:tcPr>
            <w:tcW w:w="2552" w:type="dxa"/>
          </w:tcPr>
          <w:p w:rsidR="006A18FD" w:rsidRDefault="002D29FC">
            <w:pPr>
              <w:spacing w:before="1" w:line="223" w:lineRule="exact"/>
              <w:ind w:right="811"/>
              <w:jc w:val="right"/>
              <w:rPr>
                <w:rFonts w:ascii="Calibri" w:hAnsi="Calibri"/>
                <w:sz w:val="20"/>
              </w:rPr>
            </w:pPr>
            <w:r>
              <w:rPr>
                <w:rFonts w:ascii="Calibri" w:hAnsi="Calibri"/>
                <w:sz w:val="20"/>
              </w:rPr>
              <w:t>£26</w:t>
            </w:r>
          </w:p>
        </w:tc>
        <w:tc>
          <w:tcPr>
            <w:tcW w:w="4251" w:type="dxa"/>
          </w:tcPr>
          <w:p w:rsidR="006A18FD" w:rsidRDefault="002D29FC">
            <w:pPr>
              <w:spacing w:before="1" w:line="223" w:lineRule="exact"/>
              <w:ind w:left="2225"/>
              <w:rPr>
                <w:rFonts w:ascii="Calibri" w:hAnsi="Calibri"/>
                <w:sz w:val="20"/>
              </w:rPr>
            </w:pPr>
            <w:r>
              <w:rPr>
                <w:rFonts w:ascii="Calibri" w:hAnsi="Calibri"/>
                <w:sz w:val="20"/>
              </w:rPr>
              <w:t>£17,593</w:t>
            </w: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Manager</w:t>
            </w:r>
          </w:p>
        </w:tc>
        <w:tc>
          <w:tcPr>
            <w:tcW w:w="2552" w:type="dxa"/>
          </w:tcPr>
          <w:p w:rsidR="006A18FD" w:rsidRDefault="002D29FC">
            <w:pPr>
              <w:spacing w:before="1" w:line="223" w:lineRule="exact"/>
              <w:ind w:right="811"/>
              <w:jc w:val="right"/>
              <w:rPr>
                <w:rFonts w:ascii="Calibri" w:hAnsi="Calibri"/>
                <w:sz w:val="20"/>
              </w:rPr>
            </w:pPr>
            <w:r>
              <w:rPr>
                <w:rFonts w:ascii="Calibri" w:hAnsi="Calibri"/>
                <w:sz w:val="20"/>
              </w:rPr>
              <w:t>£123</w:t>
            </w:r>
          </w:p>
        </w:tc>
        <w:tc>
          <w:tcPr>
            <w:tcW w:w="4251" w:type="dxa"/>
          </w:tcPr>
          <w:p w:rsidR="006A18FD" w:rsidRDefault="002D29FC">
            <w:pPr>
              <w:spacing w:before="1" w:line="223" w:lineRule="exact"/>
              <w:ind w:left="2225"/>
              <w:rPr>
                <w:rFonts w:ascii="Calibri" w:hAnsi="Calibri"/>
                <w:sz w:val="20"/>
              </w:rPr>
            </w:pPr>
            <w:r>
              <w:rPr>
                <w:rFonts w:ascii="Calibri" w:hAnsi="Calibri"/>
                <w:sz w:val="20"/>
              </w:rPr>
              <w:t>£82,957</w:t>
            </w:r>
          </w:p>
        </w:tc>
      </w:tr>
      <w:tr w:rsidR="006A18FD">
        <w:trPr>
          <w:trHeight w:val="240"/>
        </w:trPr>
        <w:tc>
          <w:tcPr>
            <w:tcW w:w="3116" w:type="dxa"/>
          </w:tcPr>
          <w:p w:rsidR="006A18FD" w:rsidRDefault="002D29FC">
            <w:pPr>
              <w:spacing w:before="1" w:line="223" w:lineRule="exact"/>
              <w:ind w:left="105"/>
              <w:rPr>
                <w:rFonts w:ascii="Calibri"/>
                <w:b/>
                <w:sz w:val="20"/>
              </w:rPr>
            </w:pPr>
            <w:r>
              <w:rPr>
                <w:rFonts w:ascii="Calibri"/>
                <w:b/>
                <w:sz w:val="20"/>
              </w:rPr>
              <w:t>Sub-total</w:t>
            </w:r>
          </w:p>
        </w:tc>
        <w:tc>
          <w:tcPr>
            <w:tcW w:w="2552" w:type="dxa"/>
          </w:tcPr>
          <w:p w:rsidR="006A18FD" w:rsidRDefault="002D29FC">
            <w:pPr>
              <w:spacing w:before="1" w:line="223" w:lineRule="exact"/>
              <w:ind w:right="811"/>
              <w:jc w:val="right"/>
              <w:rPr>
                <w:rFonts w:ascii="Calibri" w:hAnsi="Calibri"/>
                <w:b/>
                <w:sz w:val="20"/>
              </w:rPr>
            </w:pPr>
            <w:r>
              <w:rPr>
                <w:rFonts w:ascii="Calibri" w:hAnsi="Calibri"/>
                <w:b/>
                <w:sz w:val="20"/>
              </w:rPr>
              <w:t>£1,185</w:t>
            </w:r>
          </w:p>
        </w:tc>
        <w:tc>
          <w:tcPr>
            <w:tcW w:w="4251" w:type="dxa"/>
          </w:tcPr>
          <w:p w:rsidR="006A18FD" w:rsidRDefault="002D29FC">
            <w:pPr>
              <w:spacing w:before="1" w:line="223" w:lineRule="exact"/>
              <w:ind w:left="2122"/>
              <w:rPr>
                <w:rFonts w:ascii="Calibri" w:hAnsi="Calibri"/>
                <w:b/>
                <w:sz w:val="20"/>
              </w:rPr>
            </w:pPr>
            <w:r>
              <w:rPr>
                <w:rFonts w:ascii="Calibri" w:hAnsi="Calibri"/>
                <w:b/>
                <w:sz w:val="20"/>
              </w:rPr>
              <w:t>£800,728</w:t>
            </w: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Recruitment</w:t>
            </w:r>
          </w:p>
        </w:tc>
        <w:tc>
          <w:tcPr>
            <w:tcW w:w="2552" w:type="dxa"/>
          </w:tcPr>
          <w:p w:rsidR="006A18FD" w:rsidRDefault="002D29FC">
            <w:pPr>
              <w:spacing w:before="1" w:line="223" w:lineRule="exact"/>
              <w:ind w:right="683"/>
              <w:jc w:val="right"/>
              <w:rPr>
                <w:rFonts w:ascii="Calibri" w:hAnsi="Calibri"/>
                <w:sz w:val="20"/>
              </w:rPr>
            </w:pPr>
            <w:r>
              <w:rPr>
                <w:rFonts w:ascii="Calibri" w:hAnsi="Calibri"/>
                <w:w w:val="95"/>
                <w:sz w:val="20"/>
              </w:rPr>
              <w:t>£10.30</w:t>
            </w:r>
          </w:p>
        </w:tc>
        <w:tc>
          <w:tcPr>
            <w:tcW w:w="4251" w:type="dxa"/>
          </w:tcPr>
          <w:p w:rsidR="006A18FD" w:rsidRDefault="002D29FC">
            <w:pPr>
              <w:spacing w:before="1" w:line="223" w:lineRule="exact"/>
              <w:ind w:left="2326"/>
              <w:rPr>
                <w:rFonts w:ascii="Calibri" w:hAnsi="Calibri"/>
                <w:sz w:val="20"/>
              </w:rPr>
            </w:pPr>
            <w:r>
              <w:rPr>
                <w:rFonts w:ascii="Calibri" w:hAnsi="Calibri"/>
                <w:sz w:val="20"/>
              </w:rPr>
              <w:t>£6,944</w:t>
            </w:r>
          </w:p>
        </w:tc>
      </w:tr>
      <w:tr w:rsidR="006A18FD">
        <w:trPr>
          <w:trHeight w:val="240"/>
        </w:trPr>
        <w:tc>
          <w:tcPr>
            <w:tcW w:w="3116" w:type="dxa"/>
          </w:tcPr>
          <w:p w:rsidR="006A18FD" w:rsidRDefault="002D29FC">
            <w:pPr>
              <w:spacing w:line="222" w:lineRule="exact"/>
              <w:ind w:left="105"/>
              <w:rPr>
                <w:rFonts w:ascii="Calibri"/>
                <w:sz w:val="20"/>
              </w:rPr>
            </w:pPr>
            <w:r>
              <w:rPr>
                <w:rFonts w:ascii="Calibri"/>
                <w:sz w:val="20"/>
              </w:rPr>
              <w:t>Training</w:t>
            </w:r>
          </w:p>
        </w:tc>
        <w:tc>
          <w:tcPr>
            <w:tcW w:w="2552" w:type="dxa"/>
          </w:tcPr>
          <w:p w:rsidR="006A18FD" w:rsidRDefault="002D29FC">
            <w:pPr>
              <w:spacing w:line="222" w:lineRule="exact"/>
              <w:ind w:right="811"/>
              <w:jc w:val="right"/>
              <w:rPr>
                <w:rFonts w:ascii="Calibri" w:hAnsi="Calibri"/>
                <w:sz w:val="20"/>
              </w:rPr>
            </w:pPr>
            <w:r>
              <w:rPr>
                <w:rFonts w:ascii="Calibri" w:hAnsi="Calibri"/>
                <w:sz w:val="20"/>
              </w:rPr>
              <w:t>£10</w:t>
            </w:r>
          </w:p>
        </w:tc>
        <w:tc>
          <w:tcPr>
            <w:tcW w:w="4251" w:type="dxa"/>
          </w:tcPr>
          <w:p w:rsidR="006A18FD" w:rsidRDefault="002D29FC">
            <w:pPr>
              <w:spacing w:line="222" w:lineRule="exact"/>
              <w:ind w:left="2326"/>
              <w:rPr>
                <w:rFonts w:ascii="Calibri" w:hAnsi="Calibri"/>
                <w:sz w:val="20"/>
              </w:rPr>
            </w:pPr>
            <w:r>
              <w:rPr>
                <w:rFonts w:ascii="Calibri" w:hAnsi="Calibri"/>
                <w:sz w:val="20"/>
              </w:rPr>
              <w:t>£6,594</w:t>
            </w:r>
          </w:p>
        </w:tc>
      </w:tr>
      <w:tr w:rsidR="006A18FD">
        <w:trPr>
          <w:trHeight w:val="240"/>
        </w:trPr>
        <w:tc>
          <w:tcPr>
            <w:tcW w:w="3116" w:type="dxa"/>
          </w:tcPr>
          <w:p w:rsidR="006A18FD" w:rsidRDefault="002D29FC">
            <w:pPr>
              <w:spacing w:before="1" w:line="223" w:lineRule="exact"/>
              <w:ind w:left="105"/>
              <w:rPr>
                <w:rFonts w:ascii="Calibri"/>
                <w:sz w:val="20"/>
              </w:rPr>
            </w:pPr>
            <w:r>
              <w:rPr>
                <w:rFonts w:ascii="Calibri"/>
                <w:sz w:val="20"/>
              </w:rPr>
              <w:t>Other staff overheads</w:t>
            </w:r>
          </w:p>
        </w:tc>
        <w:tc>
          <w:tcPr>
            <w:tcW w:w="2552" w:type="dxa"/>
          </w:tcPr>
          <w:p w:rsidR="006A18FD" w:rsidRDefault="002D29FC">
            <w:pPr>
              <w:spacing w:before="1" w:line="223" w:lineRule="exact"/>
              <w:ind w:right="683"/>
              <w:jc w:val="right"/>
              <w:rPr>
                <w:rFonts w:ascii="Calibri" w:hAnsi="Calibri"/>
                <w:sz w:val="20"/>
              </w:rPr>
            </w:pPr>
            <w:r>
              <w:rPr>
                <w:rFonts w:ascii="Calibri" w:hAnsi="Calibri"/>
                <w:w w:val="95"/>
                <w:sz w:val="20"/>
              </w:rPr>
              <w:t>£33.40</w:t>
            </w:r>
          </w:p>
        </w:tc>
        <w:tc>
          <w:tcPr>
            <w:tcW w:w="4251" w:type="dxa"/>
          </w:tcPr>
          <w:p w:rsidR="006A18FD" w:rsidRDefault="002D29FC">
            <w:pPr>
              <w:spacing w:before="1" w:line="223" w:lineRule="exact"/>
              <w:ind w:left="2225"/>
              <w:rPr>
                <w:rFonts w:ascii="Calibri" w:hAnsi="Calibri"/>
                <w:sz w:val="20"/>
              </w:rPr>
            </w:pPr>
            <w:r>
              <w:rPr>
                <w:rFonts w:ascii="Calibri" w:hAnsi="Calibri"/>
                <w:sz w:val="20"/>
              </w:rPr>
              <w:t>£23,207</w:t>
            </w:r>
          </w:p>
        </w:tc>
      </w:tr>
      <w:tr w:rsidR="006A18FD">
        <w:trPr>
          <w:trHeight w:val="240"/>
        </w:trPr>
        <w:tc>
          <w:tcPr>
            <w:tcW w:w="3116" w:type="dxa"/>
          </w:tcPr>
          <w:p w:rsidR="006A18FD" w:rsidRDefault="002D29FC">
            <w:pPr>
              <w:spacing w:before="1" w:line="223" w:lineRule="exact"/>
              <w:ind w:left="105"/>
              <w:rPr>
                <w:rFonts w:ascii="Calibri"/>
                <w:b/>
                <w:sz w:val="20"/>
              </w:rPr>
            </w:pPr>
            <w:r>
              <w:rPr>
                <w:rFonts w:ascii="Calibri"/>
                <w:b/>
                <w:sz w:val="20"/>
              </w:rPr>
              <w:t>Total staff support costs</w:t>
            </w:r>
          </w:p>
        </w:tc>
        <w:tc>
          <w:tcPr>
            <w:tcW w:w="2552" w:type="dxa"/>
          </w:tcPr>
          <w:p w:rsidR="006A18FD" w:rsidRDefault="002D29FC">
            <w:pPr>
              <w:spacing w:before="1" w:line="223" w:lineRule="exact"/>
              <w:ind w:right="681"/>
              <w:jc w:val="right"/>
              <w:rPr>
                <w:rFonts w:ascii="Calibri" w:hAnsi="Calibri"/>
                <w:b/>
                <w:sz w:val="20"/>
              </w:rPr>
            </w:pPr>
            <w:r>
              <w:rPr>
                <w:rFonts w:ascii="Calibri" w:hAnsi="Calibri"/>
                <w:b/>
                <w:w w:val="95"/>
                <w:sz w:val="20"/>
              </w:rPr>
              <w:t>£54.40</w:t>
            </w:r>
          </w:p>
        </w:tc>
        <w:tc>
          <w:tcPr>
            <w:tcW w:w="4251" w:type="dxa"/>
          </w:tcPr>
          <w:p w:rsidR="006A18FD" w:rsidRDefault="002D29FC">
            <w:pPr>
              <w:spacing w:before="1" w:line="223" w:lineRule="exact"/>
              <w:ind w:left="2222"/>
              <w:rPr>
                <w:rFonts w:ascii="Calibri" w:hAnsi="Calibri"/>
                <w:b/>
                <w:sz w:val="20"/>
              </w:rPr>
            </w:pPr>
            <w:r>
              <w:rPr>
                <w:rFonts w:ascii="Calibri" w:hAnsi="Calibri"/>
                <w:b/>
                <w:sz w:val="20"/>
              </w:rPr>
              <w:t>£36,745</w:t>
            </w:r>
          </w:p>
        </w:tc>
      </w:tr>
      <w:tr w:rsidR="006A18FD">
        <w:trPr>
          <w:trHeight w:val="480"/>
        </w:trPr>
        <w:tc>
          <w:tcPr>
            <w:tcW w:w="3116" w:type="dxa"/>
          </w:tcPr>
          <w:p w:rsidR="006A18FD" w:rsidRDefault="002D29FC">
            <w:pPr>
              <w:spacing w:before="1" w:line="240" w:lineRule="atLeast"/>
              <w:ind w:left="105" w:right="130"/>
              <w:rPr>
                <w:rFonts w:ascii="Calibri"/>
                <w:b/>
                <w:sz w:val="20"/>
              </w:rPr>
            </w:pPr>
            <w:r>
              <w:rPr>
                <w:rFonts w:ascii="Calibri"/>
                <w:b/>
                <w:sz w:val="20"/>
              </w:rPr>
              <w:t>Total costs (excluding management costs)</w:t>
            </w:r>
          </w:p>
        </w:tc>
        <w:tc>
          <w:tcPr>
            <w:tcW w:w="2552" w:type="dxa"/>
          </w:tcPr>
          <w:p w:rsidR="006A18FD" w:rsidRDefault="002D29FC">
            <w:pPr>
              <w:spacing w:before="123"/>
              <w:ind w:right="811"/>
              <w:jc w:val="right"/>
              <w:rPr>
                <w:rFonts w:ascii="Calibri" w:hAnsi="Calibri"/>
                <w:b/>
                <w:sz w:val="20"/>
              </w:rPr>
            </w:pPr>
            <w:r>
              <w:rPr>
                <w:rFonts w:ascii="Calibri" w:hAnsi="Calibri"/>
                <w:b/>
                <w:sz w:val="20"/>
              </w:rPr>
              <w:t>£1,241</w:t>
            </w:r>
          </w:p>
        </w:tc>
        <w:tc>
          <w:tcPr>
            <w:tcW w:w="4251" w:type="dxa"/>
          </w:tcPr>
          <w:p w:rsidR="006A18FD" w:rsidRDefault="002D29FC">
            <w:pPr>
              <w:spacing w:before="123"/>
              <w:ind w:left="1967"/>
              <w:rPr>
                <w:rFonts w:ascii="Calibri" w:hAnsi="Calibri"/>
                <w:b/>
                <w:sz w:val="20"/>
              </w:rPr>
            </w:pPr>
            <w:r>
              <w:rPr>
                <w:rFonts w:ascii="Calibri" w:hAnsi="Calibri"/>
                <w:b/>
                <w:sz w:val="20"/>
              </w:rPr>
              <w:t>£1,514,905</w:t>
            </w:r>
          </w:p>
        </w:tc>
      </w:tr>
      <w:tr w:rsidR="006A18FD">
        <w:trPr>
          <w:trHeight w:val="479"/>
        </w:trPr>
        <w:tc>
          <w:tcPr>
            <w:tcW w:w="3116" w:type="dxa"/>
          </w:tcPr>
          <w:p w:rsidR="006A18FD" w:rsidRDefault="002D29FC">
            <w:pPr>
              <w:ind w:left="105"/>
              <w:rPr>
                <w:rFonts w:ascii="Calibri" w:hAnsi="Calibri"/>
                <w:b/>
                <w:sz w:val="20"/>
              </w:rPr>
            </w:pPr>
            <w:r>
              <w:rPr>
                <w:rFonts w:ascii="Calibri" w:hAnsi="Calibri"/>
                <w:b/>
                <w:sz w:val="20"/>
              </w:rPr>
              <w:t>Management costs – area and</w:t>
            </w:r>
          </w:p>
          <w:p w:rsidR="006A18FD" w:rsidRDefault="002D29FC">
            <w:pPr>
              <w:spacing w:line="223" w:lineRule="exact"/>
              <w:ind w:left="105"/>
              <w:rPr>
                <w:rFonts w:ascii="Calibri"/>
                <w:b/>
                <w:sz w:val="20"/>
              </w:rPr>
            </w:pPr>
            <w:r>
              <w:rPr>
                <w:rFonts w:ascii="Calibri"/>
                <w:b/>
                <w:sz w:val="20"/>
              </w:rPr>
              <w:t>central</w:t>
            </w:r>
          </w:p>
        </w:tc>
        <w:tc>
          <w:tcPr>
            <w:tcW w:w="2552" w:type="dxa"/>
          </w:tcPr>
          <w:p w:rsidR="006A18FD" w:rsidRDefault="002D29FC">
            <w:pPr>
              <w:spacing w:before="122"/>
              <w:ind w:right="811"/>
              <w:jc w:val="right"/>
              <w:rPr>
                <w:rFonts w:ascii="Calibri" w:hAnsi="Calibri"/>
                <w:b/>
                <w:sz w:val="20"/>
              </w:rPr>
            </w:pPr>
            <w:r>
              <w:rPr>
                <w:rFonts w:ascii="Calibri" w:hAnsi="Calibri"/>
                <w:b/>
                <w:sz w:val="20"/>
              </w:rPr>
              <w:t>£311</w:t>
            </w:r>
          </w:p>
        </w:tc>
        <w:tc>
          <w:tcPr>
            <w:tcW w:w="4251" w:type="dxa"/>
          </w:tcPr>
          <w:p w:rsidR="006A18FD" w:rsidRDefault="002D29FC">
            <w:pPr>
              <w:spacing w:before="122"/>
              <w:ind w:left="2122"/>
              <w:rPr>
                <w:rFonts w:ascii="Calibri" w:hAnsi="Calibri"/>
                <w:b/>
                <w:sz w:val="20"/>
              </w:rPr>
            </w:pPr>
            <w:r>
              <w:rPr>
                <w:rFonts w:ascii="Calibri" w:hAnsi="Calibri"/>
                <w:b/>
                <w:sz w:val="20"/>
              </w:rPr>
              <w:t>£210,224</w:t>
            </w:r>
          </w:p>
        </w:tc>
      </w:tr>
    </w:tbl>
    <w:p w:rsidR="006A18FD" w:rsidRDefault="006A18FD">
      <w:pPr>
        <w:rPr>
          <w:rFonts w:ascii="Calibri" w:hAnsi="Calibri"/>
          <w:sz w:val="20"/>
        </w:rPr>
        <w:sectPr w:rsidR="006A18FD">
          <w:pgSz w:w="11910" w:h="16840"/>
          <w:pgMar w:top="980" w:right="580" w:bottom="280" w:left="980" w:header="763"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1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19" name="Line 17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06E4E3" id="Group 17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SoXyGfQIAAIEFAAAO&#10;AAAAAAAAAAAAAAAAAC4CAABkcnMvZTJvRG9jLnhtbFBLAQItABQABgAIAAAAIQAtd+Rc2gAAAAQB&#10;AAAPAAAAAAAAAAAAAAAAANcEAABkcnMvZG93bnJldi54bWxQSwUGAAAAAAQABADzAAAA3gUAAAAA&#10;">
                <v:line id="Line 17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w10:anchorlock/>
              </v:group>
            </w:pict>
          </mc:Fallback>
        </mc:AlternateContent>
      </w:r>
    </w:p>
    <w:p w:rsidR="006A18FD" w:rsidRDefault="006267D6" w:rsidP="006267D6">
      <w:pPr>
        <w:pStyle w:val="Heading3"/>
      </w:pPr>
      <w:r>
        <w:t xml:space="preserve">4.4.2 </w:t>
      </w:r>
      <w:r w:rsidR="002D29FC">
        <w:t>Residential care</w:t>
      </w:r>
      <w:r w:rsidR="002D29FC">
        <w:rPr>
          <w:spacing w:val="-9"/>
        </w:rPr>
        <w:t xml:space="preserve"> </w:t>
      </w:r>
      <w:r w:rsidR="002D29FC">
        <w:t>homes</w:t>
      </w:r>
    </w:p>
    <w:p w:rsidR="006A18FD" w:rsidRDefault="002D29FC">
      <w:pPr>
        <w:spacing w:before="174" w:line="276" w:lineRule="auto"/>
        <w:ind w:left="140" w:right="292"/>
        <w:rPr>
          <w:rFonts w:ascii="Calibri"/>
          <w:sz w:val="20"/>
        </w:rPr>
      </w:pPr>
      <w:r>
        <w:rPr>
          <w:rFonts w:ascii="Calibri"/>
          <w:sz w:val="20"/>
        </w:rPr>
        <w:t xml:space="preserve">This schema was prepared in 2015, in collaboration with three members of the Autism Alliance </w:t>
      </w:r>
      <w:hyperlink r:id="rId169">
        <w:r>
          <w:rPr>
            <w:rFonts w:ascii="Calibri"/>
            <w:sz w:val="20"/>
            <w:u w:val="single"/>
          </w:rPr>
          <w:t>http://autism-</w:t>
        </w:r>
      </w:hyperlink>
      <w:r>
        <w:rPr>
          <w:rFonts w:ascii="Calibri"/>
          <w:sz w:val="20"/>
        </w:rPr>
        <w:t xml:space="preserve"> </w:t>
      </w:r>
      <w:hyperlink r:id="rId170">
        <w:r>
          <w:rPr>
            <w:rFonts w:ascii="Calibri"/>
            <w:sz w:val="20"/>
            <w:u w:val="single"/>
          </w:rPr>
          <w:t>alliance.org.uk/about-us/the-alliance</w:t>
        </w:r>
        <w:r>
          <w:rPr>
            <w:rFonts w:ascii="Calibri"/>
            <w:sz w:val="20"/>
          </w:rPr>
          <w:t xml:space="preserve">, </w:t>
        </w:r>
      </w:hyperlink>
      <w:r>
        <w:rPr>
          <w:rFonts w:ascii="Calibri"/>
          <w:sz w:val="20"/>
        </w:rPr>
        <w:t>a major UK network of specialist autism charities supporting thousands of people with autism and complex needs. The annual cost per client year has been calculated by taking an average of the per client figures from the three participating agencies. Costs have been uprated using the PSS inflators and the Retail Price Index.</w:t>
      </w:r>
    </w:p>
    <w:p w:rsidR="006A18FD" w:rsidRDefault="002D29FC">
      <w:pPr>
        <w:spacing w:before="119" w:line="276" w:lineRule="auto"/>
        <w:ind w:left="140" w:right="206"/>
        <w:rPr>
          <w:rFonts w:ascii="Calibri"/>
          <w:sz w:val="20"/>
        </w:rPr>
      </w:pPr>
      <w:r>
        <w:rPr>
          <w:rFonts w:ascii="Calibri"/>
          <w:sz w:val="20"/>
        </w:rPr>
        <w:t>When interpreting the costs, it should be taken into account that these clients have very specific needs, resulting in the necessity for a high level of staff support (usually one-to-one) and more specialist staff training and therefore higher salaries. There is also a need for specialist professionals, such as behavioural specialists and psychologists, and speech and language therapists who provide support in response to urgent need and fulfil a function that a LA specialist would be unable to meet. Given that the clients often display challenging behaviour, there is more staff sickness together with additional costs associated with furniture and equipment and the need to recruit specialists. The people these organisations support have problems sharing space, and therefore a cost associated with environment and, specifically, space has to be factored in. The people in question will have specific demands on transport and additional costs associated with specialist diets, clothing and bedding. There must also be consideration for the type of activities and specific interests that the person will regularly demand, and the associated costs.</w:t>
      </w:r>
    </w:p>
    <w:p w:rsidR="006A18FD" w:rsidRDefault="006A18FD">
      <w:pPr>
        <w:spacing w:before="9"/>
        <w:rPr>
          <w:rFonts w:ascii="Calibri"/>
          <w:sz w:val="27"/>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875"/>
        <w:gridCol w:w="5937"/>
      </w:tblGrid>
      <w:tr w:rsidR="006A18FD" w:rsidTr="005B5AB5">
        <w:trPr>
          <w:trHeight w:val="480"/>
          <w:tblHeader/>
        </w:trPr>
        <w:tc>
          <w:tcPr>
            <w:tcW w:w="2232" w:type="dxa"/>
          </w:tcPr>
          <w:p w:rsidR="006A18FD" w:rsidRDefault="002D29FC">
            <w:pPr>
              <w:spacing w:before="1" w:line="240" w:lineRule="atLeast"/>
              <w:ind w:left="52" w:right="971"/>
              <w:rPr>
                <w:rFonts w:ascii="Calibri"/>
                <w:b/>
                <w:sz w:val="20"/>
              </w:rPr>
            </w:pPr>
            <w:r>
              <w:rPr>
                <w:rFonts w:ascii="Calibri"/>
                <w:b/>
                <w:sz w:val="20"/>
              </w:rPr>
              <w:t>Costs and unit estimation</w:t>
            </w:r>
          </w:p>
        </w:tc>
        <w:tc>
          <w:tcPr>
            <w:tcW w:w="1875" w:type="dxa"/>
          </w:tcPr>
          <w:p w:rsidR="006A18FD" w:rsidRDefault="002D29FC">
            <w:pPr>
              <w:spacing w:before="1"/>
              <w:ind w:left="102"/>
              <w:rPr>
                <w:rFonts w:ascii="Calibri"/>
                <w:b/>
                <w:sz w:val="20"/>
              </w:rPr>
            </w:pPr>
            <w:r>
              <w:rPr>
                <w:rFonts w:ascii="Calibri"/>
                <w:b/>
                <w:sz w:val="20"/>
              </w:rPr>
              <w:t>2018/2019 value</w:t>
            </w:r>
          </w:p>
        </w:tc>
        <w:tc>
          <w:tcPr>
            <w:tcW w:w="5936" w:type="dxa"/>
          </w:tcPr>
          <w:p w:rsidR="006A18FD" w:rsidRDefault="002D29FC">
            <w:pPr>
              <w:spacing w:before="1"/>
              <w:ind w:left="102"/>
              <w:rPr>
                <w:rFonts w:ascii="Calibri"/>
                <w:b/>
                <w:sz w:val="20"/>
              </w:rPr>
            </w:pPr>
            <w:r>
              <w:rPr>
                <w:rFonts w:ascii="Calibri"/>
                <w:b/>
                <w:sz w:val="20"/>
              </w:rPr>
              <w:t>Notes</w:t>
            </w:r>
          </w:p>
        </w:tc>
      </w:tr>
      <w:tr w:rsidR="006A18FD">
        <w:trPr>
          <w:trHeight w:val="959"/>
        </w:trPr>
        <w:tc>
          <w:tcPr>
            <w:tcW w:w="2232" w:type="dxa"/>
          </w:tcPr>
          <w:p w:rsidR="006A18FD" w:rsidRDefault="002D29FC">
            <w:pPr>
              <w:ind w:left="52"/>
              <w:rPr>
                <w:rFonts w:ascii="Calibri"/>
                <w:sz w:val="20"/>
              </w:rPr>
            </w:pPr>
            <w:r>
              <w:rPr>
                <w:rFonts w:ascii="Calibri"/>
                <w:sz w:val="20"/>
              </w:rPr>
              <w:t>A. Wages/salary</w:t>
            </w:r>
          </w:p>
        </w:tc>
        <w:tc>
          <w:tcPr>
            <w:tcW w:w="1875" w:type="dxa"/>
          </w:tcPr>
          <w:p w:rsidR="006A18FD" w:rsidRDefault="002D29FC">
            <w:pPr>
              <w:ind w:left="102" w:right="272"/>
              <w:rPr>
                <w:rFonts w:ascii="Calibri" w:hAnsi="Calibri"/>
                <w:sz w:val="20"/>
              </w:rPr>
            </w:pPr>
            <w:r>
              <w:rPr>
                <w:rFonts w:ascii="Calibri" w:hAnsi="Calibri"/>
                <w:sz w:val="20"/>
              </w:rPr>
              <w:t>£49,529 per client year</w:t>
            </w:r>
          </w:p>
        </w:tc>
        <w:tc>
          <w:tcPr>
            <w:tcW w:w="5936" w:type="dxa"/>
          </w:tcPr>
          <w:p w:rsidR="006A18FD" w:rsidRDefault="002D29FC">
            <w:pPr>
              <w:ind w:left="102" w:right="221"/>
              <w:rPr>
                <w:rFonts w:ascii="Calibri"/>
                <w:sz w:val="20"/>
              </w:rPr>
            </w:pPr>
            <w:r>
              <w:rPr>
                <w:rFonts w:ascii="Calibri"/>
                <w:sz w:val="20"/>
              </w:rPr>
              <w:t>Based on actual salaries of care staff, including support workers, service co-ordinators, team leaders, waking-night support and sleep- in workers. Therapists are included in this cost (includes positive</w:t>
            </w:r>
          </w:p>
          <w:p w:rsidR="006A18FD" w:rsidRDefault="002D29FC">
            <w:pPr>
              <w:spacing w:line="223" w:lineRule="exact"/>
              <w:ind w:left="102"/>
              <w:rPr>
                <w:rFonts w:ascii="Calibri"/>
                <w:sz w:val="20"/>
              </w:rPr>
            </w:pPr>
            <w:r>
              <w:rPr>
                <w:rFonts w:ascii="Calibri"/>
                <w:sz w:val="20"/>
              </w:rPr>
              <w:t>behaviour and communication therapists).</w:t>
            </w:r>
          </w:p>
        </w:tc>
      </w:tr>
      <w:tr w:rsidR="006A18FD">
        <w:trPr>
          <w:trHeight w:val="480"/>
        </w:trPr>
        <w:tc>
          <w:tcPr>
            <w:tcW w:w="2232" w:type="dxa"/>
          </w:tcPr>
          <w:p w:rsidR="006A18FD" w:rsidRDefault="002D29FC">
            <w:pPr>
              <w:spacing w:before="1"/>
              <w:ind w:left="52"/>
              <w:rPr>
                <w:rFonts w:ascii="Calibri"/>
                <w:sz w:val="20"/>
              </w:rPr>
            </w:pPr>
            <w:r>
              <w:rPr>
                <w:rFonts w:ascii="Calibri"/>
                <w:sz w:val="20"/>
              </w:rPr>
              <w:t>B. Salary oncosts</w:t>
            </w:r>
          </w:p>
        </w:tc>
        <w:tc>
          <w:tcPr>
            <w:tcW w:w="1875" w:type="dxa"/>
          </w:tcPr>
          <w:p w:rsidR="006A18FD" w:rsidRDefault="002D29FC">
            <w:pPr>
              <w:spacing w:before="1" w:line="243" w:lineRule="exact"/>
              <w:ind w:left="102"/>
              <w:rPr>
                <w:rFonts w:ascii="Calibri" w:hAnsi="Calibri"/>
                <w:sz w:val="20"/>
              </w:rPr>
            </w:pPr>
            <w:r>
              <w:rPr>
                <w:rFonts w:ascii="Calibri" w:hAnsi="Calibri"/>
                <w:sz w:val="20"/>
              </w:rPr>
              <w:t>£7,056 per client</w:t>
            </w:r>
          </w:p>
          <w:p w:rsidR="006A18FD" w:rsidRDefault="002D29FC">
            <w:pPr>
              <w:spacing w:line="222" w:lineRule="exact"/>
              <w:ind w:left="102"/>
              <w:rPr>
                <w:rFonts w:ascii="Calibri"/>
                <w:sz w:val="20"/>
              </w:rPr>
            </w:pPr>
            <w:r>
              <w:rPr>
                <w:rFonts w:ascii="Calibri"/>
                <w:sz w:val="20"/>
              </w:rPr>
              <w:t>year</w:t>
            </w:r>
          </w:p>
        </w:tc>
        <w:tc>
          <w:tcPr>
            <w:tcW w:w="5936" w:type="dxa"/>
          </w:tcPr>
          <w:p w:rsidR="006A18FD" w:rsidRDefault="002D29FC">
            <w:pPr>
              <w:spacing w:before="1" w:line="243" w:lineRule="exact"/>
              <w:ind w:left="102"/>
              <w:rPr>
                <w:rFonts w:ascii="Calibri" w:hAnsi="Calibri"/>
                <w:sz w:val="20"/>
              </w:rPr>
            </w:pPr>
            <w:r>
              <w:rPr>
                <w:rFonts w:ascii="Calibri" w:hAnsi="Calibri"/>
                <w:sz w:val="20"/>
              </w:rPr>
              <w:t>Employer’s national insurance contribution plus employer’s</w:t>
            </w:r>
          </w:p>
          <w:p w:rsidR="006A18FD" w:rsidRDefault="002D29FC">
            <w:pPr>
              <w:spacing w:line="222" w:lineRule="exact"/>
              <w:ind w:left="102"/>
              <w:rPr>
                <w:rFonts w:ascii="Calibri"/>
                <w:sz w:val="20"/>
              </w:rPr>
            </w:pPr>
            <w:r>
              <w:rPr>
                <w:rFonts w:ascii="Calibri"/>
                <w:sz w:val="20"/>
              </w:rPr>
              <w:t>contribution to superannuation.</w:t>
            </w:r>
          </w:p>
        </w:tc>
      </w:tr>
      <w:tr w:rsidR="006A18FD">
        <w:trPr>
          <w:trHeight w:val="260"/>
        </w:trPr>
        <w:tc>
          <w:tcPr>
            <w:tcW w:w="2232" w:type="dxa"/>
            <w:tcBorders>
              <w:bottom w:val="nil"/>
            </w:tcBorders>
          </w:tcPr>
          <w:p w:rsidR="006A18FD" w:rsidRDefault="002D29FC">
            <w:pPr>
              <w:spacing w:before="1" w:line="243" w:lineRule="exact"/>
              <w:ind w:left="52"/>
              <w:rPr>
                <w:rFonts w:ascii="Calibri"/>
                <w:sz w:val="20"/>
              </w:rPr>
            </w:pPr>
            <w:r>
              <w:rPr>
                <w:rFonts w:ascii="Calibri"/>
                <w:sz w:val="20"/>
              </w:rPr>
              <w:t>C. Direct overheads</w:t>
            </w:r>
          </w:p>
        </w:tc>
        <w:tc>
          <w:tcPr>
            <w:tcW w:w="1875" w:type="dxa"/>
            <w:tcBorders>
              <w:bottom w:val="nil"/>
            </w:tcBorders>
          </w:tcPr>
          <w:p w:rsidR="006A18FD" w:rsidRDefault="006A18FD">
            <w:pPr>
              <w:rPr>
                <w:rFonts w:ascii="Times New Roman"/>
                <w:sz w:val="18"/>
              </w:rPr>
            </w:pPr>
          </w:p>
        </w:tc>
        <w:tc>
          <w:tcPr>
            <w:tcW w:w="5936" w:type="dxa"/>
            <w:tcBorders>
              <w:bottom w:val="nil"/>
            </w:tcBorders>
          </w:tcPr>
          <w:p w:rsidR="006A18FD" w:rsidRDefault="006A18FD">
            <w:pPr>
              <w:rPr>
                <w:rFonts w:ascii="Times New Roman"/>
                <w:sz w:val="18"/>
              </w:rPr>
            </w:pPr>
          </w:p>
        </w:tc>
      </w:tr>
      <w:tr w:rsidR="006A18FD">
        <w:trPr>
          <w:trHeight w:val="240"/>
        </w:trPr>
        <w:tc>
          <w:tcPr>
            <w:tcW w:w="2232" w:type="dxa"/>
            <w:tcBorders>
              <w:top w:val="nil"/>
              <w:bottom w:val="nil"/>
            </w:tcBorders>
          </w:tcPr>
          <w:p w:rsidR="006A18FD" w:rsidRDefault="002D29FC">
            <w:pPr>
              <w:spacing w:line="225" w:lineRule="exact"/>
              <w:ind w:left="52"/>
              <w:rPr>
                <w:rFonts w:ascii="Calibri"/>
                <w:sz w:val="20"/>
              </w:rPr>
            </w:pPr>
            <w:r>
              <w:rPr>
                <w:rFonts w:ascii="Calibri"/>
                <w:sz w:val="20"/>
              </w:rPr>
              <w:t>Management and</w:t>
            </w:r>
          </w:p>
        </w:tc>
        <w:tc>
          <w:tcPr>
            <w:tcW w:w="1875" w:type="dxa"/>
            <w:tcBorders>
              <w:top w:val="nil"/>
              <w:bottom w:val="nil"/>
            </w:tcBorders>
          </w:tcPr>
          <w:p w:rsidR="006A18FD" w:rsidRDefault="002D29FC">
            <w:pPr>
              <w:spacing w:line="225" w:lineRule="exact"/>
              <w:ind w:left="102"/>
              <w:rPr>
                <w:rFonts w:ascii="Calibri" w:hAnsi="Calibri"/>
                <w:sz w:val="20"/>
              </w:rPr>
            </w:pPr>
            <w:r>
              <w:rPr>
                <w:rFonts w:ascii="Calibri" w:hAnsi="Calibri"/>
                <w:sz w:val="20"/>
              </w:rPr>
              <w:t>£10,620 per client</w:t>
            </w:r>
          </w:p>
        </w:tc>
        <w:tc>
          <w:tcPr>
            <w:tcW w:w="5936" w:type="dxa"/>
            <w:tcBorders>
              <w:top w:val="nil"/>
              <w:bottom w:val="nil"/>
            </w:tcBorders>
          </w:tcPr>
          <w:p w:rsidR="006A18FD" w:rsidRDefault="002D29FC">
            <w:pPr>
              <w:spacing w:line="225" w:lineRule="exact"/>
              <w:ind w:left="102"/>
              <w:rPr>
                <w:rFonts w:ascii="Calibri"/>
                <w:sz w:val="20"/>
              </w:rPr>
            </w:pPr>
            <w:r>
              <w:rPr>
                <w:rFonts w:ascii="Calibri"/>
                <w:sz w:val="20"/>
              </w:rPr>
              <w:t>Support staff and management including administrators, cooks and</w:t>
            </w:r>
          </w:p>
        </w:tc>
      </w:tr>
      <w:tr w:rsidR="006A18FD">
        <w:trPr>
          <w:trHeight w:val="360"/>
        </w:trPr>
        <w:tc>
          <w:tcPr>
            <w:tcW w:w="2232" w:type="dxa"/>
            <w:tcBorders>
              <w:top w:val="nil"/>
              <w:bottom w:val="nil"/>
            </w:tcBorders>
          </w:tcPr>
          <w:p w:rsidR="006A18FD" w:rsidRDefault="002D29FC">
            <w:pPr>
              <w:spacing w:line="226" w:lineRule="exact"/>
              <w:ind w:left="52"/>
              <w:rPr>
                <w:rFonts w:ascii="Calibri"/>
                <w:sz w:val="20"/>
              </w:rPr>
            </w:pPr>
            <w:r>
              <w:rPr>
                <w:rFonts w:ascii="Calibri"/>
                <w:sz w:val="20"/>
              </w:rPr>
              <w:t>supervision</w:t>
            </w:r>
          </w:p>
        </w:tc>
        <w:tc>
          <w:tcPr>
            <w:tcW w:w="1875" w:type="dxa"/>
            <w:tcBorders>
              <w:top w:val="nil"/>
              <w:bottom w:val="nil"/>
            </w:tcBorders>
          </w:tcPr>
          <w:p w:rsidR="006A18FD" w:rsidRDefault="002D29FC">
            <w:pPr>
              <w:spacing w:line="226" w:lineRule="exact"/>
              <w:ind w:left="102"/>
              <w:rPr>
                <w:rFonts w:ascii="Calibri"/>
                <w:sz w:val="20"/>
              </w:rPr>
            </w:pPr>
            <w:r>
              <w:rPr>
                <w:rFonts w:ascii="Calibri"/>
                <w:sz w:val="20"/>
              </w:rPr>
              <w:t>year</w:t>
            </w:r>
          </w:p>
        </w:tc>
        <w:tc>
          <w:tcPr>
            <w:tcW w:w="5936" w:type="dxa"/>
            <w:tcBorders>
              <w:top w:val="nil"/>
              <w:bottom w:val="nil"/>
            </w:tcBorders>
          </w:tcPr>
          <w:p w:rsidR="006A18FD" w:rsidRDefault="002D29FC">
            <w:pPr>
              <w:spacing w:line="226" w:lineRule="exact"/>
              <w:ind w:left="102"/>
              <w:rPr>
                <w:rFonts w:ascii="Calibri"/>
                <w:sz w:val="20"/>
              </w:rPr>
            </w:pPr>
            <w:r>
              <w:rPr>
                <w:rFonts w:ascii="Calibri"/>
                <w:sz w:val="20"/>
              </w:rPr>
              <w:t>managers. Staff costs were 19 per cent of direct care salary costs.</w:t>
            </w:r>
          </w:p>
        </w:tc>
      </w:tr>
      <w:tr w:rsidR="006A18FD">
        <w:trPr>
          <w:trHeight w:val="360"/>
        </w:trPr>
        <w:tc>
          <w:tcPr>
            <w:tcW w:w="2232" w:type="dxa"/>
            <w:tcBorders>
              <w:top w:val="nil"/>
              <w:bottom w:val="nil"/>
            </w:tcBorders>
          </w:tcPr>
          <w:p w:rsidR="006A18FD" w:rsidRDefault="002D29FC">
            <w:pPr>
              <w:spacing w:before="103" w:line="243" w:lineRule="exact"/>
              <w:ind w:left="52"/>
              <w:rPr>
                <w:rFonts w:ascii="Calibri"/>
                <w:sz w:val="20"/>
              </w:rPr>
            </w:pPr>
            <w:r>
              <w:rPr>
                <w:rFonts w:ascii="Calibri"/>
                <w:sz w:val="20"/>
              </w:rPr>
              <w:t>Non-staff</w:t>
            </w:r>
          </w:p>
        </w:tc>
        <w:tc>
          <w:tcPr>
            <w:tcW w:w="1875" w:type="dxa"/>
            <w:tcBorders>
              <w:top w:val="nil"/>
              <w:bottom w:val="nil"/>
            </w:tcBorders>
          </w:tcPr>
          <w:p w:rsidR="006A18FD" w:rsidRDefault="002D29FC">
            <w:pPr>
              <w:spacing w:before="103" w:line="243" w:lineRule="exact"/>
              <w:ind w:left="102"/>
              <w:rPr>
                <w:rFonts w:ascii="Calibri" w:hAnsi="Calibri"/>
                <w:sz w:val="20"/>
              </w:rPr>
            </w:pPr>
            <w:r>
              <w:rPr>
                <w:rFonts w:ascii="Calibri" w:hAnsi="Calibri"/>
                <w:sz w:val="20"/>
              </w:rPr>
              <w:t>£11,930 per client</w:t>
            </w:r>
          </w:p>
        </w:tc>
        <w:tc>
          <w:tcPr>
            <w:tcW w:w="5936" w:type="dxa"/>
            <w:tcBorders>
              <w:top w:val="nil"/>
              <w:bottom w:val="nil"/>
            </w:tcBorders>
          </w:tcPr>
          <w:p w:rsidR="006A18FD" w:rsidRDefault="002D29FC">
            <w:pPr>
              <w:spacing w:before="103" w:line="243" w:lineRule="exact"/>
              <w:ind w:left="102"/>
              <w:rPr>
                <w:rFonts w:ascii="Calibri"/>
                <w:sz w:val="20"/>
              </w:rPr>
            </w:pPr>
            <w:r>
              <w:rPr>
                <w:rFonts w:ascii="Calibri"/>
                <w:sz w:val="20"/>
              </w:rPr>
              <w:t>Non-staff overheads form in total 21 per cent of direct care salary</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875" w:type="dxa"/>
            <w:tcBorders>
              <w:top w:val="nil"/>
              <w:bottom w:val="nil"/>
            </w:tcBorders>
          </w:tcPr>
          <w:p w:rsidR="006A18FD" w:rsidRDefault="002D29FC">
            <w:pPr>
              <w:spacing w:line="225" w:lineRule="exact"/>
              <w:ind w:left="102"/>
              <w:rPr>
                <w:rFonts w:ascii="Calibri"/>
                <w:sz w:val="20"/>
              </w:rPr>
            </w:pPr>
            <w:r>
              <w:rPr>
                <w:rFonts w:ascii="Calibri"/>
                <w:sz w:val="20"/>
              </w:rPr>
              <w:t>year</w:t>
            </w:r>
          </w:p>
        </w:tc>
        <w:tc>
          <w:tcPr>
            <w:tcW w:w="5936" w:type="dxa"/>
            <w:tcBorders>
              <w:top w:val="nil"/>
              <w:bottom w:val="nil"/>
            </w:tcBorders>
          </w:tcPr>
          <w:p w:rsidR="006A18FD" w:rsidRDefault="002D29FC">
            <w:pPr>
              <w:spacing w:line="225" w:lineRule="exact"/>
              <w:ind w:left="102"/>
              <w:rPr>
                <w:rFonts w:ascii="Calibri"/>
                <w:sz w:val="20"/>
              </w:rPr>
            </w:pPr>
            <w:r>
              <w:rPr>
                <w:rFonts w:ascii="Calibri"/>
                <w:sz w:val="20"/>
              </w:rPr>
              <w:t>costs. They include training (2%), supplies and services (5%),</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875" w:type="dxa"/>
            <w:tcBorders>
              <w:top w:val="nil"/>
              <w:bottom w:val="nil"/>
            </w:tcBorders>
          </w:tcPr>
          <w:p w:rsidR="006A18FD" w:rsidRDefault="006A18FD">
            <w:pPr>
              <w:rPr>
                <w:rFonts w:ascii="Times New Roman"/>
                <w:sz w:val="16"/>
              </w:rPr>
            </w:pPr>
          </w:p>
        </w:tc>
        <w:tc>
          <w:tcPr>
            <w:tcW w:w="5936" w:type="dxa"/>
            <w:tcBorders>
              <w:top w:val="nil"/>
              <w:bottom w:val="nil"/>
            </w:tcBorders>
          </w:tcPr>
          <w:p w:rsidR="006A18FD" w:rsidRDefault="002D29FC">
            <w:pPr>
              <w:spacing w:line="224" w:lineRule="exact"/>
              <w:ind w:left="102"/>
              <w:rPr>
                <w:rFonts w:ascii="Calibri"/>
                <w:sz w:val="20"/>
              </w:rPr>
            </w:pPr>
            <w:r>
              <w:rPr>
                <w:rFonts w:ascii="Calibri"/>
                <w:sz w:val="20"/>
              </w:rPr>
              <w:t>maintenance (4%), utilities (3%), staff travel (0.1%), rent (5%) and</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875" w:type="dxa"/>
            <w:tcBorders>
              <w:top w:val="nil"/>
              <w:bottom w:val="nil"/>
            </w:tcBorders>
          </w:tcPr>
          <w:p w:rsidR="006A18FD" w:rsidRDefault="006A18FD">
            <w:pPr>
              <w:rPr>
                <w:rFonts w:ascii="Times New Roman"/>
                <w:sz w:val="16"/>
              </w:rPr>
            </w:pPr>
          </w:p>
        </w:tc>
        <w:tc>
          <w:tcPr>
            <w:tcW w:w="5936" w:type="dxa"/>
            <w:tcBorders>
              <w:top w:val="nil"/>
              <w:bottom w:val="nil"/>
            </w:tcBorders>
          </w:tcPr>
          <w:p w:rsidR="006A18FD" w:rsidRDefault="002D29FC">
            <w:pPr>
              <w:spacing w:line="224" w:lineRule="exact"/>
              <w:ind w:left="102"/>
              <w:rPr>
                <w:rFonts w:ascii="Calibri"/>
                <w:sz w:val="20"/>
              </w:rPr>
            </w:pPr>
            <w:r>
              <w:rPr>
                <w:rFonts w:ascii="Calibri"/>
                <w:sz w:val="20"/>
              </w:rPr>
              <w:t>other (2%).</w:t>
            </w:r>
          </w:p>
        </w:tc>
      </w:tr>
      <w:tr w:rsidR="006A18FD">
        <w:trPr>
          <w:trHeight w:val="240"/>
        </w:trPr>
        <w:tc>
          <w:tcPr>
            <w:tcW w:w="2232" w:type="dxa"/>
            <w:tcBorders>
              <w:top w:val="nil"/>
              <w:bottom w:val="nil"/>
            </w:tcBorders>
          </w:tcPr>
          <w:p w:rsidR="006A18FD" w:rsidRDefault="002D29FC">
            <w:pPr>
              <w:spacing w:line="225" w:lineRule="exact"/>
              <w:ind w:left="52"/>
              <w:rPr>
                <w:rFonts w:ascii="Calibri"/>
                <w:sz w:val="20"/>
              </w:rPr>
            </w:pPr>
            <w:r>
              <w:rPr>
                <w:rFonts w:ascii="Calibri"/>
                <w:sz w:val="20"/>
              </w:rPr>
              <w:t>D. Indirect overheads</w:t>
            </w:r>
          </w:p>
        </w:tc>
        <w:tc>
          <w:tcPr>
            <w:tcW w:w="1875" w:type="dxa"/>
            <w:tcBorders>
              <w:top w:val="nil"/>
              <w:bottom w:val="nil"/>
            </w:tcBorders>
          </w:tcPr>
          <w:p w:rsidR="006A18FD" w:rsidRDefault="002D29FC">
            <w:pPr>
              <w:spacing w:line="225" w:lineRule="exact"/>
              <w:ind w:left="102"/>
              <w:rPr>
                <w:rFonts w:ascii="Calibri" w:hAnsi="Calibri"/>
                <w:sz w:val="20"/>
              </w:rPr>
            </w:pPr>
            <w:r>
              <w:rPr>
                <w:rFonts w:ascii="Calibri" w:hAnsi="Calibri"/>
                <w:sz w:val="20"/>
              </w:rPr>
              <w:t>£14,126 per client</w:t>
            </w:r>
          </w:p>
        </w:tc>
        <w:tc>
          <w:tcPr>
            <w:tcW w:w="5936" w:type="dxa"/>
            <w:tcBorders>
              <w:top w:val="nil"/>
              <w:bottom w:val="nil"/>
            </w:tcBorders>
          </w:tcPr>
          <w:p w:rsidR="006A18FD" w:rsidRDefault="002D29FC">
            <w:pPr>
              <w:spacing w:line="225" w:lineRule="exact"/>
              <w:ind w:left="102"/>
              <w:rPr>
                <w:rFonts w:ascii="Calibri"/>
                <w:sz w:val="20"/>
              </w:rPr>
            </w:pPr>
            <w:r>
              <w:rPr>
                <w:rFonts w:ascii="Calibri"/>
                <w:sz w:val="20"/>
              </w:rPr>
              <w:t>Indirect overheads include general management and support services</w:t>
            </w:r>
          </w:p>
        </w:tc>
      </w:tr>
      <w:tr w:rsidR="006A18FD">
        <w:trPr>
          <w:trHeight w:val="240"/>
        </w:trPr>
        <w:tc>
          <w:tcPr>
            <w:tcW w:w="2232" w:type="dxa"/>
            <w:tcBorders>
              <w:top w:val="nil"/>
              <w:bottom w:val="nil"/>
            </w:tcBorders>
          </w:tcPr>
          <w:p w:rsidR="006A18FD" w:rsidRDefault="006A18FD">
            <w:pPr>
              <w:rPr>
                <w:rFonts w:ascii="Times New Roman"/>
                <w:sz w:val="16"/>
              </w:rPr>
            </w:pPr>
          </w:p>
        </w:tc>
        <w:tc>
          <w:tcPr>
            <w:tcW w:w="1875" w:type="dxa"/>
            <w:tcBorders>
              <w:top w:val="nil"/>
              <w:bottom w:val="nil"/>
            </w:tcBorders>
          </w:tcPr>
          <w:p w:rsidR="006A18FD" w:rsidRDefault="002D29FC">
            <w:pPr>
              <w:spacing w:line="224" w:lineRule="exact"/>
              <w:ind w:left="102"/>
              <w:rPr>
                <w:rFonts w:ascii="Calibri"/>
                <w:sz w:val="20"/>
              </w:rPr>
            </w:pPr>
            <w:r>
              <w:rPr>
                <w:rFonts w:ascii="Calibri"/>
                <w:sz w:val="20"/>
              </w:rPr>
              <w:t>year</w:t>
            </w:r>
          </w:p>
        </w:tc>
        <w:tc>
          <w:tcPr>
            <w:tcW w:w="5936" w:type="dxa"/>
            <w:tcBorders>
              <w:top w:val="nil"/>
              <w:bottom w:val="nil"/>
            </w:tcBorders>
          </w:tcPr>
          <w:p w:rsidR="006A18FD" w:rsidRDefault="002D29FC">
            <w:pPr>
              <w:spacing w:line="224" w:lineRule="exact"/>
              <w:ind w:left="102"/>
              <w:rPr>
                <w:rFonts w:ascii="Calibri"/>
                <w:sz w:val="20"/>
              </w:rPr>
            </w:pPr>
            <w:r>
              <w:rPr>
                <w:rFonts w:ascii="Calibri"/>
                <w:sz w:val="20"/>
              </w:rPr>
              <w:t>such as finance and human resource departments. On average, these</w:t>
            </w:r>
          </w:p>
        </w:tc>
      </w:tr>
      <w:tr w:rsidR="006A18FD">
        <w:trPr>
          <w:trHeight w:val="340"/>
        </w:trPr>
        <w:tc>
          <w:tcPr>
            <w:tcW w:w="2232" w:type="dxa"/>
            <w:tcBorders>
              <w:top w:val="nil"/>
            </w:tcBorders>
          </w:tcPr>
          <w:p w:rsidR="006A18FD" w:rsidRDefault="006A18FD">
            <w:pPr>
              <w:rPr>
                <w:rFonts w:ascii="Times New Roman"/>
                <w:sz w:val="20"/>
              </w:rPr>
            </w:pPr>
          </w:p>
        </w:tc>
        <w:tc>
          <w:tcPr>
            <w:tcW w:w="1875" w:type="dxa"/>
            <w:tcBorders>
              <w:top w:val="nil"/>
            </w:tcBorders>
          </w:tcPr>
          <w:p w:rsidR="006A18FD" w:rsidRDefault="006A18FD">
            <w:pPr>
              <w:rPr>
                <w:rFonts w:ascii="Times New Roman"/>
                <w:sz w:val="20"/>
              </w:rPr>
            </w:pPr>
          </w:p>
        </w:tc>
        <w:tc>
          <w:tcPr>
            <w:tcW w:w="5936" w:type="dxa"/>
            <w:tcBorders>
              <w:top w:val="nil"/>
            </w:tcBorders>
          </w:tcPr>
          <w:p w:rsidR="006A18FD" w:rsidRDefault="002D29FC">
            <w:pPr>
              <w:spacing w:line="225" w:lineRule="exact"/>
              <w:ind w:left="102"/>
              <w:rPr>
                <w:rFonts w:ascii="Calibri"/>
                <w:sz w:val="20"/>
              </w:rPr>
            </w:pPr>
            <w:r>
              <w:rPr>
                <w:rFonts w:ascii="Calibri"/>
                <w:sz w:val="20"/>
              </w:rPr>
              <w:t>costs comprise 33 per cent of direct care salary costs.</w:t>
            </w:r>
          </w:p>
        </w:tc>
      </w:tr>
      <w:tr w:rsidR="006A18FD">
        <w:trPr>
          <w:trHeight w:val="720"/>
        </w:trPr>
        <w:tc>
          <w:tcPr>
            <w:tcW w:w="2232" w:type="dxa"/>
          </w:tcPr>
          <w:p w:rsidR="006A18FD" w:rsidRDefault="002D29FC">
            <w:pPr>
              <w:spacing w:before="1"/>
              <w:ind w:left="52" w:right="756"/>
              <w:rPr>
                <w:rFonts w:ascii="Calibri"/>
                <w:sz w:val="20"/>
              </w:rPr>
            </w:pPr>
            <w:r>
              <w:rPr>
                <w:rFonts w:ascii="Calibri"/>
                <w:sz w:val="20"/>
              </w:rPr>
              <w:t>E. Personal living expenses</w:t>
            </w:r>
          </w:p>
        </w:tc>
        <w:tc>
          <w:tcPr>
            <w:tcW w:w="1875" w:type="dxa"/>
          </w:tcPr>
          <w:p w:rsidR="006A18FD" w:rsidRDefault="002D29FC">
            <w:pPr>
              <w:spacing w:before="1"/>
              <w:ind w:left="102" w:right="373"/>
              <w:rPr>
                <w:rFonts w:ascii="Calibri" w:hAnsi="Calibri"/>
                <w:sz w:val="20"/>
              </w:rPr>
            </w:pPr>
            <w:r>
              <w:rPr>
                <w:rFonts w:ascii="Calibri" w:hAnsi="Calibri"/>
                <w:sz w:val="20"/>
              </w:rPr>
              <w:t>£4,130 per client year</w:t>
            </w:r>
          </w:p>
        </w:tc>
        <w:tc>
          <w:tcPr>
            <w:tcW w:w="5936" w:type="dxa"/>
          </w:tcPr>
          <w:p w:rsidR="006A18FD" w:rsidRDefault="002D29FC">
            <w:pPr>
              <w:spacing w:before="1" w:line="240" w:lineRule="atLeast"/>
              <w:ind w:left="102" w:right="187"/>
              <w:rPr>
                <w:rFonts w:ascii="Calibri"/>
                <w:sz w:val="20"/>
              </w:rPr>
            </w:pPr>
            <w:r>
              <w:rPr>
                <w:rFonts w:ascii="Calibri"/>
                <w:sz w:val="20"/>
              </w:rPr>
              <w:t>This includes an amount for groceries, household provisions, clothing and medical expenses, comprising 8 per cent of direct care salary costs.</w:t>
            </w:r>
          </w:p>
        </w:tc>
      </w:tr>
      <w:tr w:rsidR="006A18FD">
        <w:trPr>
          <w:trHeight w:val="719"/>
        </w:trPr>
        <w:tc>
          <w:tcPr>
            <w:tcW w:w="2232" w:type="dxa"/>
          </w:tcPr>
          <w:p w:rsidR="006A18FD" w:rsidRDefault="002D29FC">
            <w:pPr>
              <w:ind w:left="52"/>
              <w:rPr>
                <w:rFonts w:ascii="Calibri"/>
                <w:sz w:val="20"/>
              </w:rPr>
            </w:pPr>
            <w:r>
              <w:rPr>
                <w:rFonts w:ascii="Calibri"/>
                <w:sz w:val="20"/>
              </w:rPr>
              <w:t>F. Day Care</w:t>
            </w:r>
          </w:p>
        </w:tc>
        <w:tc>
          <w:tcPr>
            <w:tcW w:w="1875" w:type="dxa"/>
          </w:tcPr>
          <w:p w:rsidR="006A18FD" w:rsidRDefault="002D29FC">
            <w:pPr>
              <w:ind w:left="102" w:right="272"/>
              <w:rPr>
                <w:rFonts w:ascii="Calibri" w:hAnsi="Calibri"/>
                <w:sz w:val="20"/>
              </w:rPr>
            </w:pPr>
            <w:r>
              <w:rPr>
                <w:rFonts w:ascii="Calibri" w:hAnsi="Calibri"/>
                <w:sz w:val="20"/>
              </w:rPr>
              <w:t>£26,309 per client year</w:t>
            </w:r>
          </w:p>
        </w:tc>
        <w:tc>
          <w:tcPr>
            <w:tcW w:w="5936" w:type="dxa"/>
          </w:tcPr>
          <w:p w:rsidR="006A18FD" w:rsidRDefault="002D29FC">
            <w:pPr>
              <w:ind w:left="102" w:right="629"/>
              <w:rPr>
                <w:rFonts w:ascii="Calibri"/>
                <w:sz w:val="20"/>
              </w:rPr>
            </w:pPr>
            <w:r>
              <w:rPr>
                <w:rFonts w:ascii="Calibri"/>
                <w:sz w:val="20"/>
              </w:rPr>
              <w:t>This includes the costs for 37.5 hours per week per person of separately-based specialist day care, and assumes a ratio of one</w:t>
            </w:r>
          </w:p>
          <w:p w:rsidR="006A18FD" w:rsidRDefault="002D29FC">
            <w:pPr>
              <w:spacing w:line="223" w:lineRule="exact"/>
              <w:ind w:left="102"/>
              <w:rPr>
                <w:rFonts w:ascii="Calibri"/>
                <w:sz w:val="20"/>
              </w:rPr>
            </w:pPr>
            <w:r>
              <w:rPr>
                <w:rFonts w:ascii="Calibri"/>
                <w:sz w:val="20"/>
              </w:rPr>
              <w:t>member of staff for every two clients attending.</w:t>
            </w:r>
          </w:p>
        </w:tc>
      </w:tr>
      <w:tr w:rsidR="006A18FD">
        <w:trPr>
          <w:trHeight w:val="480"/>
        </w:trPr>
        <w:tc>
          <w:tcPr>
            <w:tcW w:w="2232" w:type="dxa"/>
          </w:tcPr>
          <w:p w:rsidR="006A18FD" w:rsidRDefault="002D29FC">
            <w:pPr>
              <w:spacing w:before="1"/>
              <w:ind w:left="52"/>
              <w:rPr>
                <w:rFonts w:ascii="Calibri"/>
                <w:sz w:val="20"/>
              </w:rPr>
            </w:pPr>
            <w:r>
              <w:rPr>
                <w:rFonts w:ascii="Calibri"/>
                <w:sz w:val="20"/>
              </w:rPr>
              <w:t>Working time</w:t>
            </w:r>
          </w:p>
        </w:tc>
        <w:tc>
          <w:tcPr>
            <w:tcW w:w="1875" w:type="dxa"/>
          </w:tcPr>
          <w:p w:rsidR="006A18FD" w:rsidRDefault="002D29FC">
            <w:pPr>
              <w:spacing w:before="1" w:line="240" w:lineRule="atLeast"/>
              <w:ind w:left="102" w:right="253"/>
              <w:rPr>
                <w:rFonts w:ascii="Calibri"/>
                <w:sz w:val="20"/>
              </w:rPr>
            </w:pPr>
            <w:r>
              <w:rPr>
                <w:rFonts w:ascii="Calibri"/>
                <w:sz w:val="20"/>
              </w:rPr>
              <w:t>24 hours per day, 365 days per year.</w:t>
            </w:r>
          </w:p>
        </w:tc>
        <w:tc>
          <w:tcPr>
            <w:tcW w:w="5936" w:type="dxa"/>
          </w:tcPr>
          <w:p w:rsidR="006A18FD" w:rsidRDefault="006A18FD">
            <w:pPr>
              <w:rPr>
                <w:rFonts w:ascii="Times New Roman"/>
                <w:sz w:val="20"/>
              </w:rPr>
            </w:pPr>
          </w:p>
        </w:tc>
      </w:tr>
      <w:tr w:rsidR="006A18FD">
        <w:trPr>
          <w:trHeight w:val="459"/>
        </w:trPr>
        <w:tc>
          <w:tcPr>
            <w:tcW w:w="2232" w:type="dxa"/>
          </w:tcPr>
          <w:p w:rsidR="006A18FD" w:rsidRDefault="002D29FC">
            <w:pPr>
              <w:ind w:left="52"/>
              <w:rPr>
                <w:rFonts w:ascii="Calibri"/>
                <w:sz w:val="20"/>
              </w:rPr>
            </w:pPr>
            <w:r>
              <w:rPr>
                <w:rFonts w:ascii="Calibri"/>
                <w:sz w:val="20"/>
              </w:rPr>
              <w:t>Number of clients</w:t>
            </w:r>
          </w:p>
        </w:tc>
        <w:tc>
          <w:tcPr>
            <w:tcW w:w="1875" w:type="dxa"/>
          </w:tcPr>
          <w:p w:rsidR="006A18FD" w:rsidRDefault="002D29FC">
            <w:pPr>
              <w:ind w:left="102"/>
              <w:rPr>
                <w:rFonts w:ascii="Calibri"/>
                <w:sz w:val="20"/>
              </w:rPr>
            </w:pPr>
            <w:r>
              <w:rPr>
                <w:rFonts w:ascii="Calibri"/>
                <w:sz w:val="20"/>
              </w:rPr>
              <w:t>65</w:t>
            </w:r>
          </w:p>
        </w:tc>
        <w:tc>
          <w:tcPr>
            <w:tcW w:w="5936" w:type="dxa"/>
          </w:tcPr>
          <w:p w:rsidR="006A18FD" w:rsidRDefault="006A18FD">
            <w:pPr>
              <w:rPr>
                <w:rFonts w:ascii="Times New Roman"/>
                <w:sz w:val="20"/>
              </w:rPr>
            </w:pPr>
          </w:p>
        </w:tc>
      </w:tr>
      <w:tr w:rsidR="006A18FD">
        <w:trPr>
          <w:trHeight w:val="360"/>
        </w:trPr>
        <w:tc>
          <w:tcPr>
            <w:tcW w:w="10044" w:type="dxa"/>
            <w:gridSpan w:val="3"/>
          </w:tcPr>
          <w:p w:rsidR="006A18FD" w:rsidRDefault="002D29FC">
            <w:pPr>
              <w:spacing w:before="1"/>
              <w:ind w:left="52"/>
              <w:rPr>
                <w:rFonts w:ascii="Calibri"/>
                <w:b/>
                <w:sz w:val="20"/>
              </w:rPr>
            </w:pPr>
            <w:r>
              <w:rPr>
                <w:rFonts w:ascii="Calibri"/>
                <w:b/>
                <w:sz w:val="20"/>
              </w:rPr>
              <w:t>Unit costs available 2018/2019</w:t>
            </w:r>
          </w:p>
        </w:tc>
      </w:tr>
      <w:tr w:rsidR="006A18FD">
        <w:trPr>
          <w:trHeight w:val="480"/>
        </w:trPr>
        <w:tc>
          <w:tcPr>
            <w:tcW w:w="10044" w:type="dxa"/>
            <w:gridSpan w:val="3"/>
          </w:tcPr>
          <w:p w:rsidR="006A18FD" w:rsidRDefault="002D29FC">
            <w:pPr>
              <w:spacing w:line="243" w:lineRule="exact"/>
              <w:ind w:left="52"/>
              <w:rPr>
                <w:rFonts w:ascii="Calibri" w:hAnsi="Calibri"/>
                <w:sz w:val="20"/>
              </w:rPr>
            </w:pPr>
            <w:r>
              <w:rPr>
                <w:rFonts w:ascii="Calibri" w:hAnsi="Calibri"/>
                <w:sz w:val="20"/>
              </w:rPr>
              <w:t>Average annual cost per client (excluding day care); £97,392; average weekly cost per client £1,866.</w:t>
            </w:r>
          </w:p>
          <w:p w:rsidR="006A18FD" w:rsidRDefault="002D29FC">
            <w:pPr>
              <w:spacing w:line="223" w:lineRule="exact"/>
              <w:ind w:left="52"/>
              <w:rPr>
                <w:rFonts w:ascii="Calibri" w:hAnsi="Calibri"/>
                <w:sz w:val="20"/>
              </w:rPr>
            </w:pPr>
            <w:r>
              <w:rPr>
                <w:rFonts w:ascii="Calibri" w:hAnsi="Calibri"/>
                <w:sz w:val="20"/>
              </w:rPr>
              <w:t>Average annual cost per client, (including day care); £123,700; average weekly cost per client £2,371.</w:t>
            </w:r>
          </w:p>
        </w:tc>
      </w:tr>
    </w:tbl>
    <w:p w:rsidR="006A18FD" w:rsidRDefault="006A18FD">
      <w:pPr>
        <w:spacing w:line="223" w:lineRule="exact"/>
        <w:rPr>
          <w:rFonts w:ascii="Calibri" w:hAnsi="Calibri"/>
          <w:sz w:val="20"/>
        </w:rPr>
        <w:sectPr w:rsidR="006A18FD">
          <w:headerReference w:type="even" r:id="rId171"/>
          <w:headerReference w:type="default" r:id="rId172"/>
          <w:pgSz w:w="11910" w:h="16840"/>
          <w:pgMar w:top="980" w:right="980" w:bottom="280" w:left="580" w:header="763"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1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17" name="Line 17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78368" id="Group 17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HoymNd/AgAAgQUA&#10;AA4AAAAAAAAAAAAAAAAALgIAAGRycy9lMm9Eb2MueG1sUEsBAi0AFAAGAAgAAAAhAC135FzaAAAA&#10;BAEAAA8AAAAAAAAAAAAAAAAA2QQAAGRycy9kb3ducmV2LnhtbFBLBQYAAAAABAAEAPMAAADgBQAA&#10;AAA=&#10;">
                <v:line id="Line 17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w10:anchorlock/>
              </v:group>
            </w:pict>
          </mc:Fallback>
        </mc:AlternateContent>
      </w:r>
    </w:p>
    <w:p w:rsidR="006A18FD" w:rsidRDefault="002D29FC" w:rsidP="006267D6">
      <w:pPr>
        <w:pStyle w:val="Heading2"/>
      </w:pPr>
      <w:r>
        <w:t>4.5 Positive behavioural support for adults with intellectual disabilities and behaviour that challenges</w:t>
      </w:r>
    </w:p>
    <w:p w:rsidR="006A18FD" w:rsidRDefault="002D29FC">
      <w:pPr>
        <w:spacing w:before="119" w:line="276" w:lineRule="auto"/>
        <w:ind w:left="152" w:right="145"/>
        <w:rPr>
          <w:rFonts w:ascii="Calibri" w:hAnsi="Calibri"/>
          <w:sz w:val="20"/>
        </w:rPr>
      </w:pPr>
      <w:r>
        <w:rPr>
          <w:rFonts w:ascii="Calibri" w:hAnsi="Calibri"/>
          <w:sz w:val="20"/>
        </w:rPr>
        <w:t xml:space="preserve">Positive behavioural support (PBS) is a flexible service that aims to maintain people with intellectual disabilities whose behaviour challenges the community, and to increase the ability of carers and professionals to cope with such behaviours </w:t>
      </w:r>
      <w:r>
        <w:rPr>
          <w:rFonts w:ascii="Calibri" w:hAnsi="Calibri"/>
          <w:w w:val="95"/>
          <w:sz w:val="20"/>
        </w:rPr>
        <w:t>(</w:t>
      </w:r>
      <w:hyperlink r:id="rId173">
        <w:r>
          <w:rPr>
            <w:rFonts w:ascii="Calibri" w:hAnsi="Calibri"/>
            <w:w w:val="95"/>
            <w:sz w:val="20"/>
            <w:u w:val="single"/>
          </w:rPr>
          <w:t>http://www.skillsforcare.org.uk/Topics/Learning-disability/Positive-behavioural-support/Positive-behaviour-support.aspx</w:t>
        </w:r>
      </w:hyperlink>
      <w:r>
        <w:rPr>
          <w:rFonts w:ascii="Calibri" w:hAnsi="Calibri"/>
          <w:w w:val="95"/>
          <w:sz w:val="20"/>
        </w:rPr>
        <w:t xml:space="preserve">).     </w:t>
      </w:r>
      <w:r>
        <w:rPr>
          <w:rFonts w:ascii="Calibri" w:hAnsi="Calibri"/>
          <w:sz w:val="20"/>
        </w:rPr>
        <w:t>The service supports adults (18 years old and over) in four areas of practice: early intervention for high-risk groups (e.g. training workshops for carers and professionals working with people with intellectual disabilities and behaviour that challenges); crisis prevention and management (e.g. early identification of behaviours that may lead to placement breakdowns); technical support for those with the most complex (e.g. intensive behavioural intervention); and placement development (e.g. returning people in out-of area placements to their ‘home’</w:t>
      </w:r>
      <w:r>
        <w:rPr>
          <w:rFonts w:ascii="Calibri" w:hAnsi="Calibri"/>
          <w:spacing w:val="-31"/>
          <w:sz w:val="20"/>
        </w:rPr>
        <w:t xml:space="preserve"> </w:t>
      </w:r>
      <w:r>
        <w:rPr>
          <w:rFonts w:ascii="Calibri" w:hAnsi="Calibri"/>
          <w:sz w:val="20"/>
        </w:rPr>
        <w:t>borough).</w:t>
      </w:r>
    </w:p>
    <w:p w:rsidR="006A18FD" w:rsidRDefault="002D29FC">
      <w:pPr>
        <w:spacing w:before="116" w:line="276" w:lineRule="auto"/>
        <w:ind w:left="152" w:right="146"/>
        <w:rPr>
          <w:rFonts w:ascii="Calibri" w:hAnsi="Calibri"/>
          <w:sz w:val="20"/>
        </w:rPr>
      </w:pPr>
      <w:r>
        <w:rPr>
          <w:rFonts w:ascii="Calibri" w:hAnsi="Calibri"/>
          <w:sz w:val="20"/>
        </w:rPr>
        <w:t xml:space="preserve">A study carried out by Iemmi et al. (2015) </w:t>
      </w:r>
      <w:r>
        <w:rPr>
          <w:rFonts w:ascii="Calibri" w:hAnsi="Calibri"/>
          <w:position w:val="7"/>
          <w:sz w:val="13"/>
        </w:rPr>
        <w:t xml:space="preserve">1 </w:t>
      </w:r>
      <w:r>
        <w:rPr>
          <w:rFonts w:ascii="Calibri" w:hAnsi="Calibri"/>
          <w:sz w:val="20"/>
        </w:rPr>
        <w:t>found that the service was effective in improving the outcomes (behaviours that challenge, activity engagement, community participation) of individuals at a total cost of services of £2,594 per week (see table 1 overleaf which uses average costs for a sample of three people). The economic analysis adopted a public service perspective, including health and social care services and criminal justice services. The PBS intervention formed nearly 10 per cent of this cost (£258). The total cost of the PBS intervention lasting 15 months is estimated to cost £17,020 per adult. The total cost of services received for adults in receipt of additional support was £138,973 per year. These costs have been uprated from 2012/2013 using the appropriate inflators.</w:t>
      </w:r>
    </w:p>
    <w:p w:rsidR="006A18FD" w:rsidRDefault="002D29FC">
      <w:pPr>
        <w:spacing w:before="119" w:line="276" w:lineRule="auto"/>
        <w:ind w:left="152" w:right="180"/>
        <w:rPr>
          <w:rFonts w:ascii="Calibri" w:hAnsi="Calibri"/>
          <w:sz w:val="13"/>
        </w:rPr>
      </w:pPr>
      <w:r>
        <w:rPr>
          <w:rFonts w:ascii="Calibri" w:hAnsi="Calibri"/>
          <w:sz w:val="20"/>
        </w:rPr>
        <w:t>These costs were calculated using a representative high-intensity case, and the PBS intervention includes staff costs (behaviour analyst, assistant behaviour analyst, support worker), overheads (IT, telephone, photocopy, training, human resources cost, accommodation costs, meetings, analysis and report formulation), travel costs, and clinical supervision. The authors note that by maintaining people with less severe challenges in the community (£9 to £175 per week) and those with more severe behavioural needs in less service-intensive residential accommodations (£1,293 to £3,940 per week), the service may potentially reduce public services cost in the long term.</w:t>
      </w:r>
      <w:r>
        <w:rPr>
          <w:rFonts w:ascii="Calibri" w:hAnsi="Calibri"/>
          <w:position w:val="7"/>
          <w:sz w:val="13"/>
        </w:rPr>
        <w:t>1</w:t>
      </w:r>
    </w:p>
    <w:p w:rsidR="006A18FD" w:rsidRDefault="002D29FC">
      <w:pPr>
        <w:spacing w:before="116"/>
        <w:ind w:left="152"/>
        <w:rPr>
          <w:rFonts w:ascii="Calibri"/>
          <w:sz w:val="20"/>
        </w:rPr>
      </w:pPr>
      <w:r>
        <w:rPr>
          <w:rFonts w:ascii="Calibri"/>
          <w:sz w:val="20"/>
        </w:rPr>
        <w:t>See Hassiotis et al. (2014)</w:t>
      </w:r>
      <w:r>
        <w:rPr>
          <w:rFonts w:ascii="Calibri"/>
          <w:position w:val="7"/>
          <w:sz w:val="13"/>
        </w:rPr>
        <w:t xml:space="preserve">2 </w:t>
      </w:r>
      <w:r>
        <w:rPr>
          <w:rFonts w:ascii="Calibri"/>
          <w:sz w:val="20"/>
        </w:rPr>
        <w:t>for a study addressing the clinical and cost effectiveness of staff training in PBS.</w:t>
      </w: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spacing w:before="8"/>
        <w:rPr>
          <w:rFonts w:ascii="Calibri"/>
          <w:sz w:val="18"/>
        </w:rPr>
      </w:pPr>
    </w:p>
    <w:p w:rsidR="006A18FD" w:rsidRDefault="002D29FC">
      <w:pPr>
        <w:ind w:left="436" w:right="429" w:hanging="284"/>
        <w:rPr>
          <w:rFonts w:ascii="Calibri"/>
          <w:sz w:val="18"/>
        </w:rPr>
      </w:pPr>
      <w:r>
        <w:rPr>
          <w:rFonts w:ascii="Calibri"/>
          <w:position w:val="5"/>
          <w:sz w:val="10"/>
        </w:rPr>
        <w:t xml:space="preserve">1 </w:t>
      </w:r>
      <w:r>
        <w:rPr>
          <w:rFonts w:ascii="Calibri"/>
          <w:sz w:val="18"/>
        </w:rPr>
        <w:t xml:space="preserve">Iemmi, V., Knapp, M., Saville, M., McWade, P., McLennan, K. &amp; Toogood, S. (2015) Positive behavioural support for adults with intellectual disabilities and behaviour that challenges: an initial exploration of the economic case, </w:t>
      </w:r>
      <w:r>
        <w:rPr>
          <w:rFonts w:ascii="Calibri"/>
          <w:i/>
          <w:sz w:val="18"/>
        </w:rPr>
        <w:t>International Journal of Positive Behavioural Support</w:t>
      </w:r>
      <w:r>
        <w:rPr>
          <w:rFonts w:ascii="Calibri"/>
          <w:sz w:val="18"/>
        </w:rPr>
        <w:t>, 5,1, 16-25.</w:t>
      </w:r>
    </w:p>
    <w:p w:rsidR="006A18FD" w:rsidRDefault="002D29FC">
      <w:pPr>
        <w:spacing w:before="1"/>
        <w:ind w:left="436" w:right="195" w:hanging="284"/>
        <w:rPr>
          <w:rFonts w:ascii="Calibri"/>
          <w:sz w:val="18"/>
        </w:rPr>
      </w:pPr>
      <w:r>
        <w:rPr>
          <w:rFonts w:ascii="Calibri"/>
          <w:position w:val="5"/>
          <w:sz w:val="12"/>
        </w:rPr>
        <w:t xml:space="preserve">2 </w:t>
      </w:r>
      <w:r>
        <w:rPr>
          <w:rFonts w:ascii="Calibri"/>
          <w:sz w:val="18"/>
        </w:rPr>
        <w:t xml:space="preserve">Hassiotis, A., Strydom, A., Crawford, M., Hall, I., Omar, R., Vickerstaff., V., Hunter, R., Crabtree, J., Cooper, V., Biswas, A., Howie, W. &amp; King, M. (2014) Clinical and cost effectiveness of staff training in Positive Behaviour Support (PBS) for treating challenging behaviour in adults with intellectual disability: a cluster randomised controlled trial, </w:t>
      </w:r>
      <w:r>
        <w:rPr>
          <w:rFonts w:ascii="Calibri"/>
          <w:i/>
          <w:sz w:val="18"/>
        </w:rPr>
        <w:t>BMC Psychiatry</w:t>
      </w:r>
      <w:r>
        <w:rPr>
          <w:rFonts w:ascii="Calibri"/>
          <w:sz w:val="18"/>
        </w:rPr>
        <w:t>, 14: 219.</w:t>
      </w:r>
    </w:p>
    <w:p w:rsidR="006A18FD" w:rsidRDefault="006A18FD">
      <w:pPr>
        <w:rPr>
          <w:rFonts w:ascii="Calibri"/>
          <w:sz w:val="18"/>
        </w:rPr>
        <w:sectPr w:rsidR="006A18FD">
          <w:pgSz w:w="11910" w:h="16840"/>
          <w:pgMar w:top="980" w:right="580" w:bottom="280" w:left="980" w:header="763" w:footer="0" w:gutter="0"/>
          <w:cols w:space="720"/>
        </w:sectPr>
      </w:pPr>
    </w:p>
    <w:p w:rsidR="006A18FD" w:rsidRDefault="006A18FD">
      <w:pPr>
        <w:spacing w:before="1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1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15" name="Line 17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73273" id="Group 17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A9A+wBfQIAAIEFAAAO&#10;AAAAAAAAAAAAAAAAAC4CAABkcnMvZTJvRG9jLnhtbFBLAQItABQABgAIAAAAIQAtd+Rc2gAAAAQB&#10;AAAPAAAAAAAAAAAAAAAAANcEAABkcnMvZG93bnJldi54bWxQSwUGAAAAAAQABADzAAAA3gUAAAAA&#10;">
                <v:line id="Line 17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w10:anchorlock/>
              </v:group>
            </w:pict>
          </mc:Fallback>
        </mc:AlternateContent>
      </w:r>
    </w:p>
    <w:p w:rsidR="006A18FD" w:rsidRDefault="006A18FD">
      <w:pPr>
        <w:spacing w:before="6"/>
        <w:rPr>
          <w:rFonts w:ascii="Calibri"/>
          <w:sz w:val="17"/>
        </w:rPr>
      </w:pPr>
    </w:p>
    <w:p w:rsidR="006A18FD" w:rsidRDefault="002D29FC">
      <w:pPr>
        <w:spacing w:before="59"/>
        <w:ind w:left="281"/>
        <w:rPr>
          <w:rFonts w:ascii="Calibri"/>
          <w:b/>
          <w:sz w:val="20"/>
        </w:rPr>
      </w:pPr>
      <w:r>
        <w:rPr>
          <w:rFonts w:ascii="Calibri"/>
          <w:b/>
          <w:sz w:val="20"/>
        </w:rPr>
        <w:t>Table 1 Service use and cost for adults over the first 6 months of PBSS (N=3)</w:t>
      </w:r>
    </w:p>
    <w:p w:rsidR="006A18FD" w:rsidRDefault="006A18FD">
      <w:pPr>
        <w:spacing w:before="8" w:after="1"/>
        <w:rPr>
          <w:rFonts w:ascii="Calibri"/>
          <w:b/>
          <w:sz w:val="12"/>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850"/>
        <w:gridCol w:w="1419"/>
        <w:gridCol w:w="1560"/>
        <w:gridCol w:w="2269"/>
      </w:tblGrid>
      <w:tr w:rsidR="006A18FD" w:rsidTr="005B5AB5">
        <w:trPr>
          <w:trHeight w:val="960"/>
          <w:tblHeader/>
        </w:trPr>
        <w:tc>
          <w:tcPr>
            <w:tcW w:w="4112" w:type="dxa"/>
          </w:tcPr>
          <w:p w:rsidR="006A18FD" w:rsidRDefault="006A18FD">
            <w:pPr>
              <w:rPr>
                <w:rFonts w:ascii="Times New Roman"/>
                <w:sz w:val="20"/>
              </w:rPr>
            </w:pPr>
          </w:p>
        </w:tc>
        <w:tc>
          <w:tcPr>
            <w:tcW w:w="850" w:type="dxa"/>
          </w:tcPr>
          <w:p w:rsidR="006A18FD" w:rsidRDefault="002D29FC">
            <w:pPr>
              <w:spacing w:before="121"/>
              <w:ind w:left="198" w:right="183" w:firstLine="74"/>
              <w:rPr>
                <w:rFonts w:ascii="Calibri"/>
                <w:b/>
                <w:sz w:val="20"/>
              </w:rPr>
            </w:pPr>
            <w:r>
              <w:rPr>
                <w:rFonts w:ascii="Calibri"/>
                <w:b/>
                <w:sz w:val="20"/>
              </w:rPr>
              <w:t>No. using</w:t>
            </w:r>
          </w:p>
        </w:tc>
        <w:tc>
          <w:tcPr>
            <w:tcW w:w="1419" w:type="dxa"/>
          </w:tcPr>
          <w:p w:rsidR="006A18FD" w:rsidRDefault="002D29FC">
            <w:pPr>
              <w:spacing w:before="121"/>
              <w:ind w:left="273" w:right="167" w:hanging="89"/>
              <w:rPr>
                <w:rFonts w:ascii="Calibri"/>
                <w:b/>
                <w:sz w:val="20"/>
              </w:rPr>
            </w:pPr>
            <w:r>
              <w:rPr>
                <w:rFonts w:ascii="Calibri"/>
                <w:b/>
                <w:sz w:val="20"/>
              </w:rPr>
              <w:t>No. contacts mean (SD)</w:t>
            </w:r>
          </w:p>
        </w:tc>
        <w:tc>
          <w:tcPr>
            <w:tcW w:w="1560" w:type="dxa"/>
          </w:tcPr>
          <w:p w:rsidR="006A18FD" w:rsidRDefault="002D29FC">
            <w:pPr>
              <w:spacing w:before="121"/>
              <w:ind w:left="345" w:right="122" w:hanging="204"/>
              <w:rPr>
                <w:rFonts w:ascii="Calibri"/>
                <w:b/>
                <w:sz w:val="20"/>
              </w:rPr>
            </w:pPr>
            <w:r>
              <w:rPr>
                <w:rFonts w:ascii="Calibri"/>
                <w:b/>
                <w:sz w:val="20"/>
              </w:rPr>
              <w:t>Contact: hours, mean (SD)</w:t>
            </w:r>
          </w:p>
        </w:tc>
        <w:tc>
          <w:tcPr>
            <w:tcW w:w="2269" w:type="dxa"/>
          </w:tcPr>
          <w:p w:rsidR="006A18FD" w:rsidRDefault="002D29FC">
            <w:pPr>
              <w:spacing w:before="121"/>
              <w:ind w:left="265" w:right="263"/>
              <w:jc w:val="center"/>
              <w:rPr>
                <w:rFonts w:ascii="Calibri" w:hAnsi="Calibri"/>
                <w:b/>
                <w:sz w:val="20"/>
              </w:rPr>
            </w:pPr>
            <w:r>
              <w:rPr>
                <w:rFonts w:ascii="Calibri" w:hAnsi="Calibri"/>
                <w:b/>
                <w:sz w:val="20"/>
              </w:rPr>
              <w:t>Weekly cost (£2017/2018), mean (SD)</w:t>
            </w:r>
          </w:p>
        </w:tc>
      </w:tr>
      <w:tr w:rsidR="006A18FD">
        <w:trPr>
          <w:trHeight w:val="480"/>
        </w:trPr>
        <w:tc>
          <w:tcPr>
            <w:tcW w:w="4112" w:type="dxa"/>
          </w:tcPr>
          <w:p w:rsidR="006A18FD" w:rsidRDefault="002D29FC">
            <w:pPr>
              <w:spacing w:before="121"/>
              <w:ind w:left="102"/>
              <w:rPr>
                <w:rFonts w:ascii="Calibri"/>
                <w:b/>
                <w:sz w:val="20"/>
              </w:rPr>
            </w:pPr>
            <w:r>
              <w:rPr>
                <w:rFonts w:ascii="Calibri"/>
                <w:b/>
                <w:sz w:val="20"/>
              </w:rPr>
              <w:t>Health and social care</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6A18FD">
            <w:pPr>
              <w:rPr>
                <w:rFonts w:ascii="Times New Roman"/>
                <w:sz w:val="20"/>
              </w:rPr>
            </w:pPr>
          </w:p>
        </w:tc>
      </w:tr>
      <w:tr w:rsidR="006A18FD">
        <w:trPr>
          <w:trHeight w:val="480"/>
        </w:trPr>
        <w:tc>
          <w:tcPr>
            <w:tcW w:w="4112" w:type="dxa"/>
          </w:tcPr>
          <w:p w:rsidR="006A18FD" w:rsidRDefault="002D29FC">
            <w:pPr>
              <w:spacing w:before="121"/>
              <w:ind w:left="239"/>
              <w:rPr>
                <w:rFonts w:ascii="Calibri"/>
                <w:sz w:val="20"/>
              </w:rPr>
            </w:pPr>
            <w:r>
              <w:rPr>
                <w:rFonts w:ascii="Calibri"/>
                <w:sz w:val="20"/>
              </w:rPr>
              <w:t>Supported housing (days)</w:t>
            </w:r>
          </w:p>
        </w:tc>
        <w:tc>
          <w:tcPr>
            <w:tcW w:w="850" w:type="dxa"/>
          </w:tcPr>
          <w:p w:rsidR="006A18FD" w:rsidRDefault="002D29FC">
            <w:pPr>
              <w:spacing w:before="121"/>
              <w:jc w:val="center"/>
              <w:rPr>
                <w:rFonts w:ascii="Calibri"/>
                <w:sz w:val="20"/>
              </w:rPr>
            </w:pPr>
            <w:r>
              <w:rPr>
                <w:rFonts w:ascii="Calibri"/>
                <w:w w:val="99"/>
                <w:sz w:val="20"/>
              </w:rPr>
              <w:t>1</w:t>
            </w:r>
          </w:p>
        </w:tc>
        <w:tc>
          <w:tcPr>
            <w:tcW w:w="1419" w:type="dxa"/>
          </w:tcPr>
          <w:p w:rsidR="006A18FD" w:rsidRDefault="002D29FC">
            <w:pPr>
              <w:spacing w:before="121"/>
              <w:ind w:left="245" w:right="246"/>
              <w:jc w:val="center"/>
              <w:rPr>
                <w:rFonts w:ascii="Calibri"/>
                <w:sz w:val="20"/>
              </w:rPr>
            </w:pPr>
            <w:r>
              <w:rPr>
                <w:rFonts w:ascii="Calibri"/>
                <w:sz w:val="20"/>
              </w:rPr>
              <w:t>182</w:t>
            </w:r>
          </w:p>
        </w:tc>
        <w:tc>
          <w:tcPr>
            <w:tcW w:w="1560" w:type="dxa"/>
          </w:tcPr>
          <w:p w:rsidR="006A18FD" w:rsidRDefault="006A18FD">
            <w:pPr>
              <w:rPr>
                <w:rFonts w:ascii="Times New Roman"/>
                <w:sz w:val="20"/>
              </w:rPr>
            </w:pPr>
          </w:p>
        </w:tc>
        <w:tc>
          <w:tcPr>
            <w:tcW w:w="2269" w:type="dxa"/>
          </w:tcPr>
          <w:p w:rsidR="006A18FD" w:rsidRDefault="002D29FC">
            <w:pPr>
              <w:spacing w:before="121"/>
              <w:ind w:left="262" w:right="263"/>
              <w:jc w:val="center"/>
              <w:rPr>
                <w:rFonts w:ascii="Calibri" w:hAnsi="Calibri"/>
                <w:sz w:val="20"/>
              </w:rPr>
            </w:pPr>
            <w:r>
              <w:rPr>
                <w:rFonts w:ascii="Calibri" w:hAnsi="Calibri"/>
                <w:sz w:val="20"/>
              </w:rPr>
              <w:t>£352 (£610)</w:t>
            </w:r>
          </w:p>
        </w:tc>
      </w:tr>
      <w:tr w:rsidR="006A18FD">
        <w:trPr>
          <w:trHeight w:val="480"/>
        </w:trPr>
        <w:tc>
          <w:tcPr>
            <w:tcW w:w="4112" w:type="dxa"/>
          </w:tcPr>
          <w:p w:rsidR="006A18FD" w:rsidRDefault="002D29FC">
            <w:pPr>
              <w:spacing w:before="123"/>
              <w:ind w:left="239"/>
              <w:rPr>
                <w:rFonts w:ascii="Calibri"/>
                <w:sz w:val="20"/>
              </w:rPr>
            </w:pPr>
            <w:r>
              <w:rPr>
                <w:rFonts w:ascii="Calibri"/>
                <w:sz w:val="20"/>
              </w:rPr>
              <w:t>Other than residential home (days)</w:t>
            </w:r>
          </w:p>
        </w:tc>
        <w:tc>
          <w:tcPr>
            <w:tcW w:w="850" w:type="dxa"/>
          </w:tcPr>
          <w:p w:rsidR="006A18FD" w:rsidRDefault="002D29FC">
            <w:pPr>
              <w:spacing w:before="123"/>
              <w:jc w:val="center"/>
              <w:rPr>
                <w:rFonts w:ascii="Calibri"/>
                <w:sz w:val="20"/>
              </w:rPr>
            </w:pPr>
            <w:r>
              <w:rPr>
                <w:rFonts w:ascii="Calibri"/>
                <w:w w:val="99"/>
                <w:sz w:val="20"/>
              </w:rPr>
              <w:t>1</w:t>
            </w:r>
          </w:p>
        </w:tc>
        <w:tc>
          <w:tcPr>
            <w:tcW w:w="1419" w:type="dxa"/>
          </w:tcPr>
          <w:p w:rsidR="006A18FD" w:rsidRDefault="002D29FC">
            <w:pPr>
              <w:spacing w:before="123"/>
              <w:ind w:left="245" w:right="246"/>
              <w:jc w:val="center"/>
              <w:rPr>
                <w:rFonts w:ascii="Calibri"/>
                <w:sz w:val="20"/>
              </w:rPr>
            </w:pPr>
            <w:r>
              <w:rPr>
                <w:rFonts w:ascii="Calibri"/>
                <w:sz w:val="20"/>
              </w:rPr>
              <w:t>35.5</w:t>
            </w:r>
          </w:p>
        </w:tc>
        <w:tc>
          <w:tcPr>
            <w:tcW w:w="1560" w:type="dxa"/>
          </w:tcPr>
          <w:p w:rsidR="006A18FD" w:rsidRDefault="006A18FD">
            <w:pPr>
              <w:rPr>
                <w:rFonts w:ascii="Times New Roman"/>
                <w:sz w:val="20"/>
              </w:rPr>
            </w:pPr>
          </w:p>
        </w:tc>
        <w:tc>
          <w:tcPr>
            <w:tcW w:w="2269" w:type="dxa"/>
          </w:tcPr>
          <w:p w:rsidR="006A18FD" w:rsidRDefault="002D29FC">
            <w:pPr>
              <w:spacing w:before="123"/>
              <w:ind w:left="262" w:right="263"/>
              <w:jc w:val="center"/>
              <w:rPr>
                <w:rFonts w:ascii="Calibri" w:hAnsi="Calibri"/>
                <w:sz w:val="20"/>
              </w:rPr>
            </w:pPr>
            <w:r>
              <w:rPr>
                <w:rFonts w:ascii="Calibri" w:hAnsi="Calibri"/>
                <w:sz w:val="20"/>
              </w:rPr>
              <w:t>£106 (£183)</w:t>
            </w:r>
          </w:p>
        </w:tc>
      </w:tr>
      <w:tr w:rsidR="006A18FD">
        <w:trPr>
          <w:trHeight w:val="480"/>
        </w:trPr>
        <w:tc>
          <w:tcPr>
            <w:tcW w:w="4112" w:type="dxa"/>
          </w:tcPr>
          <w:p w:rsidR="006A18FD" w:rsidRDefault="002D29FC">
            <w:pPr>
              <w:spacing w:before="123"/>
              <w:ind w:left="239"/>
              <w:rPr>
                <w:rFonts w:ascii="Calibri"/>
                <w:b/>
                <w:sz w:val="20"/>
              </w:rPr>
            </w:pPr>
            <w:r>
              <w:rPr>
                <w:rFonts w:ascii="Calibri"/>
                <w:b/>
                <w:sz w:val="20"/>
              </w:rPr>
              <w:t>Total residential care</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2D29FC">
            <w:pPr>
              <w:spacing w:before="123"/>
              <w:ind w:left="263" w:right="263"/>
              <w:jc w:val="center"/>
              <w:rPr>
                <w:rFonts w:ascii="Calibri" w:hAnsi="Calibri"/>
                <w:b/>
                <w:sz w:val="20"/>
              </w:rPr>
            </w:pPr>
            <w:r>
              <w:rPr>
                <w:rFonts w:ascii="Calibri" w:hAnsi="Calibri"/>
                <w:b/>
                <w:sz w:val="20"/>
              </w:rPr>
              <w:t>£458 (£542)</w:t>
            </w:r>
          </w:p>
        </w:tc>
      </w:tr>
      <w:tr w:rsidR="006A18FD">
        <w:trPr>
          <w:trHeight w:val="480"/>
        </w:trPr>
        <w:tc>
          <w:tcPr>
            <w:tcW w:w="4112" w:type="dxa"/>
          </w:tcPr>
          <w:p w:rsidR="006A18FD" w:rsidRDefault="002D29FC">
            <w:pPr>
              <w:spacing w:before="122"/>
              <w:ind w:left="148"/>
              <w:rPr>
                <w:rFonts w:ascii="Calibri"/>
                <w:b/>
                <w:sz w:val="20"/>
              </w:rPr>
            </w:pPr>
            <w:r>
              <w:rPr>
                <w:rFonts w:ascii="Calibri"/>
                <w:b/>
                <w:sz w:val="20"/>
              </w:rPr>
              <w:t>Community-based care</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6A18FD">
            <w:pPr>
              <w:rPr>
                <w:rFonts w:ascii="Times New Roman"/>
                <w:sz w:val="20"/>
              </w:rPr>
            </w:pPr>
          </w:p>
        </w:tc>
      </w:tr>
      <w:tr w:rsidR="006A18FD">
        <w:trPr>
          <w:trHeight w:val="480"/>
        </w:trPr>
        <w:tc>
          <w:tcPr>
            <w:tcW w:w="4112" w:type="dxa"/>
          </w:tcPr>
          <w:p w:rsidR="006A18FD" w:rsidRDefault="002D29FC">
            <w:pPr>
              <w:spacing w:before="121"/>
              <w:ind w:left="239"/>
              <w:rPr>
                <w:rFonts w:ascii="Calibri"/>
                <w:sz w:val="20"/>
              </w:rPr>
            </w:pPr>
            <w:r>
              <w:rPr>
                <w:rFonts w:ascii="Calibri"/>
                <w:sz w:val="20"/>
              </w:rPr>
              <w:t>Psychiatrist</w:t>
            </w:r>
          </w:p>
        </w:tc>
        <w:tc>
          <w:tcPr>
            <w:tcW w:w="850" w:type="dxa"/>
          </w:tcPr>
          <w:p w:rsidR="006A18FD" w:rsidRDefault="002D29FC">
            <w:pPr>
              <w:spacing w:before="121"/>
              <w:jc w:val="center"/>
              <w:rPr>
                <w:rFonts w:ascii="Calibri"/>
                <w:sz w:val="20"/>
              </w:rPr>
            </w:pPr>
            <w:r>
              <w:rPr>
                <w:rFonts w:ascii="Calibri"/>
                <w:w w:val="99"/>
                <w:sz w:val="20"/>
              </w:rPr>
              <w:t>2</w:t>
            </w:r>
          </w:p>
        </w:tc>
        <w:tc>
          <w:tcPr>
            <w:tcW w:w="1419" w:type="dxa"/>
          </w:tcPr>
          <w:p w:rsidR="006A18FD" w:rsidRDefault="002D29FC">
            <w:pPr>
              <w:spacing w:before="121"/>
              <w:ind w:left="245" w:right="246"/>
              <w:jc w:val="center"/>
              <w:rPr>
                <w:rFonts w:ascii="Calibri"/>
                <w:sz w:val="20"/>
              </w:rPr>
            </w:pPr>
            <w:r>
              <w:rPr>
                <w:rFonts w:ascii="Calibri"/>
                <w:sz w:val="20"/>
              </w:rPr>
              <w:t>2 (0)</w:t>
            </w:r>
          </w:p>
        </w:tc>
        <w:tc>
          <w:tcPr>
            <w:tcW w:w="1560" w:type="dxa"/>
          </w:tcPr>
          <w:p w:rsidR="006A18FD" w:rsidRDefault="002D29FC">
            <w:pPr>
              <w:spacing w:before="121"/>
              <w:ind w:left="418" w:right="419"/>
              <w:jc w:val="center"/>
              <w:rPr>
                <w:rFonts w:ascii="Calibri"/>
                <w:sz w:val="20"/>
              </w:rPr>
            </w:pPr>
            <w:r>
              <w:rPr>
                <w:rFonts w:ascii="Calibri"/>
                <w:sz w:val="20"/>
              </w:rPr>
              <w:t>0.9 (0.2)</w:t>
            </w:r>
          </w:p>
        </w:tc>
        <w:tc>
          <w:tcPr>
            <w:tcW w:w="2269" w:type="dxa"/>
          </w:tcPr>
          <w:p w:rsidR="006A18FD" w:rsidRDefault="002D29FC">
            <w:pPr>
              <w:spacing w:before="121"/>
              <w:ind w:left="262" w:right="263"/>
              <w:jc w:val="center"/>
              <w:rPr>
                <w:rFonts w:ascii="Calibri" w:hAnsi="Calibri"/>
                <w:sz w:val="20"/>
              </w:rPr>
            </w:pPr>
            <w:r>
              <w:rPr>
                <w:rFonts w:ascii="Calibri" w:hAnsi="Calibri"/>
                <w:sz w:val="20"/>
              </w:rPr>
              <w:t>£14.50 (£13)</w:t>
            </w:r>
          </w:p>
        </w:tc>
      </w:tr>
      <w:tr w:rsidR="006A18FD">
        <w:trPr>
          <w:trHeight w:val="480"/>
        </w:trPr>
        <w:tc>
          <w:tcPr>
            <w:tcW w:w="4112" w:type="dxa"/>
          </w:tcPr>
          <w:p w:rsidR="006A18FD" w:rsidRDefault="002D29FC">
            <w:pPr>
              <w:spacing w:before="121"/>
              <w:ind w:left="239"/>
              <w:rPr>
                <w:rFonts w:ascii="Calibri"/>
                <w:sz w:val="20"/>
              </w:rPr>
            </w:pPr>
            <w:r>
              <w:rPr>
                <w:rFonts w:ascii="Calibri"/>
                <w:sz w:val="20"/>
              </w:rPr>
              <w:t>Nurse</w:t>
            </w:r>
          </w:p>
        </w:tc>
        <w:tc>
          <w:tcPr>
            <w:tcW w:w="850" w:type="dxa"/>
          </w:tcPr>
          <w:p w:rsidR="006A18FD" w:rsidRDefault="002D29FC">
            <w:pPr>
              <w:spacing w:before="121"/>
              <w:jc w:val="center"/>
              <w:rPr>
                <w:rFonts w:ascii="Calibri"/>
                <w:sz w:val="20"/>
              </w:rPr>
            </w:pPr>
            <w:r>
              <w:rPr>
                <w:rFonts w:ascii="Calibri"/>
                <w:w w:val="99"/>
                <w:sz w:val="20"/>
              </w:rPr>
              <w:t>3</w:t>
            </w:r>
          </w:p>
        </w:tc>
        <w:tc>
          <w:tcPr>
            <w:tcW w:w="1419" w:type="dxa"/>
          </w:tcPr>
          <w:p w:rsidR="006A18FD" w:rsidRDefault="002D29FC">
            <w:pPr>
              <w:spacing w:before="121"/>
              <w:ind w:left="246" w:right="246"/>
              <w:jc w:val="center"/>
              <w:rPr>
                <w:rFonts w:ascii="Calibri"/>
                <w:sz w:val="20"/>
              </w:rPr>
            </w:pPr>
            <w:r>
              <w:rPr>
                <w:rFonts w:ascii="Calibri"/>
                <w:sz w:val="20"/>
              </w:rPr>
              <w:t>5 (2.6)</w:t>
            </w:r>
          </w:p>
        </w:tc>
        <w:tc>
          <w:tcPr>
            <w:tcW w:w="1560" w:type="dxa"/>
          </w:tcPr>
          <w:p w:rsidR="006A18FD" w:rsidRDefault="002D29FC">
            <w:pPr>
              <w:spacing w:before="121"/>
              <w:ind w:left="418" w:right="419"/>
              <w:jc w:val="center"/>
              <w:rPr>
                <w:rFonts w:ascii="Calibri"/>
                <w:sz w:val="20"/>
              </w:rPr>
            </w:pPr>
            <w:r>
              <w:rPr>
                <w:rFonts w:ascii="Calibri"/>
                <w:sz w:val="20"/>
              </w:rPr>
              <w:t>0.8 (0.1)</w:t>
            </w:r>
          </w:p>
        </w:tc>
        <w:tc>
          <w:tcPr>
            <w:tcW w:w="2269" w:type="dxa"/>
          </w:tcPr>
          <w:p w:rsidR="006A18FD" w:rsidRDefault="002D29FC">
            <w:pPr>
              <w:spacing w:before="121"/>
              <w:ind w:left="262" w:right="263"/>
              <w:jc w:val="center"/>
              <w:rPr>
                <w:rFonts w:ascii="Calibri" w:hAnsi="Calibri"/>
                <w:sz w:val="20"/>
              </w:rPr>
            </w:pPr>
            <w:r>
              <w:rPr>
                <w:rFonts w:ascii="Calibri" w:hAnsi="Calibri"/>
                <w:sz w:val="20"/>
              </w:rPr>
              <w:t>£8.00 (£4.20)</w:t>
            </w:r>
          </w:p>
        </w:tc>
      </w:tr>
      <w:tr w:rsidR="006A18FD">
        <w:trPr>
          <w:trHeight w:val="480"/>
        </w:trPr>
        <w:tc>
          <w:tcPr>
            <w:tcW w:w="4112" w:type="dxa"/>
          </w:tcPr>
          <w:p w:rsidR="006A18FD" w:rsidRDefault="002D29FC">
            <w:pPr>
              <w:spacing w:before="121"/>
              <w:ind w:left="239"/>
              <w:rPr>
                <w:rFonts w:ascii="Calibri"/>
                <w:sz w:val="20"/>
              </w:rPr>
            </w:pPr>
            <w:r>
              <w:rPr>
                <w:rFonts w:ascii="Calibri"/>
                <w:sz w:val="20"/>
              </w:rPr>
              <w:t>Social worker</w:t>
            </w:r>
          </w:p>
        </w:tc>
        <w:tc>
          <w:tcPr>
            <w:tcW w:w="850" w:type="dxa"/>
          </w:tcPr>
          <w:p w:rsidR="006A18FD" w:rsidRDefault="002D29FC">
            <w:pPr>
              <w:spacing w:before="121"/>
              <w:jc w:val="center"/>
              <w:rPr>
                <w:rFonts w:ascii="Calibri"/>
                <w:sz w:val="20"/>
              </w:rPr>
            </w:pPr>
            <w:r>
              <w:rPr>
                <w:rFonts w:ascii="Calibri"/>
                <w:w w:val="99"/>
                <w:sz w:val="20"/>
              </w:rPr>
              <w:t>3</w:t>
            </w:r>
          </w:p>
        </w:tc>
        <w:tc>
          <w:tcPr>
            <w:tcW w:w="1419" w:type="dxa"/>
          </w:tcPr>
          <w:p w:rsidR="006A18FD" w:rsidRDefault="002D29FC">
            <w:pPr>
              <w:spacing w:before="121"/>
              <w:ind w:left="246" w:right="246"/>
              <w:jc w:val="center"/>
              <w:rPr>
                <w:rFonts w:ascii="Calibri"/>
                <w:sz w:val="20"/>
              </w:rPr>
            </w:pPr>
            <w:r>
              <w:rPr>
                <w:rFonts w:ascii="Calibri"/>
                <w:sz w:val="20"/>
              </w:rPr>
              <w:t>48.3 (17.2)</w:t>
            </w:r>
          </w:p>
        </w:tc>
        <w:tc>
          <w:tcPr>
            <w:tcW w:w="1560" w:type="dxa"/>
          </w:tcPr>
          <w:p w:rsidR="006A18FD" w:rsidRDefault="002D29FC">
            <w:pPr>
              <w:spacing w:before="121"/>
              <w:ind w:left="417" w:right="419"/>
              <w:jc w:val="center"/>
              <w:rPr>
                <w:rFonts w:ascii="Calibri"/>
                <w:sz w:val="20"/>
              </w:rPr>
            </w:pPr>
            <w:r>
              <w:rPr>
                <w:rFonts w:ascii="Calibri"/>
                <w:sz w:val="20"/>
              </w:rPr>
              <w:t>0.4 (0)</w:t>
            </w:r>
          </w:p>
        </w:tc>
        <w:tc>
          <w:tcPr>
            <w:tcW w:w="2269" w:type="dxa"/>
          </w:tcPr>
          <w:p w:rsidR="006A18FD" w:rsidRDefault="002D29FC">
            <w:pPr>
              <w:spacing w:before="121"/>
              <w:ind w:left="262" w:right="263"/>
              <w:jc w:val="center"/>
              <w:rPr>
                <w:rFonts w:ascii="Calibri" w:hAnsi="Calibri"/>
                <w:sz w:val="20"/>
              </w:rPr>
            </w:pPr>
            <w:r>
              <w:rPr>
                <w:rFonts w:ascii="Calibri" w:hAnsi="Calibri"/>
                <w:sz w:val="20"/>
              </w:rPr>
              <w:t>£144 (£62)</w:t>
            </w:r>
          </w:p>
        </w:tc>
      </w:tr>
      <w:tr w:rsidR="006A18FD">
        <w:trPr>
          <w:trHeight w:val="480"/>
        </w:trPr>
        <w:tc>
          <w:tcPr>
            <w:tcW w:w="4112" w:type="dxa"/>
          </w:tcPr>
          <w:p w:rsidR="006A18FD" w:rsidRDefault="002D29FC">
            <w:pPr>
              <w:spacing w:before="121"/>
              <w:ind w:left="239"/>
              <w:rPr>
                <w:rFonts w:ascii="Calibri"/>
                <w:sz w:val="20"/>
              </w:rPr>
            </w:pPr>
            <w:r>
              <w:rPr>
                <w:rFonts w:ascii="Calibri"/>
                <w:sz w:val="20"/>
              </w:rPr>
              <w:t>Care worker</w:t>
            </w:r>
          </w:p>
        </w:tc>
        <w:tc>
          <w:tcPr>
            <w:tcW w:w="850" w:type="dxa"/>
          </w:tcPr>
          <w:p w:rsidR="006A18FD" w:rsidRDefault="002D29FC">
            <w:pPr>
              <w:spacing w:before="121"/>
              <w:jc w:val="center"/>
              <w:rPr>
                <w:rFonts w:ascii="Calibri"/>
                <w:sz w:val="20"/>
              </w:rPr>
            </w:pPr>
            <w:r>
              <w:rPr>
                <w:rFonts w:ascii="Calibri"/>
                <w:w w:val="99"/>
                <w:sz w:val="20"/>
              </w:rPr>
              <w:t>1</w:t>
            </w:r>
          </w:p>
        </w:tc>
        <w:tc>
          <w:tcPr>
            <w:tcW w:w="1419" w:type="dxa"/>
          </w:tcPr>
          <w:p w:rsidR="006A18FD" w:rsidRDefault="002D29FC">
            <w:pPr>
              <w:spacing w:before="121"/>
              <w:ind w:left="245" w:right="246"/>
              <w:jc w:val="center"/>
              <w:rPr>
                <w:rFonts w:ascii="Calibri"/>
                <w:sz w:val="20"/>
              </w:rPr>
            </w:pPr>
            <w:r>
              <w:rPr>
                <w:rFonts w:ascii="Calibri"/>
                <w:sz w:val="20"/>
              </w:rPr>
              <w:t>182</w:t>
            </w:r>
          </w:p>
        </w:tc>
        <w:tc>
          <w:tcPr>
            <w:tcW w:w="1560" w:type="dxa"/>
          </w:tcPr>
          <w:p w:rsidR="006A18FD" w:rsidRDefault="002D29FC">
            <w:pPr>
              <w:spacing w:before="121"/>
              <w:ind w:left="418" w:right="418"/>
              <w:jc w:val="center"/>
              <w:rPr>
                <w:rFonts w:ascii="Calibri"/>
                <w:sz w:val="20"/>
              </w:rPr>
            </w:pPr>
            <w:r>
              <w:rPr>
                <w:rFonts w:ascii="Calibri"/>
                <w:sz w:val="20"/>
              </w:rPr>
              <w:t>24</w:t>
            </w:r>
          </w:p>
        </w:tc>
        <w:tc>
          <w:tcPr>
            <w:tcW w:w="2269" w:type="dxa"/>
          </w:tcPr>
          <w:p w:rsidR="006A18FD" w:rsidRDefault="002D29FC">
            <w:pPr>
              <w:spacing w:before="121"/>
              <w:ind w:left="262" w:right="263"/>
              <w:jc w:val="center"/>
              <w:rPr>
                <w:rFonts w:ascii="Calibri" w:hAnsi="Calibri"/>
                <w:sz w:val="20"/>
              </w:rPr>
            </w:pPr>
            <w:r>
              <w:rPr>
                <w:rFonts w:ascii="Calibri" w:hAnsi="Calibri"/>
                <w:sz w:val="20"/>
              </w:rPr>
              <w:t>£1,551 (£2,686)</w:t>
            </w:r>
          </w:p>
        </w:tc>
      </w:tr>
      <w:tr w:rsidR="006A18FD">
        <w:trPr>
          <w:trHeight w:val="480"/>
        </w:trPr>
        <w:tc>
          <w:tcPr>
            <w:tcW w:w="4112" w:type="dxa"/>
          </w:tcPr>
          <w:p w:rsidR="006A18FD" w:rsidRDefault="002D29FC">
            <w:pPr>
              <w:spacing w:before="121"/>
              <w:ind w:left="239"/>
              <w:rPr>
                <w:rFonts w:ascii="Calibri"/>
                <w:sz w:val="20"/>
              </w:rPr>
            </w:pPr>
            <w:r>
              <w:rPr>
                <w:rFonts w:ascii="Calibri"/>
                <w:sz w:val="20"/>
              </w:rPr>
              <w:t>Other services (paid through direct payments)</w:t>
            </w:r>
          </w:p>
        </w:tc>
        <w:tc>
          <w:tcPr>
            <w:tcW w:w="850" w:type="dxa"/>
          </w:tcPr>
          <w:p w:rsidR="006A18FD" w:rsidRDefault="002D29FC">
            <w:pPr>
              <w:spacing w:before="121"/>
              <w:jc w:val="center"/>
              <w:rPr>
                <w:rFonts w:ascii="Calibri"/>
                <w:sz w:val="20"/>
              </w:rPr>
            </w:pPr>
            <w:r>
              <w:rPr>
                <w:rFonts w:ascii="Calibri"/>
                <w:w w:val="99"/>
                <w:sz w:val="20"/>
              </w:rPr>
              <w:t>2</w:t>
            </w:r>
          </w:p>
        </w:tc>
        <w:tc>
          <w:tcPr>
            <w:tcW w:w="1419" w:type="dxa"/>
          </w:tcPr>
          <w:p w:rsidR="006A18FD" w:rsidRDefault="002D29FC">
            <w:pPr>
              <w:spacing w:before="121"/>
              <w:ind w:left="245" w:right="246"/>
              <w:jc w:val="center"/>
              <w:rPr>
                <w:rFonts w:ascii="Calibri"/>
                <w:sz w:val="20"/>
              </w:rPr>
            </w:pPr>
            <w:r>
              <w:rPr>
                <w:rFonts w:ascii="Calibri"/>
                <w:sz w:val="20"/>
              </w:rPr>
              <w:t>78</w:t>
            </w:r>
          </w:p>
        </w:tc>
        <w:tc>
          <w:tcPr>
            <w:tcW w:w="1560" w:type="dxa"/>
          </w:tcPr>
          <w:p w:rsidR="006A18FD" w:rsidRDefault="006A18FD">
            <w:pPr>
              <w:rPr>
                <w:rFonts w:ascii="Times New Roman"/>
                <w:sz w:val="20"/>
              </w:rPr>
            </w:pPr>
          </w:p>
        </w:tc>
        <w:tc>
          <w:tcPr>
            <w:tcW w:w="2269" w:type="dxa"/>
          </w:tcPr>
          <w:p w:rsidR="006A18FD" w:rsidRDefault="002D29FC">
            <w:pPr>
              <w:spacing w:before="121"/>
              <w:ind w:left="262" w:right="263"/>
              <w:jc w:val="center"/>
              <w:rPr>
                <w:rFonts w:ascii="Calibri" w:hAnsi="Calibri"/>
                <w:sz w:val="20"/>
              </w:rPr>
            </w:pPr>
            <w:r>
              <w:rPr>
                <w:rFonts w:ascii="Calibri" w:hAnsi="Calibri"/>
                <w:sz w:val="20"/>
              </w:rPr>
              <w:t>£148 (£128)</w:t>
            </w:r>
          </w:p>
        </w:tc>
      </w:tr>
      <w:tr w:rsidR="006A18FD">
        <w:trPr>
          <w:trHeight w:val="480"/>
        </w:trPr>
        <w:tc>
          <w:tcPr>
            <w:tcW w:w="4112" w:type="dxa"/>
          </w:tcPr>
          <w:p w:rsidR="006A18FD" w:rsidRDefault="002D29FC">
            <w:pPr>
              <w:spacing w:before="121"/>
              <w:ind w:left="148"/>
              <w:rPr>
                <w:rFonts w:ascii="Calibri"/>
                <w:b/>
                <w:sz w:val="20"/>
              </w:rPr>
            </w:pPr>
            <w:r>
              <w:rPr>
                <w:rFonts w:ascii="Calibri"/>
                <w:b/>
                <w:sz w:val="20"/>
              </w:rPr>
              <w:t>Total community-based care</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2D29FC">
            <w:pPr>
              <w:spacing w:before="121"/>
              <w:ind w:left="261" w:right="263"/>
              <w:jc w:val="center"/>
              <w:rPr>
                <w:rFonts w:ascii="Calibri" w:hAnsi="Calibri"/>
                <w:b/>
                <w:sz w:val="20"/>
              </w:rPr>
            </w:pPr>
            <w:r>
              <w:rPr>
                <w:rFonts w:ascii="Calibri" w:hAnsi="Calibri"/>
                <w:b/>
                <w:sz w:val="20"/>
              </w:rPr>
              <w:t>£1,865 (£2,530)</w:t>
            </w:r>
          </w:p>
        </w:tc>
      </w:tr>
      <w:tr w:rsidR="006A18FD">
        <w:trPr>
          <w:trHeight w:val="480"/>
        </w:trPr>
        <w:tc>
          <w:tcPr>
            <w:tcW w:w="4112" w:type="dxa"/>
          </w:tcPr>
          <w:p w:rsidR="006A18FD" w:rsidRDefault="002D29FC">
            <w:pPr>
              <w:spacing w:before="121"/>
              <w:ind w:left="239"/>
              <w:rPr>
                <w:rFonts w:ascii="Calibri"/>
                <w:sz w:val="20"/>
              </w:rPr>
            </w:pPr>
            <w:r>
              <w:rPr>
                <w:rFonts w:ascii="Calibri"/>
                <w:sz w:val="20"/>
              </w:rPr>
              <w:t>Day care centre</w:t>
            </w:r>
          </w:p>
        </w:tc>
        <w:tc>
          <w:tcPr>
            <w:tcW w:w="850" w:type="dxa"/>
          </w:tcPr>
          <w:p w:rsidR="006A18FD" w:rsidRDefault="002D29FC">
            <w:pPr>
              <w:spacing w:before="121"/>
              <w:jc w:val="center"/>
              <w:rPr>
                <w:rFonts w:ascii="Calibri"/>
                <w:sz w:val="20"/>
              </w:rPr>
            </w:pPr>
            <w:r>
              <w:rPr>
                <w:rFonts w:ascii="Calibri"/>
                <w:w w:val="99"/>
                <w:sz w:val="20"/>
              </w:rPr>
              <w:t>1</w:t>
            </w:r>
          </w:p>
        </w:tc>
        <w:tc>
          <w:tcPr>
            <w:tcW w:w="1419" w:type="dxa"/>
          </w:tcPr>
          <w:p w:rsidR="006A18FD" w:rsidRDefault="002D29FC">
            <w:pPr>
              <w:spacing w:before="121"/>
              <w:ind w:left="245" w:right="246"/>
              <w:jc w:val="center"/>
              <w:rPr>
                <w:rFonts w:ascii="Calibri"/>
                <w:sz w:val="20"/>
              </w:rPr>
            </w:pPr>
            <w:r>
              <w:rPr>
                <w:rFonts w:ascii="Calibri"/>
                <w:sz w:val="20"/>
              </w:rPr>
              <w:t>78</w:t>
            </w:r>
          </w:p>
        </w:tc>
        <w:tc>
          <w:tcPr>
            <w:tcW w:w="1560" w:type="dxa"/>
          </w:tcPr>
          <w:p w:rsidR="006A18FD" w:rsidRDefault="002D29FC">
            <w:pPr>
              <w:spacing w:before="121"/>
              <w:jc w:val="center"/>
              <w:rPr>
                <w:rFonts w:ascii="Calibri"/>
                <w:sz w:val="20"/>
              </w:rPr>
            </w:pPr>
            <w:r>
              <w:rPr>
                <w:rFonts w:ascii="Calibri"/>
                <w:w w:val="99"/>
                <w:sz w:val="20"/>
              </w:rPr>
              <w:t>6</w:t>
            </w:r>
          </w:p>
        </w:tc>
        <w:tc>
          <w:tcPr>
            <w:tcW w:w="2269" w:type="dxa"/>
          </w:tcPr>
          <w:p w:rsidR="006A18FD" w:rsidRDefault="002D29FC">
            <w:pPr>
              <w:spacing w:before="121"/>
              <w:ind w:left="262" w:right="263"/>
              <w:jc w:val="center"/>
              <w:rPr>
                <w:rFonts w:ascii="Calibri" w:hAnsi="Calibri"/>
                <w:sz w:val="20"/>
              </w:rPr>
            </w:pPr>
            <w:r>
              <w:rPr>
                <w:rFonts w:ascii="Calibri" w:hAnsi="Calibri"/>
                <w:sz w:val="20"/>
              </w:rPr>
              <w:t>£66 (£114)</w:t>
            </w:r>
          </w:p>
        </w:tc>
      </w:tr>
      <w:tr w:rsidR="006A18FD">
        <w:trPr>
          <w:trHeight w:val="480"/>
        </w:trPr>
        <w:tc>
          <w:tcPr>
            <w:tcW w:w="4112" w:type="dxa"/>
          </w:tcPr>
          <w:p w:rsidR="006A18FD" w:rsidRDefault="002D29FC">
            <w:pPr>
              <w:spacing w:before="123"/>
              <w:ind w:left="148"/>
              <w:rPr>
                <w:rFonts w:ascii="Calibri"/>
                <w:b/>
                <w:sz w:val="20"/>
              </w:rPr>
            </w:pPr>
            <w:r>
              <w:rPr>
                <w:rFonts w:ascii="Calibri"/>
                <w:b/>
                <w:sz w:val="20"/>
              </w:rPr>
              <w:t>Total health and social care</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2D29FC">
            <w:pPr>
              <w:spacing w:before="123"/>
              <w:ind w:left="261" w:right="263"/>
              <w:jc w:val="center"/>
              <w:rPr>
                <w:rFonts w:ascii="Calibri" w:hAnsi="Calibri"/>
                <w:b/>
                <w:sz w:val="20"/>
              </w:rPr>
            </w:pPr>
            <w:r>
              <w:rPr>
                <w:rFonts w:ascii="Calibri" w:hAnsi="Calibri"/>
                <w:b/>
                <w:sz w:val="20"/>
              </w:rPr>
              <w:t>£2,388 (£2,997)</w:t>
            </w:r>
          </w:p>
        </w:tc>
      </w:tr>
      <w:tr w:rsidR="006A18FD">
        <w:trPr>
          <w:trHeight w:val="960"/>
        </w:trPr>
        <w:tc>
          <w:tcPr>
            <w:tcW w:w="4112" w:type="dxa"/>
          </w:tcPr>
          <w:p w:rsidR="006A18FD" w:rsidRDefault="002D29FC">
            <w:pPr>
              <w:spacing w:before="121"/>
              <w:ind w:left="102"/>
              <w:rPr>
                <w:rFonts w:ascii="Calibri"/>
                <w:sz w:val="20"/>
              </w:rPr>
            </w:pPr>
            <w:r>
              <w:rPr>
                <w:rFonts w:ascii="Calibri"/>
                <w:sz w:val="20"/>
              </w:rPr>
              <w:t>Positive behavioural support for adults with intellectual disabilities and behaviour that challenges</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2D29FC">
            <w:pPr>
              <w:spacing w:before="121"/>
              <w:ind w:left="262" w:right="263"/>
              <w:jc w:val="center"/>
              <w:rPr>
                <w:rFonts w:ascii="Calibri" w:hAnsi="Calibri"/>
                <w:sz w:val="20"/>
              </w:rPr>
            </w:pPr>
            <w:r>
              <w:rPr>
                <w:rFonts w:ascii="Calibri" w:hAnsi="Calibri"/>
                <w:sz w:val="20"/>
              </w:rPr>
              <w:t>£260</w:t>
            </w:r>
          </w:p>
        </w:tc>
      </w:tr>
      <w:tr w:rsidR="006A18FD">
        <w:trPr>
          <w:trHeight w:val="480"/>
        </w:trPr>
        <w:tc>
          <w:tcPr>
            <w:tcW w:w="4112" w:type="dxa"/>
          </w:tcPr>
          <w:p w:rsidR="006A18FD" w:rsidRDefault="002D29FC">
            <w:pPr>
              <w:spacing w:before="121"/>
              <w:ind w:left="148"/>
              <w:rPr>
                <w:rFonts w:ascii="Calibri"/>
                <w:b/>
                <w:sz w:val="20"/>
              </w:rPr>
            </w:pPr>
            <w:r>
              <w:rPr>
                <w:rFonts w:ascii="Calibri"/>
                <w:b/>
                <w:sz w:val="20"/>
              </w:rPr>
              <w:t>Total health and social care (+PBSS)</w:t>
            </w:r>
          </w:p>
        </w:tc>
        <w:tc>
          <w:tcPr>
            <w:tcW w:w="850" w:type="dxa"/>
          </w:tcPr>
          <w:p w:rsidR="006A18FD" w:rsidRDefault="006A18FD">
            <w:pPr>
              <w:rPr>
                <w:rFonts w:ascii="Times New Roman"/>
                <w:sz w:val="20"/>
              </w:rPr>
            </w:pPr>
          </w:p>
        </w:tc>
        <w:tc>
          <w:tcPr>
            <w:tcW w:w="1419" w:type="dxa"/>
          </w:tcPr>
          <w:p w:rsidR="006A18FD" w:rsidRDefault="006A18FD">
            <w:pPr>
              <w:rPr>
                <w:rFonts w:ascii="Times New Roman"/>
                <w:sz w:val="20"/>
              </w:rPr>
            </w:pPr>
          </w:p>
        </w:tc>
        <w:tc>
          <w:tcPr>
            <w:tcW w:w="1560" w:type="dxa"/>
          </w:tcPr>
          <w:p w:rsidR="006A18FD" w:rsidRDefault="006A18FD">
            <w:pPr>
              <w:rPr>
                <w:rFonts w:ascii="Times New Roman"/>
                <w:sz w:val="20"/>
              </w:rPr>
            </w:pPr>
          </w:p>
        </w:tc>
        <w:tc>
          <w:tcPr>
            <w:tcW w:w="2269" w:type="dxa"/>
          </w:tcPr>
          <w:p w:rsidR="006A18FD" w:rsidRDefault="002D29FC">
            <w:pPr>
              <w:spacing w:before="121"/>
              <w:ind w:left="261" w:right="263"/>
              <w:jc w:val="center"/>
              <w:rPr>
                <w:rFonts w:ascii="Calibri" w:hAnsi="Calibri"/>
                <w:b/>
                <w:sz w:val="20"/>
              </w:rPr>
            </w:pPr>
            <w:r>
              <w:rPr>
                <w:rFonts w:ascii="Calibri" w:hAnsi="Calibri"/>
                <w:b/>
                <w:sz w:val="20"/>
              </w:rPr>
              <w:t>£2,648 (£2,756)</w:t>
            </w:r>
          </w:p>
        </w:tc>
      </w:tr>
    </w:tbl>
    <w:p w:rsidR="006A18FD" w:rsidRDefault="006A18FD">
      <w:pPr>
        <w:jc w:val="center"/>
        <w:rPr>
          <w:rFonts w:ascii="Calibri" w:hAnsi="Calibri"/>
          <w:sz w:val="20"/>
        </w:rPr>
        <w:sectPr w:rsidR="006A18FD">
          <w:headerReference w:type="even" r:id="rId174"/>
          <w:pgSz w:w="11910" w:h="16840"/>
          <w:pgMar w:top="960" w:right="720" w:bottom="280" w:left="580" w:header="763" w:footer="0" w:gutter="0"/>
          <w:pgNumType w:start="62"/>
          <w:cols w:space="720"/>
        </w:sect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7"/>
        <w:rPr>
          <w:rFonts w:ascii="Calibri"/>
          <w:b/>
          <w:sz w:val="18"/>
        </w:rPr>
      </w:pPr>
    </w:p>
    <w:p w:rsidR="006A18FD" w:rsidRPr="006267D6" w:rsidRDefault="002D29FC" w:rsidP="008E3FA8">
      <w:pPr>
        <w:pStyle w:val="ListParagraph"/>
        <w:numPr>
          <w:ilvl w:val="0"/>
          <w:numId w:val="23"/>
        </w:numPr>
        <w:tabs>
          <w:tab w:val="left" w:pos="489"/>
        </w:tabs>
        <w:spacing w:before="100"/>
        <w:ind w:hanging="882"/>
        <w:rPr>
          <w:rFonts w:ascii="Cambria"/>
          <w:b/>
          <w:sz w:val="36"/>
        </w:rPr>
      </w:pPr>
      <w:r w:rsidRPr="006267D6">
        <w:rPr>
          <w:rFonts w:ascii="Cambria"/>
          <w:b/>
          <w:sz w:val="36"/>
        </w:rPr>
        <w:t>Services for adults requiring physical</w:t>
      </w:r>
      <w:r w:rsidRPr="006267D6">
        <w:rPr>
          <w:rFonts w:ascii="Cambria"/>
          <w:b/>
          <w:spacing w:val="-28"/>
          <w:sz w:val="36"/>
        </w:rPr>
        <w:t xml:space="preserve"> </w:t>
      </w:r>
      <w:r w:rsidRPr="006267D6">
        <w:rPr>
          <w:rFonts w:ascii="Cambria"/>
          <w:b/>
          <w:sz w:val="36"/>
        </w:rPr>
        <w:t>support</w:t>
      </w:r>
    </w:p>
    <w:p w:rsidR="006A18FD" w:rsidRPr="006267D6" w:rsidRDefault="002D29FC" w:rsidP="008E3FA8">
      <w:pPr>
        <w:pStyle w:val="ListParagraph"/>
        <w:numPr>
          <w:ilvl w:val="1"/>
          <w:numId w:val="23"/>
        </w:numPr>
        <w:tabs>
          <w:tab w:val="left" w:pos="531"/>
        </w:tabs>
        <w:spacing w:before="305"/>
        <w:rPr>
          <w:rFonts w:ascii="Calibri"/>
          <w:sz w:val="28"/>
        </w:rPr>
      </w:pPr>
      <w:r w:rsidRPr="006267D6">
        <w:rPr>
          <w:rFonts w:ascii="Calibri"/>
          <w:sz w:val="28"/>
        </w:rPr>
        <w:t>Local authority own-provision care homes for adults requiring physical</w:t>
      </w:r>
      <w:r w:rsidRPr="006267D6">
        <w:rPr>
          <w:rFonts w:ascii="Calibri"/>
          <w:spacing w:val="-39"/>
          <w:sz w:val="28"/>
        </w:rPr>
        <w:t xml:space="preserve"> </w:t>
      </w:r>
      <w:r w:rsidRPr="006267D6">
        <w:rPr>
          <w:rFonts w:ascii="Calibri"/>
          <w:sz w:val="28"/>
        </w:rPr>
        <w:t>support</w:t>
      </w:r>
    </w:p>
    <w:p w:rsidR="006A18FD" w:rsidRPr="006267D6" w:rsidRDefault="002D29FC" w:rsidP="008E3FA8">
      <w:pPr>
        <w:pStyle w:val="ListParagraph"/>
        <w:numPr>
          <w:ilvl w:val="1"/>
          <w:numId w:val="23"/>
        </w:numPr>
        <w:tabs>
          <w:tab w:val="left" w:pos="531"/>
        </w:tabs>
        <w:spacing w:before="169" w:line="276" w:lineRule="auto"/>
        <w:ind w:right="103"/>
        <w:rPr>
          <w:rFonts w:ascii="Calibri"/>
          <w:sz w:val="28"/>
        </w:rPr>
      </w:pPr>
      <w:r w:rsidRPr="006267D6">
        <w:rPr>
          <w:rFonts w:ascii="Calibri"/>
          <w:sz w:val="28"/>
        </w:rPr>
        <w:t>Voluntary, private and independent sector care homes for adults requiring physical support</w:t>
      </w:r>
    </w:p>
    <w:p w:rsidR="006A18FD" w:rsidRPr="006267D6" w:rsidRDefault="002D29FC" w:rsidP="008E3FA8">
      <w:pPr>
        <w:pStyle w:val="ListParagraph"/>
        <w:numPr>
          <w:ilvl w:val="1"/>
          <w:numId w:val="23"/>
        </w:numPr>
        <w:tabs>
          <w:tab w:val="left" w:pos="531"/>
        </w:tabs>
        <w:spacing w:before="121"/>
        <w:rPr>
          <w:rFonts w:ascii="Calibri"/>
          <w:sz w:val="28"/>
        </w:rPr>
      </w:pPr>
      <w:r w:rsidRPr="006267D6">
        <w:rPr>
          <w:rFonts w:ascii="Calibri"/>
          <w:sz w:val="28"/>
        </w:rPr>
        <w:t>Day care for adults requiring physical</w:t>
      </w:r>
      <w:r w:rsidRPr="006267D6">
        <w:rPr>
          <w:rFonts w:ascii="Calibri"/>
          <w:spacing w:val="-20"/>
          <w:sz w:val="28"/>
        </w:rPr>
        <w:t xml:space="preserve"> </w:t>
      </w:r>
      <w:r w:rsidRPr="006267D6">
        <w:rPr>
          <w:rFonts w:ascii="Calibri"/>
          <w:sz w:val="28"/>
        </w:rPr>
        <w:t>support</w:t>
      </w:r>
    </w:p>
    <w:p w:rsidR="006A18FD" w:rsidRDefault="006A18FD">
      <w:pPr>
        <w:rPr>
          <w:rFonts w:ascii="Calibri"/>
          <w:sz w:val="28"/>
        </w:rPr>
        <w:sectPr w:rsidR="006A18FD">
          <w:headerReference w:type="default" r:id="rId175"/>
          <w:pgSz w:w="11910" w:h="16840"/>
          <w:pgMar w:top="1580" w:right="80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1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13" name="Line 17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B3869" id="Group 16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N/03+d/AgAAgQUA&#10;AA4AAAAAAAAAAAAAAAAALgIAAGRycy9lMm9Eb2MueG1sUEsBAi0AFAAGAAgAAAAhAC135FzaAAAA&#10;BAEAAA8AAAAAAAAAAAAAAAAA2QQAAGRycy9kb3ducmV2LnhtbFBLBQYAAAAABAAEAPMAAADgBQAA&#10;AAA=&#10;">
                <v:line id="Line 17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w10:anchorlock/>
              </v:group>
            </w:pict>
          </mc:Fallback>
        </mc:AlternateContent>
      </w:r>
    </w:p>
    <w:p w:rsidR="006A18FD" w:rsidRDefault="006267D6" w:rsidP="006267D6">
      <w:pPr>
        <w:pStyle w:val="Heading2"/>
      </w:pPr>
      <w:r>
        <w:t xml:space="preserve">5.1 </w:t>
      </w:r>
      <w:r w:rsidR="002D29FC">
        <w:t>Local authority own-provision care homes for adults requiring physical support (age 18-64, summary provided for</w:t>
      </w:r>
      <w:r w:rsidR="002D29FC">
        <w:rPr>
          <w:spacing w:val="-23"/>
        </w:rPr>
        <w:t xml:space="preserve"> </w:t>
      </w:r>
      <w:r w:rsidR="002D29FC">
        <w:t>65+)</w:t>
      </w:r>
    </w:p>
    <w:p w:rsidR="006A18FD" w:rsidRDefault="002D29FC">
      <w:pPr>
        <w:spacing w:before="119"/>
        <w:ind w:left="140"/>
        <w:rPr>
          <w:rFonts w:ascii="Calibri"/>
          <w:sz w:val="13"/>
        </w:rPr>
      </w:pPr>
      <w:r>
        <w:rPr>
          <w:rFonts w:ascii="Calibri"/>
          <w:sz w:val="20"/>
        </w:rPr>
        <w:t>This table uses data from the ASC-FR data return (ASC-FR) for 2018/2019.</w:t>
      </w:r>
      <w:r>
        <w:rPr>
          <w:rFonts w:ascii="Calibri"/>
          <w:position w:val="7"/>
          <w:sz w:val="13"/>
        </w:rPr>
        <w:t>1</w:t>
      </w:r>
    </w:p>
    <w:p w:rsidR="006A18FD" w:rsidRDefault="006A18FD">
      <w:pPr>
        <w:spacing w:before="11"/>
        <w:rPr>
          <w:rFonts w:ascii="Calibri"/>
          <w:sz w:val="1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1664"/>
        <w:gridCol w:w="6075"/>
      </w:tblGrid>
      <w:tr w:rsidR="006A18FD" w:rsidTr="005B5AB5">
        <w:trPr>
          <w:trHeight w:val="600"/>
          <w:tblHeader/>
        </w:trPr>
        <w:tc>
          <w:tcPr>
            <w:tcW w:w="2223" w:type="dxa"/>
          </w:tcPr>
          <w:p w:rsidR="006A18FD" w:rsidRDefault="002D29FC">
            <w:pPr>
              <w:spacing w:before="1"/>
              <w:ind w:left="52" w:right="961"/>
              <w:rPr>
                <w:rFonts w:ascii="Calibri"/>
                <w:b/>
                <w:sz w:val="20"/>
              </w:rPr>
            </w:pPr>
            <w:r>
              <w:rPr>
                <w:rFonts w:ascii="Calibri"/>
                <w:b/>
                <w:sz w:val="20"/>
              </w:rPr>
              <w:t>Costs and unit estimation</w:t>
            </w:r>
          </w:p>
        </w:tc>
        <w:tc>
          <w:tcPr>
            <w:tcW w:w="1664" w:type="dxa"/>
          </w:tcPr>
          <w:p w:rsidR="006A18FD" w:rsidRDefault="002D29FC">
            <w:pPr>
              <w:spacing w:before="1"/>
              <w:ind w:left="100"/>
              <w:rPr>
                <w:rFonts w:ascii="Calibri"/>
                <w:b/>
                <w:sz w:val="20"/>
              </w:rPr>
            </w:pPr>
            <w:r>
              <w:rPr>
                <w:rFonts w:ascii="Calibri"/>
                <w:b/>
                <w:sz w:val="20"/>
              </w:rPr>
              <w:t>2018/2019 value</w:t>
            </w:r>
          </w:p>
        </w:tc>
        <w:tc>
          <w:tcPr>
            <w:tcW w:w="6075" w:type="dxa"/>
          </w:tcPr>
          <w:p w:rsidR="006A18FD" w:rsidRDefault="002D29FC">
            <w:pPr>
              <w:spacing w:before="1"/>
              <w:ind w:left="103"/>
              <w:rPr>
                <w:rFonts w:ascii="Calibri"/>
                <w:b/>
                <w:sz w:val="20"/>
              </w:rPr>
            </w:pPr>
            <w:r>
              <w:rPr>
                <w:rFonts w:ascii="Calibri"/>
                <w:b/>
                <w:sz w:val="20"/>
              </w:rPr>
              <w:t>Notes</w:t>
            </w:r>
          </w:p>
        </w:tc>
      </w:tr>
      <w:tr w:rsidR="006A18FD">
        <w:trPr>
          <w:trHeight w:val="1220"/>
        </w:trPr>
        <w:tc>
          <w:tcPr>
            <w:tcW w:w="2223" w:type="dxa"/>
          </w:tcPr>
          <w:p w:rsidR="006A18FD" w:rsidRDefault="002D29FC">
            <w:pPr>
              <w:spacing w:before="1"/>
              <w:ind w:left="52"/>
              <w:rPr>
                <w:rFonts w:ascii="Calibri"/>
                <w:sz w:val="20"/>
              </w:rPr>
            </w:pPr>
            <w:r>
              <w:rPr>
                <w:rFonts w:ascii="Calibri"/>
                <w:sz w:val="20"/>
              </w:rPr>
              <w:t>Capital costs</w:t>
            </w:r>
          </w:p>
          <w:p w:rsidR="006A18FD" w:rsidRDefault="002D29FC">
            <w:pPr>
              <w:ind w:left="52"/>
              <w:rPr>
                <w:rFonts w:ascii="Calibri"/>
                <w:sz w:val="20"/>
              </w:rPr>
            </w:pPr>
            <w:r>
              <w:rPr>
                <w:rFonts w:ascii="Calibri"/>
                <w:sz w:val="20"/>
              </w:rPr>
              <w:t>A. Buildings and oncosts</w:t>
            </w:r>
          </w:p>
        </w:tc>
        <w:tc>
          <w:tcPr>
            <w:tcW w:w="1664" w:type="dxa"/>
          </w:tcPr>
          <w:p w:rsidR="006A18FD" w:rsidRDefault="006A18FD">
            <w:pPr>
              <w:spacing w:before="2"/>
              <w:rPr>
                <w:rFonts w:ascii="Calibri"/>
                <w:sz w:val="20"/>
              </w:rPr>
            </w:pPr>
          </w:p>
          <w:p w:rsidR="006A18FD" w:rsidRDefault="002D29FC">
            <w:pPr>
              <w:ind w:left="100"/>
              <w:rPr>
                <w:rFonts w:ascii="Calibri" w:hAnsi="Calibri"/>
                <w:sz w:val="20"/>
              </w:rPr>
            </w:pPr>
            <w:r>
              <w:rPr>
                <w:rFonts w:ascii="Calibri" w:hAnsi="Calibri"/>
                <w:sz w:val="20"/>
              </w:rPr>
              <w:t>£161 per resident week</w:t>
            </w:r>
          </w:p>
        </w:tc>
        <w:tc>
          <w:tcPr>
            <w:tcW w:w="6075" w:type="dxa"/>
          </w:tcPr>
          <w:p w:rsidR="006A18FD" w:rsidRDefault="006A18FD">
            <w:pPr>
              <w:spacing w:before="2"/>
              <w:rPr>
                <w:rFonts w:ascii="Calibri"/>
                <w:sz w:val="20"/>
              </w:rPr>
            </w:pPr>
          </w:p>
          <w:p w:rsidR="006A18FD" w:rsidRDefault="002D29FC">
            <w:pPr>
              <w:ind w:left="103"/>
              <w:rPr>
                <w:rFonts w:ascii="Calibri"/>
                <w:sz w:val="20"/>
              </w:rPr>
            </w:pPr>
            <w:r>
              <w:rPr>
                <w:rFonts w:ascii="Calibri"/>
                <w:sz w:val="20"/>
              </w:rPr>
              <w:t>Based on the new-build and land requirements for local authority residential care establishments. These allow for 57.3 square metres per person.</w:t>
            </w:r>
            <w:r>
              <w:rPr>
                <w:rFonts w:ascii="Calibri"/>
                <w:position w:val="7"/>
                <w:sz w:val="13"/>
              </w:rPr>
              <w:t xml:space="preserve">2 </w:t>
            </w:r>
            <w:r>
              <w:rPr>
                <w:rFonts w:ascii="Calibri"/>
                <w:sz w:val="20"/>
              </w:rPr>
              <w:t>Capital costs have been annuitised over 60 years at a discount</w:t>
            </w:r>
          </w:p>
          <w:p w:rsidR="006A18FD" w:rsidRDefault="002D29FC">
            <w:pPr>
              <w:spacing w:line="221" w:lineRule="exact"/>
              <w:ind w:left="103"/>
              <w:rPr>
                <w:rFonts w:ascii="Calibri"/>
                <w:sz w:val="20"/>
              </w:rPr>
            </w:pPr>
            <w:r>
              <w:rPr>
                <w:rFonts w:ascii="Calibri"/>
                <w:sz w:val="20"/>
              </w:rPr>
              <w:t>rate of 3.5 per cent, declining to 3 per cent after 30 years.</w:t>
            </w:r>
          </w:p>
        </w:tc>
      </w:tr>
      <w:tr w:rsidR="006A18FD">
        <w:trPr>
          <w:trHeight w:val="720"/>
        </w:trPr>
        <w:tc>
          <w:tcPr>
            <w:tcW w:w="2223" w:type="dxa"/>
          </w:tcPr>
          <w:p w:rsidR="006A18FD" w:rsidRDefault="002D29FC">
            <w:pPr>
              <w:spacing w:before="1"/>
              <w:ind w:left="52"/>
              <w:rPr>
                <w:rFonts w:ascii="Calibri"/>
                <w:sz w:val="20"/>
              </w:rPr>
            </w:pPr>
            <w:r>
              <w:rPr>
                <w:rFonts w:ascii="Calibri"/>
                <w:sz w:val="20"/>
              </w:rPr>
              <w:t>B. Land costs</w:t>
            </w:r>
          </w:p>
        </w:tc>
        <w:tc>
          <w:tcPr>
            <w:tcW w:w="1664" w:type="dxa"/>
          </w:tcPr>
          <w:p w:rsidR="006A18FD" w:rsidRDefault="002D29FC">
            <w:pPr>
              <w:spacing w:before="1"/>
              <w:ind w:left="100"/>
              <w:rPr>
                <w:rFonts w:ascii="Calibri" w:hAnsi="Calibri"/>
                <w:sz w:val="20"/>
              </w:rPr>
            </w:pPr>
            <w:r>
              <w:rPr>
                <w:rFonts w:ascii="Calibri" w:hAnsi="Calibri"/>
                <w:sz w:val="20"/>
              </w:rPr>
              <w:t>£26 per resident week</w:t>
            </w:r>
          </w:p>
        </w:tc>
        <w:tc>
          <w:tcPr>
            <w:tcW w:w="6075" w:type="dxa"/>
          </w:tcPr>
          <w:p w:rsidR="006A18FD" w:rsidRDefault="002D29FC">
            <w:pPr>
              <w:spacing w:before="4" w:line="237" w:lineRule="auto"/>
              <w:ind w:left="103" w:right="140"/>
              <w:rPr>
                <w:rFonts w:ascii="Calibri"/>
                <w:sz w:val="20"/>
              </w:rPr>
            </w:pPr>
            <w:r>
              <w:rPr>
                <w:rFonts w:ascii="Calibri"/>
                <w:sz w:val="20"/>
              </w:rPr>
              <w:t>Based on Ministry of Housing, Communities &amp; Local Government land estimates.</w:t>
            </w:r>
            <w:r>
              <w:rPr>
                <w:rFonts w:ascii="Calibri"/>
                <w:position w:val="7"/>
                <w:sz w:val="13"/>
              </w:rPr>
              <w:t xml:space="preserve">3 </w:t>
            </w:r>
            <w:r>
              <w:rPr>
                <w:rFonts w:ascii="Calibri"/>
                <w:sz w:val="20"/>
              </w:rPr>
              <w:t>Land costs have been annuitised over 60 years at a discount</w:t>
            </w:r>
          </w:p>
          <w:p w:rsidR="006A18FD" w:rsidRDefault="002D29FC">
            <w:pPr>
              <w:spacing w:before="1" w:line="223" w:lineRule="exact"/>
              <w:ind w:left="103"/>
              <w:rPr>
                <w:rFonts w:ascii="Calibri"/>
                <w:sz w:val="20"/>
              </w:rPr>
            </w:pPr>
            <w:r>
              <w:rPr>
                <w:rFonts w:ascii="Calibri"/>
                <w:sz w:val="20"/>
              </w:rPr>
              <w:t>rate of 3.5 per cent, declining to 3 per cent after 30 years.</w:t>
            </w:r>
          </w:p>
        </w:tc>
      </w:tr>
      <w:tr w:rsidR="006A18FD">
        <w:trPr>
          <w:trHeight w:val="2180"/>
        </w:trPr>
        <w:tc>
          <w:tcPr>
            <w:tcW w:w="2223" w:type="dxa"/>
          </w:tcPr>
          <w:p w:rsidR="006A18FD" w:rsidRDefault="002D29FC" w:rsidP="008E3FA8">
            <w:pPr>
              <w:numPr>
                <w:ilvl w:val="0"/>
                <w:numId w:val="16"/>
              </w:numPr>
              <w:tabs>
                <w:tab w:val="left" w:pos="254"/>
              </w:tabs>
              <w:ind w:right="327" w:firstLine="0"/>
              <w:rPr>
                <w:rFonts w:ascii="Calibri"/>
                <w:sz w:val="20"/>
              </w:rPr>
            </w:pPr>
            <w:r>
              <w:rPr>
                <w:rFonts w:ascii="Calibri"/>
                <w:sz w:val="20"/>
              </w:rPr>
              <w:t>Total local</w:t>
            </w:r>
            <w:r>
              <w:rPr>
                <w:rFonts w:ascii="Calibri"/>
                <w:spacing w:val="-5"/>
                <w:sz w:val="20"/>
              </w:rPr>
              <w:t xml:space="preserve"> </w:t>
            </w:r>
            <w:r>
              <w:rPr>
                <w:rFonts w:ascii="Calibri"/>
                <w:sz w:val="20"/>
              </w:rPr>
              <w:t>authority expenditure (minus capital)</w:t>
            </w:r>
          </w:p>
          <w:p w:rsidR="006A18FD" w:rsidRDefault="006A18FD">
            <w:pPr>
              <w:rPr>
                <w:rFonts w:ascii="Calibri"/>
                <w:sz w:val="20"/>
              </w:rPr>
            </w:pPr>
          </w:p>
          <w:p w:rsidR="006A18FD" w:rsidRDefault="006A18FD">
            <w:pPr>
              <w:rPr>
                <w:rFonts w:ascii="Calibri"/>
                <w:sz w:val="20"/>
              </w:rPr>
            </w:pPr>
          </w:p>
          <w:p w:rsidR="006A18FD" w:rsidRDefault="006A18FD">
            <w:pPr>
              <w:spacing w:before="1"/>
              <w:rPr>
                <w:rFonts w:ascii="Calibri"/>
                <w:sz w:val="20"/>
              </w:rPr>
            </w:pPr>
          </w:p>
          <w:p w:rsidR="006A18FD" w:rsidRDefault="002D29FC" w:rsidP="008E3FA8">
            <w:pPr>
              <w:numPr>
                <w:ilvl w:val="0"/>
                <w:numId w:val="16"/>
              </w:numPr>
              <w:tabs>
                <w:tab w:val="left" w:pos="271"/>
              </w:tabs>
              <w:ind w:left="270" w:hanging="218"/>
              <w:rPr>
                <w:rFonts w:ascii="Calibri"/>
                <w:sz w:val="20"/>
              </w:rPr>
            </w:pPr>
            <w:r>
              <w:rPr>
                <w:rFonts w:ascii="Calibri"/>
                <w:sz w:val="20"/>
              </w:rPr>
              <w:t>Overheads</w:t>
            </w:r>
          </w:p>
        </w:tc>
        <w:tc>
          <w:tcPr>
            <w:tcW w:w="1664" w:type="dxa"/>
          </w:tcPr>
          <w:p w:rsidR="006A18FD" w:rsidRDefault="002D29FC">
            <w:pPr>
              <w:ind w:left="100"/>
              <w:rPr>
                <w:rFonts w:ascii="Calibri" w:hAnsi="Calibri"/>
                <w:sz w:val="20"/>
              </w:rPr>
            </w:pPr>
            <w:r>
              <w:rPr>
                <w:rFonts w:ascii="Calibri" w:hAnsi="Calibri"/>
                <w:sz w:val="20"/>
              </w:rPr>
              <w:t>£757 per resident week</w:t>
            </w:r>
          </w:p>
        </w:tc>
        <w:tc>
          <w:tcPr>
            <w:tcW w:w="6075" w:type="dxa"/>
          </w:tcPr>
          <w:p w:rsidR="006A18FD" w:rsidRDefault="002D29FC">
            <w:pPr>
              <w:ind w:left="103"/>
              <w:rPr>
                <w:rFonts w:ascii="Calibri" w:hAnsi="Calibri"/>
                <w:sz w:val="20"/>
              </w:rPr>
            </w:pPr>
            <w:r>
              <w:rPr>
                <w:rFonts w:ascii="Calibri" w:hAnsi="Calibri"/>
                <w:sz w:val="20"/>
              </w:rPr>
              <w:t>The median revenue weekly cost estimate (£757) for adults requiring physical support in own-provision residential care. Capital costs relating to buildings and land have been deducted. The mean cost per client per week is reported as being £849 [using unique identifiers: 8710701 (numerator in thousands of pounds), 8710702 (denominator)].</w:t>
            </w:r>
          </w:p>
          <w:p w:rsidR="006A18FD" w:rsidRDefault="006A18FD">
            <w:pPr>
              <w:spacing w:before="2"/>
              <w:rPr>
                <w:rFonts w:ascii="Calibri"/>
                <w:sz w:val="20"/>
              </w:rPr>
            </w:pPr>
          </w:p>
          <w:p w:rsidR="006A18FD" w:rsidRDefault="002D29FC">
            <w:pPr>
              <w:ind w:left="103"/>
              <w:rPr>
                <w:rFonts w:ascii="Calibri"/>
                <w:sz w:val="20"/>
              </w:rPr>
            </w:pPr>
            <w:r>
              <w:rPr>
                <w:rFonts w:ascii="Calibri"/>
                <w:sz w:val="20"/>
              </w:rPr>
              <w:t>Social services management and support services (SSMSS) costs are included in PSS EX1 expenditure figures so no additional overheads</w:t>
            </w:r>
          </w:p>
          <w:p w:rsidR="006A18FD" w:rsidRDefault="002D29FC">
            <w:pPr>
              <w:spacing w:line="221" w:lineRule="exact"/>
              <w:ind w:left="103"/>
              <w:rPr>
                <w:rFonts w:ascii="Calibri"/>
                <w:sz w:val="20"/>
              </w:rPr>
            </w:pPr>
            <w:r>
              <w:rPr>
                <w:rFonts w:ascii="Calibri"/>
                <w:sz w:val="20"/>
              </w:rPr>
              <w:t>have been added.</w:t>
            </w:r>
          </w:p>
        </w:tc>
      </w:tr>
      <w:tr w:rsidR="006A18FD">
        <w:trPr>
          <w:trHeight w:val="960"/>
        </w:trPr>
        <w:tc>
          <w:tcPr>
            <w:tcW w:w="2223" w:type="dxa"/>
          </w:tcPr>
          <w:p w:rsidR="006A18FD" w:rsidRDefault="002D29FC">
            <w:pPr>
              <w:spacing w:before="1"/>
              <w:ind w:left="52"/>
              <w:rPr>
                <w:rFonts w:ascii="Calibri"/>
                <w:sz w:val="20"/>
              </w:rPr>
            </w:pPr>
            <w:r>
              <w:rPr>
                <w:rFonts w:ascii="Calibri"/>
                <w:sz w:val="20"/>
              </w:rPr>
              <w:t>Other costs</w:t>
            </w:r>
          </w:p>
          <w:p w:rsidR="006A18FD" w:rsidRDefault="002D29FC">
            <w:pPr>
              <w:ind w:left="52" w:right="60"/>
              <w:rPr>
                <w:rFonts w:ascii="Calibri"/>
                <w:sz w:val="20"/>
              </w:rPr>
            </w:pPr>
            <w:r>
              <w:rPr>
                <w:rFonts w:ascii="Calibri"/>
                <w:sz w:val="20"/>
              </w:rPr>
              <w:t>E. Personal living expenses</w:t>
            </w:r>
          </w:p>
        </w:tc>
        <w:tc>
          <w:tcPr>
            <w:tcW w:w="1664" w:type="dxa"/>
          </w:tcPr>
          <w:p w:rsidR="006A18FD" w:rsidRDefault="006A18FD">
            <w:pPr>
              <w:spacing w:before="2"/>
              <w:rPr>
                <w:rFonts w:ascii="Calibri"/>
                <w:sz w:val="20"/>
              </w:rPr>
            </w:pPr>
          </w:p>
          <w:p w:rsidR="006A18FD" w:rsidRDefault="002D29FC">
            <w:pPr>
              <w:ind w:left="100"/>
              <w:rPr>
                <w:rFonts w:ascii="Calibri" w:hAnsi="Calibri"/>
                <w:sz w:val="20"/>
              </w:rPr>
            </w:pPr>
            <w:r>
              <w:rPr>
                <w:rFonts w:ascii="Calibri" w:hAnsi="Calibri"/>
                <w:sz w:val="20"/>
              </w:rPr>
              <w:t>£24.90 per week</w:t>
            </w:r>
          </w:p>
        </w:tc>
        <w:tc>
          <w:tcPr>
            <w:tcW w:w="6075" w:type="dxa"/>
          </w:tcPr>
          <w:p w:rsidR="006A18FD" w:rsidRDefault="006A18FD">
            <w:pPr>
              <w:spacing w:before="2"/>
              <w:rPr>
                <w:rFonts w:ascii="Calibri"/>
                <w:sz w:val="20"/>
              </w:rPr>
            </w:pPr>
          </w:p>
          <w:p w:rsidR="006A18FD" w:rsidRDefault="002D29FC">
            <w:pPr>
              <w:ind w:left="103" w:right="183"/>
              <w:rPr>
                <w:rFonts w:ascii="Calibri" w:hAnsi="Calibri"/>
                <w:sz w:val="20"/>
              </w:rPr>
            </w:pPr>
            <w:r>
              <w:rPr>
                <w:rFonts w:ascii="Calibri" w:hAnsi="Calibri"/>
                <w:sz w:val="20"/>
              </w:rPr>
              <w:t>The DWP personal allowance for people in residential care or a nursing home is £24.90.</w:t>
            </w:r>
            <w:r>
              <w:rPr>
                <w:rFonts w:ascii="Calibri" w:hAnsi="Calibri"/>
                <w:position w:val="5"/>
                <w:sz w:val="12"/>
              </w:rPr>
              <w:t xml:space="preserve">4 </w:t>
            </w:r>
            <w:r>
              <w:rPr>
                <w:rFonts w:ascii="Calibri" w:hAnsi="Calibri"/>
                <w:sz w:val="20"/>
              </w:rPr>
              <w:t>This has been used as a proxy for personal</w:t>
            </w:r>
          </w:p>
          <w:p w:rsidR="006A18FD" w:rsidRDefault="002D29FC">
            <w:pPr>
              <w:spacing w:line="221" w:lineRule="exact"/>
              <w:ind w:left="103"/>
              <w:rPr>
                <w:rFonts w:ascii="Calibri"/>
                <w:sz w:val="20"/>
              </w:rPr>
            </w:pPr>
            <w:r>
              <w:rPr>
                <w:rFonts w:ascii="Calibri"/>
                <w:sz w:val="20"/>
              </w:rPr>
              <w:t>consumption.</w:t>
            </w:r>
          </w:p>
        </w:tc>
      </w:tr>
      <w:tr w:rsidR="006A18FD">
        <w:trPr>
          <w:trHeight w:val="240"/>
        </w:trPr>
        <w:tc>
          <w:tcPr>
            <w:tcW w:w="2223" w:type="dxa"/>
          </w:tcPr>
          <w:p w:rsidR="006A18FD" w:rsidRDefault="002D29FC">
            <w:pPr>
              <w:spacing w:before="1" w:line="223" w:lineRule="exact"/>
              <w:ind w:left="52"/>
              <w:rPr>
                <w:rFonts w:ascii="Calibri"/>
                <w:sz w:val="20"/>
              </w:rPr>
            </w:pPr>
            <w:r>
              <w:rPr>
                <w:rFonts w:ascii="Calibri"/>
                <w:sz w:val="20"/>
              </w:rPr>
              <w:t>F. External services</w:t>
            </w:r>
          </w:p>
        </w:tc>
        <w:tc>
          <w:tcPr>
            <w:tcW w:w="1664" w:type="dxa"/>
          </w:tcPr>
          <w:p w:rsidR="006A18FD" w:rsidRDefault="006A18FD">
            <w:pPr>
              <w:rPr>
                <w:rFonts w:ascii="Times New Roman"/>
                <w:sz w:val="16"/>
              </w:rPr>
            </w:pPr>
          </w:p>
        </w:tc>
        <w:tc>
          <w:tcPr>
            <w:tcW w:w="6075" w:type="dxa"/>
          </w:tcPr>
          <w:p w:rsidR="006A18FD" w:rsidRDefault="002D29FC">
            <w:pPr>
              <w:spacing w:before="1" w:line="223" w:lineRule="exact"/>
              <w:ind w:left="103"/>
              <w:rPr>
                <w:rFonts w:ascii="Calibri"/>
                <w:sz w:val="20"/>
              </w:rPr>
            </w:pPr>
            <w:r>
              <w:rPr>
                <w:rFonts w:ascii="Calibri"/>
                <w:sz w:val="20"/>
              </w:rPr>
              <w:t>No information is available.</w:t>
            </w:r>
          </w:p>
        </w:tc>
      </w:tr>
      <w:tr w:rsidR="006A18FD">
        <w:trPr>
          <w:trHeight w:val="480"/>
        </w:trPr>
        <w:tc>
          <w:tcPr>
            <w:tcW w:w="2223" w:type="dxa"/>
          </w:tcPr>
          <w:p w:rsidR="006A18FD" w:rsidRDefault="002D29FC">
            <w:pPr>
              <w:spacing w:before="1"/>
              <w:ind w:left="52"/>
              <w:rPr>
                <w:rFonts w:ascii="Calibri"/>
                <w:sz w:val="20"/>
              </w:rPr>
            </w:pPr>
            <w:r>
              <w:rPr>
                <w:rFonts w:ascii="Calibri"/>
                <w:sz w:val="20"/>
              </w:rPr>
              <w:t>Use of facility by client</w:t>
            </w:r>
          </w:p>
        </w:tc>
        <w:tc>
          <w:tcPr>
            <w:tcW w:w="1664" w:type="dxa"/>
          </w:tcPr>
          <w:p w:rsidR="006A18FD" w:rsidRDefault="002D29FC">
            <w:pPr>
              <w:spacing w:before="1" w:line="240" w:lineRule="atLeast"/>
              <w:ind w:left="100"/>
              <w:rPr>
                <w:rFonts w:ascii="Calibri"/>
                <w:sz w:val="20"/>
              </w:rPr>
            </w:pPr>
            <w:r>
              <w:rPr>
                <w:rFonts w:ascii="Calibri"/>
                <w:sz w:val="20"/>
              </w:rPr>
              <w:t>365.25 days per year</w:t>
            </w:r>
          </w:p>
        </w:tc>
        <w:tc>
          <w:tcPr>
            <w:tcW w:w="6075" w:type="dxa"/>
          </w:tcPr>
          <w:p w:rsidR="006A18FD" w:rsidRDefault="006A18FD">
            <w:pPr>
              <w:rPr>
                <w:rFonts w:ascii="Times New Roman"/>
                <w:sz w:val="18"/>
              </w:rPr>
            </w:pPr>
          </w:p>
        </w:tc>
      </w:tr>
      <w:tr w:rsidR="006A18FD">
        <w:trPr>
          <w:trHeight w:val="239"/>
        </w:trPr>
        <w:tc>
          <w:tcPr>
            <w:tcW w:w="2223" w:type="dxa"/>
          </w:tcPr>
          <w:p w:rsidR="006A18FD" w:rsidRDefault="002D29FC">
            <w:pPr>
              <w:spacing w:line="223" w:lineRule="exact"/>
              <w:ind w:left="52"/>
              <w:rPr>
                <w:rFonts w:ascii="Calibri"/>
                <w:sz w:val="20"/>
              </w:rPr>
            </w:pPr>
            <w:r>
              <w:rPr>
                <w:rFonts w:ascii="Calibri"/>
                <w:sz w:val="20"/>
              </w:rPr>
              <w:t>Occupancy</w:t>
            </w:r>
          </w:p>
        </w:tc>
        <w:tc>
          <w:tcPr>
            <w:tcW w:w="1664" w:type="dxa"/>
          </w:tcPr>
          <w:p w:rsidR="006A18FD" w:rsidRDefault="002D29FC">
            <w:pPr>
              <w:spacing w:line="223" w:lineRule="exact"/>
              <w:ind w:left="100"/>
              <w:rPr>
                <w:rFonts w:ascii="Calibri"/>
                <w:sz w:val="20"/>
              </w:rPr>
            </w:pPr>
            <w:r>
              <w:rPr>
                <w:rFonts w:ascii="Calibri"/>
                <w:sz w:val="20"/>
              </w:rPr>
              <w:t>100 per cent</w:t>
            </w:r>
          </w:p>
        </w:tc>
        <w:tc>
          <w:tcPr>
            <w:tcW w:w="6075" w:type="dxa"/>
          </w:tcPr>
          <w:p w:rsidR="006A18FD" w:rsidRDefault="002D29FC">
            <w:pPr>
              <w:spacing w:line="223" w:lineRule="exact"/>
              <w:ind w:left="103"/>
              <w:rPr>
                <w:rFonts w:ascii="Calibri"/>
                <w:sz w:val="20"/>
              </w:rPr>
            </w:pPr>
            <w:r>
              <w:rPr>
                <w:rFonts w:ascii="Calibri"/>
                <w:sz w:val="20"/>
              </w:rPr>
              <w:t>No statistics available, therefore 100 per cent occupancy assumed.</w:t>
            </w:r>
          </w:p>
        </w:tc>
      </w:tr>
      <w:tr w:rsidR="006A18FD">
        <w:trPr>
          <w:trHeight w:val="240"/>
        </w:trPr>
        <w:tc>
          <w:tcPr>
            <w:tcW w:w="2223" w:type="dxa"/>
          </w:tcPr>
          <w:p w:rsidR="006A18FD" w:rsidRDefault="002D29FC">
            <w:pPr>
              <w:spacing w:before="1" w:line="223" w:lineRule="exact"/>
              <w:ind w:left="52"/>
              <w:rPr>
                <w:rFonts w:ascii="Calibri"/>
                <w:sz w:val="20"/>
              </w:rPr>
            </w:pPr>
            <w:r>
              <w:rPr>
                <w:rFonts w:ascii="Calibri"/>
                <w:sz w:val="20"/>
              </w:rPr>
              <w:t>London multiplier</w:t>
            </w:r>
          </w:p>
        </w:tc>
        <w:tc>
          <w:tcPr>
            <w:tcW w:w="1664" w:type="dxa"/>
          </w:tcPr>
          <w:p w:rsidR="006A18FD" w:rsidRDefault="006A18FD">
            <w:pPr>
              <w:rPr>
                <w:rFonts w:ascii="Times New Roman"/>
                <w:sz w:val="16"/>
              </w:rPr>
            </w:pPr>
          </w:p>
        </w:tc>
        <w:tc>
          <w:tcPr>
            <w:tcW w:w="6075" w:type="dxa"/>
          </w:tcPr>
          <w:p w:rsidR="006A18FD" w:rsidRDefault="002D29FC">
            <w:pPr>
              <w:spacing w:line="219" w:lineRule="exact"/>
              <w:ind w:left="103"/>
              <w:rPr>
                <w:rFonts w:ascii="Calibri"/>
                <w:sz w:val="18"/>
              </w:rPr>
            </w:pPr>
            <w:r>
              <w:rPr>
                <w:rFonts w:ascii="Calibri"/>
                <w:sz w:val="18"/>
              </w:rPr>
              <w:t>See previous volume for information on multipliers</w:t>
            </w:r>
          </w:p>
        </w:tc>
      </w:tr>
      <w:tr w:rsidR="006A18FD">
        <w:trPr>
          <w:trHeight w:val="360"/>
        </w:trPr>
        <w:tc>
          <w:tcPr>
            <w:tcW w:w="9962" w:type="dxa"/>
            <w:gridSpan w:val="3"/>
          </w:tcPr>
          <w:p w:rsidR="006A18FD" w:rsidRDefault="002D29FC">
            <w:pPr>
              <w:spacing w:before="1"/>
              <w:ind w:left="52"/>
              <w:rPr>
                <w:rFonts w:ascii="Calibri"/>
                <w:b/>
                <w:sz w:val="20"/>
              </w:rPr>
            </w:pPr>
            <w:r>
              <w:rPr>
                <w:rFonts w:ascii="Calibri"/>
                <w:b/>
                <w:sz w:val="20"/>
              </w:rPr>
              <w:t>Unit costs available 2018/2019</w:t>
            </w:r>
          </w:p>
        </w:tc>
      </w:tr>
      <w:tr w:rsidR="006A18FD">
        <w:trPr>
          <w:trHeight w:val="1700"/>
        </w:trPr>
        <w:tc>
          <w:tcPr>
            <w:tcW w:w="9962" w:type="dxa"/>
            <w:gridSpan w:val="3"/>
          </w:tcPr>
          <w:p w:rsidR="006A18FD" w:rsidRDefault="002D29FC">
            <w:pPr>
              <w:spacing w:line="243" w:lineRule="exact"/>
              <w:ind w:left="52"/>
              <w:rPr>
                <w:rFonts w:ascii="Calibri"/>
                <w:b/>
                <w:sz w:val="20"/>
              </w:rPr>
            </w:pPr>
            <w:r>
              <w:rPr>
                <w:rFonts w:ascii="Calibri"/>
                <w:b/>
                <w:sz w:val="20"/>
              </w:rPr>
              <w:t>Age 18-64 (using unique identifier 8710701; numerator in thousands of pounds, 8710702; denominator)</w:t>
            </w:r>
          </w:p>
          <w:p w:rsidR="006A18FD" w:rsidRDefault="002D29FC">
            <w:pPr>
              <w:ind w:left="52"/>
              <w:rPr>
                <w:rFonts w:ascii="Calibri" w:hAnsi="Calibri"/>
                <w:sz w:val="20"/>
              </w:rPr>
            </w:pPr>
            <w:r>
              <w:rPr>
                <w:rFonts w:ascii="Calibri" w:hAnsi="Calibri"/>
                <w:sz w:val="20"/>
              </w:rPr>
              <w:t>£944 per resident week establishment costs (includes A to C); £969 per resident week (includes A to E).</w:t>
            </w:r>
          </w:p>
          <w:p w:rsidR="006A18FD" w:rsidRDefault="002D29FC">
            <w:pPr>
              <w:ind w:left="52"/>
              <w:rPr>
                <w:rFonts w:ascii="Calibri" w:hAnsi="Calibri"/>
                <w:sz w:val="20"/>
              </w:rPr>
            </w:pPr>
            <w:r>
              <w:rPr>
                <w:rFonts w:ascii="Calibri" w:hAnsi="Calibri"/>
                <w:sz w:val="20"/>
              </w:rPr>
              <w:t>£135 per resident day establishment costs (includes A to C); £138 per resident day (includes A to E).</w:t>
            </w:r>
          </w:p>
          <w:p w:rsidR="006A18FD" w:rsidRDefault="006A18FD">
            <w:pPr>
              <w:spacing w:before="11"/>
              <w:rPr>
                <w:rFonts w:ascii="Calibri"/>
                <w:sz w:val="19"/>
              </w:rPr>
            </w:pPr>
          </w:p>
          <w:p w:rsidR="006A18FD" w:rsidRDefault="002D29FC">
            <w:pPr>
              <w:ind w:left="52"/>
              <w:rPr>
                <w:rFonts w:ascii="Calibri"/>
                <w:b/>
                <w:sz w:val="20"/>
              </w:rPr>
            </w:pPr>
            <w:r>
              <w:rPr>
                <w:rFonts w:ascii="Calibri"/>
                <w:b/>
                <w:sz w:val="20"/>
              </w:rPr>
              <w:t>Age 65+ (using unique identifier 8713701; numerator in thousands of pounds, 8713702; denominator)</w:t>
            </w:r>
          </w:p>
          <w:p w:rsidR="006A18FD" w:rsidRDefault="002D29FC">
            <w:pPr>
              <w:ind w:left="52"/>
              <w:rPr>
                <w:rFonts w:ascii="Calibri" w:hAnsi="Calibri"/>
                <w:sz w:val="20"/>
              </w:rPr>
            </w:pPr>
            <w:r>
              <w:rPr>
                <w:rFonts w:ascii="Calibri" w:hAnsi="Calibri"/>
                <w:sz w:val="20"/>
              </w:rPr>
              <w:t>£996 (£1,023) median (mean) establishment cost per resident week.</w:t>
            </w:r>
          </w:p>
          <w:p w:rsidR="006A18FD" w:rsidRDefault="002D29FC">
            <w:pPr>
              <w:spacing w:line="223" w:lineRule="exact"/>
              <w:ind w:left="52"/>
              <w:rPr>
                <w:rFonts w:ascii="Calibri" w:hAnsi="Calibri"/>
                <w:sz w:val="20"/>
              </w:rPr>
            </w:pPr>
            <w:r>
              <w:rPr>
                <w:rFonts w:ascii="Calibri" w:hAnsi="Calibri"/>
                <w:sz w:val="20"/>
              </w:rPr>
              <w:t>£142 (£146) median (mean) establishment cost per resident day.</w:t>
            </w:r>
          </w:p>
        </w:tc>
      </w:tr>
    </w:tbl>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2D29FC">
      <w:pPr>
        <w:spacing w:before="152"/>
        <w:ind w:left="423" w:right="538" w:hanging="284"/>
        <w:rPr>
          <w:rFonts w:ascii="Calibri"/>
          <w:sz w:val="16"/>
        </w:rPr>
      </w:pPr>
      <w:r>
        <w:rPr>
          <w:rFonts w:ascii="Calibri"/>
          <w:position w:val="5"/>
          <w:sz w:val="10"/>
        </w:rPr>
        <w:t xml:space="preserve">1 </w:t>
      </w:r>
      <w:r>
        <w:rPr>
          <w:rFonts w:ascii="Calibri"/>
          <w:sz w:val="16"/>
        </w:rPr>
        <w:t xml:space="preserve">Calculated using NHS Digital (2019) Calculated using NHS Digital (2019) </w:t>
      </w:r>
      <w:r>
        <w:rPr>
          <w:rFonts w:ascii="Calibri"/>
          <w:i/>
          <w:sz w:val="16"/>
        </w:rPr>
        <w:t>Adult Social Care Finance Return (ASC-FR)</w:t>
      </w:r>
      <w:r>
        <w:rPr>
          <w:rFonts w:ascii="Calibri"/>
          <w:sz w:val="16"/>
        </w:rPr>
        <w:t xml:space="preserve">, NHS Digital 2018/19, </w:t>
      </w:r>
      <w:hyperlink r:id="rId176">
        <w:r>
          <w:rPr>
            <w:rFonts w:ascii="Calibri"/>
            <w:sz w:val="16"/>
            <w:u w:val="single"/>
          </w:rPr>
          <w:t>https://digital.nhs.uk/data-and-information/publications/statistical/adult-social-care-activity-and-finance-report/2018-19</w:t>
        </w:r>
        <w:r>
          <w:rPr>
            <w:rFonts w:ascii="Calibri"/>
            <w:sz w:val="16"/>
          </w:rPr>
          <w:t xml:space="preserve"> </w:t>
        </w:r>
      </w:hyperlink>
      <w:r>
        <w:rPr>
          <w:rFonts w:ascii="Calibri"/>
          <w:sz w:val="16"/>
        </w:rPr>
        <w:t>[accessed 23 October, 2019], in collaboration with the Department of Health and Social Care.</w:t>
      </w:r>
    </w:p>
    <w:p w:rsidR="006A18FD" w:rsidRDefault="002D29FC">
      <w:pPr>
        <w:spacing w:before="1" w:line="195" w:lineRule="exact"/>
        <w:ind w:left="140"/>
        <w:rPr>
          <w:rFonts w:ascii="Calibri"/>
          <w:sz w:val="16"/>
        </w:rPr>
      </w:pPr>
      <w:r>
        <w:rPr>
          <w:rFonts w:ascii="Calibri"/>
          <w:position w:val="5"/>
          <w:sz w:val="10"/>
        </w:rPr>
        <w:t xml:space="preserve">2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3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77">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423" w:right="201" w:hanging="284"/>
        <w:rPr>
          <w:rFonts w:ascii="Calibri" w:hAnsi="Calibri"/>
          <w:sz w:val="16"/>
        </w:rPr>
      </w:pPr>
      <w:r>
        <w:rPr>
          <w:rFonts w:ascii="Calibri" w:hAnsi="Calibri"/>
          <w:position w:val="5"/>
          <w:sz w:val="10"/>
        </w:rPr>
        <w:t xml:space="preserve">4 </w:t>
      </w:r>
      <w:r>
        <w:rPr>
          <w:rFonts w:ascii="Calibri" w:hAnsi="Calibri"/>
          <w:sz w:val="16"/>
        </w:rPr>
        <w:t xml:space="preserve">Department of Health &amp; Social Care (2019) Social Care – Charging for care and support, Department of Health &amp; Social Care, London. </w:t>
      </w:r>
      <w:hyperlink r:id="rId178">
        <w:r>
          <w:rPr>
            <w:rFonts w:ascii="Calibri" w:hAnsi="Calibri"/>
            <w:sz w:val="16"/>
            <w:u w:val="single"/>
          </w:rPr>
          <w:t>https://assets.publishing.service.gov.uk/government/uploads/system/uploads/attachment_data/file/772969/Social_care_charging_for_care_and_su</w:t>
        </w:r>
      </w:hyperlink>
      <w:r>
        <w:rPr>
          <w:rFonts w:ascii="Calibri" w:hAnsi="Calibri"/>
          <w:sz w:val="16"/>
        </w:rPr>
        <w:t xml:space="preserve"> </w:t>
      </w:r>
      <w:hyperlink r:id="rId179">
        <w:r>
          <w:rPr>
            <w:rFonts w:ascii="Calibri" w:hAnsi="Calibri"/>
            <w:sz w:val="16"/>
            <w:u w:val="single"/>
          </w:rPr>
          <w:t>pport_-_LAC_2019.pdf</w:t>
        </w:r>
        <w:r>
          <w:rPr>
            <w:rFonts w:ascii="Calibri" w:hAnsi="Calibri"/>
            <w:sz w:val="16"/>
          </w:rPr>
          <w:t xml:space="preserve"> </w:t>
        </w:r>
      </w:hyperlink>
      <w:r>
        <w:rPr>
          <w:rFonts w:ascii="Calibri" w:hAnsi="Calibri"/>
          <w:sz w:val="16"/>
        </w:rPr>
        <w:t>[accessed 20 May 2019].</w:t>
      </w:r>
    </w:p>
    <w:p w:rsidR="006A18FD" w:rsidRDefault="006A18FD">
      <w:pPr>
        <w:rPr>
          <w:rFonts w:ascii="Calibri" w:hAnsi="Calibri"/>
          <w:sz w:val="16"/>
        </w:rPr>
        <w:sectPr w:rsidR="006A18FD">
          <w:headerReference w:type="even" r:id="rId180"/>
          <w:pgSz w:w="11910" w:h="16840"/>
          <w:pgMar w:top="960" w:right="980" w:bottom="280" w:left="580" w:header="751" w:footer="0" w:gutter="0"/>
          <w:pgNumType w:start="64"/>
          <w:cols w:space="720"/>
        </w:sectPr>
      </w:pPr>
    </w:p>
    <w:p w:rsidR="006A18FD" w:rsidRDefault="002D29FC">
      <w:pPr>
        <w:tabs>
          <w:tab w:val="right" w:pos="10081"/>
        </w:tabs>
        <w:spacing w:before="29" w:after="22"/>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65</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1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11" name="Line 16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FD35A6" id="Group 16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D9VLk9/AgAAgQUA&#10;AA4AAAAAAAAAAAAAAAAALgIAAGRycy9lMm9Eb2MueG1sUEsBAi0AFAAGAAgAAAAhAC135FzaAAAA&#10;BAEAAA8AAAAAAAAAAAAAAAAA2QQAAGRycy9kb3ducmV2LnhtbFBLBQYAAAAABAAEAPMAAADgBQAA&#10;AAA=&#10;">
                <v:line id="Line 16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w10:anchorlock/>
              </v:group>
            </w:pict>
          </mc:Fallback>
        </mc:AlternateContent>
      </w:r>
    </w:p>
    <w:p w:rsidR="006A18FD" w:rsidRDefault="006267D6" w:rsidP="006267D6">
      <w:pPr>
        <w:pStyle w:val="Heading2"/>
      </w:pPr>
      <w:r>
        <w:t xml:space="preserve">5.2 </w:t>
      </w:r>
      <w:r w:rsidR="002D29FC">
        <w:t>Voluntary and private sector residential care homes for adults requiring physical support (age 18-64, summary provided for</w:t>
      </w:r>
      <w:r w:rsidR="002D29FC">
        <w:rPr>
          <w:spacing w:val="-30"/>
        </w:rPr>
        <w:t xml:space="preserve"> </w:t>
      </w:r>
      <w:r w:rsidR="002D29FC">
        <w:t>65+)</w:t>
      </w:r>
    </w:p>
    <w:p w:rsidR="006A18FD" w:rsidRDefault="002D29FC">
      <w:pPr>
        <w:spacing w:before="123"/>
        <w:ind w:left="152"/>
        <w:rPr>
          <w:rFonts w:ascii="Calibri"/>
          <w:sz w:val="12"/>
        </w:rPr>
      </w:pPr>
      <w:r>
        <w:rPr>
          <w:rFonts w:ascii="Calibri"/>
          <w:sz w:val="20"/>
        </w:rPr>
        <w:t xml:space="preserve">This table uses data from the ASC-FR data return (ASC-FR) for 2018/2019. </w:t>
      </w:r>
      <w:r>
        <w:rPr>
          <w:rFonts w:ascii="Calibri"/>
          <w:position w:val="5"/>
          <w:sz w:val="12"/>
        </w:rPr>
        <w:t>1</w:t>
      </w:r>
    </w:p>
    <w:p w:rsidR="006A18FD" w:rsidRDefault="006A18FD">
      <w:pPr>
        <w:spacing w:before="8" w:after="1"/>
        <w:rPr>
          <w:rFonts w:ascii="Calibri"/>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1654"/>
        <w:gridCol w:w="6112"/>
      </w:tblGrid>
      <w:tr w:rsidR="006A18FD" w:rsidTr="005B5AB5">
        <w:trPr>
          <w:trHeight w:val="600"/>
          <w:tblHeader/>
        </w:trPr>
        <w:tc>
          <w:tcPr>
            <w:tcW w:w="2206" w:type="dxa"/>
          </w:tcPr>
          <w:p w:rsidR="006A18FD" w:rsidRDefault="002D29FC">
            <w:pPr>
              <w:spacing w:before="1"/>
              <w:ind w:left="52" w:right="944"/>
              <w:rPr>
                <w:rFonts w:ascii="Calibri"/>
                <w:b/>
                <w:sz w:val="20"/>
              </w:rPr>
            </w:pPr>
            <w:r>
              <w:rPr>
                <w:rFonts w:ascii="Calibri"/>
                <w:b/>
                <w:sz w:val="20"/>
              </w:rPr>
              <w:t>Costs and unit estimation</w:t>
            </w:r>
          </w:p>
        </w:tc>
        <w:tc>
          <w:tcPr>
            <w:tcW w:w="1654" w:type="dxa"/>
          </w:tcPr>
          <w:p w:rsidR="006A18FD" w:rsidRDefault="002D29FC">
            <w:pPr>
              <w:spacing w:before="3"/>
              <w:ind w:left="103"/>
              <w:rPr>
                <w:rFonts w:ascii="Calibri"/>
                <w:b/>
                <w:sz w:val="20"/>
              </w:rPr>
            </w:pPr>
            <w:r>
              <w:rPr>
                <w:rFonts w:ascii="Calibri"/>
                <w:b/>
                <w:sz w:val="20"/>
              </w:rPr>
              <w:t>2018/2019 value</w:t>
            </w:r>
          </w:p>
        </w:tc>
        <w:tc>
          <w:tcPr>
            <w:tcW w:w="6111" w:type="dxa"/>
          </w:tcPr>
          <w:p w:rsidR="006A18FD" w:rsidRDefault="002D29FC">
            <w:pPr>
              <w:spacing w:before="3"/>
              <w:ind w:left="105"/>
              <w:rPr>
                <w:rFonts w:ascii="Calibri"/>
                <w:b/>
                <w:sz w:val="20"/>
              </w:rPr>
            </w:pPr>
            <w:r>
              <w:rPr>
                <w:rFonts w:ascii="Calibri"/>
                <w:b/>
                <w:sz w:val="20"/>
              </w:rPr>
              <w:t>Notes</w:t>
            </w:r>
          </w:p>
        </w:tc>
      </w:tr>
      <w:tr w:rsidR="006A18FD">
        <w:trPr>
          <w:trHeight w:val="1220"/>
        </w:trPr>
        <w:tc>
          <w:tcPr>
            <w:tcW w:w="2206" w:type="dxa"/>
          </w:tcPr>
          <w:p w:rsidR="006A18FD" w:rsidRDefault="002D29FC">
            <w:pPr>
              <w:spacing w:before="1"/>
              <w:ind w:left="52"/>
              <w:rPr>
                <w:rFonts w:ascii="Calibri"/>
                <w:sz w:val="20"/>
              </w:rPr>
            </w:pPr>
            <w:r>
              <w:rPr>
                <w:rFonts w:ascii="Calibri"/>
                <w:sz w:val="20"/>
              </w:rPr>
              <w:t>Capital costs</w:t>
            </w:r>
          </w:p>
          <w:p w:rsidR="006A18FD" w:rsidRDefault="002D29FC">
            <w:pPr>
              <w:ind w:left="105"/>
              <w:rPr>
                <w:rFonts w:ascii="Calibri"/>
                <w:sz w:val="20"/>
              </w:rPr>
            </w:pPr>
            <w:r>
              <w:rPr>
                <w:rFonts w:ascii="Calibri"/>
                <w:sz w:val="20"/>
              </w:rPr>
              <w:t>A. Buildings and oncosts</w:t>
            </w:r>
          </w:p>
        </w:tc>
        <w:tc>
          <w:tcPr>
            <w:tcW w:w="1654" w:type="dxa"/>
          </w:tcPr>
          <w:p w:rsidR="006A18FD" w:rsidRDefault="006A18FD">
            <w:pPr>
              <w:spacing w:before="2"/>
              <w:rPr>
                <w:rFonts w:ascii="Calibri"/>
                <w:sz w:val="20"/>
              </w:rPr>
            </w:pPr>
          </w:p>
          <w:p w:rsidR="006A18FD" w:rsidRDefault="002D29FC">
            <w:pPr>
              <w:ind w:left="103" w:right="373"/>
              <w:rPr>
                <w:rFonts w:ascii="Calibri" w:hAnsi="Calibri"/>
                <w:sz w:val="20"/>
              </w:rPr>
            </w:pPr>
            <w:r>
              <w:rPr>
                <w:rFonts w:ascii="Calibri" w:hAnsi="Calibri"/>
                <w:sz w:val="20"/>
              </w:rPr>
              <w:t>£161 per resident week</w:t>
            </w:r>
          </w:p>
        </w:tc>
        <w:tc>
          <w:tcPr>
            <w:tcW w:w="6111" w:type="dxa"/>
          </w:tcPr>
          <w:p w:rsidR="006A18FD" w:rsidRDefault="006A18FD">
            <w:pPr>
              <w:spacing w:before="4"/>
              <w:rPr>
                <w:rFonts w:ascii="Calibri"/>
                <w:sz w:val="20"/>
              </w:rPr>
            </w:pPr>
          </w:p>
          <w:p w:rsidR="006A18FD" w:rsidRDefault="002D29FC">
            <w:pPr>
              <w:spacing w:line="237" w:lineRule="auto"/>
              <w:ind w:left="105"/>
              <w:rPr>
                <w:rFonts w:ascii="Calibri"/>
                <w:sz w:val="20"/>
              </w:rPr>
            </w:pPr>
            <w:r>
              <w:rPr>
                <w:rFonts w:ascii="Calibri"/>
                <w:sz w:val="20"/>
              </w:rPr>
              <w:t>Based on the new-build and land requirements for local authority residential care establishments. These allow for 57.3 square metres per person.</w:t>
            </w:r>
            <w:r>
              <w:rPr>
                <w:rFonts w:ascii="Calibri"/>
                <w:position w:val="7"/>
                <w:sz w:val="13"/>
              </w:rPr>
              <w:t xml:space="preserve">2 </w:t>
            </w:r>
            <w:r>
              <w:rPr>
                <w:rFonts w:ascii="Calibri"/>
                <w:sz w:val="20"/>
              </w:rPr>
              <w:t>Capital costs have been annuitised over 60 years at a discount</w:t>
            </w:r>
          </w:p>
          <w:p w:rsidR="006A18FD" w:rsidRDefault="002D29FC">
            <w:pPr>
              <w:spacing w:line="223" w:lineRule="exact"/>
              <w:ind w:left="105"/>
              <w:rPr>
                <w:rFonts w:ascii="Calibri"/>
                <w:sz w:val="20"/>
              </w:rPr>
            </w:pPr>
            <w:r>
              <w:rPr>
                <w:rFonts w:ascii="Calibri"/>
                <w:sz w:val="20"/>
              </w:rPr>
              <w:t>rate of 3.5 per cent, declining to 3 per cent after 30 years.</w:t>
            </w:r>
          </w:p>
        </w:tc>
      </w:tr>
      <w:tr w:rsidR="006A18FD">
        <w:trPr>
          <w:trHeight w:val="720"/>
        </w:trPr>
        <w:tc>
          <w:tcPr>
            <w:tcW w:w="2206" w:type="dxa"/>
          </w:tcPr>
          <w:p w:rsidR="006A18FD" w:rsidRDefault="002D29FC">
            <w:pPr>
              <w:spacing w:before="1"/>
              <w:ind w:left="105"/>
              <w:rPr>
                <w:rFonts w:ascii="Calibri"/>
                <w:sz w:val="20"/>
              </w:rPr>
            </w:pPr>
            <w:r>
              <w:rPr>
                <w:rFonts w:ascii="Calibri"/>
                <w:sz w:val="20"/>
              </w:rPr>
              <w:t>B. Land costs</w:t>
            </w:r>
          </w:p>
        </w:tc>
        <w:tc>
          <w:tcPr>
            <w:tcW w:w="1654" w:type="dxa"/>
          </w:tcPr>
          <w:p w:rsidR="006A18FD" w:rsidRDefault="002D29FC">
            <w:pPr>
              <w:spacing w:before="1"/>
              <w:ind w:left="103"/>
              <w:rPr>
                <w:rFonts w:ascii="Calibri" w:hAnsi="Calibri"/>
                <w:sz w:val="20"/>
              </w:rPr>
            </w:pPr>
            <w:r>
              <w:rPr>
                <w:rFonts w:ascii="Calibri" w:hAnsi="Calibri"/>
                <w:sz w:val="20"/>
              </w:rPr>
              <w:t>£26 per resident week</w:t>
            </w:r>
          </w:p>
        </w:tc>
        <w:tc>
          <w:tcPr>
            <w:tcW w:w="6111" w:type="dxa"/>
          </w:tcPr>
          <w:p w:rsidR="006A18FD" w:rsidRDefault="002D29FC">
            <w:pPr>
              <w:spacing w:before="6" w:line="235" w:lineRule="auto"/>
              <w:ind w:left="105" w:right="174"/>
              <w:rPr>
                <w:rFonts w:ascii="Calibri"/>
                <w:sz w:val="20"/>
              </w:rPr>
            </w:pPr>
            <w:r>
              <w:rPr>
                <w:rFonts w:ascii="Calibri"/>
                <w:sz w:val="20"/>
              </w:rPr>
              <w:t>Based on Ministry of Housing, Communities &amp; Local Government land estimates.</w:t>
            </w:r>
            <w:r>
              <w:rPr>
                <w:rFonts w:ascii="Calibri"/>
                <w:position w:val="7"/>
                <w:sz w:val="13"/>
              </w:rPr>
              <w:t xml:space="preserve">3 </w:t>
            </w:r>
            <w:r>
              <w:rPr>
                <w:rFonts w:ascii="Calibri"/>
                <w:sz w:val="20"/>
              </w:rPr>
              <w:t>Land costs have been annuitised over 60 years at a discount</w:t>
            </w:r>
          </w:p>
          <w:p w:rsidR="006A18FD" w:rsidRDefault="002D29FC">
            <w:pPr>
              <w:spacing w:line="223" w:lineRule="exact"/>
              <w:ind w:left="105"/>
              <w:rPr>
                <w:rFonts w:ascii="Calibri"/>
                <w:sz w:val="20"/>
              </w:rPr>
            </w:pPr>
            <w:r>
              <w:rPr>
                <w:rFonts w:ascii="Calibri"/>
                <w:sz w:val="20"/>
              </w:rPr>
              <w:t>rate of 3.5 per cent, declining to 3 per cent after 30 years.</w:t>
            </w:r>
          </w:p>
        </w:tc>
      </w:tr>
      <w:tr w:rsidR="006A18FD">
        <w:trPr>
          <w:trHeight w:val="2140"/>
        </w:trPr>
        <w:tc>
          <w:tcPr>
            <w:tcW w:w="2206" w:type="dxa"/>
          </w:tcPr>
          <w:p w:rsidR="006A18FD" w:rsidRDefault="002D29FC" w:rsidP="008E3FA8">
            <w:pPr>
              <w:numPr>
                <w:ilvl w:val="0"/>
                <w:numId w:val="15"/>
              </w:numPr>
              <w:tabs>
                <w:tab w:val="left" w:pos="307"/>
              </w:tabs>
              <w:spacing w:before="2"/>
              <w:ind w:right="444" w:firstLine="0"/>
              <w:rPr>
                <w:rFonts w:ascii="Calibri"/>
                <w:sz w:val="20"/>
              </w:rPr>
            </w:pPr>
            <w:r>
              <w:rPr>
                <w:rFonts w:ascii="Calibri"/>
                <w:sz w:val="20"/>
              </w:rPr>
              <w:t>Total</w:t>
            </w:r>
            <w:r>
              <w:rPr>
                <w:rFonts w:ascii="Calibri"/>
                <w:spacing w:val="-6"/>
                <w:sz w:val="20"/>
              </w:rPr>
              <w:t xml:space="preserve"> </w:t>
            </w:r>
            <w:r>
              <w:rPr>
                <w:rFonts w:ascii="Calibri"/>
                <w:sz w:val="20"/>
              </w:rPr>
              <w:t>expenditure (minus</w:t>
            </w:r>
            <w:r>
              <w:rPr>
                <w:rFonts w:ascii="Calibri"/>
                <w:spacing w:val="-10"/>
                <w:sz w:val="20"/>
              </w:rPr>
              <w:t xml:space="preserve"> </w:t>
            </w:r>
            <w:r>
              <w:rPr>
                <w:rFonts w:ascii="Calibri"/>
                <w:sz w:val="20"/>
              </w:rPr>
              <w:t>capital)</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1"/>
              <w:rPr>
                <w:rFonts w:ascii="Calibri"/>
                <w:sz w:val="15"/>
              </w:rPr>
            </w:pPr>
          </w:p>
          <w:p w:rsidR="006A18FD" w:rsidRDefault="002D29FC" w:rsidP="008E3FA8">
            <w:pPr>
              <w:numPr>
                <w:ilvl w:val="0"/>
                <w:numId w:val="15"/>
              </w:numPr>
              <w:tabs>
                <w:tab w:val="left" w:pos="324"/>
              </w:tabs>
              <w:ind w:left="323" w:hanging="218"/>
              <w:rPr>
                <w:rFonts w:ascii="Calibri"/>
                <w:sz w:val="20"/>
              </w:rPr>
            </w:pPr>
            <w:r>
              <w:rPr>
                <w:rFonts w:ascii="Calibri"/>
                <w:sz w:val="20"/>
              </w:rPr>
              <w:t>Overheads</w:t>
            </w:r>
          </w:p>
        </w:tc>
        <w:tc>
          <w:tcPr>
            <w:tcW w:w="1654" w:type="dxa"/>
          </w:tcPr>
          <w:p w:rsidR="006A18FD" w:rsidRDefault="002D29FC">
            <w:pPr>
              <w:spacing w:before="2"/>
              <w:ind w:left="103" w:right="373"/>
              <w:rPr>
                <w:rFonts w:ascii="Calibri" w:hAnsi="Calibri"/>
                <w:sz w:val="20"/>
              </w:rPr>
            </w:pPr>
            <w:r>
              <w:rPr>
                <w:rFonts w:ascii="Calibri" w:hAnsi="Calibri"/>
                <w:sz w:val="20"/>
              </w:rPr>
              <w:t>£755 per resident week</w:t>
            </w:r>
          </w:p>
        </w:tc>
        <w:tc>
          <w:tcPr>
            <w:tcW w:w="6111" w:type="dxa"/>
          </w:tcPr>
          <w:p w:rsidR="006A18FD" w:rsidRDefault="002D29FC">
            <w:pPr>
              <w:spacing w:before="2"/>
              <w:ind w:left="105" w:right="128"/>
              <w:rPr>
                <w:rFonts w:ascii="Calibri" w:hAnsi="Calibri"/>
                <w:sz w:val="20"/>
              </w:rPr>
            </w:pPr>
            <w:r>
              <w:rPr>
                <w:rFonts w:ascii="Calibri" w:hAnsi="Calibri"/>
                <w:sz w:val="20"/>
              </w:rPr>
              <w:t>The median weekly expenditure (£755) for adults requiring physical support in residential care provided by others [using unique identifiers: 8710801 (numerator in thousands of pounds), 8710802 (denominator)]. Capital charges relating to buildings and land have been deducted. The mean cost per client per week is reported as being £812.</w:t>
            </w:r>
          </w:p>
          <w:p w:rsidR="006A18FD" w:rsidRDefault="006A18FD">
            <w:pPr>
              <w:spacing w:before="11"/>
              <w:rPr>
                <w:rFonts w:ascii="Calibri"/>
                <w:sz w:val="15"/>
              </w:rPr>
            </w:pPr>
          </w:p>
          <w:p w:rsidR="006A18FD" w:rsidRDefault="002D29FC">
            <w:pPr>
              <w:spacing w:before="1" w:line="240" w:lineRule="atLeast"/>
              <w:ind w:left="105"/>
              <w:rPr>
                <w:rFonts w:ascii="Calibri"/>
                <w:sz w:val="20"/>
              </w:rPr>
            </w:pPr>
            <w:r>
              <w:rPr>
                <w:rFonts w:ascii="Calibri"/>
                <w:sz w:val="20"/>
              </w:rPr>
              <w:t>Social services management and support services (SSMSS) costs are included in ASC-FR expenditure figures so no additional overheads have been added.</w:t>
            </w:r>
          </w:p>
        </w:tc>
      </w:tr>
      <w:tr w:rsidR="006A18FD">
        <w:trPr>
          <w:trHeight w:val="960"/>
        </w:trPr>
        <w:tc>
          <w:tcPr>
            <w:tcW w:w="2206" w:type="dxa"/>
          </w:tcPr>
          <w:p w:rsidR="006A18FD" w:rsidRDefault="002D29FC">
            <w:pPr>
              <w:spacing w:before="1" w:line="243" w:lineRule="exact"/>
              <w:ind w:left="105"/>
              <w:rPr>
                <w:rFonts w:ascii="Calibri"/>
                <w:sz w:val="20"/>
              </w:rPr>
            </w:pPr>
            <w:r>
              <w:rPr>
                <w:rFonts w:ascii="Calibri"/>
                <w:sz w:val="20"/>
              </w:rPr>
              <w:t>Other costs</w:t>
            </w:r>
          </w:p>
          <w:p w:rsidR="006A18FD" w:rsidRDefault="002D29FC">
            <w:pPr>
              <w:ind w:left="105"/>
              <w:rPr>
                <w:rFonts w:ascii="Calibri"/>
                <w:sz w:val="20"/>
              </w:rPr>
            </w:pPr>
            <w:r>
              <w:rPr>
                <w:rFonts w:ascii="Calibri"/>
                <w:sz w:val="20"/>
              </w:rPr>
              <w:t>E. Personal living expenses</w:t>
            </w:r>
          </w:p>
        </w:tc>
        <w:tc>
          <w:tcPr>
            <w:tcW w:w="1654" w:type="dxa"/>
          </w:tcPr>
          <w:p w:rsidR="006A18FD" w:rsidRDefault="006A18FD">
            <w:pPr>
              <w:spacing w:before="11"/>
              <w:rPr>
                <w:rFonts w:ascii="Calibri"/>
                <w:sz w:val="19"/>
              </w:rPr>
            </w:pPr>
          </w:p>
          <w:p w:rsidR="006A18FD" w:rsidRDefault="002D29FC">
            <w:pPr>
              <w:spacing w:before="1"/>
              <w:ind w:left="103"/>
              <w:rPr>
                <w:rFonts w:ascii="Calibri" w:hAnsi="Calibri"/>
                <w:sz w:val="20"/>
              </w:rPr>
            </w:pPr>
            <w:r>
              <w:rPr>
                <w:rFonts w:ascii="Calibri" w:hAnsi="Calibri"/>
                <w:sz w:val="20"/>
              </w:rPr>
              <w:t>£24.90 per week</w:t>
            </w:r>
          </w:p>
        </w:tc>
        <w:tc>
          <w:tcPr>
            <w:tcW w:w="6111" w:type="dxa"/>
          </w:tcPr>
          <w:p w:rsidR="006A18FD" w:rsidRDefault="006A18FD">
            <w:pPr>
              <w:spacing w:before="11"/>
              <w:rPr>
                <w:rFonts w:ascii="Calibri"/>
                <w:sz w:val="19"/>
              </w:rPr>
            </w:pPr>
          </w:p>
          <w:p w:rsidR="006A18FD" w:rsidRDefault="002D29FC">
            <w:pPr>
              <w:spacing w:before="1" w:line="240" w:lineRule="atLeast"/>
              <w:ind w:left="105" w:right="217"/>
              <w:rPr>
                <w:rFonts w:ascii="Calibri" w:hAnsi="Calibri"/>
                <w:sz w:val="20"/>
              </w:rPr>
            </w:pPr>
            <w:r>
              <w:rPr>
                <w:rFonts w:ascii="Calibri" w:hAnsi="Calibri"/>
                <w:sz w:val="20"/>
              </w:rPr>
              <w:t xml:space="preserve">The DWP personal allowance for people in residential care or a nursing home is £24.90. </w:t>
            </w:r>
            <w:r>
              <w:rPr>
                <w:rFonts w:ascii="Calibri" w:hAnsi="Calibri"/>
                <w:position w:val="5"/>
                <w:sz w:val="12"/>
              </w:rPr>
              <w:t xml:space="preserve">4 </w:t>
            </w:r>
            <w:r>
              <w:rPr>
                <w:rFonts w:ascii="Calibri" w:hAnsi="Calibri"/>
                <w:sz w:val="20"/>
              </w:rPr>
              <w:t>This has been used as a proxy for personal consumption.</w:t>
            </w:r>
          </w:p>
        </w:tc>
      </w:tr>
      <w:tr w:rsidR="006A18FD">
        <w:trPr>
          <w:trHeight w:val="239"/>
        </w:trPr>
        <w:tc>
          <w:tcPr>
            <w:tcW w:w="2206" w:type="dxa"/>
          </w:tcPr>
          <w:p w:rsidR="006A18FD" w:rsidRDefault="002D29FC">
            <w:pPr>
              <w:spacing w:before="1" w:line="223" w:lineRule="exact"/>
              <w:ind w:left="105"/>
              <w:rPr>
                <w:rFonts w:ascii="Calibri"/>
                <w:sz w:val="20"/>
              </w:rPr>
            </w:pPr>
            <w:r>
              <w:rPr>
                <w:rFonts w:ascii="Calibri"/>
                <w:sz w:val="20"/>
              </w:rPr>
              <w:t>F. External services</w:t>
            </w:r>
          </w:p>
        </w:tc>
        <w:tc>
          <w:tcPr>
            <w:tcW w:w="1654" w:type="dxa"/>
          </w:tcPr>
          <w:p w:rsidR="006A18FD" w:rsidRDefault="006A18FD">
            <w:pPr>
              <w:rPr>
                <w:rFonts w:ascii="Times New Roman"/>
                <w:sz w:val="16"/>
              </w:rPr>
            </w:pPr>
          </w:p>
        </w:tc>
        <w:tc>
          <w:tcPr>
            <w:tcW w:w="6111" w:type="dxa"/>
          </w:tcPr>
          <w:p w:rsidR="006A18FD" w:rsidRDefault="002D29FC">
            <w:pPr>
              <w:spacing w:before="1" w:line="223" w:lineRule="exact"/>
              <w:ind w:left="105"/>
              <w:rPr>
                <w:rFonts w:ascii="Calibri"/>
                <w:sz w:val="20"/>
              </w:rPr>
            </w:pPr>
            <w:r>
              <w:rPr>
                <w:rFonts w:ascii="Calibri"/>
                <w:sz w:val="20"/>
              </w:rPr>
              <w:t>No information is available.</w:t>
            </w:r>
          </w:p>
        </w:tc>
      </w:tr>
      <w:tr w:rsidR="006A18FD">
        <w:trPr>
          <w:trHeight w:val="480"/>
        </w:trPr>
        <w:tc>
          <w:tcPr>
            <w:tcW w:w="2206" w:type="dxa"/>
          </w:tcPr>
          <w:p w:rsidR="006A18FD" w:rsidRDefault="002D29FC">
            <w:pPr>
              <w:spacing w:before="1"/>
              <w:ind w:left="105"/>
              <w:rPr>
                <w:rFonts w:ascii="Calibri"/>
                <w:sz w:val="20"/>
              </w:rPr>
            </w:pPr>
            <w:r>
              <w:rPr>
                <w:rFonts w:ascii="Calibri"/>
                <w:sz w:val="20"/>
              </w:rPr>
              <w:t>Use of facility by client</w:t>
            </w:r>
          </w:p>
        </w:tc>
        <w:tc>
          <w:tcPr>
            <w:tcW w:w="1654" w:type="dxa"/>
          </w:tcPr>
          <w:p w:rsidR="006A18FD" w:rsidRDefault="002D29FC">
            <w:pPr>
              <w:spacing w:before="1" w:line="243" w:lineRule="exact"/>
              <w:ind w:left="103"/>
              <w:rPr>
                <w:rFonts w:ascii="Calibri"/>
                <w:sz w:val="20"/>
              </w:rPr>
            </w:pPr>
            <w:r>
              <w:rPr>
                <w:rFonts w:ascii="Calibri"/>
                <w:sz w:val="20"/>
              </w:rPr>
              <w:t>365.25 days per</w:t>
            </w:r>
          </w:p>
          <w:p w:rsidR="006A18FD" w:rsidRDefault="002D29FC">
            <w:pPr>
              <w:spacing w:line="222" w:lineRule="exact"/>
              <w:ind w:left="103"/>
              <w:rPr>
                <w:rFonts w:ascii="Calibri"/>
                <w:sz w:val="20"/>
              </w:rPr>
            </w:pPr>
            <w:r>
              <w:rPr>
                <w:rFonts w:ascii="Calibri"/>
                <w:sz w:val="20"/>
              </w:rPr>
              <w:t>year</w:t>
            </w:r>
          </w:p>
        </w:tc>
        <w:tc>
          <w:tcPr>
            <w:tcW w:w="6111" w:type="dxa"/>
          </w:tcPr>
          <w:p w:rsidR="006A18FD" w:rsidRDefault="006A18FD">
            <w:pPr>
              <w:rPr>
                <w:rFonts w:ascii="Times New Roman"/>
                <w:sz w:val="18"/>
              </w:rPr>
            </w:pPr>
          </w:p>
        </w:tc>
      </w:tr>
      <w:tr w:rsidR="006A18FD">
        <w:trPr>
          <w:trHeight w:val="240"/>
        </w:trPr>
        <w:tc>
          <w:tcPr>
            <w:tcW w:w="2206" w:type="dxa"/>
          </w:tcPr>
          <w:p w:rsidR="006A18FD" w:rsidRDefault="002D29FC">
            <w:pPr>
              <w:spacing w:before="1" w:line="223" w:lineRule="exact"/>
              <w:ind w:left="105"/>
              <w:rPr>
                <w:rFonts w:ascii="Calibri"/>
                <w:sz w:val="20"/>
              </w:rPr>
            </w:pPr>
            <w:r>
              <w:rPr>
                <w:rFonts w:ascii="Calibri"/>
                <w:sz w:val="20"/>
              </w:rPr>
              <w:t>Occupancy</w:t>
            </w:r>
          </w:p>
        </w:tc>
        <w:tc>
          <w:tcPr>
            <w:tcW w:w="1654" w:type="dxa"/>
          </w:tcPr>
          <w:p w:rsidR="006A18FD" w:rsidRDefault="002D29FC">
            <w:pPr>
              <w:spacing w:before="1" w:line="223" w:lineRule="exact"/>
              <w:ind w:left="103"/>
              <w:rPr>
                <w:rFonts w:ascii="Calibri"/>
                <w:sz w:val="20"/>
              </w:rPr>
            </w:pPr>
            <w:r>
              <w:rPr>
                <w:rFonts w:ascii="Calibri"/>
                <w:sz w:val="20"/>
              </w:rPr>
              <w:t>100 per cent</w:t>
            </w:r>
          </w:p>
        </w:tc>
        <w:tc>
          <w:tcPr>
            <w:tcW w:w="6111" w:type="dxa"/>
          </w:tcPr>
          <w:p w:rsidR="006A18FD" w:rsidRDefault="002D29FC">
            <w:pPr>
              <w:spacing w:before="1" w:line="223" w:lineRule="exact"/>
              <w:ind w:left="105"/>
              <w:rPr>
                <w:rFonts w:ascii="Calibri"/>
                <w:sz w:val="20"/>
              </w:rPr>
            </w:pPr>
            <w:r>
              <w:rPr>
                <w:rFonts w:ascii="Calibri"/>
                <w:sz w:val="20"/>
              </w:rPr>
              <w:t>No statistics available, therefore 100 per cent occupancy assumed.</w:t>
            </w:r>
          </w:p>
        </w:tc>
      </w:tr>
      <w:tr w:rsidR="006A18FD">
        <w:trPr>
          <w:trHeight w:val="240"/>
        </w:trPr>
        <w:tc>
          <w:tcPr>
            <w:tcW w:w="2206" w:type="dxa"/>
          </w:tcPr>
          <w:p w:rsidR="006A18FD" w:rsidRDefault="002D29FC">
            <w:pPr>
              <w:spacing w:before="1" w:line="223" w:lineRule="exact"/>
              <w:ind w:left="105"/>
              <w:rPr>
                <w:rFonts w:ascii="Calibri"/>
                <w:sz w:val="20"/>
              </w:rPr>
            </w:pPr>
            <w:r>
              <w:rPr>
                <w:rFonts w:ascii="Calibri"/>
                <w:sz w:val="20"/>
              </w:rPr>
              <w:t>London multiplier</w:t>
            </w:r>
          </w:p>
        </w:tc>
        <w:tc>
          <w:tcPr>
            <w:tcW w:w="1654" w:type="dxa"/>
          </w:tcPr>
          <w:p w:rsidR="006A18FD" w:rsidRDefault="006A18FD">
            <w:pPr>
              <w:rPr>
                <w:rFonts w:ascii="Times New Roman"/>
                <w:sz w:val="16"/>
              </w:rPr>
            </w:pPr>
          </w:p>
        </w:tc>
        <w:tc>
          <w:tcPr>
            <w:tcW w:w="6111" w:type="dxa"/>
          </w:tcPr>
          <w:p w:rsidR="006A18FD" w:rsidRDefault="002D29FC">
            <w:pPr>
              <w:spacing w:before="1"/>
              <w:ind w:left="105"/>
              <w:rPr>
                <w:rFonts w:ascii="Calibri"/>
                <w:sz w:val="18"/>
              </w:rPr>
            </w:pPr>
            <w:r>
              <w:rPr>
                <w:rFonts w:ascii="Calibri"/>
                <w:sz w:val="18"/>
              </w:rPr>
              <w:t>See previous volume for information on multipliers</w:t>
            </w:r>
          </w:p>
        </w:tc>
      </w:tr>
      <w:tr w:rsidR="006A18FD">
        <w:trPr>
          <w:trHeight w:val="360"/>
        </w:trPr>
        <w:tc>
          <w:tcPr>
            <w:tcW w:w="9972" w:type="dxa"/>
            <w:gridSpan w:val="3"/>
          </w:tcPr>
          <w:p w:rsidR="006A18FD" w:rsidRDefault="002D29FC">
            <w:pPr>
              <w:spacing w:before="1"/>
              <w:ind w:left="105"/>
              <w:rPr>
                <w:rFonts w:ascii="Calibri"/>
                <w:b/>
                <w:sz w:val="20"/>
              </w:rPr>
            </w:pPr>
            <w:r>
              <w:rPr>
                <w:rFonts w:ascii="Calibri"/>
                <w:b/>
                <w:sz w:val="20"/>
              </w:rPr>
              <w:t>Unit costs available 2018/2019</w:t>
            </w:r>
          </w:p>
        </w:tc>
      </w:tr>
      <w:tr w:rsidR="006A18FD">
        <w:trPr>
          <w:trHeight w:val="1700"/>
        </w:trPr>
        <w:tc>
          <w:tcPr>
            <w:tcW w:w="9972" w:type="dxa"/>
            <w:gridSpan w:val="3"/>
          </w:tcPr>
          <w:p w:rsidR="006A18FD" w:rsidRDefault="002D29FC">
            <w:pPr>
              <w:spacing w:before="1"/>
              <w:ind w:left="105"/>
              <w:rPr>
                <w:rFonts w:ascii="Calibri"/>
                <w:b/>
                <w:sz w:val="20"/>
              </w:rPr>
            </w:pPr>
            <w:r>
              <w:rPr>
                <w:rFonts w:ascii="Calibri"/>
                <w:b/>
                <w:sz w:val="20"/>
              </w:rPr>
              <w:t>Age 18-64 (using unique identifier 8710801; numerator in thousands of pounds, 8710802; denominator)</w:t>
            </w:r>
          </w:p>
          <w:p w:rsidR="006A18FD" w:rsidRDefault="002D29FC">
            <w:pPr>
              <w:spacing w:line="243" w:lineRule="exact"/>
              <w:ind w:left="105"/>
              <w:rPr>
                <w:rFonts w:ascii="Calibri" w:hAnsi="Calibri"/>
                <w:sz w:val="20"/>
              </w:rPr>
            </w:pPr>
            <w:r>
              <w:rPr>
                <w:rFonts w:ascii="Calibri" w:hAnsi="Calibri"/>
                <w:sz w:val="20"/>
              </w:rPr>
              <w:t>£942 per resident week establishment costs (includes A to C); £967 per resident week (includes A to E).</w:t>
            </w:r>
          </w:p>
          <w:p w:rsidR="006A18FD" w:rsidRDefault="002D29FC">
            <w:pPr>
              <w:spacing w:line="243" w:lineRule="exact"/>
              <w:ind w:left="105"/>
              <w:rPr>
                <w:rFonts w:ascii="Calibri" w:hAnsi="Calibri"/>
                <w:sz w:val="20"/>
              </w:rPr>
            </w:pPr>
            <w:r>
              <w:rPr>
                <w:rFonts w:ascii="Calibri" w:hAnsi="Calibri"/>
                <w:sz w:val="20"/>
              </w:rPr>
              <w:t>£135 per resident day establishment costs (includes A to C); £138 per resident day (includes A to E).</w:t>
            </w:r>
          </w:p>
          <w:p w:rsidR="006A18FD" w:rsidRDefault="006A18FD">
            <w:pPr>
              <w:spacing w:before="1"/>
              <w:rPr>
                <w:rFonts w:ascii="Calibri"/>
                <w:sz w:val="20"/>
              </w:rPr>
            </w:pPr>
          </w:p>
          <w:p w:rsidR="006A18FD" w:rsidRDefault="002D29FC">
            <w:pPr>
              <w:ind w:left="105"/>
              <w:rPr>
                <w:rFonts w:ascii="Calibri"/>
                <w:b/>
                <w:sz w:val="20"/>
              </w:rPr>
            </w:pPr>
            <w:r>
              <w:rPr>
                <w:rFonts w:ascii="Calibri"/>
                <w:b/>
                <w:sz w:val="20"/>
              </w:rPr>
              <w:t>Age 65+ (using unique identifier 8713701; numerator in thousands of pounds, 8713702; denominator)</w:t>
            </w:r>
          </w:p>
          <w:p w:rsidR="006A18FD" w:rsidRDefault="002D29FC">
            <w:pPr>
              <w:spacing w:line="243" w:lineRule="exact"/>
              <w:ind w:left="105"/>
              <w:rPr>
                <w:rFonts w:ascii="Calibri" w:hAnsi="Calibri"/>
                <w:sz w:val="20"/>
              </w:rPr>
            </w:pPr>
            <w:r>
              <w:rPr>
                <w:rFonts w:ascii="Calibri" w:hAnsi="Calibri"/>
                <w:sz w:val="20"/>
              </w:rPr>
              <w:t>£594 (£597) median (mean) establishment cost per resident week.</w:t>
            </w:r>
          </w:p>
          <w:p w:rsidR="006A18FD" w:rsidRDefault="002D29FC">
            <w:pPr>
              <w:spacing w:line="222" w:lineRule="exact"/>
              <w:ind w:left="105"/>
              <w:rPr>
                <w:rFonts w:ascii="Calibri" w:hAnsi="Calibri"/>
                <w:sz w:val="20"/>
              </w:rPr>
            </w:pPr>
            <w:r>
              <w:rPr>
                <w:rFonts w:ascii="Calibri" w:hAnsi="Calibri"/>
                <w:sz w:val="20"/>
              </w:rPr>
              <w:t>£85 (£85) median (mean) establishment cost per resident day.</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4"/>
        <w:rPr>
          <w:rFonts w:ascii="Calibri"/>
          <w:sz w:val="23"/>
        </w:rPr>
      </w:pPr>
    </w:p>
    <w:p w:rsidR="006A18FD" w:rsidRDefault="00E60AD2">
      <w:pPr>
        <w:ind w:left="436" w:right="509" w:hanging="284"/>
        <w:rPr>
          <w:rFonts w:ascii="Calibri"/>
          <w:sz w:val="16"/>
        </w:rPr>
      </w:pPr>
      <w:r>
        <w:rPr>
          <w:noProof/>
          <w:lang w:val="en-GB" w:eastAsia="en-GB"/>
        </w:rPr>
        <mc:AlternateContent>
          <mc:Choice Requires="wps">
            <w:drawing>
              <wp:anchor distT="0" distB="0" distL="114300" distR="114300" simplePos="0" relativeHeight="251609088" behindDoc="1" locked="0" layoutInCell="1" allowOverlap="1">
                <wp:simplePos x="0" y="0"/>
                <wp:positionH relativeFrom="page">
                  <wp:posOffset>899160</wp:posOffset>
                </wp:positionH>
                <wp:positionV relativeFrom="paragraph">
                  <wp:posOffset>237490</wp:posOffset>
                </wp:positionV>
                <wp:extent cx="3713480" cy="0"/>
                <wp:effectExtent l="13335" t="8890" r="6985" b="10160"/>
                <wp:wrapNone/>
                <wp:docPr id="30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F11E7" id="Line 166"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8.7pt" to="363.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wfFQIAACw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" strokeweight=".48pt">
                <w10:wrap anchorx="page"/>
              </v:line>
            </w:pict>
          </mc:Fallback>
        </mc:AlternateContent>
      </w:r>
      <w:r w:rsidR="002D29FC">
        <w:rPr>
          <w:rFonts w:ascii="Calibri"/>
          <w:position w:val="5"/>
          <w:sz w:val="10"/>
        </w:rPr>
        <w:t xml:space="preserve">1 </w:t>
      </w:r>
      <w:r w:rsidR="002D29FC">
        <w:rPr>
          <w:rFonts w:ascii="Calibri"/>
          <w:sz w:val="16"/>
        </w:rPr>
        <w:t xml:space="preserve">Calculated using NHS Digital (2019) </w:t>
      </w:r>
      <w:r w:rsidR="002D29FC">
        <w:rPr>
          <w:rFonts w:ascii="Calibri"/>
          <w:i/>
          <w:sz w:val="16"/>
        </w:rPr>
        <w:t>Adult Social Care Finance Return (ASC-FR)</w:t>
      </w:r>
      <w:r w:rsidR="002D29FC">
        <w:rPr>
          <w:rFonts w:ascii="Calibri"/>
          <w:sz w:val="16"/>
        </w:rPr>
        <w:t xml:space="preserve">, NHS Digital 2018/19, </w:t>
      </w:r>
      <w:hyperlink r:id="rId181">
        <w:r w:rsidR="002D29FC">
          <w:rPr>
            <w:rFonts w:ascii="Calibri"/>
            <w:sz w:val="16"/>
            <w:u w:val="single"/>
          </w:rPr>
          <w:t>https://digital.nhs.uk/data-and-</w:t>
        </w:r>
      </w:hyperlink>
      <w:r w:rsidR="002D29FC">
        <w:rPr>
          <w:rFonts w:ascii="Calibri"/>
          <w:sz w:val="16"/>
        </w:rPr>
        <w:t xml:space="preserve"> </w:t>
      </w:r>
      <w:hyperlink r:id="rId182">
        <w:r w:rsidR="002D29FC">
          <w:rPr>
            <w:rFonts w:ascii="Calibri"/>
            <w:sz w:val="16"/>
          </w:rPr>
          <w:t xml:space="preserve">information/publications/statistical/adult-social-care-activity-and-finance-report/2018-19 </w:t>
        </w:r>
      </w:hyperlink>
      <w:r w:rsidR="002D29FC">
        <w:rPr>
          <w:rFonts w:ascii="Calibri"/>
          <w:sz w:val="16"/>
        </w:rPr>
        <w:t>[accessed 23 October, 2019], in collaboration with the Department of Health and Social Care.</w:t>
      </w:r>
    </w:p>
    <w:p w:rsidR="006A18FD" w:rsidRDefault="002D29FC">
      <w:pPr>
        <w:spacing w:before="1" w:line="195" w:lineRule="exact"/>
        <w:ind w:left="152"/>
        <w:rPr>
          <w:rFonts w:ascii="Calibri"/>
          <w:sz w:val="16"/>
        </w:rPr>
      </w:pPr>
      <w:r>
        <w:rPr>
          <w:rFonts w:ascii="Calibri"/>
          <w:position w:val="5"/>
          <w:sz w:val="10"/>
        </w:rPr>
        <w:t xml:space="preserve">2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1704" w:hanging="284"/>
        <w:rPr>
          <w:rFonts w:ascii="Calibri"/>
          <w:sz w:val="16"/>
        </w:rPr>
      </w:pPr>
      <w:r>
        <w:rPr>
          <w:rFonts w:ascii="Calibri"/>
          <w:position w:val="5"/>
          <w:sz w:val="10"/>
        </w:rPr>
        <w:t xml:space="preserve">3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83">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436" w:right="188" w:hanging="284"/>
        <w:rPr>
          <w:rFonts w:ascii="Calibri" w:hAnsi="Calibri"/>
          <w:sz w:val="16"/>
        </w:rPr>
      </w:pPr>
      <w:r>
        <w:rPr>
          <w:rFonts w:ascii="Calibri" w:hAnsi="Calibri"/>
          <w:position w:val="5"/>
          <w:sz w:val="10"/>
        </w:rPr>
        <w:t xml:space="preserve">4 </w:t>
      </w:r>
      <w:r>
        <w:rPr>
          <w:rFonts w:ascii="Calibri" w:hAnsi="Calibri"/>
          <w:sz w:val="16"/>
        </w:rPr>
        <w:t xml:space="preserve">Department of Health &amp; Social Care (2019) </w:t>
      </w:r>
      <w:r>
        <w:rPr>
          <w:rFonts w:ascii="Calibri" w:hAnsi="Calibri"/>
          <w:i/>
          <w:sz w:val="16"/>
        </w:rPr>
        <w:t>Social Care – Charging for care and support</w:t>
      </w:r>
      <w:r>
        <w:rPr>
          <w:rFonts w:ascii="Calibri" w:hAnsi="Calibri"/>
          <w:sz w:val="16"/>
        </w:rPr>
        <w:t xml:space="preserve">, Department of Health &amp; Social Care, London. </w:t>
      </w:r>
      <w:hyperlink r:id="rId184">
        <w:r>
          <w:rPr>
            <w:rFonts w:ascii="Calibri" w:hAnsi="Calibri"/>
            <w:sz w:val="16"/>
            <w:u w:val="single"/>
          </w:rPr>
          <w:t>https://assets.publishing.service.gov.uk/government/uploads/system/uploads/attachment_data/file/772969/Social_care_charging_for_care_and_su</w:t>
        </w:r>
      </w:hyperlink>
      <w:r>
        <w:rPr>
          <w:rFonts w:ascii="Calibri" w:hAnsi="Calibri"/>
          <w:sz w:val="16"/>
        </w:rPr>
        <w:t xml:space="preserve"> </w:t>
      </w:r>
      <w:hyperlink r:id="rId185">
        <w:r>
          <w:rPr>
            <w:rFonts w:ascii="Calibri" w:hAnsi="Calibri"/>
            <w:sz w:val="16"/>
            <w:u w:val="single"/>
          </w:rPr>
          <w:t>pport_-_LAC_2019.pdf</w:t>
        </w:r>
        <w:r>
          <w:rPr>
            <w:rFonts w:ascii="Calibri" w:hAnsi="Calibri"/>
            <w:sz w:val="16"/>
          </w:rPr>
          <w:t xml:space="preserve"> </w:t>
        </w:r>
      </w:hyperlink>
      <w:r>
        <w:rPr>
          <w:rFonts w:ascii="Calibri" w:hAnsi="Calibri"/>
          <w:sz w:val="16"/>
        </w:rPr>
        <w:t>[accessed 20 May 2019].</w:t>
      </w:r>
    </w:p>
    <w:p w:rsidR="006A18FD" w:rsidRDefault="006A18FD">
      <w:pPr>
        <w:rPr>
          <w:rFonts w:ascii="Calibri" w:hAnsi="Calibri"/>
          <w:sz w:val="16"/>
        </w:rPr>
        <w:sectPr w:rsidR="006A18FD">
          <w:headerReference w:type="default" r:id="rId186"/>
          <w:pgSz w:w="11910" w:h="16840"/>
          <w:pgMar w:top="660" w:right="580" w:bottom="280" w:left="98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0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08" name="Line 16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C09F4" id="Group 16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BkjIOXgAIAAIEF&#10;AAAOAAAAAAAAAAAAAAAAAC4CAABkcnMvZTJvRG9jLnhtbFBLAQItABQABgAIAAAAIQAtd+Rc2gAA&#10;AAQBAAAPAAAAAAAAAAAAAAAAANoEAABkcnMvZG93bnJldi54bWxQSwUGAAAAAAQABADzAAAA4QUA&#10;AAAA&#10;">
                <v:line id="Line 16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w10:anchorlock/>
              </v:group>
            </w:pict>
          </mc:Fallback>
        </mc:AlternateContent>
      </w:r>
    </w:p>
    <w:p w:rsidR="006A18FD" w:rsidRDefault="006267D6" w:rsidP="006267D6">
      <w:pPr>
        <w:pStyle w:val="Heading2"/>
      </w:pPr>
      <w:r>
        <w:t xml:space="preserve">5.3 </w:t>
      </w:r>
      <w:r w:rsidR="002D29FC">
        <w:t>Day care for adults requiring physical support (age</w:t>
      </w:r>
      <w:r w:rsidR="002D29FC">
        <w:rPr>
          <w:spacing w:val="-32"/>
        </w:rPr>
        <w:t xml:space="preserve"> </w:t>
      </w:r>
      <w:r w:rsidR="002D29FC">
        <w:t>18-64)</w:t>
      </w:r>
    </w:p>
    <w:p w:rsidR="006A18FD" w:rsidRDefault="002D29FC">
      <w:pPr>
        <w:spacing w:before="172" w:line="276" w:lineRule="auto"/>
        <w:ind w:left="140" w:right="195"/>
        <w:rPr>
          <w:rFonts w:ascii="Calibri"/>
          <w:sz w:val="20"/>
        </w:rPr>
      </w:pPr>
      <w:r>
        <w:rPr>
          <w:rFonts w:ascii="Calibri"/>
          <w:sz w:val="20"/>
        </w:rPr>
        <w:t>As day care is now combined with other expenditure in the ASC-FR data collection, this table uses the Personal Social Services Expenditure return (PSS EX1)</w:t>
      </w:r>
      <w:r>
        <w:rPr>
          <w:rFonts w:ascii="Calibri"/>
          <w:position w:val="5"/>
          <w:sz w:val="12"/>
        </w:rPr>
        <w:t xml:space="preserve">1 </w:t>
      </w:r>
      <w:r>
        <w:rPr>
          <w:rFonts w:ascii="Calibri"/>
          <w:sz w:val="20"/>
        </w:rPr>
        <w:t>for 2013/2014 for expenditure costs which have been uprated using the PSS pay &amp; prices inflator.</w:t>
      </w:r>
    </w:p>
    <w:p w:rsidR="006A18FD" w:rsidRDefault="002D29FC">
      <w:pPr>
        <w:spacing w:before="119" w:line="276" w:lineRule="auto"/>
        <w:ind w:left="140" w:right="158"/>
        <w:rPr>
          <w:rFonts w:ascii="Calibri" w:hAnsi="Calibri"/>
          <w:sz w:val="20"/>
        </w:rPr>
      </w:pPr>
      <w:r>
        <w:rPr>
          <w:rFonts w:ascii="Calibri" w:hAnsi="Calibri"/>
          <w:sz w:val="20"/>
        </w:rPr>
        <w:t>The median cost was £238 per client week and the mean cost was £237 per client week (including capital costs). These data do not report on how many sessions clients attended each week.</w:t>
      </w:r>
    </w:p>
    <w:p w:rsidR="006A18FD" w:rsidRDefault="002D29FC">
      <w:pPr>
        <w:spacing w:before="119" w:line="276" w:lineRule="auto"/>
        <w:ind w:left="140" w:right="195"/>
        <w:rPr>
          <w:rFonts w:ascii="Calibri" w:hAnsi="Calibri"/>
          <w:sz w:val="20"/>
        </w:rPr>
      </w:pPr>
      <w:r>
        <w:rPr>
          <w:rFonts w:ascii="Calibri" w:hAnsi="Calibri"/>
          <w:sz w:val="20"/>
        </w:rPr>
        <w:t>To determine the best unit of activity, we submitted a Freedom of Information request to ask local authorities the duration of a ‘unit of activity’ and to provide approximate guidance on how many times a week clients attend.</w:t>
      </w:r>
    </w:p>
    <w:p w:rsidR="006A18FD" w:rsidRDefault="002D29FC">
      <w:pPr>
        <w:spacing w:before="116" w:line="276" w:lineRule="auto"/>
        <w:ind w:left="140" w:right="155"/>
        <w:rPr>
          <w:rFonts w:ascii="Calibri"/>
          <w:sz w:val="20"/>
        </w:rPr>
      </w:pPr>
      <w:r>
        <w:rPr>
          <w:rFonts w:ascii="Calibri"/>
          <w:sz w:val="20"/>
        </w:rPr>
        <w:t>Based on information provided by ten local authorities,</w:t>
      </w:r>
      <w:r>
        <w:rPr>
          <w:rFonts w:ascii="Calibri"/>
          <w:position w:val="7"/>
          <w:sz w:val="13"/>
        </w:rPr>
        <w:t xml:space="preserve">2  </w:t>
      </w:r>
      <w:r>
        <w:rPr>
          <w:rFonts w:ascii="Calibri"/>
          <w:sz w:val="20"/>
        </w:rPr>
        <w:t>we have calculated an average cost per client attendance and also a cost per client hour. We have then used this information to calculate the cost of a client session lasting 3.5 hours, which is a typical standard unit of day care for most local authorities responding to our information request.</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688"/>
        <w:gridCol w:w="6119"/>
      </w:tblGrid>
      <w:tr w:rsidR="006A18FD" w:rsidTr="005B5AB5">
        <w:trPr>
          <w:trHeight w:val="360"/>
          <w:tblHeader/>
        </w:trPr>
        <w:tc>
          <w:tcPr>
            <w:tcW w:w="2237" w:type="dxa"/>
          </w:tcPr>
          <w:p w:rsidR="006A18FD" w:rsidRDefault="002D29FC">
            <w:pPr>
              <w:spacing w:before="2"/>
              <w:ind w:left="52"/>
              <w:rPr>
                <w:rFonts w:ascii="Calibri"/>
                <w:b/>
                <w:sz w:val="20"/>
              </w:rPr>
            </w:pPr>
            <w:r>
              <w:rPr>
                <w:rFonts w:ascii="Calibri"/>
                <w:b/>
                <w:sz w:val="20"/>
              </w:rPr>
              <w:t>Costs and unit estimation</w:t>
            </w:r>
          </w:p>
        </w:tc>
        <w:tc>
          <w:tcPr>
            <w:tcW w:w="1688" w:type="dxa"/>
          </w:tcPr>
          <w:p w:rsidR="006A18FD" w:rsidRDefault="002D29FC">
            <w:pPr>
              <w:spacing w:before="2"/>
              <w:ind w:left="102"/>
              <w:rPr>
                <w:rFonts w:ascii="Calibri"/>
                <w:b/>
                <w:sz w:val="20"/>
              </w:rPr>
            </w:pPr>
            <w:r>
              <w:rPr>
                <w:rFonts w:ascii="Calibri"/>
                <w:b/>
                <w:sz w:val="20"/>
              </w:rPr>
              <w:t>2018/2019 value</w:t>
            </w:r>
          </w:p>
        </w:tc>
        <w:tc>
          <w:tcPr>
            <w:tcW w:w="6119" w:type="dxa"/>
          </w:tcPr>
          <w:p w:rsidR="006A18FD" w:rsidRDefault="002D29FC">
            <w:pPr>
              <w:spacing w:before="2"/>
              <w:ind w:left="102"/>
              <w:rPr>
                <w:rFonts w:ascii="Calibri"/>
                <w:b/>
                <w:sz w:val="20"/>
              </w:rPr>
            </w:pPr>
            <w:r>
              <w:rPr>
                <w:rFonts w:ascii="Calibri"/>
                <w:b/>
                <w:sz w:val="20"/>
              </w:rPr>
              <w:t>Notes</w:t>
            </w:r>
          </w:p>
        </w:tc>
      </w:tr>
      <w:tr w:rsidR="006A18FD">
        <w:trPr>
          <w:trHeight w:val="1340"/>
        </w:trPr>
        <w:tc>
          <w:tcPr>
            <w:tcW w:w="2237" w:type="dxa"/>
          </w:tcPr>
          <w:p w:rsidR="006A18FD" w:rsidRDefault="002D29FC">
            <w:pPr>
              <w:spacing w:before="1"/>
              <w:ind w:left="52"/>
              <w:rPr>
                <w:rFonts w:ascii="Calibri"/>
                <w:sz w:val="20"/>
              </w:rPr>
            </w:pPr>
            <w:r>
              <w:rPr>
                <w:rFonts w:ascii="Calibri"/>
                <w:sz w:val="20"/>
              </w:rPr>
              <w:t>Capital costs</w:t>
            </w:r>
          </w:p>
          <w:p w:rsidR="006A18FD" w:rsidRDefault="002D29FC">
            <w:pPr>
              <w:spacing w:before="118"/>
              <w:ind w:left="52"/>
              <w:rPr>
                <w:rFonts w:ascii="Calibri"/>
                <w:sz w:val="20"/>
              </w:rPr>
            </w:pPr>
            <w:r>
              <w:rPr>
                <w:rFonts w:ascii="Calibri"/>
                <w:sz w:val="20"/>
              </w:rPr>
              <w:t>A. Buildings and oncosts</w:t>
            </w:r>
          </w:p>
        </w:tc>
        <w:tc>
          <w:tcPr>
            <w:tcW w:w="1688" w:type="dxa"/>
          </w:tcPr>
          <w:p w:rsidR="006A18FD" w:rsidRDefault="006A18FD">
            <w:pPr>
              <w:spacing w:before="9"/>
              <w:rPr>
                <w:rFonts w:ascii="Calibri"/>
                <w:sz w:val="29"/>
              </w:rPr>
            </w:pPr>
          </w:p>
          <w:p w:rsidR="006A18FD" w:rsidRDefault="002D29FC">
            <w:pPr>
              <w:ind w:left="102" w:right="287"/>
              <w:rPr>
                <w:rFonts w:ascii="Calibri" w:hAnsi="Calibri"/>
                <w:sz w:val="20"/>
              </w:rPr>
            </w:pPr>
            <w:r>
              <w:rPr>
                <w:rFonts w:ascii="Calibri" w:hAnsi="Calibri"/>
                <w:sz w:val="20"/>
              </w:rPr>
              <w:t>£6.30 per client attendance</w:t>
            </w:r>
          </w:p>
        </w:tc>
        <w:tc>
          <w:tcPr>
            <w:tcW w:w="6119" w:type="dxa"/>
          </w:tcPr>
          <w:p w:rsidR="006A18FD" w:rsidRDefault="006A18FD">
            <w:pPr>
              <w:spacing w:before="4"/>
              <w:rPr>
                <w:rFonts w:ascii="Calibri"/>
                <w:sz w:val="29"/>
              </w:rPr>
            </w:pPr>
          </w:p>
          <w:p w:rsidR="006A18FD" w:rsidRDefault="002D29FC">
            <w:pPr>
              <w:spacing w:before="1" w:line="244" w:lineRule="exact"/>
              <w:ind w:left="102" w:right="202"/>
              <w:rPr>
                <w:rFonts w:ascii="Calibri"/>
                <w:sz w:val="13"/>
              </w:rPr>
            </w:pPr>
            <w:r>
              <w:rPr>
                <w:rFonts w:ascii="Calibri"/>
                <w:sz w:val="20"/>
              </w:rPr>
              <w:t>Based on the new-build and land requirements for local authority day care facilities (which do not distinguish client group). Capital costs have been annuitised over 60 years at a discount rate of 3.5 per cent, declining to 3 per cent after 30 years.</w:t>
            </w:r>
            <w:r>
              <w:rPr>
                <w:rFonts w:ascii="Calibri"/>
                <w:position w:val="7"/>
                <w:sz w:val="13"/>
              </w:rPr>
              <w:t>3</w:t>
            </w:r>
          </w:p>
        </w:tc>
      </w:tr>
      <w:tr w:rsidR="006A18FD">
        <w:trPr>
          <w:trHeight w:val="720"/>
        </w:trPr>
        <w:tc>
          <w:tcPr>
            <w:tcW w:w="2237" w:type="dxa"/>
          </w:tcPr>
          <w:p w:rsidR="006A18FD" w:rsidRDefault="002D29FC">
            <w:pPr>
              <w:spacing w:before="1"/>
              <w:ind w:left="52"/>
              <w:rPr>
                <w:rFonts w:ascii="Calibri"/>
                <w:sz w:val="20"/>
              </w:rPr>
            </w:pPr>
            <w:r>
              <w:rPr>
                <w:rFonts w:ascii="Calibri"/>
                <w:sz w:val="20"/>
              </w:rPr>
              <w:t>B. Land</w:t>
            </w:r>
          </w:p>
        </w:tc>
        <w:tc>
          <w:tcPr>
            <w:tcW w:w="1688" w:type="dxa"/>
          </w:tcPr>
          <w:p w:rsidR="006A18FD" w:rsidRDefault="002D29FC">
            <w:pPr>
              <w:spacing w:before="1"/>
              <w:ind w:left="102" w:right="287"/>
              <w:rPr>
                <w:rFonts w:ascii="Calibri" w:hAnsi="Calibri"/>
                <w:sz w:val="20"/>
              </w:rPr>
            </w:pPr>
            <w:r>
              <w:rPr>
                <w:rFonts w:ascii="Calibri" w:hAnsi="Calibri"/>
                <w:sz w:val="20"/>
              </w:rPr>
              <w:t>£2.20 per client attendance</w:t>
            </w:r>
          </w:p>
        </w:tc>
        <w:tc>
          <w:tcPr>
            <w:tcW w:w="6119" w:type="dxa"/>
          </w:tcPr>
          <w:p w:rsidR="006A18FD" w:rsidRDefault="002D29FC">
            <w:pPr>
              <w:spacing w:before="6" w:line="235" w:lineRule="auto"/>
              <w:ind w:left="102" w:right="185"/>
              <w:rPr>
                <w:rFonts w:ascii="Calibri"/>
                <w:sz w:val="20"/>
              </w:rPr>
            </w:pPr>
            <w:r>
              <w:rPr>
                <w:rFonts w:ascii="Calibri"/>
                <w:sz w:val="20"/>
              </w:rPr>
              <w:t>Based on Ministry of Housing, Communities &amp; Local Government land estimates.</w:t>
            </w:r>
            <w:r>
              <w:rPr>
                <w:rFonts w:ascii="Calibri"/>
                <w:position w:val="7"/>
                <w:sz w:val="13"/>
              </w:rPr>
              <w:t xml:space="preserve">4 </w:t>
            </w:r>
            <w:r>
              <w:rPr>
                <w:rFonts w:ascii="Calibri"/>
                <w:sz w:val="20"/>
              </w:rPr>
              <w:t>Land costs have been annuitised over 60 years at a discount</w:t>
            </w:r>
          </w:p>
          <w:p w:rsidR="006A18FD" w:rsidRDefault="002D29FC">
            <w:pPr>
              <w:spacing w:line="223" w:lineRule="exact"/>
              <w:ind w:left="102"/>
              <w:rPr>
                <w:rFonts w:ascii="Calibri"/>
                <w:sz w:val="20"/>
              </w:rPr>
            </w:pPr>
            <w:r>
              <w:rPr>
                <w:rFonts w:ascii="Calibri"/>
                <w:sz w:val="20"/>
              </w:rPr>
              <w:t>rate of 3.5 per cent, declining to 3 per cent after 30 years.</w:t>
            </w:r>
          </w:p>
        </w:tc>
      </w:tr>
      <w:tr w:rsidR="006A18FD">
        <w:trPr>
          <w:trHeight w:val="240"/>
        </w:trPr>
        <w:tc>
          <w:tcPr>
            <w:tcW w:w="2237" w:type="dxa"/>
          </w:tcPr>
          <w:p w:rsidR="006A18FD" w:rsidRDefault="002D29FC">
            <w:pPr>
              <w:spacing w:before="1" w:line="223" w:lineRule="exact"/>
              <w:ind w:left="52"/>
              <w:rPr>
                <w:rFonts w:ascii="Calibri"/>
                <w:sz w:val="20"/>
              </w:rPr>
            </w:pPr>
            <w:r>
              <w:rPr>
                <w:rFonts w:ascii="Calibri"/>
                <w:sz w:val="20"/>
              </w:rPr>
              <w:t>C. Other capital</w:t>
            </w:r>
          </w:p>
        </w:tc>
        <w:tc>
          <w:tcPr>
            <w:tcW w:w="1688" w:type="dxa"/>
          </w:tcPr>
          <w:p w:rsidR="006A18FD" w:rsidRDefault="006A18FD">
            <w:pPr>
              <w:rPr>
                <w:rFonts w:ascii="Times New Roman"/>
                <w:sz w:val="16"/>
              </w:rPr>
            </w:pPr>
          </w:p>
        </w:tc>
        <w:tc>
          <w:tcPr>
            <w:tcW w:w="6119" w:type="dxa"/>
          </w:tcPr>
          <w:p w:rsidR="006A18FD" w:rsidRDefault="006A18FD">
            <w:pPr>
              <w:rPr>
                <w:rFonts w:ascii="Times New Roman"/>
                <w:sz w:val="16"/>
              </w:rPr>
            </w:pPr>
          </w:p>
        </w:tc>
      </w:tr>
      <w:tr w:rsidR="006A18FD">
        <w:trPr>
          <w:trHeight w:val="1940"/>
        </w:trPr>
        <w:tc>
          <w:tcPr>
            <w:tcW w:w="2237" w:type="dxa"/>
          </w:tcPr>
          <w:p w:rsidR="006A18FD" w:rsidRDefault="002D29FC">
            <w:pPr>
              <w:spacing w:before="1" w:line="243" w:lineRule="exact"/>
              <w:ind w:left="52"/>
              <w:rPr>
                <w:rFonts w:ascii="Calibri"/>
                <w:sz w:val="20"/>
              </w:rPr>
            </w:pPr>
            <w:r>
              <w:rPr>
                <w:rFonts w:ascii="Calibri"/>
                <w:sz w:val="20"/>
              </w:rPr>
              <w:t>Revenue costs</w:t>
            </w:r>
          </w:p>
          <w:p w:rsidR="006A18FD" w:rsidRDefault="002D29FC">
            <w:pPr>
              <w:ind w:left="52" w:right="603"/>
              <w:rPr>
                <w:rFonts w:ascii="Calibri"/>
                <w:sz w:val="20"/>
              </w:rPr>
            </w:pPr>
            <w:r>
              <w:rPr>
                <w:rFonts w:ascii="Calibri"/>
                <w:sz w:val="20"/>
              </w:rPr>
              <w:t>D. Salary and other revenue costs</w:t>
            </w:r>
          </w:p>
        </w:tc>
        <w:tc>
          <w:tcPr>
            <w:tcW w:w="1688" w:type="dxa"/>
          </w:tcPr>
          <w:p w:rsidR="006A18FD" w:rsidRDefault="006A18FD">
            <w:pPr>
              <w:spacing w:before="11"/>
              <w:rPr>
                <w:rFonts w:ascii="Calibri"/>
                <w:sz w:val="19"/>
              </w:rPr>
            </w:pPr>
          </w:p>
          <w:p w:rsidR="006A18FD" w:rsidRDefault="002D29FC">
            <w:pPr>
              <w:spacing w:before="1"/>
              <w:ind w:left="102" w:right="439"/>
              <w:rPr>
                <w:rFonts w:ascii="Calibri" w:hAnsi="Calibri"/>
                <w:sz w:val="20"/>
              </w:rPr>
            </w:pPr>
            <w:r>
              <w:rPr>
                <w:rFonts w:ascii="Calibri" w:hAnsi="Calibri"/>
                <w:sz w:val="20"/>
              </w:rPr>
              <w:t>£88 per client attendance</w:t>
            </w:r>
          </w:p>
        </w:tc>
        <w:tc>
          <w:tcPr>
            <w:tcW w:w="6119" w:type="dxa"/>
          </w:tcPr>
          <w:p w:rsidR="006A18FD" w:rsidRDefault="006A18FD">
            <w:pPr>
              <w:spacing w:before="2"/>
              <w:rPr>
                <w:rFonts w:ascii="Calibri"/>
                <w:sz w:val="20"/>
              </w:rPr>
            </w:pPr>
          </w:p>
          <w:p w:rsidR="006A18FD" w:rsidRDefault="002D29FC">
            <w:pPr>
              <w:spacing w:line="237" w:lineRule="auto"/>
              <w:ind w:left="102" w:right="202"/>
              <w:rPr>
                <w:rFonts w:ascii="Calibri" w:hAnsi="Calibri"/>
                <w:sz w:val="20"/>
              </w:rPr>
            </w:pPr>
            <w:r>
              <w:rPr>
                <w:rFonts w:ascii="Calibri" w:hAnsi="Calibri"/>
                <w:sz w:val="20"/>
              </w:rPr>
              <w:t>The median cost per client week has been taken from PSS EX1 2013/2014</w:t>
            </w:r>
            <w:r>
              <w:rPr>
                <w:rFonts w:ascii="Calibri" w:hAnsi="Calibri"/>
                <w:position w:val="7"/>
                <w:sz w:val="13"/>
              </w:rPr>
              <w:t xml:space="preserve">1 </w:t>
            </w:r>
            <w:r>
              <w:rPr>
                <w:rFonts w:ascii="Calibri" w:hAnsi="Calibri"/>
                <w:sz w:val="20"/>
              </w:rPr>
              <w:t>and uprated using the PSS pay &amp; prices index. Assuming people with learning disabilities attend on average 2.7 times per week (4.8 hours in duration),</w:t>
            </w:r>
            <w:r>
              <w:rPr>
                <w:rFonts w:ascii="Calibri" w:hAnsi="Calibri"/>
                <w:position w:val="7"/>
                <w:sz w:val="13"/>
              </w:rPr>
              <w:t xml:space="preserve">2 </w:t>
            </w:r>
            <w:r>
              <w:rPr>
                <w:rFonts w:ascii="Calibri" w:hAnsi="Calibri"/>
                <w:sz w:val="20"/>
              </w:rPr>
              <w:t>the median and mean cost per day care attendance is £88. Capital charges relating to buildings have been</w:t>
            </w:r>
          </w:p>
          <w:p w:rsidR="006A18FD" w:rsidRDefault="002D29FC">
            <w:pPr>
              <w:spacing w:line="240" w:lineRule="atLeast"/>
              <w:ind w:left="102"/>
              <w:rPr>
                <w:rFonts w:ascii="Calibri" w:hAnsi="Calibri"/>
                <w:sz w:val="20"/>
              </w:rPr>
            </w:pPr>
            <w:r>
              <w:rPr>
                <w:rFonts w:ascii="Calibri" w:hAnsi="Calibri"/>
                <w:sz w:val="20"/>
              </w:rPr>
              <w:t>deducted. Councils reporting costs of over £2,000 per client week have not been included in this estimate.</w:t>
            </w:r>
          </w:p>
        </w:tc>
      </w:tr>
      <w:tr w:rsidR="006A18FD">
        <w:trPr>
          <w:trHeight w:val="718"/>
        </w:trPr>
        <w:tc>
          <w:tcPr>
            <w:tcW w:w="2237" w:type="dxa"/>
          </w:tcPr>
          <w:p w:rsidR="006A18FD" w:rsidRDefault="002D29FC">
            <w:pPr>
              <w:spacing w:line="244" w:lineRule="exact"/>
              <w:ind w:left="52"/>
              <w:rPr>
                <w:rFonts w:ascii="Calibri"/>
                <w:sz w:val="20"/>
              </w:rPr>
            </w:pPr>
            <w:r>
              <w:rPr>
                <w:rFonts w:ascii="Calibri"/>
                <w:sz w:val="20"/>
              </w:rPr>
              <w:t>E. Overheads</w:t>
            </w:r>
          </w:p>
        </w:tc>
        <w:tc>
          <w:tcPr>
            <w:tcW w:w="1688" w:type="dxa"/>
          </w:tcPr>
          <w:p w:rsidR="006A18FD" w:rsidRDefault="006A18FD">
            <w:pPr>
              <w:rPr>
                <w:rFonts w:ascii="Times New Roman"/>
                <w:sz w:val="18"/>
              </w:rPr>
            </w:pPr>
          </w:p>
        </w:tc>
        <w:tc>
          <w:tcPr>
            <w:tcW w:w="6119" w:type="dxa"/>
          </w:tcPr>
          <w:p w:rsidR="006A18FD" w:rsidRDefault="002D29FC">
            <w:pPr>
              <w:ind w:left="102" w:right="104"/>
              <w:rPr>
                <w:rFonts w:ascii="Calibri"/>
                <w:sz w:val="20"/>
              </w:rPr>
            </w:pPr>
            <w:r>
              <w:rPr>
                <w:rFonts w:ascii="Calibri"/>
                <w:sz w:val="20"/>
              </w:rPr>
              <w:t>Social services management and support services (SSMSS) costs are included in PSS EX1 expenditure figures so no additional overheads have</w:t>
            </w:r>
          </w:p>
          <w:p w:rsidR="006A18FD" w:rsidRDefault="002D29FC">
            <w:pPr>
              <w:spacing w:before="1" w:line="223" w:lineRule="exact"/>
              <w:ind w:left="102"/>
              <w:rPr>
                <w:rFonts w:ascii="Calibri"/>
                <w:sz w:val="20"/>
              </w:rPr>
            </w:pPr>
            <w:r>
              <w:rPr>
                <w:rFonts w:ascii="Calibri"/>
                <w:sz w:val="20"/>
              </w:rPr>
              <w:t>been added.</w:t>
            </w:r>
          </w:p>
        </w:tc>
      </w:tr>
      <w:tr w:rsidR="006A18FD">
        <w:trPr>
          <w:trHeight w:val="240"/>
        </w:trPr>
        <w:tc>
          <w:tcPr>
            <w:tcW w:w="2237" w:type="dxa"/>
          </w:tcPr>
          <w:p w:rsidR="006A18FD" w:rsidRDefault="002D29FC">
            <w:pPr>
              <w:spacing w:before="1" w:line="223" w:lineRule="exact"/>
              <w:ind w:left="52"/>
              <w:rPr>
                <w:rFonts w:ascii="Calibri"/>
                <w:sz w:val="20"/>
              </w:rPr>
            </w:pPr>
            <w:r>
              <w:rPr>
                <w:rFonts w:ascii="Calibri"/>
                <w:sz w:val="20"/>
              </w:rPr>
              <w:t>Use of facility by client</w:t>
            </w:r>
          </w:p>
        </w:tc>
        <w:tc>
          <w:tcPr>
            <w:tcW w:w="1688" w:type="dxa"/>
          </w:tcPr>
          <w:p w:rsidR="006A18FD" w:rsidRDefault="006A18FD">
            <w:pPr>
              <w:rPr>
                <w:rFonts w:ascii="Times New Roman"/>
                <w:sz w:val="16"/>
              </w:rPr>
            </w:pPr>
          </w:p>
        </w:tc>
        <w:tc>
          <w:tcPr>
            <w:tcW w:w="6119" w:type="dxa"/>
          </w:tcPr>
          <w:p w:rsidR="006A18FD" w:rsidRDefault="002D29FC">
            <w:pPr>
              <w:spacing w:line="224" w:lineRule="exact"/>
              <w:ind w:left="102"/>
              <w:rPr>
                <w:rFonts w:ascii="Calibri"/>
                <w:sz w:val="13"/>
              </w:rPr>
            </w:pPr>
            <w:r>
              <w:rPr>
                <w:rFonts w:ascii="Calibri"/>
                <w:sz w:val="20"/>
              </w:rPr>
              <w:t>Assumes clients attend 2.7 times per week.</w:t>
            </w:r>
            <w:r>
              <w:rPr>
                <w:rFonts w:ascii="Calibri"/>
                <w:position w:val="7"/>
                <w:sz w:val="13"/>
              </w:rPr>
              <w:t>2</w:t>
            </w:r>
          </w:p>
        </w:tc>
      </w:tr>
      <w:tr w:rsidR="006A18FD">
        <w:trPr>
          <w:trHeight w:val="240"/>
        </w:trPr>
        <w:tc>
          <w:tcPr>
            <w:tcW w:w="2237" w:type="dxa"/>
          </w:tcPr>
          <w:p w:rsidR="006A18FD" w:rsidRDefault="002D29FC">
            <w:pPr>
              <w:spacing w:before="1" w:line="223" w:lineRule="exact"/>
              <w:ind w:left="52"/>
              <w:rPr>
                <w:rFonts w:ascii="Calibri"/>
                <w:sz w:val="20"/>
              </w:rPr>
            </w:pPr>
            <w:r>
              <w:rPr>
                <w:rFonts w:ascii="Calibri"/>
                <w:sz w:val="20"/>
              </w:rPr>
              <w:t>Occupancy</w:t>
            </w:r>
          </w:p>
        </w:tc>
        <w:tc>
          <w:tcPr>
            <w:tcW w:w="1688" w:type="dxa"/>
          </w:tcPr>
          <w:p w:rsidR="006A18FD" w:rsidRDefault="006A18FD">
            <w:pPr>
              <w:rPr>
                <w:rFonts w:ascii="Times New Roman"/>
                <w:sz w:val="16"/>
              </w:rPr>
            </w:pPr>
          </w:p>
        </w:tc>
        <w:tc>
          <w:tcPr>
            <w:tcW w:w="6119" w:type="dxa"/>
          </w:tcPr>
          <w:p w:rsidR="006A18FD" w:rsidRDefault="002D29FC">
            <w:pPr>
              <w:spacing w:before="1" w:line="223" w:lineRule="exact"/>
              <w:ind w:left="102"/>
              <w:rPr>
                <w:rFonts w:ascii="Calibri"/>
                <w:sz w:val="20"/>
              </w:rPr>
            </w:pPr>
            <w:r>
              <w:rPr>
                <w:rFonts w:ascii="Calibri"/>
                <w:sz w:val="20"/>
              </w:rPr>
              <w:t>No current information is available.</w:t>
            </w:r>
          </w:p>
        </w:tc>
      </w:tr>
      <w:tr w:rsidR="006A18FD">
        <w:trPr>
          <w:trHeight w:val="240"/>
        </w:trPr>
        <w:tc>
          <w:tcPr>
            <w:tcW w:w="2237" w:type="dxa"/>
          </w:tcPr>
          <w:p w:rsidR="006A18FD" w:rsidRDefault="002D29FC">
            <w:pPr>
              <w:spacing w:before="1" w:line="223" w:lineRule="exact"/>
              <w:ind w:left="52"/>
              <w:rPr>
                <w:rFonts w:ascii="Calibri"/>
                <w:sz w:val="20"/>
              </w:rPr>
            </w:pPr>
            <w:r>
              <w:rPr>
                <w:rFonts w:ascii="Calibri"/>
                <w:sz w:val="20"/>
              </w:rPr>
              <w:t>London multiplier</w:t>
            </w:r>
          </w:p>
        </w:tc>
        <w:tc>
          <w:tcPr>
            <w:tcW w:w="1688" w:type="dxa"/>
          </w:tcPr>
          <w:p w:rsidR="006A18FD" w:rsidRDefault="006A18FD">
            <w:pPr>
              <w:rPr>
                <w:rFonts w:ascii="Times New Roman"/>
                <w:sz w:val="16"/>
              </w:rPr>
            </w:pPr>
          </w:p>
        </w:tc>
        <w:tc>
          <w:tcPr>
            <w:tcW w:w="6119" w:type="dxa"/>
          </w:tcPr>
          <w:p w:rsidR="006A18FD" w:rsidRDefault="002D29FC">
            <w:pPr>
              <w:spacing w:before="1"/>
              <w:ind w:left="102"/>
              <w:rPr>
                <w:rFonts w:ascii="Calibri"/>
                <w:sz w:val="18"/>
              </w:rPr>
            </w:pPr>
            <w:r>
              <w:rPr>
                <w:rFonts w:ascii="Calibri"/>
                <w:sz w:val="18"/>
              </w:rPr>
              <w:t>See previous volume for information on multipliers</w:t>
            </w:r>
          </w:p>
        </w:tc>
      </w:tr>
      <w:tr w:rsidR="006A18FD">
        <w:trPr>
          <w:trHeight w:val="360"/>
        </w:trPr>
        <w:tc>
          <w:tcPr>
            <w:tcW w:w="10044" w:type="dxa"/>
            <w:gridSpan w:val="3"/>
          </w:tcPr>
          <w:p w:rsidR="006A18FD" w:rsidRDefault="002D29FC">
            <w:pPr>
              <w:spacing w:before="1"/>
              <w:ind w:left="52"/>
              <w:rPr>
                <w:rFonts w:ascii="Calibri"/>
                <w:b/>
                <w:sz w:val="20"/>
              </w:rPr>
            </w:pPr>
            <w:r>
              <w:rPr>
                <w:rFonts w:ascii="Calibri"/>
                <w:b/>
                <w:sz w:val="20"/>
              </w:rPr>
              <w:t>Unit costs available 2018/2019</w:t>
            </w:r>
          </w:p>
        </w:tc>
      </w:tr>
      <w:tr w:rsidR="006A18FD">
        <w:trPr>
          <w:trHeight w:val="240"/>
        </w:trPr>
        <w:tc>
          <w:tcPr>
            <w:tcW w:w="10044" w:type="dxa"/>
            <w:gridSpan w:val="3"/>
          </w:tcPr>
          <w:p w:rsidR="006A18FD" w:rsidRDefault="002D29FC">
            <w:pPr>
              <w:spacing w:before="2" w:line="223" w:lineRule="exact"/>
              <w:ind w:left="52"/>
              <w:rPr>
                <w:rFonts w:ascii="Calibri" w:hAnsi="Calibri"/>
                <w:sz w:val="20"/>
              </w:rPr>
            </w:pPr>
            <w:r>
              <w:rPr>
                <w:rFonts w:ascii="Calibri" w:hAnsi="Calibri"/>
                <w:sz w:val="20"/>
              </w:rPr>
              <w:t>£97 per client attendance (includes A to D); £20 per client hour; £70 client per session lasting 4.8 hours.</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4"/>
        <w:rPr>
          <w:rFonts w:ascii="Calibri"/>
          <w:sz w:val="28"/>
        </w:rPr>
      </w:pPr>
    </w:p>
    <w:p w:rsidR="006A18FD" w:rsidRDefault="002D29FC">
      <w:pPr>
        <w:spacing w:line="195" w:lineRule="exact"/>
        <w:ind w:left="140"/>
        <w:rPr>
          <w:rFonts w:ascii="Calibri"/>
          <w:sz w:val="16"/>
        </w:rPr>
      </w:pPr>
      <w:r>
        <w:rPr>
          <w:rFonts w:ascii="Calibri"/>
          <w:position w:val="5"/>
          <w:sz w:val="10"/>
        </w:rPr>
        <w:t xml:space="preserve">1 </w:t>
      </w:r>
      <w:r>
        <w:rPr>
          <w:rFonts w:ascii="Calibri"/>
          <w:sz w:val="16"/>
        </w:rPr>
        <w:t xml:space="preserve">Health &amp; Social Care Information Centre (2014) </w:t>
      </w:r>
      <w:r>
        <w:rPr>
          <w:rFonts w:ascii="Calibri"/>
          <w:i/>
          <w:sz w:val="16"/>
        </w:rPr>
        <w:t>PSS EX1 2013/14</w:t>
      </w:r>
      <w:r>
        <w:rPr>
          <w:rFonts w:ascii="Calibri"/>
          <w:sz w:val="16"/>
        </w:rPr>
        <w:t>, Health &amp; Social Care Information Centre, Leeds.</w:t>
      </w:r>
    </w:p>
    <w:p w:rsidR="006A18FD" w:rsidRDefault="002D29FC">
      <w:pPr>
        <w:spacing w:line="195" w:lineRule="exact"/>
        <w:ind w:left="140"/>
        <w:rPr>
          <w:rFonts w:ascii="Calibri"/>
          <w:sz w:val="16"/>
        </w:rPr>
      </w:pPr>
      <w:r>
        <w:rPr>
          <w:rFonts w:ascii="Calibri"/>
          <w:position w:val="5"/>
          <w:sz w:val="10"/>
        </w:rPr>
        <w:t xml:space="preserve">2  </w:t>
      </w:r>
      <w:r>
        <w:rPr>
          <w:rFonts w:ascii="Calibri"/>
          <w:sz w:val="16"/>
        </w:rPr>
        <w:t>Based on research carried out by PSSRU in 2014.</w:t>
      </w:r>
    </w:p>
    <w:p w:rsidR="006A18FD" w:rsidRDefault="002D29FC">
      <w:pPr>
        <w:spacing w:before="2" w:line="195" w:lineRule="exact"/>
        <w:ind w:left="140"/>
        <w:rPr>
          <w:rFonts w:ascii="Calibri"/>
          <w:sz w:val="16"/>
        </w:rPr>
      </w:pPr>
      <w:r>
        <w:rPr>
          <w:rFonts w:ascii="Calibri"/>
          <w:position w:val="5"/>
          <w:sz w:val="10"/>
        </w:rPr>
        <w:t xml:space="preserve">3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4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187">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6A18FD">
      <w:pPr>
        <w:rPr>
          <w:rFonts w:ascii="Calibri"/>
          <w:sz w:val="16"/>
        </w:rPr>
        <w:sectPr w:rsidR="006A18FD">
          <w:headerReference w:type="even" r:id="rId188"/>
          <w:pgSz w:w="11910" w:h="16840"/>
          <w:pgMar w:top="960" w:right="980" w:bottom="280" w:left="580" w:header="751" w:footer="0" w:gutter="0"/>
          <w:pgNumType w:start="66"/>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6"/>
        <w:rPr>
          <w:rFonts w:ascii="Calibri"/>
          <w:sz w:val="23"/>
        </w:rPr>
      </w:pPr>
    </w:p>
    <w:p w:rsidR="006A18FD" w:rsidRPr="006267D6" w:rsidRDefault="002D29FC" w:rsidP="008E3FA8">
      <w:pPr>
        <w:pStyle w:val="ListParagraph"/>
        <w:numPr>
          <w:ilvl w:val="0"/>
          <w:numId w:val="36"/>
        </w:numPr>
        <w:tabs>
          <w:tab w:val="left" w:pos="489"/>
        </w:tabs>
        <w:spacing w:before="100"/>
        <w:rPr>
          <w:rFonts w:ascii="Cambria"/>
          <w:b/>
          <w:sz w:val="36"/>
        </w:rPr>
      </w:pPr>
      <w:r w:rsidRPr="006267D6">
        <w:rPr>
          <w:rFonts w:ascii="Cambria"/>
          <w:b/>
          <w:sz w:val="36"/>
        </w:rPr>
        <w:t>Services for children and their</w:t>
      </w:r>
      <w:r w:rsidRPr="006267D6">
        <w:rPr>
          <w:rFonts w:ascii="Cambria"/>
          <w:b/>
          <w:spacing w:val="-28"/>
          <w:sz w:val="36"/>
        </w:rPr>
        <w:t xml:space="preserve"> </w:t>
      </w:r>
      <w:r w:rsidRPr="006267D6">
        <w:rPr>
          <w:rFonts w:ascii="Cambria"/>
          <w:b/>
          <w:sz w:val="36"/>
        </w:rPr>
        <w:t>families</w:t>
      </w:r>
    </w:p>
    <w:p w:rsidR="006A18FD" w:rsidRPr="006267D6" w:rsidRDefault="002D29FC" w:rsidP="008E3FA8">
      <w:pPr>
        <w:pStyle w:val="ListParagraph"/>
        <w:numPr>
          <w:ilvl w:val="1"/>
          <w:numId w:val="36"/>
        </w:numPr>
        <w:tabs>
          <w:tab w:val="left" w:pos="679"/>
          <w:tab w:val="left" w:pos="680"/>
        </w:tabs>
        <w:spacing w:before="305"/>
        <w:ind w:hanging="792"/>
        <w:rPr>
          <w:rFonts w:ascii="Calibri" w:hAnsi="Calibri"/>
          <w:sz w:val="28"/>
        </w:rPr>
      </w:pPr>
      <w:r w:rsidRPr="006267D6">
        <w:rPr>
          <w:rFonts w:ascii="Calibri" w:hAnsi="Calibri"/>
          <w:sz w:val="28"/>
        </w:rPr>
        <w:t>NHS reference costs for children’s health</w:t>
      </w:r>
      <w:r w:rsidRPr="006267D6">
        <w:rPr>
          <w:rFonts w:ascii="Calibri" w:hAnsi="Calibri"/>
          <w:spacing w:val="-19"/>
          <w:sz w:val="28"/>
        </w:rPr>
        <w:t xml:space="preserve"> </w:t>
      </w:r>
      <w:r w:rsidRPr="006267D6">
        <w:rPr>
          <w:rFonts w:ascii="Calibri" w:hAnsi="Calibri"/>
          <w:sz w:val="28"/>
        </w:rPr>
        <w:t>services</w:t>
      </w:r>
    </w:p>
    <w:p w:rsidR="006A18FD" w:rsidRPr="006267D6" w:rsidRDefault="002D29FC" w:rsidP="008E3FA8">
      <w:pPr>
        <w:pStyle w:val="ListParagraph"/>
        <w:numPr>
          <w:ilvl w:val="1"/>
          <w:numId w:val="36"/>
        </w:numPr>
        <w:tabs>
          <w:tab w:val="left" w:pos="679"/>
          <w:tab w:val="left" w:pos="680"/>
        </w:tabs>
        <w:spacing w:before="169"/>
        <w:ind w:hanging="792"/>
        <w:rPr>
          <w:rFonts w:ascii="Calibri" w:hAnsi="Calibri"/>
          <w:sz w:val="28"/>
        </w:rPr>
      </w:pPr>
      <w:r w:rsidRPr="006267D6">
        <w:rPr>
          <w:rFonts w:ascii="Calibri" w:hAnsi="Calibri"/>
          <w:sz w:val="28"/>
        </w:rPr>
        <w:t>Department for Education’s Social Care Innovation</w:t>
      </w:r>
      <w:r w:rsidRPr="006267D6">
        <w:rPr>
          <w:rFonts w:ascii="Calibri" w:hAnsi="Calibri"/>
          <w:spacing w:val="-29"/>
          <w:sz w:val="28"/>
        </w:rPr>
        <w:t xml:space="preserve"> </w:t>
      </w:r>
      <w:r w:rsidRPr="006267D6">
        <w:rPr>
          <w:rFonts w:ascii="Calibri" w:hAnsi="Calibri"/>
          <w:sz w:val="28"/>
        </w:rPr>
        <w:t>Programme</w:t>
      </w:r>
    </w:p>
    <w:p w:rsidR="006A18FD" w:rsidRPr="006267D6" w:rsidRDefault="002D29FC" w:rsidP="008E3FA8">
      <w:pPr>
        <w:pStyle w:val="ListParagraph"/>
        <w:numPr>
          <w:ilvl w:val="1"/>
          <w:numId w:val="36"/>
        </w:numPr>
        <w:tabs>
          <w:tab w:val="left" w:pos="679"/>
          <w:tab w:val="left" w:pos="680"/>
        </w:tabs>
        <w:spacing w:before="172"/>
        <w:ind w:hanging="792"/>
        <w:rPr>
          <w:rFonts w:ascii="Calibri" w:hAnsi="Calibri"/>
          <w:sz w:val="28"/>
        </w:rPr>
      </w:pPr>
      <w:r w:rsidRPr="006267D6">
        <w:rPr>
          <w:rFonts w:ascii="Calibri" w:hAnsi="Calibri"/>
          <w:sz w:val="28"/>
        </w:rPr>
        <w:t>Care home for children—local</w:t>
      </w:r>
      <w:r w:rsidRPr="006267D6">
        <w:rPr>
          <w:rFonts w:ascii="Calibri" w:hAnsi="Calibri"/>
          <w:spacing w:val="-14"/>
          <w:sz w:val="28"/>
        </w:rPr>
        <w:t xml:space="preserve"> </w:t>
      </w:r>
      <w:r w:rsidRPr="006267D6">
        <w:rPr>
          <w:rFonts w:ascii="Calibri" w:hAnsi="Calibri"/>
          <w:sz w:val="28"/>
        </w:rPr>
        <w:t>authority</w:t>
      </w:r>
    </w:p>
    <w:p w:rsidR="006A18FD" w:rsidRPr="006267D6" w:rsidRDefault="002D29FC" w:rsidP="008E3FA8">
      <w:pPr>
        <w:pStyle w:val="ListParagraph"/>
        <w:numPr>
          <w:ilvl w:val="1"/>
          <w:numId w:val="36"/>
        </w:numPr>
        <w:tabs>
          <w:tab w:val="left" w:pos="679"/>
          <w:tab w:val="left" w:pos="680"/>
        </w:tabs>
        <w:spacing w:before="172"/>
        <w:ind w:hanging="792"/>
        <w:rPr>
          <w:rFonts w:ascii="Calibri"/>
          <w:sz w:val="28"/>
        </w:rPr>
      </w:pPr>
      <w:r w:rsidRPr="006267D6">
        <w:rPr>
          <w:rFonts w:ascii="Calibri"/>
          <w:sz w:val="28"/>
        </w:rPr>
        <w:t>Voluntary and private sector care homes for</w:t>
      </w:r>
      <w:r w:rsidRPr="006267D6">
        <w:rPr>
          <w:rFonts w:ascii="Calibri"/>
          <w:spacing w:val="-21"/>
          <w:sz w:val="28"/>
        </w:rPr>
        <w:t xml:space="preserve"> </w:t>
      </w:r>
      <w:r w:rsidRPr="006267D6">
        <w:rPr>
          <w:rFonts w:ascii="Calibri"/>
          <w:sz w:val="28"/>
        </w:rPr>
        <w:t>children</w:t>
      </w:r>
    </w:p>
    <w:p w:rsidR="006A18FD" w:rsidRPr="006267D6" w:rsidRDefault="002D29FC" w:rsidP="008E3FA8">
      <w:pPr>
        <w:pStyle w:val="ListParagraph"/>
        <w:numPr>
          <w:ilvl w:val="1"/>
          <w:numId w:val="36"/>
        </w:numPr>
        <w:tabs>
          <w:tab w:val="left" w:pos="679"/>
          <w:tab w:val="left" w:pos="680"/>
        </w:tabs>
        <w:spacing w:before="171"/>
        <w:ind w:hanging="792"/>
        <w:rPr>
          <w:rFonts w:ascii="Calibri"/>
          <w:sz w:val="28"/>
        </w:rPr>
      </w:pPr>
      <w:r w:rsidRPr="006267D6">
        <w:rPr>
          <w:rFonts w:ascii="Calibri"/>
          <w:sz w:val="28"/>
        </w:rPr>
        <w:t>Foster care for</w:t>
      </w:r>
      <w:r w:rsidRPr="006267D6">
        <w:rPr>
          <w:rFonts w:ascii="Calibri"/>
          <w:spacing w:val="-9"/>
          <w:sz w:val="28"/>
        </w:rPr>
        <w:t xml:space="preserve"> </w:t>
      </w:r>
      <w:r w:rsidRPr="006267D6">
        <w:rPr>
          <w:rFonts w:ascii="Calibri"/>
          <w:sz w:val="28"/>
        </w:rPr>
        <w:t>children</w:t>
      </w:r>
    </w:p>
    <w:p w:rsidR="006A18FD" w:rsidRPr="006267D6" w:rsidRDefault="002D29FC" w:rsidP="008E3FA8">
      <w:pPr>
        <w:pStyle w:val="ListParagraph"/>
        <w:numPr>
          <w:ilvl w:val="1"/>
          <w:numId w:val="36"/>
        </w:numPr>
        <w:tabs>
          <w:tab w:val="left" w:pos="679"/>
          <w:tab w:val="left" w:pos="680"/>
        </w:tabs>
        <w:spacing w:before="169"/>
        <w:ind w:hanging="792"/>
        <w:rPr>
          <w:rFonts w:ascii="Calibri"/>
          <w:sz w:val="28"/>
        </w:rPr>
      </w:pPr>
      <w:r w:rsidRPr="006267D6">
        <w:rPr>
          <w:rFonts w:ascii="Calibri"/>
          <w:sz w:val="28"/>
        </w:rPr>
        <w:t>Adoption</w:t>
      </w:r>
    </w:p>
    <w:p w:rsidR="006A18FD" w:rsidRPr="006267D6" w:rsidRDefault="002D29FC" w:rsidP="008E3FA8">
      <w:pPr>
        <w:pStyle w:val="ListParagraph"/>
        <w:numPr>
          <w:ilvl w:val="1"/>
          <w:numId w:val="36"/>
        </w:numPr>
        <w:tabs>
          <w:tab w:val="left" w:pos="679"/>
          <w:tab w:val="left" w:pos="680"/>
        </w:tabs>
        <w:spacing w:before="171"/>
        <w:ind w:hanging="792"/>
        <w:rPr>
          <w:rFonts w:ascii="Calibri"/>
          <w:sz w:val="28"/>
        </w:rPr>
      </w:pPr>
      <w:r w:rsidRPr="006267D6">
        <w:rPr>
          <w:rFonts w:ascii="Calibri"/>
          <w:sz w:val="28"/>
        </w:rPr>
        <w:t>Parent training interventions for parents of disabled children with sleep</w:t>
      </w:r>
      <w:r w:rsidRPr="006267D6">
        <w:rPr>
          <w:rFonts w:ascii="Calibri"/>
          <w:spacing w:val="-25"/>
          <w:sz w:val="28"/>
        </w:rPr>
        <w:t xml:space="preserve"> </w:t>
      </w:r>
      <w:r w:rsidRPr="006267D6">
        <w:rPr>
          <w:rFonts w:ascii="Calibri"/>
          <w:sz w:val="28"/>
        </w:rPr>
        <w:t>problems</w:t>
      </w:r>
    </w:p>
    <w:p w:rsidR="006A18FD" w:rsidRPr="006267D6" w:rsidRDefault="002D29FC" w:rsidP="008E3FA8">
      <w:pPr>
        <w:pStyle w:val="ListParagraph"/>
        <w:numPr>
          <w:ilvl w:val="1"/>
          <w:numId w:val="36"/>
        </w:numPr>
        <w:tabs>
          <w:tab w:val="left" w:pos="656"/>
        </w:tabs>
        <w:spacing w:before="171"/>
        <w:ind w:hanging="792"/>
        <w:rPr>
          <w:rFonts w:ascii="Calibri"/>
          <w:sz w:val="28"/>
        </w:rPr>
      </w:pPr>
      <w:r w:rsidRPr="006267D6">
        <w:rPr>
          <w:rFonts w:ascii="Calibri"/>
          <w:sz w:val="28"/>
        </w:rPr>
        <w:t>Early Years Teacher Classroom Management</w:t>
      </w:r>
      <w:r w:rsidRPr="006267D6">
        <w:rPr>
          <w:rFonts w:ascii="Calibri"/>
          <w:spacing w:val="-19"/>
          <w:sz w:val="28"/>
        </w:rPr>
        <w:t xml:space="preserve"> </w:t>
      </w:r>
      <w:r w:rsidRPr="006267D6">
        <w:rPr>
          <w:rFonts w:ascii="Calibri"/>
          <w:sz w:val="28"/>
        </w:rPr>
        <w:t>programme</w:t>
      </w:r>
    </w:p>
    <w:p w:rsidR="006A18FD" w:rsidRPr="006267D6" w:rsidRDefault="002D29FC" w:rsidP="008E3FA8">
      <w:pPr>
        <w:pStyle w:val="ListParagraph"/>
        <w:numPr>
          <w:ilvl w:val="1"/>
          <w:numId w:val="36"/>
        </w:numPr>
        <w:tabs>
          <w:tab w:val="left" w:pos="656"/>
        </w:tabs>
        <w:spacing w:before="171"/>
        <w:ind w:hanging="792"/>
        <w:rPr>
          <w:rFonts w:ascii="Calibri"/>
          <w:sz w:val="28"/>
        </w:rPr>
      </w:pPr>
      <w:r w:rsidRPr="006267D6">
        <w:rPr>
          <w:rFonts w:ascii="Calibri"/>
          <w:sz w:val="28"/>
        </w:rPr>
        <w:t>Advocacy</w:t>
      </w:r>
    </w:p>
    <w:p w:rsidR="006A18FD" w:rsidRPr="006267D6" w:rsidRDefault="002D29FC" w:rsidP="008E3FA8">
      <w:pPr>
        <w:pStyle w:val="ListParagraph"/>
        <w:numPr>
          <w:ilvl w:val="1"/>
          <w:numId w:val="36"/>
        </w:numPr>
        <w:tabs>
          <w:tab w:val="left" w:pos="673"/>
        </w:tabs>
        <w:spacing w:before="171"/>
        <w:ind w:hanging="792"/>
        <w:rPr>
          <w:rFonts w:ascii="Calibri"/>
          <w:sz w:val="28"/>
        </w:rPr>
      </w:pPr>
      <w:r w:rsidRPr="006267D6">
        <w:rPr>
          <w:rFonts w:ascii="Calibri"/>
          <w:sz w:val="28"/>
        </w:rPr>
        <w:t>Counselling</w:t>
      </w:r>
    </w:p>
    <w:p w:rsidR="006A18FD" w:rsidRDefault="006A18FD">
      <w:pPr>
        <w:rPr>
          <w:rFonts w:ascii="Calibri"/>
          <w:sz w:val="28"/>
        </w:rPr>
        <w:sectPr w:rsidR="006A18FD">
          <w:headerReference w:type="default" r:id="rId189"/>
          <w:pgSz w:w="11910" w:h="16840"/>
          <w:pgMar w:top="1580" w:right="82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0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06" name="Line 16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A7A33A" id="Group 16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nwu9hfQIAAIEFAAAO&#10;AAAAAAAAAAAAAAAAAC4CAABkcnMvZTJvRG9jLnhtbFBLAQItABQABgAIAAAAIQAtd+Rc2gAAAAQB&#10;AAAPAAAAAAAAAAAAAAAAANcEAABkcnMvZG93bnJldi54bWxQSwUGAAAAAAQABADzAAAA3gUAAAAA&#10;">
                <v:line id="Line 16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w10:anchorlock/>
              </v:group>
            </w:pict>
          </mc:Fallback>
        </mc:AlternateContent>
      </w:r>
    </w:p>
    <w:p w:rsidR="006A18FD" w:rsidRDefault="002D29FC" w:rsidP="00E06635">
      <w:pPr>
        <w:pStyle w:val="Heading2"/>
      </w:pPr>
      <w:r>
        <w:t>6.1 NHS reference costs for children’s health services</w:t>
      </w:r>
    </w:p>
    <w:p w:rsidR="006A18FD" w:rsidRDefault="002D29FC">
      <w:pPr>
        <w:spacing w:before="172" w:line="276" w:lineRule="auto"/>
        <w:ind w:left="140" w:right="250"/>
        <w:rPr>
          <w:rFonts w:ascii="Calibri" w:hAnsi="Calibri"/>
          <w:sz w:val="20"/>
        </w:rPr>
      </w:pPr>
      <w:r>
        <w:rPr>
          <w:rFonts w:ascii="Calibri" w:hAnsi="Calibri"/>
          <w:sz w:val="19"/>
        </w:rPr>
        <w:t>‘Reference costs are the average unit cost to the NHS of providing defined services to NHS patients in England in a given financial year. They show how NHS providers spend money to provide health care to patients.’</w:t>
      </w:r>
      <w:r>
        <w:rPr>
          <w:rFonts w:ascii="Calibri" w:hAnsi="Calibri"/>
          <w:position w:val="6"/>
          <w:sz w:val="12"/>
        </w:rPr>
        <w:t xml:space="preserve">1 </w:t>
      </w:r>
      <w:r>
        <w:rPr>
          <w:rFonts w:ascii="Calibri" w:hAnsi="Calibri"/>
          <w:sz w:val="19"/>
        </w:rPr>
        <w:t xml:space="preserve">We have drawn on </w:t>
      </w:r>
      <w:r>
        <w:rPr>
          <w:rFonts w:ascii="Calibri" w:hAnsi="Calibri"/>
          <w:i/>
          <w:sz w:val="19"/>
        </w:rPr>
        <w:t xml:space="preserve">NHS Improvement, Reference Costs 2017/2018 </w:t>
      </w:r>
      <w:r>
        <w:rPr>
          <w:rFonts w:ascii="Calibri" w:hAnsi="Calibri"/>
          <w:sz w:val="19"/>
        </w:rPr>
        <w:t>to report on the NHS reference costs for selected services for children and their families.</w:t>
      </w:r>
      <w:r>
        <w:rPr>
          <w:rFonts w:ascii="Calibri" w:hAnsi="Calibri"/>
          <w:position w:val="6"/>
          <w:sz w:val="12"/>
        </w:rPr>
        <w:t xml:space="preserve">1 </w:t>
      </w:r>
      <w:r>
        <w:rPr>
          <w:rFonts w:ascii="Calibri" w:hAnsi="Calibri"/>
          <w:sz w:val="19"/>
        </w:rPr>
        <w:t xml:space="preserve">All costs have been uprated to 2018/2019 prices using the NHS cost inflation index. </w:t>
      </w:r>
      <w:r>
        <w:rPr>
          <w:rFonts w:ascii="Calibri" w:hAnsi="Calibri"/>
          <w:sz w:val="20"/>
        </w:rPr>
        <w:t>Please note the source costs no longer include figures for lower and upper quartiles.</w:t>
      </w:r>
    </w:p>
    <w:p w:rsidR="006A18FD" w:rsidRDefault="006A18FD">
      <w:pPr>
        <w:rPr>
          <w:rFonts w:ascii="Calibri"/>
          <w:sz w:val="20"/>
        </w:rPr>
      </w:pPr>
    </w:p>
    <w:p w:rsidR="006A18FD" w:rsidRDefault="006A18FD">
      <w:pPr>
        <w:spacing w:before="6"/>
        <w:rPr>
          <w:rFonts w:ascii="Calibri"/>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682"/>
      </w:tblGrid>
      <w:tr w:rsidR="006A18FD" w:rsidTr="005B5AB5">
        <w:trPr>
          <w:trHeight w:val="360"/>
          <w:tblHeader/>
        </w:trPr>
        <w:tc>
          <w:tcPr>
            <w:tcW w:w="8361" w:type="dxa"/>
          </w:tcPr>
          <w:p w:rsidR="006A18FD" w:rsidRDefault="006A18FD">
            <w:pPr>
              <w:rPr>
                <w:rFonts w:ascii="Times New Roman"/>
                <w:sz w:val="18"/>
              </w:rPr>
            </w:pPr>
          </w:p>
        </w:tc>
        <w:tc>
          <w:tcPr>
            <w:tcW w:w="1682" w:type="dxa"/>
          </w:tcPr>
          <w:p w:rsidR="006A18FD" w:rsidRDefault="002D29FC">
            <w:pPr>
              <w:spacing w:before="3"/>
              <w:ind w:right="154"/>
              <w:jc w:val="right"/>
              <w:rPr>
                <w:rFonts w:ascii="Calibri"/>
                <w:b/>
                <w:sz w:val="20"/>
              </w:rPr>
            </w:pPr>
            <w:r>
              <w:rPr>
                <w:rFonts w:ascii="Calibri"/>
                <w:b/>
                <w:sz w:val="20"/>
              </w:rPr>
              <w:t>National average</w:t>
            </w:r>
          </w:p>
        </w:tc>
      </w:tr>
      <w:tr w:rsidR="006A18FD">
        <w:trPr>
          <w:trHeight w:val="320"/>
        </w:trPr>
        <w:tc>
          <w:tcPr>
            <w:tcW w:w="8361" w:type="dxa"/>
            <w:tcBorders>
              <w:bottom w:val="nil"/>
            </w:tcBorders>
          </w:tcPr>
          <w:p w:rsidR="006A18FD" w:rsidRDefault="002D29FC">
            <w:pPr>
              <w:spacing w:before="3"/>
              <w:ind w:left="103"/>
              <w:rPr>
                <w:rFonts w:ascii="Calibri"/>
                <w:b/>
                <w:sz w:val="20"/>
              </w:rPr>
            </w:pPr>
            <w:r>
              <w:rPr>
                <w:rFonts w:ascii="Calibri"/>
                <w:b/>
                <w:sz w:val="20"/>
              </w:rPr>
              <w:t>COMMUNITY SERVICES,  average cost per group session (one-to-one)</w:t>
            </w:r>
          </w:p>
        </w:tc>
        <w:tc>
          <w:tcPr>
            <w:tcW w:w="1682" w:type="dxa"/>
            <w:tcBorders>
              <w:bottom w:val="nil"/>
            </w:tcBorders>
          </w:tcPr>
          <w:p w:rsidR="006A18FD" w:rsidRDefault="006A18FD">
            <w:pPr>
              <w:rPr>
                <w:rFonts w:ascii="Times New Roman"/>
                <w:sz w:val="18"/>
              </w:rPr>
            </w:pPr>
          </w:p>
        </w:tc>
      </w:tr>
      <w:tr w:rsidR="006A18FD">
        <w:trPr>
          <w:trHeight w:val="300"/>
        </w:trPr>
        <w:tc>
          <w:tcPr>
            <w:tcW w:w="8361" w:type="dxa"/>
            <w:tcBorders>
              <w:top w:val="nil"/>
              <w:bottom w:val="nil"/>
            </w:tcBorders>
          </w:tcPr>
          <w:p w:rsidR="006A18FD" w:rsidRDefault="002D29FC">
            <w:pPr>
              <w:spacing w:before="40" w:line="243" w:lineRule="exact"/>
              <w:ind w:left="103"/>
              <w:rPr>
                <w:rFonts w:ascii="Calibri"/>
                <w:b/>
                <w:sz w:val="20"/>
              </w:rPr>
            </w:pPr>
            <w:r>
              <w:rPr>
                <w:rFonts w:ascii="Calibri"/>
                <w:b/>
                <w:sz w:val="20"/>
              </w:rPr>
              <w:t>Therapy services</w:t>
            </w:r>
          </w:p>
        </w:tc>
        <w:tc>
          <w:tcPr>
            <w:tcW w:w="1682" w:type="dxa"/>
            <w:tcBorders>
              <w:top w:val="nil"/>
              <w:bottom w:val="nil"/>
            </w:tcBorders>
          </w:tcPr>
          <w:p w:rsidR="006A18FD" w:rsidRDefault="006A18FD">
            <w:pPr>
              <w:rPr>
                <w:rFonts w:ascii="Times New Roman"/>
                <w:sz w:val="18"/>
              </w:rPr>
            </w:pPr>
          </w:p>
        </w:tc>
      </w:tr>
      <w:tr w:rsidR="006A18FD">
        <w:trPr>
          <w:trHeight w:val="240"/>
        </w:trPr>
        <w:tc>
          <w:tcPr>
            <w:tcW w:w="8361" w:type="dxa"/>
            <w:tcBorders>
              <w:top w:val="nil"/>
              <w:bottom w:val="nil"/>
            </w:tcBorders>
          </w:tcPr>
          <w:p w:rsidR="006A18FD" w:rsidRDefault="002D29FC">
            <w:pPr>
              <w:spacing w:line="224" w:lineRule="exact"/>
              <w:ind w:left="103"/>
              <w:rPr>
                <w:rFonts w:ascii="Calibri"/>
                <w:sz w:val="20"/>
              </w:rPr>
            </w:pPr>
            <w:r>
              <w:rPr>
                <w:rFonts w:ascii="Calibri"/>
                <w:sz w:val="20"/>
              </w:rPr>
              <w:t>Physiotherapy</w:t>
            </w:r>
          </w:p>
        </w:tc>
        <w:tc>
          <w:tcPr>
            <w:tcW w:w="1682" w:type="dxa"/>
            <w:tcBorders>
              <w:top w:val="nil"/>
              <w:bottom w:val="nil"/>
            </w:tcBorders>
          </w:tcPr>
          <w:p w:rsidR="006A18FD" w:rsidRDefault="002D29FC">
            <w:pPr>
              <w:spacing w:line="224" w:lineRule="exact"/>
              <w:ind w:right="102"/>
              <w:jc w:val="right"/>
              <w:rPr>
                <w:rFonts w:ascii="Calibri" w:hAnsi="Calibri"/>
                <w:sz w:val="20"/>
              </w:rPr>
            </w:pPr>
            <w:r>
              <w:rPr>
                <w:rFonts w:ascii="Calibri" w:hAnsi="Calibri"/>
                <w:sz w:val="20"/>
              </w:rPr>
              <w:t>£81 (£100)</w:t>
            </w:r>
          </w:p>
        </w:tc>
      </w:tr>
      <w:tr w:rsidR="006A18FD">
        <w:trPr>
          <w:trHeight w:val="240"/>
        </w:trPr>
        <w:tc>
          <w:tcPr>
            <w:tcW w:w="8361" w:type="dxa"/>
            <w:tcBorders>
              <w:top w:val="nil"/>
              <w:bottom w:val="nil"/>
            </w:tcBorders>
          </w:tcPr>
          <w:p w:rsidR="006A18FD" w:rsidRDefault="002D29FC">
            <w:pPr>
              <w:spacing w:line="224" w:lineRule="exact"/>
              <w:ind w:left="103"/>
              <w:rPr>
                <w:rFonts w:ascii="Calibri"/>
                <w:sz w:val="20"/>
              </w:rPr>
            </w:pPr>
            <w:r>
              <w:rPr>
                <w:rFonts w:ascii="Calibri"/>
                <w:sz w:val="20"/>
              </w:rPr>
              <w:t>Occupational therapy</w:t>
            </w:r>
          </w:p>
        </w:tc>
        <w:tc>
          <w:tcPr>
            <w:tcW w:w="1682" w:type="dxa"/>
            <w:tcBorders>
              <w:top w:val="nil"/>
              <w:bottom w:val="nil"/>
            </w:tcBorders>
          </w:tcPr>
          <w:p w:rsidR="006A18FD" w:rsidRDefault="002D29FC">
            <w:pPr>
              <w:spacing w:line="224" w:lineRule="exact"/>
              <w:ind w:right="102"/>
              <w:jc w:val="right"/>
              <w:rPr>
                <w:rFonts w:ascii="Calibri" w:hAnsi="Calibri"/>
                <w:sz w:val="20"/>
              </w:rPr>
            </w:pPr>
            <w:r>
              <w:rPr>
                <w:rFonts w:ascii="Calibri" w:hAnsi="Calibri"/>
                <w:sz w:val="20"/>
              </w:rPr>
              <w:t>£145 (£147)</w:t>
            </w:r>
          </w:p>
        </w:tc>
      </w:tr>
      <w:tr w:rsidR="006A18FD">
        <w:trPr>
          <w:trHeight w:val="420"/>
        </w:trPr>
        <w:tc>
          <w:tcPr>
            <w:tcW w:w="8361" w:type="dxa"/>
            <w:tcBorders>
              <w:top w:val="nil"/>
              <w:bottom w:val="nil"/>
            </w:tcBorders>
          </w:tcPr>
          <w:p w:rsidR="006A18FD" w:rsidRDefault="002D29FC">
            <w:pPr>
              <w:spacing w:line="226" w:lineRule="exact"/>
              <w:ind w:left="103"/>
              <w:rPr>
                <w:rFonts w:ascii="Calibri"/>
                <w:sz w:val="20"/>
              </w:rPr>
            </w:pPr>
            <w:r>
              <w:rPr>
                <w:rFonts w:ascii="Calibri"/>
                <w:sz w:val="20"/>
              </w:rPr>
              <w:t>Speech therapy services</w:t>
            </w:r>
          </w:p>
        </w:tc>
        <w:tc>
          <w:tcPr>
            <w:tcW w:w="1682" w:type="dxa"/>
            <w:tcBorders>
              <w:top w:val="nil"/>
              <w:bottom w:val="nil"/>
            </w:tcBorders>
          </w:tcPr>
          <w:p w:rsidR="006A18FD" w:rsidRDefault="002D29FC">
            <w:pPr>
              <w:spacing w:line="226" w:lineRule="exact"/>
              <w:ind w:right="102"/>
              <w:jc w:val="right"/>
              <w:rPr>
                <w:rFonts w:ascii="Calibri" w:hAnsi="Calibri"/>
                <w:sz w:val="20"/>
              </w:rPr>
            </w:pPr>
            <w:r>
              <w:rPr>
                <w:rFonts w:ascii="Calibri" w:hAnsi="Calibri"/>
                <w:sz w:val="20"/>
              </w:rPr>
              <w:t>£83 (£99)</w:t>
            </w:r>
          </w:p>
        </w:tc>
      </w:tr>
      <w:tr w:rsidR="006A18FD">
        <w:trPr>
          <w:trHeight w:val="660"/>
        </w:trPr>
        <w:tc>
          <w:tcPr>
            <w:tcW w:w="8361" w:type="dxa"/>
            <w:tcBorders>
              <w:top w:val="nil"/>
              <w:bottom w:val="nil"/>
            </w:tcBorders>
          </w:tcPr>
          <w:p w:rsidR="006A18FD" w:rsidRDefault="002D29FC">
            <w:pPr>
              <w:spacing w:before="164"/>
              <w:ind w:left="103"/>
              <w:rPr>
                <w:rFonts w:ascii="Calibri" w:hAnsi="Calibri"/>
                <w:b/>
                <w:sz w:val="20"/>
              </w:rPr>
            </w:pPr>
            <w:r>
              <w:rPr>
                <w:rFonts w:ascii="Calibri" w:hAnsi="Calibri"/>
                <w:b/>
                <w:sz w:val="20"/>
              </w:rPr>
              <w:t>Community health services – nursing, average cost per care contact/group session</w:t>
            </w:r>
          </w:p>
        </w:tc>
        <w:tc>
          <w:tcPr>
            <w:tcW w:w="1682" w:type="dxa"/>
            <w:tcBorders>
              <w:top w:val="nil"/>
              <w:bottom w:val="nil"/>
            </w:tcBorders>
          </w:tcPr>
          <w:p w:rsidR="006A18FD" w:rsidRDefault="006A18FD">
            <w:pPr>
              <w:rPr>
                <w:rFonts w:ascii="Times New Roman"/>
                <w:sz w:val="18"/>
              </w:rPr>
            </w:pPr>
          </w:p>
        </w:tc>
      </w:tr>
      <w:tr w:rsidR="006A18FD">
        <w:trPr>
          <w:trHeight w:val="540"/>
        </w:trPr>
        <w:tc>
          <w:tcPr>
            <w:tcW w:w="8361" w:type="dxa"/>
            <w:tcBorders>
              <w:top w:val="nil"/>
              <w:bottom w:val="nil"/>
            </w:tcBorders>
          </w:tcPr>
          <w:p w:rsidR="006A18FD" w:rsidRDefault="006A18FD">
            <w:pPr>
              <w:spacing w:before="3"/>
              <w:rPr>
                <w:rFonts w:ascii="Calibri"/>
                <w:sz w:val="18"/>
              </w:rPr>
            </w:pPr>
          </w:p>
          <w:p w:rsidR="006A18FD" w:rsidRDefault="002D29FC">
            <w:pPr>
              <w:ind w:left="103"/>
              <w:rPr>
                <w:rFonts w:ascii="Calibri" w:hAnsi="Calibri"/>
                <w:sz w:val="20"/>
              </w:rPr>
            </w:pPr>
            <w:r>
              <w:rPr>
                <w:rFonts w:ascii="Calibri" w:hAnsi="Calibri"/>
                <w:sz w:val="20"/>
              </w:rPr>
              <w:t>School-based children’s health core (other) services – group single professional</w:t>
            </w:r>
          </w:p>
        </w:tc>
        <w:tc>
          <w:tcPr>
            <w:tcW w:w="1682" w:type="dxa"/>
            <w:tcBorders>
              <w:top w:val="nil"/>
              <w:bottom w:val="nil"/>
            </w:tcBorders>
          </w:tcPr>
          <w:p w:rsidR="006A18FD" w:rsidRDefault="006A18FD">
            <w:pPr>
              <w:spacing w:before="3"/>
              <w:rPr>
                <w:rFonts w:ascii="Calibri"/>
                <w:sz w:val="18"/>
              </w:rPr>
            </w:pPr>
          </w:p>
          <w:p w:rsidR="006A18FD" w:rsidRDefault="002D29FC">
            <w:pPr>
              <w:ind w:right="102"/>
              <w:jc w:val="right"/>
              <w:rPr>
                <w:rFonts w:ascii="Calibri" w:hAnsi="Calibri"/>
                <w:sz w:val="20"/>
              </w:rPr>
            </w:pPr>
            <w:r>
              <w:rPr>
                <w:rFonts w:ascii="Calibri" w:hAnsi="Calibri"/>
                <w:sz w:val="20"/>
              </w:rPr>
              <w:t>£49 (£51)</w:t>
            </w:r>
          </w:p>
        </w:tc>
      </w:tr>
      <w:tr w:rsidR="006A18FD">
        <w:trPr>
          <w:trHeight w:val="400"/>
        </w:trPr>
        <w:tc>
          <w:tcPr>
            <w:tcW w:w="8361" w:type="dxa"/>
            <w:tcBorders>
              <w:top w:val="nil"/>
            </w:tcBorders>
          </w:tcPr>
          <w:p w:rsidR="006A18FD" w:rsidRDefault="002D29FC">
            <w:pPr>
              <w:spacing w:before="41"/>
              <w:ind w:left="103"/>
              <w:rPr>
                <w:rFonts w:ascii="Calibri" w:hAnsi="Calibri"/>
                <w:sz w:val="20"/>
              </w:rPr>
            </w:pPr>
            <w:r>
              <w:rPr>
                <w:rFonts w:ascii="Calibri" w:hAnsi="Calibri"/>
                <w:sz w:val="20"/>
              </w:rPr>
              <w:t>School-based children’s health core (other) services – one to one</w:t>
            </w:r>
          </w:p>
        </w:tc>
        <w:tc>
          <w:tcPr>
            <w:tcW w:w="1682" w:type="dxa"/>
            <w:tcBorders>
              <w:top w:val="nil"/>
            </w:tcBorders>
          </w:tcPr>
          <w:p w:rsidR="006A18FD" w:rsidRDefault="002D29FC">
            <w:pPr>
              <w:spacing w:before="41"/>
              <w:ind w:right="102"/>
              <w:jc w:val="right"/>
              <w:rPr>
                <w:rFonts w:ascii="Calibri" w:hAnsi="Calibri"/>
                <w:sz w:val="20"/>
              </w:rPr>
            </w:pPr>
            <w:r>
              <w:rPr>
                <w:rFonts w:ascii="Calibri" w:hAnsi="Calibri"/>
                <w:sz w:val="20"/>
              </w:rPr>
              <w:t>£59 (£56)</w:t>
            </w:r>
          </w:p>
        </w:tc>
      </w:tr>
      <w:tr w:rsidR="006A18FD">
        <w:trPr>
          <w:trHeight w:val="620"/>
        </w:trPr>
        <w:tc>
          <w:tcPr>
            <w:tcW w:w="8361" w:type="dxa"/>
            <w:tcBorders>
              <w:bottom w:val="nil"/>
            </w:tcBorders>
          </w:tcPr>
          <w:p w:rsidR="006A18FD" w:rsidRDefault="006A18FD">
            <w:pPr>
              <w:spacing w:before="12"/>
              <w:rPr>
                <w:rFonts w:ascii="Calibri"/>
                <w:sz w:val="29"/>
              </w:rPr>
            </w:pPr>
          </w:p>
          <w:p w:rsidR="006A18FD" w:rsidRDefault="002D29FC">
            <w:pPr>
              <w:spacing w:line="242" w:lineRule="exact"/>
              <w:ind w:left="103"/>
              <w:rPr>
                <w:rFonts w:ascii="Calibri"/>
                <w:b/>
                <w:sz w:val="20"/>
              </w:rPr>
            </w:pPr>
            <w:r>
              <w:rPr>
                <w:rFonts w:ascii="Calibri"/>
                <w:b/>
                <w:sz w:val="20"/>
              </w:rPr>
              <w:t>ELECTIVE INPATIENT (PAEDIATRICS), average cost per stay</w:t>
            </w:r>
          </w:p>
        </w:tc>
        <w:tc>
          <w:tcPr>
            <w:tcW w:w="1682" w:type="dxa"/>
            <w:tcBorders>
              <w:bottom w:val="nil"/>
            </w:tcBorders>
          </w:tcPr>
          <w:p w:rsidR="006A18FD" w:rsidRDefault="006A18FD">
            <w:pPr>
              <w:spacing w:before="9"/>
              <w:rPr>
                <w:rFonts w:ascii="Calibri"/>
                <w:sz w:val="29"/>
              </w:rPr>
            </w:pPr>
          </w:p>
          <w:p w:rsidR="006A18FD" w:rsidRDefault="002D29FC">
            <w:pPr>
              <w:ind w:right="103"/>
              <w:jc w:val="right"/>
              <w:rPr>
                <w:rFonts w:ascii="Calibri" w:hAnsi="Calibri"/>
                <w:sz w:val="20"/>
              </w:rPr>
            </w:pPr>
            <w:r>
              <w:rPr>
                <w:rFonts w:ascii="Calibri" w:hAnsi="Calibri"/>
                <w:sz w:val="20"/>
              </w:rPr>
              <w:t>£2,978</w:t>
            </w:r>
          </w:p>
        </w:tc>
      </w:tr>
      <w:tr w:rsidR="006A18FD">
        <w:trPr>
          <w:trHeight w:val="820"/>
        </w:trPr>
        <w:tc>
          <w:tcPr>
            <w:tcW w:w="8361" w:type="dxa"/>
            <w:tcBorders>
              <w:top w:val="nil"/>
            </w:tcBorders>
          </w:tcPr>
          <w:p w:rsidR="006A18FD" w:rsidRDefault="002D29FC">
            <w:pPr>
              <w:spacing w:before="97"/>
              <w:ind w:left="103"/>
              <w:rPr>
                <w:rFonts w:ascii="Calibri"/>
                <w:sz w:val="13"/>
              </w:rPr>
            </w:pPr>
            <w:r>
              <w:rPr>
                <w:rFonts w:ascii="Calibri"/>
                <w:position w:val="1"/>
                <w:sz w:val="20"/>
              </w:rPr>
              <w:t>Elective inpatient (paediatrics), average cost per stay, (inc. carbon impact 490 kgCO</w:t>
            </w:r>
            <w:r>
              <w:rPr>
                <w:rFonts w:ascii="Calibri"/>
                <w:sz w:val="13"/>
              </w:rPr>
              <w:t>2</w:t>
            </w:r>
            <w:r>
              <w:rPr>
                <w:rFonts w:ascii="Calibri"/>
                <w:position w:val="1"/>
                <w:sz w:val="20"/>
              </w:rPr>
              <w:t>e)</w:t>
            </w:r>
            <w:r>
              <w:rPr>
                <w:rFonts w:ascii="Calibri"/>
                <w:position w:val="8"/>
                <w:sz w:val="13"/>
              </w:rPr>
              <w:t>2</w:t>
            </w:r>
          </w:p>
        </w:tc>
        <w:tc>
          <w:tcPr>
            <w:tcW w:w="1682" w:type="dxa"/>
            <w:tcBorders>
              <w:top w:val="nil"/>
            </w:tcBorders>
          </w:tcPr>
          <w:p w:rsidR="006A18FD" w:rsidRDefault="002D29FC">
            <w:pPr>
              <w:spacing w:line="225" w:lineRule="exact"/>
              <w:ind w:right="103"/>
              <w:jc w:val="right"/>
              <w:rPr>
                <w:rFonts w:ascii="Calibri" w:hAnsi="Calibri"/>
                <w:sz w:val="20"/>
              </w:rPr>
            </w:pPr>
            <w:r>
              <w:rPr>
                <w:rFonts w:ascii="Calibri" w:hAnsi="Calibri"/>
                <w:w w:val="95"/>
                <w:sz w:val="20"/>
              </w:rPr>
              <w:t>£3,000</w:t>
            </w:r>
          </w:p>
        </w:tc>
      </w:tr>
      <w:tr w:rsidR="006A18FD">
        <w:trPr>
          <w:trHeight w:val="320"/>
        </w:trPr>
        <w:tc>
          <w:tcPr>
            <w:tcW w:w="8361" w:type="dxa"/>
            <w:tcBorders>
              <w:bottom w:val="nil"/>
            </w:tcBorders>
          </w:tcPr>
          <w:p w:rsidR="006A18FD" w:rsidRDefault="002D29FC">
            <w:pPr>
              <w:spacing w:before="1"/>
              <w:ind w:left="103"/>
              <w:rPr>
                <w:rFonts w:ascii="Calibri"/>
                <w:b/>
                <w:sz w:val="20"/>
              </w:rPr>
            </w:pPr>
            <w:r>
              <w:rPr>
                <w:rFonts w:ascii="Calibri"/>
                <w:b/>
                <w:sz w:val="20"/>
              </w:rPr>
              <w:t>OUTPATIENT ATTENDANCES, average cost per attendance</w:t>
            </w:r>
          </w:p>
        </w:tc>
        <w:tc>
          <w:tcPr>
            <w:tcW w:w="1682" w:type="dxa"/>
            <w:tcBorders>
              <w:bottom w:val="nil"/>
            </w:tcBorders>
          </w:tcPr>
          <w:p w:rsidR="006A18FD" w:rsidRDefault="006A18FD">
            <w:pPr>
              <w:rPr>
                <w:rFonts w:ascii="Times New Roman"/>
                <w:sz w:val="18"/>
              </w:rPr>
            </w:pPr>
          </w:p>
        </w:tc>
      </w:tr>
      <w:tr w:rsidR="006A18FD">
        <w:trPr>
          <w:trHeight w:val="300"/>
        </w:trPr>
        <w:tc>
          <w:tcPr>
            <w:tcW w:w="8361" w:type="dxa"/>
            <w:tcBorders>
              <w:top w:val="nil"/>
              <w:bottom w:val="nil"/>
            </w:tcBorders>
          </w:tcPr>
          <w:p w:rsidR="006A18FD" w:rsidRDefault="002D29FC">
            <w:pPr>
              <w:spacing w:before="40"/>
              <w:ind w:left="103"/>
              <w:rPr>
                <w:rFonts w:ascii="Calibri"/>
                <w:sz w:val="20"/>
              </w:rPr>
            </w:pPr>
            <w:r>
              <w:rPr>
                <w:rFonts w:ascii="Calibri"/>
                <w:sz w:val="20"/>
              </w:rPr>
              <w:t>Paediatrics</w:t>
            </w:r>
          </w:p>
        </w:tc>
        <w:tc>
          <w:tcPr>
            <w:tcW w:w="1682" w:type="dxa"/>
            <w:tcBorders>
              <w:top w:val="nil"/>
              <w:bottom w:val="nil"/>
            </w:tcBorders>
          </w:tcPr>
          <w:p w:rsidR="006A18FD" w:rsidRDefault="002D29FC">
            <w:pPr>
              <w:spacing w:before="40"/>
              <w:ind w:right="103"/>
              <w:jc w:val="right"/>
              <w:rPr>
                <w:rFonts w:ascii="Calibri" w:hAnsi="Calibri"/>
                <w:sz w:val="20"/>
              </w:rPr>
            </w:pPr>
            <w:r>
              <w:rPr>
                <w:rFonts w:ascii="Calibri" w:hAnsi="Calibri"/>
                <w:sz w:val="20"/>
              </w:rPr>
              <w:t>£198</w:t>
            </w:r>
          </w:p>
        </w:tc>
      </w:tr>
      <w:tr w:rsidR="006A18FD">
        <w:trPr>
          <w:trHeight w:val="300"/>
        </w:trPr>
        <w:tc>
          <w:tcPr>
            <w:tcW w:w="8361" w:type="dxa"/>
            <w:tcBorders>
              <w:top w:val="nil"/>
              <w:bottom w:val="nil"/>
            </w:tcBorders>
          </w:tcPr>
          <w:p w:rsidR="006A18FD" w:rsidRDefault="002D29FC">
            <w:pPr>
              <w:spacing w:line="230" w:lineRule="exact"/>
              <w:ind w:left="103"/>
              <w:rPr>
                <w:rFonts w:ascii="Calibri"/>
                <w:sz w:val="20"/>
              </w:rPr>
            </w:pPr>
            <w:r>
              <w:rPr>
                <w:rFonts w:ascii="Calibri"/>
                <w:sz w:val="20"/>
              </w:rPr>
              <w:t>Paediatric consultant-led outpatient attendance</w:t>
            </w:r>
          </w:p>
        </w:tc>
        <w:tc>
          <w:tcPr>
            <w:tcW w:w="1682" w:type="dxa"/>
            <w:tcBorders>
              <w:top w:val="nil"/>
              <w:bottom w:val="nil"/>
            </w:tcBorders>
          </w:tcPr>
          <w:p w:rsidR="006A18FD" w:rsidRDefault="002D29FC">
            <w:pPr>
              <w:spacing w:line="227" w:lineRule="exact"/>
              <w:ind w:right="103"/>
              <w:jc w:val="right"/>
              <w:rPr>
                <w:rFonts w:ascii="Calibri" w:hAnsi="Calibri"/>
                <w:sz w:val="20"/>
              </w:rPr>
            </w:pPr>
            <w:r>
              <w:rPr>
                <w:rFonts w:ascii="Calibri" w:hAnsi="Calibri"/>
                <w:sz w:val="20"/>
              </w:rPr>
              <w:t>£205</w:t>
            </w:r>
          </w:p>
        </w:tc>
      </w:tr>
      <w:tr w:rsidR="006A18FD">
        <w:trPr>
          <w:trHeight w:val="540"/>
        </w:trPr>
        <w:tc>
          <w:tcPr>
            <w:tcW w:w="8361" w:type="dxa"/>
            <w:tcBorders>
              <w:top w:val="nil"/>
              <w:bottom w:val="nil"/>
            </w:tcBorders>
          </w:tcPr>
          <w:p w:rsidR="006A18FD" w:rsidRDefault="002D29FC">
            <w:pPr>
              <w:spacing w:before="40"/>
              <w:ind w:left="103"/>
              <w:rPr>
                <w:rFonts w:ascii="Calibri"/>
                <w:sz w:val="20"/>
              </w:rPr>
            </w:pPr>
            <w:r>
              <w:rPr>
                <w:rFonts w:ascii="Calibri"/>
                <w:sz w:val="20"/>
              </w:rPr>
              <w:t>Paediatric non-consultant-led outpatient attendance</w:t>
            </w:r>
          </w:p>
        </w:tc>
        <w:tc>
          <w:tcPr>
            <w:tcW w:w="1682" w:type="dxa"/>
            <w:tcBorders>
              <w:top w:val="nil"/>
              <w:bottom w:val="nil"/>
            </w:tcBorders>
          </w:tcPr>
          <w:p w:rsidR="006A18FD" w:rsidRDefault="002D29FC">
            <w:pPr>
              <w:spacing w:before="40"/>
              <w:ind w:right="103"/>
              <w:jc w:val="right"/>
              <w:rPr>
                <w:rFonts w:ascii="Calibri" w:hAnsi="Calibri"/>
                <w:sz w:val="20"/>
              </w:rPr>
            </w:pPr>
            <w:r>
              <w:rPr>
                <w:rFonts w:ascii="Calibri" w:hAnsi="Calibri"/>
                <w:sz w:val="20"/>
              </w:rPr>
              <w:t>£155</w:t>
            </w:r>
          </w:p>
        </w:tc>
      </w:tr>
      <w:tr w:rsidR="006A18FD">
        <w:trPr>
          <w:trHeight w:val="540"/>
        </w:trPr>
        <w:tc>
          <w:tcPr>
            <w:tcW w:w="8361" w:type="dxa"/>
            <w:tcBorders>
              <w:top w:val="nil"/>
              <w:bottom w:val="nil"/>
            </w:tcBorders>
          </w:tcPr>
          <w:p w:rsidR="006A18FD" w:rsidRDefault="006A18FD">
            <w:pPr>
              <w:spacing w:before="4"/>
              <w:rPr>
                <w:rFonts w:ascii="Calibri"/>
                <w:sz w:val="18"/>
              </w:rPr>
            </w:pPr>
          </w:p>
          <w:p w:rsidR="006A18FD" w:rsidRDefault="002D29FC">
            <w:pPr>
              <w:ind w:left="103"/>
              <w:rPr>
                <w:rFonts w:ascii="Calibri"/>
                <w:b/>
                <w:sz w:val="20"/>
              </w:rPr>
            </w:pPr>
            <w:r>
              <w:rPr>
                <w:rFonts w:ascii="Calibri"/>
                <w:b/>
                <w:sz w:val="20"/>
              </w:rPr>
              <w:t>SPECIALIST PALLIATIVE CARE, average cost per bed day</w:t>
            </w:r>
          </w:p>
        </w:tc>
        <w:tc>
          <w:tcPr>
            <w:tcW w:w="1682" w:type="dxa"/>
            <w:tcBorders>
              <w:top w:val="nil"/>
              <w:bottom w:val="nil"/>
            </w:tcBorders>
          </w:tcPr>
          <w:p w:rsidR="006A18FD" w:rsidRDefault="006A18FD">
            <w:pPr>
              <w:rPr>
                <w:rFonts w:ascii="Times New Roman"/>
                <w:sz w:val="18"/>
              </w:rPr>
            </w:pPr>
          </w:p>
        </w:tc>
      </w:tr>
      <w:tr w:rsidR="006A18FD">
        <w:trPr>
          <w:trHeight w:val="540"/>
        </w:trPr>
        <w:tc>
          <w:tcPr>
            <w:tcW w:w="8361" w:type="dxa"/>
            <w:tcBorders>
              <w:top w:val="nil"/>
              <w:bottom w:val="nil"/>
            </w:tcBorders>
          </w:tcPr>
          <w:p w:rsidR="006A18FD" w:rsidRDefault="002D29FC">
            <w:pPr>
              <w:spacing w:before="43"/>
              <w:ind w:left="103"/>
              <w:rPr>
                <w:rFonts w:ascii="Calibri"/>
                <w:sz w:val="20"/>
              </w:rPr>
            </w:pPr>
            <w:r>
              <w:rPr>
                <w:rFonts w:ascii="Calibri"/>
                <w:sz w:val="20"/>
              </w:rPr>
              <w:t>Hospital specialist palliative care support</w:t>
            </w:r>
          </w:p>
        </w:tc>
        <w:tc>
          <w:tcPr>
            <w:tcW w:w="1682" w:type="dxa"/>
            <w:tcBorders>
              <w:top w:val="nil"/>
              <w:bottom w:val="nil"/>
            </w:tcBorders>
          </w:tcPr>
          <w:p w:rsidR="006A18FD" w:rsidRDefault="002D29FC">
            <w:pPr>
              <w:spacing w:before="40"/>
              <w:ind w:right="103"/>
              <w:jc w:val="right"/>
              <w:rPr>
                <w:rFonts w:ascii="Calibri" w:hAnsi="Calibri"/>
                <w:sz w:val="20"/>
              </w:rPr>
            </w:pPr>
            <w:r>
              <w:rPr>
                <w:rFonts w:ascii="Calibri" w:hAnsi="Calibri"/>
                <w:sz w:val="20"/>
              </w:rPr>
              <w:t>£175</w:t>
            </w:r>
          </w:p>
        </w:tc>
      </w:tr>
      <w:tr w:rsidR="006A18FD">
        <w:trPr>
          <w:trHeight w:val="480"/>
        </w:trPr>
        <w:tc>
          <w:tcPr>
            <w:tcW w:w="8361" w:type="dxa"/>
            <w:tcBorders>
              <w:top w:val="nil"/>
              <w:bottom w:val="nil"/>
            </w:tcBorders>
          </w:tcPr>
          <w:p w:rsidR="006A18FD" w:rsidRDefault="006A18FD">
            <w:pPr>
              <w:spacing w:before="3"/>
              <w:rPr>
                <w:rFonts w:ascii="Calibri"/>
                <w:sz w:val="18"/>
              </w:rPr>
            </w:pPr>
          </w:p>
          <w:p w:rsidR="006A18FD" w:rsidRDefault="002D29FC">
            <w:pPr>
              <w:ind w:left="103"/>
              <w:rPr>
                <w:rFonts w:ascii="Calibri"/>
                <w:b/>
                <w:sz w:val="20"/>
              </w:rPr>
            </w:pPr>
            <w:r>
              <w:rPr>
                <w:rFonts w:ascii="Calibri"/>
                <w:b/>
                <w:sz w:val="20"/>
              </w:rPr>
              <w:t>CRITICAL CARE</w:t>
            </w:r>
          </w:p>
        </w:tc>
        <w:tc>
          <w:tcPr>
            <w:tcW w:w="1682" w:type="dxa"/>
            <w:tcBorders>
              <w:top w:val="nil"/>
              <w:bottom w:val="nil"/>
            </w:tcBorders>
          </w:tcPr>
          <w:p w:rsidR="006A18FD" w:rsidRDefault="006A18FD">
            <w:pPr>
              <w:spacing w:before="5"/>
              <w:rPr>
                <w:rFonts w:ascii="Calibri"/>
                <w:sz w:val="18"/>
              </w:rPr>
            </w:pPr>
          </w:p>
          <w:p w:rsidR="006A18FD" w:rsidRDefault="002D29FC">
            <w:pPr>
              <w:spacing w:line="243" w:lineRule="exact"/>
              <w:ind w:right="103"/>
              <w:jc w:val="right"/>
              <w:rPr>
                <w:rFonts w:ascii="Calibri" w:hAnsi="Calibri"/>
                <w:sz w:val="20"/>
              </w:rPr>
            </w:pPr>
            <w:r>
              <w:rPr>
                <w:rFonts w:ascii="Calibri" w:hAnsi="Calibri"/>
                <w:w w:val="95"/>
                <w:sz w:val="20"/>
              </w:rPr>
              <w:t>£1,421</w:t>
            </w:r>
          </w:p>
        </w:tc>
      </w:tr>
      <w:tr w:rsidR="006A18FD">
        <w:trPr>
          <w:trHeight w:val="420"/>
        </w:trPr>
        <w:tc>
          <w:tcPr>
            <w:tcW w:w="8361" w:type="dxa"/>
            <w:tcBorders>
              <w:top w:val="nil"/>
              <w:bottom w:val="nil"/>
            </w:tcBorders>
          </w:tcPr>
          <w:p w:rsidR="006A18FD" w:rsidRDefault="002D29FC">
            <w:pPr>
              <w:spacing w:before="99"/>
              <w:ind w:left="103"/>
              <w:rPr>
                <w:rFonts w:ascii="Calibri"/>
                <w:sz w:val="20"/>
              </w:rPr>
            </w:pPr>
            <w:r>
              <w:rPr>
                <w:rFonts w:ascii="Calibri"/>
                <w:sz w:val="20"/>
              </w:rPr>
              <w:t>Paediatric Critical Care, transportation</w:t>
            </w:r>
          </w:p>
        </w:tc>
        <w:tc>
          <w:tcPr>
            <w:tcW w:w="1682" w:type="dxa"/>
            <w:tcBorders>
              <w:top w:val="nil"/>
              <w:bottom w:val="nil"/>
            </w:tcBorders>
          </w:tcPr>
          <w:p w:rsidR="006A18FD" w:rsidRDefault="002D29FC">
            <w:pPr>
              <w:spacing w:line="226" w:lineRule="exact"/>
              <w:ind w:right="103"/>
              <w:jc w:val="right"/>
              <w:rPr>
                <w:rFonts w:ascii="Calibri" w:hAnsi="Calibri"/>
                <w:sz w:val="20"/>
              </w:rPr>
            </w:pPr>
            <w:r>
              <w:rPr>
                <w:rFonts w:ascii="Calibri" w:hAnsi="Calibri"/>
                <w:w w:val="95"/>
                <w:sz w:val="20"/>
              </w:rPr>
              <w:t>£3,390</w:t>
            </w:r>
          </w:p>
        </w:tc>
      </w:tr>
      <w:tr w:rsidR="006A18FD">
        <w:trPr>
          <w:trHeight w:val="760"/>
        </w:trPr>
        <w:tc>
          <w:tcPr>
            <w:tcW w:w="8361" w:type="dxa"/>
            <w:tcBorders>
              <w:top w:val="nil"/>
            </w:tcBorders>
          </w:tcPr>
          <w:p w:rsidR="006A18FD" w:rsidRDefault="002D29FC">
            <w:pPr>
              <w:spacing w:before="40"/>
              <w:ind w:left="103"/>
              <w:rPr>
                <w:rFonts w:ascii="Calibri"/>
                <w:sz w:val="20"/>
              </w:rPr>
            </w:pPr>
            <w:r>
              <w:rPr>
                <w:rFonts w:ascii="Calibri"/>
                <w:sz w:val="20"/>
              </w:rPr>
              <w:t>Paediatric Critical Care, transportation</w:t>
            </w:r>
          </w:p>
        </w:tc>
        <w:tc>
          <w:tcPr>
            <w:tcW w:w="1682" w:type="dxa"/>
            <w:tcBorders>
              <w:top w:val="nil"/>
            </w:tcBorders>
          </w:tcPr>
          <w:p w:rsidR="006A18FD" w:rsidRDefault="006A18FD">
            <w:pPr>
              <w:rPr>
                <w:rFonts w:ascii="Times New Roman"/>
                <w:sz w:val="18"/>
              </w:rPr>
            </w:pPr>
          </w:p>
        </w:tc>
      </w:tr>
      <w:tr w:rsidR="006A18FD">
        <w:trPr>
          <w:trHeight w:val="320"/>
        </w:trPr>
        <w:tc>
          <w:tcPr>
            <w:tcW w:w="8361" w:type="dxa"/>
            <w:tcBorders>
              <w:bottom w:val="nil"/>
            </w:tcBorders>
          </w:tcPr>
          <w:p w:rsidR="006A18FD" w:rsidRDefault="002D29FC">
            <w:pPr>
              <w:spacing w:before="1"/>
              <w:ind w:left="103"/>
              <w:rPr>
                <w:rFonts w:ascii="Calibri"/>
                <w:b/>
                <w:sz w:val="20"/>
              </w:rPr>
            </w:pPr>
            <w:r>
              <w:rPr>
                <w:rFonts w:ascii="Calibri"/>
                <w:b/>
                <w:sz w:val="20"/>
              </w:rPr>
              <w:t>CHILD AND ADOLESCENT MENTAL HEALTH SERVICES, average cost per patient contact</w:t>
            </w:r>
          </w:p>
        </w:tc>
        <w:tc>
          <w:tcPr>
            <w:tcW w:w="1682" w:type="dxa"/>
            <w:tcBorders>
              <w:bottom w:val="nil"/>
            </w:tcBorders>
          </w:tcPr>
          <w:p w:rsidR="006A18FD" w:rsidRDefault="006A18FD">
            <w:pPr>
              <w:rPr>
                <w:rFonts w:ascii="Times New Roman"/>
                <w:sz w:val="18"/>
              </w:rPr>
            </w:pPr>
          </w:p>
        </w:tc>
      </w:tr>
      <w:tr w:rsidR="006A18FD">
        <w:trPr>
          <w:trHeight w:val="300"/>
        </w:trPr>
        <w:tc>
          <w:tcPr>
            <w:tcW w:w="8361" w:type="dxa"/>
            <w:tcBorders>
              <w:top w:val="nil"/>
              <w:bottom w:val="nil"/>
            </w:tcBorders>
          </w:tcPr>
          <w:p w:rsidR="006A18FD" w:rsidRDefault="002D29FC">
            <w:pPr>
              <w:spacing w:before="41" w:line="243" w:lineRule="exact"/>
              <w:ind w:left="103"/>
              <w:rPr>
                <w:rFonts w:ascii="Calibri" w:hAnsi="Calibri"/>
                <w:sz w:val="20"/>
              </w:rPr>
            </w:pPr>
            <w:r>
              <w:rPr>
                <w:rFonts w:ascii="Calibri" w:hAnsi="Calibri"/>
                <w:sz w:val="20"/>
              </w:rPr>
              <w:t>Day care facilities – regular attendance</w:t>
            </w:r>
          </w:p>
        </w:tc>
        <w:tc>
          <w:tcPr>
            <w:tcW w:w="1682" w:type="dxa"/>
            <w:tcBorders>
              <w:top w:val="nil"/>
              <w:bottom w:val="nil"/>
            </w:tcBorders>
          </w:tcPr>
          <w:p w:rsidR="006A18FD" w:rsidRDefault="002D29FC">
            <w:pPr>
              <w:spacing w:before="41" w:line="243" w:lineRule="exact"/>
              <w:ind w:right="103"/>
              <w:jc w:val="right"/>
              <w:rPr>
                <w:rFonts w:ascii="Calibri" w:hAnsi="Calibri"/>
                <w:sz w:val="20"/>
              </w:rPr>
            </w:pPr>
            <w:r>
              <w:rPr>
                <w:rFonts w:ascii="Calibri" w:hAnsi="Calibri"/>
                <w:sz w:val="20"/>
              </w:rPr>
              <w:t>£277</w:t>
            </w:r>
          </w:p>
        </w:tc>
      </w:tr>
      <w:tr w:rsidR="006A18FD">
        <w:trPr>
          <w:trHeight w:val="240"/>
        </w:trPr>
        <w:tc>
          <w:tcPr>
            <w:tcW w:w="8361" w:type="dxa"/>
            <w:tcBorders>
              <w:top w:val="nil"/>
              <w:bottom w:val="nil"/>
            </w:tcBorders>
          </w:tcPr>
          <w:p w:rsidR="006A18FD" w:rsidRDefault="002D29FC">
            <w:pPr>
              <w:spacing w:line="226" w:lineRule="exact"/>
              <w:ind w:left="103"/>
              <w:rPr>
                <w:rFonts w:ascii="Calibri"/>
                <w:sz w:val="20"/>
              </w:rPr>
            </w:pPr>
            <w:r>
              <w:rPr>
                <w:rFonts w:ascii="Calibri"/>
                <w:sz w:val="20"/>
              </w:rPr>
              <w:t>Admitted patients</w:t>
            </w:r>
          </w:p>
        </w:tc>
        <w:tc>
          <w:tcPr>
            <w:tcW w:w="1682" w:type="dxa"/>
            <w:tcBorders>
              <w:top w:val="nil"/>
              <w:bottom w:val="nil"/>
            </w:tcBorders>
          </w:tcPr>
          <w:p w:rsidR="006A18FD" w:rsidRDefault="002D29FC">
            <w:pPr>
              <w:spacing w:line="226" w:lineRule="exact"/>
              <w:ind w:right="103"/>
              <w:jc w:val="right"/>
              <w:rPr>
                <w:rFonts w:ascii="Calibri" w:hAnsi="Calibri"/>
                <w:sz w:val="20"/>
              </w:rPr>
            </w:pPr>
            <w:r>
              <w:rPr>
                <w:rFonts w:ascii="Calibri" w:hAnsi="Calibri"/>
                <w:sz w:val="20"/>
              </w:rPr>
              <w:t>£733</w:t>
            </w:r>
          </w:p>
        </w:tc>
      </w:tr>
      <w:tr w:rsidR="006A18FD">
        <w:trPr>
          <w:trHeight w:val="240"/>
        </w:trPr>
        <w:tc>
          <w:tcPr>
            <w:tcW w:w="8361" w:type="dxa"/>
            <w:tcBorders>
              <w:top w:val="nil"/>
              <w:bottom w:val="nil"/>
            </w:tcBorders>
          </w:tcPr>
          <w:p w:rsidR="006A18FD" w:rsidRDefault="002D29FC">
            <w:pPr>
              <w:spacing w:line="227" w:lineRule="exact"/>
              <w:ind w:left="103"/>
              <w:rPr>
                <w:rFonts w:ascii="Calibri" w:hAnsi="Calibri"/>
                <w:sz w:val="20"/>
              </w:rPr>
            </w:pPr>
            <w:r>
              <w:rPr>
                <w:rFonts w:ascii="Calibri" w:hAnsi="Calibri"/>
                <w:sz w:val="20"/>
              </w:rPr>
              <w:t>Admitted patients – psychiatric intensive care</w:t>
            </w:r>
          </w:p>
        </w:tc>
        <w:tc>
          <w:tcPr>
            <w:tcW w:w="1682" w:type="dxa"/>
            <w:tcBorders>
              <w:top w:val="nil"/>
              <w:bottom w:val="nil"/>
            </w:tcBorders>
          </w:tcPr>
          <w:p w:rsidR="006A18FD" w:rsidRDefault="002D29FC">
            <w:pPr>
              <w:spacing w:line="227" w:lineRule="exact"/>
              <w:ind w:right="103"/>
              <w:jc w:val="right"/>
              <w:rPr>
                <w:rFonts w:ascii="Calibri" w:hAnsi="Calibri"/>
                <w:sz w:val="20"/>
              </w:rPr>
            </w:pPr>
            <w:r>
              <w:rPr>
                <w:rFonts w:ascii="Calibri" w:hAnsi="Calibri"/>
                <w:sz w:val="20"/>
              </w:rPr>
              <w:t>£1,358</w:t>
            </w:r>
          </w:p>
        </w:tc>
      </w:tr>
      <w:tr w:rsidR="006A18FD">
        <w:trPr>
          <w:trHeight w:val="240"/>
        </w:trPr>
        <w:tc>
          <w:tcPr>
            <w:tcW w:w="8361" w:type="dxa"/>
            <w:tcBorders>
              <w:top w:val="nil"/>
              <w:bottom w:val="nil"/>
            </w:tcBorders>
          </w:tcPr>
          <w:p w:rsidR="006A18FD" w:rsidRDefault="002D29FC">
            <w:pPr>
              <w:spacing w:line="227" w:lineRule="exact"/>
              <w:ind w:left="103"/>
              <w:rPr>
                <w:rFonts w:ascii="Calibri"/>
                <w:sz w:val="20"/>
              </w:rPr>
            </w:pPr>
            <w:r>
              <w:rPr>
                <w:rFonts w:ascii="Calibri"/>
                <w:sz w:val="20"/>
              </w:rPr>
              <w:t>Community contact</w:t>
            </w:r>
          </w:p>
        </w:tc>
        <w:tc>
          <w:tcPr>
            <w:tcW w:w="1682" w:type="dxa"/>
            <w:tcBorders>
              <w:top w:val="nil"/>
              <w:bottom w:val="nil"/>
            </w:tcBorders>
          </w:tcPr>
          <w:p w:rsidR="006A18FD" w:rsidRDefault="002D29FC">
            <w:pPr>
              <w:spacing w:line="227" w:lineRule="exact"/>
              <w:ind w:right="103"/>
              <w:jc w:val="right"/>
              <w:rPr>
                <w:rFonts w:ascii="Calibri" w:hAnsi="Calibri"/>
                <w:sz w:val="20"/>
              </w:rPr>
            </w:pPr>
            <w:r>
              <w:rPr>
                <w:rFonts w:ascii="Calibri" w:hAnsi="Calibri"/>
                <w:sz w:val="20"/>
              </w:rPr>
              <w:t>£234</w:t>
            </w:r>
          </w:p>
        </w:tc>
      </w:tr>
      <w:tr w:rsidR="006A18FD">
        <w:trPr>
          <w:trHeight w:val="240"/>
        </w:trPr>
        <w:tc>
          <w:tcPr>
            <w:tcW w:w="8361" w:type="dxa"/>
            <w:tcBorders>
              <w:top w:val="nil"/>
              <w:bottom w:val="nil"/>
            </w:tcBorders>
          </w:tcPr>
          <w:p w:rsidR="006A18FD" w:rsidRDefault="002D29FC">
            <w:pPr>
              <w:spacing w:line="227" w:lineRule="exact"/>
              <w:ind w:left="103"/>
              <w:rPr>
                <w:rFonts w:ascii="Calibri"/>
                <w:sz w:val="20"/>
              </w:rPr>
            </w:pPr>
            <w:r>
              <w:rPr>
                <w:rFonts w:ascii="Calibri"/>
                <w:sz w:val="20"/>
              </w:rPr>
              <w:t>Community contact, crisis resolution</w:t>
            </w:r>
          </w:p>
        </w:tc>
        <w:tc>
          <w:tcPr>
            <w:tcW w:w="1682" w:type="dxa"/>
            <w:tcBorders>
              <w:top w:val="nil"/>
              <w:bottom w:val="nil"/>
            </w:tcBorders>
          </w:tcPr>
          <w:p w:rsidR="006A18FD" w:rsidRDefault="002D29FC">
            <w:pPr>
              <w:spacing w:line="227" w:lineRule="exact"/>
              <w:ind w:right="103"/>
              <w:jc w:val="right"/>
              <w:rPr>
                <w:rFonts w:ascii="Calibri" w:hAnsi="Calibri"/>
                <w:sz w:val="20"/>
              </w:rPr>
            </w:pPr>
            <w:r>
              <w:rPr>
                <w:rFonts w:ascii="Calibri" w:hAnsi="Calibri"/>
                <w:sz w:val="20"/>
              </w:rPr>
              <w:t>£192</w:t>
            </w:r>
          </w:p>
        </w:tc>
      </w:tr>
      <w:tr w:rsidR="006A18FD">
        <w:trPr>
          <w:trHeight w:val="220"/>
        </w:trPr>
        <w:tc>
          <w:tcPr>
            <w:tcW w:w="8361" w:type="dxa"/>
            <w:tcBorders>
              <w:top w:val="nil"/>
            </w:tcBorders>
          </w:tcPr>
          <w:p w:rsidR="006A18FD" w:rsidRDefault="002D29FC">
            <w:pPr>
              <w:spacing w:line="208" w:lineRule="exact"/>
              <w:ind w:left="103"/>
              <w:rPr>
                <w:rFonts w:ascii="Calibri"/>
                <w:sz w:val="20"/>
              </w:rPr>
            </w:pPr>
            <w:r>
              <w:rPr>
                <w:rFonts w:ascii="Calibri"/>
                <w:sz w:val="20"/>
              </w:rPr>
              <w:t>Outpatient attendance</w:t>
            </w:r>
          </w:p>
        </w:tc>
        <w:tc>
          <w:tcPr>
            <w:tcW w:w="1682" w:type="dxa"/>
            <w:tcBorders>
              <w:top w:val="nil"/>
            </w:tcBorders>
          </w:tcPr>
          <w:p w:rsidR="006A18FD" w:rsidRDefault="002D29FC">
            <w:pPr>
              <w:spacing w:line="208" w:lineRule="exact"/>
              <w:ind w:right="103"/>
              <w:jc w:val="right"/>
              <w:rPr>
                <w:rFonts w:ascii="Calibri" w:hAnsi="Calibri"/>
                <w:sz w:val="20"/>
              </w:rPr>
            </w:pPr>
            <w:r>
              <w:rPr>
                <w:rFonts w:ascii="Calibri" w:hAnsi="Calibri"/>
                <w:sz w:val="20"/>
              </w:rPr>
              <w:t>£307</w:t>
            </w:r>
          </w:p>
        </w:tc>
      </w:tr>
    </w:tbl>
    <w:p w:rsidR="006A18FD" w:rsidRDefault="006A18FD">
      <w:pPr>
        <w:rPr>
          <w:rFonts w:ascii="Calibri"/>
          <w:sz w:val="20"/>
        </w:rPr>
      </w:pPr>
    </w:p>
    <w:p w:rsidR="006A18FD" w:rsidRDefault="006A18FD">
      <w:pPr>
        <w:spacing w:before="2"/>
        <w:rPr>
          <w:rFonts w:ascii="Calibri"/>
          <w:sz w:val="24"/>
        </w:rPr>
      </w:pPr>
    </w:p>
    <w:p w:rsidR="006A18FD" w:rsidRDefault="002D29FC">
      <w:pPr>
        <w:spacing w:before="74"/>
        <w:ind w:left="423"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w:t>
      </w:r>
      <w:hyperlink r:id="rId190">
        <w:r>
          <w:rPr>
            <w:rFonts w:ascii="Calibri"/>
            <w:sz w:val="16"/>
            <w:u w:val="single"/>
          </w:rPr>
          <w:t>https://improvement.nhs.uk/resources/reference-costs/</w:t>
        </w:r>
      </w:hyperlink>
      <w:r>
        <w:rPr>
          <w:rFonts w:ascii="Calibri"/>
          <w:sz w:val="16"/>
        </w:rPr>
        <w:t xml:space="preserve"> [accessed 1 November 2019].</w:t>
      </w:r>
    </w:p>
    <w:p w:rsidR="006A18FD" w:rsidRDefault="002D29FC">
      <w:pPr>
        <w:spacing w:before="1"/>
        <w:ind w:left="423" w:right="242" w:hanging="284"/>
        <w:rPr>
          <w:rFonts w:ascii="Calibri"/>
          <w:sz w:val="16"/>
        </w:rPr>
      </w:pPr>
      <w:r>
        <w:rPr>
          <w:rFonts w:ascii="Calibri"/>
          <w:position w:val="5"/>
          <w:sz w:val="10"/>
        </w:rPr>
        <w:t xml:space="preserve">2 </w:t>
      </w:r>
      <w:r>
        <w:rPr>
          <w:rFonts w:ascii="Calibri"/>
          <w:sz w:val="16"/>
        </w:rPr>
        <w:t xml:space="preserve">The cost of carbon emissions from patient and staff travel, electricity and gas for the building, along with embedded emissions in the goods and services used to provide the appointment. Based on the Sustainable Development Unit carbon footprint of the health, social care and public health system: </w:t>
      </w:r>
      <w:hyperlink r:id="rId191">
        <w:r>
          <w:rPr>
            <w:rFonts w:ascii="Calibri"/>
            <w:sz w:val="16"/>
            <w:u w:val="single"/>
          </w:rPr>
          <w:t>https://www.sduhealth.org.uk/policy-strategy/reporting/natural-resource-footprint-2018.aspx</w:t>
        </w:r>
        <w:r>
          <w:rPr>
            <w:rFonts w:ascii="Calibri"/>
            <w:sz w:val="16"/>
          </w:rPr>
          <w:t xml:space="preserve">. </w:t>
        </w:r>
      </w:hyperlink>
      <w:r>
        <w:rPr>
          <w:rFonts w:ascii="Calibri"/>
          <w:sz w:val="16"/>
        </w:rPr>
        <w:t>See Preface for more information.</w:t>
      </w:r>
    </w:p>
    <w:p w:rsidR="006A18FD" w:rsidRDefault="006A18FD">
      <w:pPr>
        <w:rPr>
          <w:rFonts w:ascii="Calibri"/>
          <w:sz w:val="16"/>
        </w:rPr>
        <w:sectPr w:rsidR="006A18FD">
          <w:headerReference w:type="even" r:id="rId192"/>
          <w:pgSz w:w="11910" w:h="16840"/>
          <w:pgMar w:top="960" w:right="980" w:bottom="280" w:left="580" w:header="751" w:footer="0" w:gutter="0"/>
          <w:pgNumType w:start="68"/>
          <w:cols w:space="720"/>
        </w:sectPr>
      </w:pPr>
    </w:p>
    <w:p w:rsidR="006A18FD" w:rsidRDefault="002D29FC" w:rsidP="00E06635">
      <w:pPr>
        <w:pStyle w:val="Heading2"/>
      </w:pPr>
      <w:r>
        <w:t>6.2. Department for Education’s Social Care Innovation Programme</w:t>
      </w:r>
    </w:p>
    <w:p w:rsidR="006A18FD" w:rsidRDefault="002D29FC">
      <w:pPr>
        <w:spacing w:before="174" w:line="276" w:lineRule="auto"/>
        <w:ind w:left="100" w:right="328"/>
        <w:rPr>
          <w:rFonts w:ascii="Calibri" w:hAnsi="Calibri"/>
          <w:sz w:val="20"/>
        </w:rPr>
      </w:pPr>
      <w:r>
        <w:rPr>
          <w:rFonts w:ascii="Calibri" w:hAnsi="Calibri"/>
          <w:sz w:val="20"/>
        </w:rPr>
        <w:t>The following services have been funded as part of the Department for Education (DfE)’s Social Care Innovation Programme (</w:t>
      </w:r>
      <w:hyperlink r:id="rId193">
        <w:r>
          <w:rPr>
            <w:rFonts w:ascii="Calibri" w:hAnsi="Calibri"/>
            <w:sz w:val="20"/>
            <w:u w:val="single"/>
          </w:rPr>
          <w:t>https://www.gov.uk/government/publications/childrens-</w:t>
        </w:r>
      </w:hyperlink>
      <w:r>
        <w:rPr>
          <w:rFonts w:ascii="Calibri" w:hAnsi="Calibri"/>
          <w:sz w:val="20"/>
        </w:rPr>
        <w:t xml:space="preserve"> </w:t>
      </w:r>
      <w:hyperlink r:id="rId194">
        <w:r>
          <w:rPr>
            <w:rFonts w:ascii="Calibri" w:hAnsi="Calibri"/>
            <w:sz w:val="20"/>
            <w:u w:val="single"/>
          </w:rPr>
          <w:t>services-innovation-programme</w:t>
        </w:r>
      </w:hyperlink>
      <w:r>
        <w:rPr>
          <w:rFonts w:ascii="Calibri" w:hAnsi="Calibri"/>
          <w:sz w:val="20"/>
        </w:rPr>
        <w:t xml:space="preserve">). We report the unit costs from the evaluation reports, and users are advised to confirm the approach fits their requirements (see also the DfE Innovation evaluation approach: </w:t>
      </w:r>
      <w:hyperlink r:id="rId195">
        <w:r>
          <w:rPr>
            <w:rFonts w:ascii="Calibri" w:hAnsi="Calibri"/>
            <w:sz w:val="20"/>
            <w:u w:val="single"/>
          </w:rPr>
          <w:t>http://innovationcsc.co.uk/evaluation-approach/</w:t>
        </w:r>
      </w:hyperlink>
      <w:r>
        <w:rPr>
          <w:rFonts w:ascii="Calibri" w:hAnsi="Calibri"/>
          <w:sz w:val="20"/>
        </w:rPr>
        <w:t>). Unless specified below, we assume costs were reported at 2015/2016 values, the first year of receiving the DfE grant. New information will be added each year as further evaluations are published.</w:t>
      </w:r>
    </w:p>
    <w:p w:rsidR="006A18FD" w:rsidRDefault="006A18FD">
      <w:pPr>
        <w:rPr>
          <w:rFonts w:ascii="Calibri"/>
          <w:sz w:val="20"/>
        </w:rPr>
      </w:pPr>
    </w:p>
    <w:p w:rsidR="006A18FD" w:rsidRDefault="006A18FD">
      <w:pPr>
        <w:spacing w:before="6" w:after="1"/>
        <w:rPr>
          <w:rFonts w:ascii="Calibri"/>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103"/>
        <w:gridCol w:w="5103"/>
      </w:tblGrid>
      <w:tr w:rsidR="006A18FD" w:rsidTr="005B5AB5">
        <w:trPr>
          <w:trHeight w:val="480"/>
          <w:tblHeader/>
        </w:trPr>
        <w:tc>
          <w:tcPr>
            <w:tcW w:w="5103" w:type="dxa"/>
          </w:tcPr>
          <w:p w:rsidR="006A18FD" w:rsidRDefault="002D29FC">
            <w:pPr>
              <w:spacing w:before="121"/>
              <w:ind w:left="103"/>
              <w:rPr>
                <w:rFonts w:ascii="Calibri"/>
                <w:b/>
                <w:sz w:val="20"/>
              </w:rPr>
            </w:pPr>
            <w:r>
              <w:rPr>
                <w:rFonts w:ascii="Calibri"/>
                <w:b/>
                <w:sz w:val="20"/>
              </w:rPr>
              <w:t>What is the programme?</w:t>
            </w:r>
          </w:p>
        </w:tc>
        <w:tc>
          <w:tcPr>
            <w:tcW w:w="5103" w:type="dxa"/>
          </w:tcPr>
          <w:p w:rsidR="006A18FD" w:rsidRDefault="002D29FC">
            <w:pPr>
              <w:spacing w:before="121"/>
              <w:ind w:left="102"/>
              <w:rPr>
                <w:rFonts w:ascii="Calibri"/>
                <w:b/>
                <w:sz w:val="20"/>
              </w:rPr>
            </w:pPr>
            <w:r>
              <w:rPr>
                <w:rFonts w:ascii="Calibri"/>
                <w:b/>
                <w:sz w:val="20"/>
              </w:rPr>
              <w:t>Who is involved?</w:t>
            </w:r>
          </w:p>
        </w:tc>
        <w:tc>
          <w:tcPr>
            <w:tcW w:w="5103" w:type="dxa"/>
          </w:tcPr>
          <w:p w:rsidR="006A18FD" w:rsidRDefault="002D29FC">
            <w:pPr>
              <w:spacing w:before="121"/>
              <w:ind w:left="103"/>
              <w:rPr>
                <w:rFonts w:ascii="Calibri"/>
                <w:b/>
                <w:sz w:val="20"/>
              </w:rPr>
            </w:pPr>
            <w:r>
              <w:rPr>
                <w:rFonts w:ascii="Calibri"/>
                <w:b/>
                <w:sz w:val="20"/>
              </w:rPr>
              <w:t>Costs</w:t>
            </w:r>
          </w:p>
        </w:tc>
      </w:tr>
      <w:tr w:rsidR="006A18FD">
        <w:trPr>
          <w:trHeight w:val="1940"/>
        </w:trPr>
        <w:tc>
          <w:tcPr>
            <w:tcW w:w="5103" w:type="dxa"/>
          </w:tcPr>
          <w:p w:rsidR="006A18FD" w:rsidRDefault="002D29FC">
            <w:pPr>
              <w:spacing w:before="119"/>
              <w:ind w:left="103" w:right="131"/>
              <w:rPr>
                <w:rFonts w:ascii="Calibri" w:hAnsi="Calibri"/>
                <w:sz w:val="20"/>
              </w:rPr>
            </w:pPr>
            <w:r>
              <w:rPr>
                <w:rFonts w:ascii="Calibri" w:hAnsi="Calibri"/>
                <w:b/>
                <w:sz w:val="20"/>
              </w:rPr>
              <w:t xml:space="preserve">‘Pause’ A voluntary programme for women at risk of having children removed from their care. </w:t>
            </w:r>
            <w:r>
              <w:rPr>
                <w:rFonts w:ascii="Calibri" w:hAnsi="Calibri"/>
                <w:position w:val="7"/>
                <w:sz w:val="13"/>
              </w:rPr>
              <w:t xml:space="preserve">1 </w:t>
            </w:r>
            <w:r>
              <w:rPr>
                <w:rFonts w:ascii="Calibri" w:hAnsi="Calibri"/>
                <w:sz w:val="20"/>
              </w:rPr>
              <w:t>An intense programme of emotional, psychological, practical and behavioural support which aims to reduce the number of children being removed into care and improve the health and wellbeing of the women.</w:t>
            </w:r>
          </w:p>
        </w:tc>
        <w:tc>
          <w:tcPr>
            <w:tcW w:w="5103" w:type="dxa"/>
          </w:tcPr>
          <w:p w:rsidR="006A18FD" w:rsidRDefault="002D29FC">
            <w:pPr>
              <w:spacing w:before="119"/>
              <w:ind w:left="102" w:right="532"/>
              <w:rPr>
                <w:rFonts w:ascii="Calibri"/>
                <w:sz w:val="20"/>
              </w:rPr>
            </w:pPr>
            <w:r>
              <w:rPr>
                <w:rFonts w:ascii="Calibri"/>
                <w:sz w:val="20"/>
              </w:rPr>
              <w:t>Pause works with partner agencies (such as health and domestic violence services) to design individual programmes for caseloads of 6-8 women.</w:t>
            </w:r>
          </w:p>
        </w:tc>
        <w:tc>
          <w:tcPr>
            <w:tcW w:w="5103" w:type="dxa"/>
          </w:tcPr>
          <w:p w:rsidR="006A18FD" w:rsidRDefault="002D29FC">
            <w:pPr>
              <w:spacing w:before="119"/>
              <w:ind w:left="103" w:right="109"/>
              <w:rPr>
                <w:rFonts w:ascii="Calibri" w:hAnsi="Calibri"/>
                <w:sz w:val="20"/>
              </w:rPr>
            </w:pPr>
            <w:r>
              <w:rPr>
                <w:rFonts w:ascii="Calibri" w:hAnsi="Calibri"/>
                <w:sz w:val="20"/>
              </w:rPr>
              <w:t>Costs were captured for a cohort of 125 women. The cost</w:t>
            </w:r>
            <w:r>
              <w:rPr>
                <w:rFonts w:ascii="Calibri" w:hAnsi="Calibri"/>
                <w:spacing w:val="-24"/>
                <w:sz w:val="20"/>
              </w:rPr>
              <w:t xml:space="preserve"> </w:t>
            </w:r>
            <w:r>
              <w:rPr>
                <w:rFonts w:ascii="Calibri" w:hAnsi="Calibri"/>
                <w:sz w:val="20"/>
              </w:rPr>
              <w:t>of delivering Pause over 18 months - £2,525,230 (£20,202 per woman), equivalent to £1,683,487 (£13,468 per woman) per annum, based on Round 1 evaluation figures. Includes staff running costs, office costs, and individual budgets. Set- up costs, strategic management costs, and in-kind costs were excluded from the</w:t>
            </w:r>
            <w:r>
              <w:rPr>
                <w:rFonts w:ascii="Calibri" w:hAnsi="Calibri"/>
                <w:spacing w:val="-13"/>
                <w:sz w:val="20"/>
              </w:rPr>
              <w:t xml:space="preserve"> </w:t>
            </w:r>
            <w:r>
              <w:rPr>
                <w:rFonts w:ascii="Calibri" w:hAnsi="Calibri"/>
                <w:sz w:val="20"/>
              </w:rPr>
              <w:t>estimations.</w:t>
            </w:r>
          </w:p>
        </w:tc>
      </w:tr>
      <w:tr w:rsidR="006A18FD">
        <w:trPr>
          <w:trHeight w:val="1700"/>
        </w:trPr>
        <w:tc>
          <w:tcPr>
            <w:tcW w:w="5103" w:type="dxa"/>
          </w:tcPr>
          <w:p w:rsidR="006A18FD" w:rsidRDefault="002D29FC">
            <w:pPr>
              <w:spacing w:before="118"/>
              <w:ind w:left="103" w:right="131"/>
              <w:rPr>
                <w:rFonts w:ascii="Calibri" w:hAnsi="Calibri"/>
                <w:sz w:val="20"/>
              </w:rPr>
            </w:pPr>
            <w:r>
              <w:rPr>
                <w:rFonts w:ascii="Calibri" w:hAnsi="Calibri"/>
                <w:b/>
                <w:sz w:val="20"/>
              </w:rPr>
              <w:t>‘No Wrong Door’ An integrated service for young people.</w:t>
            </w:r>
            <w:r>
              <w:rPr>
                <w:rFonts w:ascii="Calibri" w:hAnsi="Calibri"/>
                <w:position w:val="7"/>
                <w:sz w:val="13"/>
              </w:rPr>
              <w:t xml:space="preserve">2 </w:t>
            </w:r>
            <w:r>
              <w:rPr>
                <w:rFonts w:ascii="Calibri" w:hAnsi="Calibri"/>
                <w:sz w:val="20"/>
              </w:rPr>
              <w:t>Provides an integrated service for young people, aged 12 to 25, who either are in care, edging to or on the edge of care, or have recently moved to supported or independent accommodation while supported by No Wrong Door (NWD).</w:t>
            </w:r>
          </w:p>
        </w:tc>
        <w:tc>
          <w:tcPr>
            <w:tcW w:w="5103" w:type="dxa"/>
          </w:tcPr>
          <w:p w:rsidR="006A18FD" w:rsidRDefault="002D29FC">
            <w:pPr>
              <w:spacing w:before="121"/>
              <w:ind w:left="102" w:right="206"/>
              <w:rPr>
                <w:rFonts w:ascii="Calibri"/>
                <w:sz w:val="20"/>
              </w:rPr>
            </w:pPr>
            <w:r>
              <w:rPr>
                <w:rFonts w:ascii="Calibri"/>
                <w:sz w:val="20"/>
              </w:rPr>
              <w:t>NWD operates from 2 hubs in Scarborough and Harrogate. Each hub has a team that consists of a manager, 2 deputy managers, NWD hub workers, a communications support worker, a life coach and a police liaison officer.</w:t>
            </w:r>
          </w:p>
        </w:tc>
        <w:tc>
          <w:tcPr>
            <w:tcW w:w="5103" w:type="dxa"/>
          </w:tcPr>
          <w:p w:rsidR="006A18FD" w:rsidRDefault="002D29FC">
            <w:pPr>
              <w:spacing w:before="121"/>
              <w:ind w:left="103" w:right="353"/>
              <w:rPr>
                <w:rFonts w:ascii="Calibri" w:hAnsi="Calibri"/>
                <w:sz w:val="20"/>
              </w:rPr>
            </w:pPr>
            <w:r>
              <w:rPr>
                <w:rFonts w:ascii="Calibri" w:hAnsi="Calibri"/>
                <w:sz w:val="20"/>
              </w:rPr>
              <w:t>Bespoke packages of care were developed. Although an intensive package with daily face-to-face contact over 28 days is estimated to cost NWD around £5,000 per week, others received only low levels of outreach support (for example, 3 hours per month) costing much less.</w:t>
            </w:r>
          </w:p>
        </w:tc>
      </w:tr>
      <w:tr w:rsidR="006A18FD">
        <w:trPr>
          <w:trHeight w:val="1700"/>
        </w:trPr>
        <w:tc>
          <w:tcPr>
            <w:tcW w:w="5103" w:type="dxa"/>
          </w:tcPr>
          <w:p w:rsidR="006A18FD" w:rsidRDefault="002D29FC">
            <w:pPr>
              <w:spacing w:before="118"/>
              <w:ind w:left="103" w:right="370"/>
              <w:rPr>
                <w:rFonts w:ascii="Calibri"/>
                <w:sz w:val="20"/>
              </w:rPr>
            </w:pPr>
            <w:r>
              <w:rPr>
                <w:rFonts w:ascii="Calibri"/>
                <w:b/>
                <w:sz w:val="20"/>
              </w:rPr>
              <w:t>Belhaven Service</w:t>
            </w:r>
            <w:r>
              <w:rPr>
                <w:rFonts w:ascii="Calibri"/>
                <w:position w:val="7"/>
                <w:sz w:val="13"/>
              </w:rPr>
              <w:t xml:space="preserve">3 </w:t>
            </w:r>
            <w:r>
              <w:rPr>
                <w:rFonts w:ascii="Calibri"/>
                <w:sz w:val="20"/>
              </w:rPr>
              <w:t>provides mental health treatment in a local care home setting to reduce the risk of referral to mental health inpatient services and breakdown of educational and care arrangements for young people. It aims to integrate health, care and education delivery for the most vulnerable children.</w:t>
            </w:r>
          </w:p>
        </w:tc>
        <w:tc>
          <w:tcPr>
            <w:tcW w:w="5103" w:type="dxa"/>
          </w:tcPr>
          <w:p w:rsidR="006A18FD" w:rsidRDefault="002D29FC">
            <w:pPr>
              <w:spacing w:before="121"/>
              <w:ind w:left="102" w:right="281"/>
              <w:rPr>
                <w:rFonts w:ascii="Calibri"/>
                <w:sz w:val="20"/>
              </w:rPr>
            </w:pPr>
            <w:r>
              <w:rPr>
                <w:rFonts w:ascii="Calibri"/>
                <w:sz w:val="20"/>
              </w:rPr>
              <w:t>A 5-bed residential home, in which 4 beds were funded as part of the DfE Innovation Programme</w:t>
            </w:r>
            <w:hyperlink r:id="rId196">
              <w:r>
                <w:rPr>
                  <w:rFonts w:ascii="Calibri"/>
                  <w:sz w:val="20"/>
                </w:rPr>
                <w:t xml:space="preserve"> (</w:t>
              </w:r>
              <w:r>
                <w:rPr>
                  <w:rFonts w:ascii="Calibri"/>
                  <w:sz w:val="20"/>
                  <w:u w:val="single"/>
                </w:rPr>
                <w:t>http://innovationcsc.co.uk/projects/belhaven-service/</w:t>
              </w:r>
            </w:hyperlink>
            <w:r>
              <w:rPr>
                <w:rFonts w:ascii="Calibri"/>
                <w:sz w:val="20"/>
              </w:rPr>
              <w:t>).</w:t>
            </w:r>
          </w:p>
        </w:tc>
        <w:tc>
          <w:tcPr>
            <w:tcW w:w="5103" w:type="dxa"/>
          </w:tcPr>
          <w:p w:rsidR="006A18FD" w:rsidRDefault="002D29FC">
            <w:pPr>
              <w:spacing w:before="123"/>
              <w:ind w:left="103"/>
              <w:rPr>
                <w:rFonts w:ascii="Calibri" w:hAnsi="Calibri"/>
                <w:sz w:val="20"/>
              </w:rPr>
            </w:pPr>
            <w:r>
              <w:rPr>
                <w:rFonts w:ascii="Calibri" w:hAnsi="Calibri"/>
                <w:sz w:val="20"/>
              </w:rPr>
              <w:t>Full occupancy £676 per day.</w:t>
            </w:r>
          </w:p>
          <w:p w:rsidR="006A18FD" w:rsidRDefault="002D29FC">
            <w:pPr>
              <w:spacing w:before="117"/>
              <w:ind w:left="103"/>
              <w:rPr>
                <w:rFonts w:ascii="Calibri" w:hAnsi="Calibri"/>
                <w:sz w:val="20"/>
              </w:rPr>
            </w:pPr>
            <w:r>
              <w:rPr>
                <w:rFonts w:ascii="Calibri" w:hAnsi="Calibri"/>
                <w:sz w:val="20"/>
              </w:rPr>
              <w:t>Actual occupancy during evaluation £849 per day.</w:t>
            </w:r>
          </w:p>
          <w:p w:rsidR="006A18FD" w:rsidRDefault="002D29FC">
            <w:pPr>
              <w:spacing w:before="120"/>
              <w:ind w:left="103" w:right="315"/>
              <w:rPr>
                <w:rFonts w:ascii="Calibri" w:hAnsi="Calibri"/>
                <w:sz w:val="20"/>
              </w:rPr>
            </w:pPr>
            <w:r>
              <w:rPr>
                <w:rFonts w:ascii="Calibri" w:hAnsi="Calibri"/>
                <w:sz w:val="20"/>
              </w:rPr>
              <w:t>The planned length of stay was 90 days; at full occupancy this would cost £60,840.</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
        <w:rPr>
          <w:rFonts w:ascii="Calibri"/>
          <w:sz w:val="15"/>
        </w:rPr>
      </w:pPr>
    </w:p>
    <w:p w:rsidR="006A18FD" w:rsidRDefault="002D29FC">
      <w:pPr>
        <w:spacing w:before="74"/>
        <w:ind w:left="100"/>
        <w:rPr>
          <w:rFonts w:ascii="Calibri"/>
          <w:sz w:val="16"/>
        </w:rPr>
      </w:pPr>
      <w:r>
        <w:rPr>
          <w:rFonts w:ascii="Calibri"/>
          <w:position w:val="5"/>
          <w:sz w:val="10"/>
        </w:rPr>
        <w:t xml:space="preserve">1 </w:t>
      </w:r>
      <w:r>
        <w:rPr>
          <w:rFonts w:ascii="Calibri"/>
          <w:sz w:val="16"/>
        </w:rPr>
        <w:t xml:space="preserve">McCracken, K., Priest, S., FitzSimons, A., Bracewell, K., Torchia, K. &amp; Parry, W. with Stanley, N. (2017) Evaluation of Pause, Department for Education, </w:t>
      </w:r>
      <w:hyperlink r:id="rId197">
        <w:r>
          <w:rPr>
            <w:rFonts w:ascii="Calibri"/>
            <w:sz w:val="16"/>
            <w:u w:val="single"/>
          </w:rPr>
          <w:t>https://www.gov.uk/government/publications/social-care-pause-programme</w:t>
        </w:r>
        <w:r>
          <w:rPr>
            <w:rFonts w:ascii="Calibri"/>
            <w:sz w:val="16"/>
          </w:rPr>
          <w:t>.</w:t>
        </w:r>
      </w:hyperlink>
    </w:p>
    <w:p w:rsidR="006A18FD" w:rsidRDefault="00E60AD2">
      <w:pPr>
        <w:spacing w:before="1"/>
        <w:ind w:left="383" w:right="423" w:hanging="284"/>
        <w:rPr>
          <w:rFonts w:ascii="Calibri"/>
          <w:sz w:val="16"/>
        </w:rPr>
      </w:pPr>
      <w:r>
        <w:rPr>
          <w:noProof/>
          <w:lang w:val="en-GB" w:eastAsia="en-GB"/>
        </w:rPr>
        <mc:AlternateContent>
          <mc:Choice Requires="wps">
            <w:drawing>
              <wp:anchor distT="0" distB="0" distL="114300" distR="114300" simplePos="0" relativeHeight="251610112" behindDoc="1" locked="0" layoutInCell="1" allowOverlap="1">
                <wp:simplePos x="0" y="0"/>
                <wp:positionH relativeFrom="page">
                  <wp:posOffset>636905</wp:posOffset>
                </wp:positionH>
                <wp:positionV relativeFrom="paragraph">
                  <wp:posOffset>236220</wp:posOffset>
                </wp:positionV>
                <wp:extent cx="1426845" cy="0"/>
                <wp:effectExtent l="8255" t="7620" r="12700" b="11430"/>
                <wp:wrapNone/>
                <wp:docPr id="30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A4DE" id="Line 161"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18.6pt" to="16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" strokeweight=".16936mm">
                <w10:wrap anchorx="page"/>
              </v:line>
            </w:pict>
          </mc:Fallback>
        </mc:AlternateContent>
      </w:r>
      <w:r w:rsidR="002D29FC">
        <w:rPr>
          <w:rFonts w:ascii="Calibri"/>
          <w:position w:val="5"/>
          <w:sz w:val="10"/>
        </w:rPr>
        <w:t xml:space="preserve">2 </w:t>
      </w:r>
      <w:r w:rsidR="002D29FC">
        <w:rPr>
          <w:rFonts w:ascii="Calibri"/>
          <w:sz w:val="16"/>
        </w:rPr>
        <w:t xml:space="preserve">Lushey, C., Hyde-Dryden, G., Holmes, L. &amp; Blackmore, J. (2017) Evaluation of the No Wrong Door Innovation Programme, Research Report, Department for Education, </w:t>
      </w:r>
      <w:hyperlink r:id="rId198">
        <w:r w:rsidR="002D29FC">
          <w:rPr>
            <w:rFonts w:ascii="Calibri"/>
            <w:sz w:val="16"/>
            <w:u w:val="single"/>
          </w:rPr>
          <w:t>https://www.gov.uk/government/publications/no-wrong-door-</w:t>
        </w:r>
      </w:hyperlink>
      <w:r w:rsidR="002D29FC">
        <w:rPr>
          <w:rFonts w:ascii="Calibri"/>
          <w:sz w:val="16"/>
        </w:rPr>
        <w:t xml:space="preserve"> </w:t>
      </w:r>
      <w:hyperlink r:id="rId199">
        <w:r w:rsidR="002D29FC">
          <w:rPr>
            <w:rFonts w:ascii="Calibri"/>
            <w:sz w:val="16"/>
          </w:rPr>
          <w:t>innovation-programme-evaluation.</w:t>
        </w:r>
      </w:hyperlink>
    </w:p>
    <w:p w:rsidR="006A18FD" w:rsidRDefault="002D29FC">
      <w:pPr>
        <w:spacing w:line="194" w:lineRule="exact"/>
        <w:ind w:left="100"/>
        <w:rPr>
          <w:rFonts w:ascii="Calibri"/>
          <w:sz w:val="16"/>
        </w:rPr>
      </w:pPr>
      <w:r>
        <w:rPr>
          <w:rFonts w:ascii="Calibri"/>
          <w:position w:val="5"/>
          <w:sz w:val="10"/>
        </w:rPr>
        <w:t xml:space="preserve">3 </w:t>
      </w:r>
      <w:r>
        <w:rPr>
          <w:rFonts w:ascii="Calibri"/>
          <w:sz w:val="16"/>
        </w:rPr>
        <w:t xml:space="preserve">Boxford, S., Harvey, J., Irani, M. &amp; Spencer, H. (2017) Evaluation of the Belhaven Service, Department for Education, </w:t>
      </w:r>
      <w:hyperlink r:id="rId200">
        <w:r>
          <w:rPr>
            <w:rFonts w:ascii="Calibri"/>
            <w:sz w:val="16"/>
            <w:u w:val="single"/>
          </w:rPr>
          <w:t>http://innovationcsc.co.uk/wp-content/uploads/2017/11/1.2.67-Priory_Belhaven_IP_evaluation_report_July_17.pdf</w:t>
        </w:r>
        <w:r>
          <w:rPr>
            <w:rFonts w:ascii="Calibri"/>
            <w:sz w:val="16"/>
          </w:rPr>
          <w:t>.</w:t>
        </w:r>
      </w:hyperlink>
    </w:p>
    <w:p w:rsidR="006A18FD" w:rsidRDefault="006A18FD">
      <w:pPr>
        <w:spacing w:line="194" w:lineRule="exact"/>
        <w:rPr>
          <w:rFonts w:ascii="Calibri"/>
          <w:sz w:val="16"/>
        </w:rPr>
        <w:sectPr w:rsidR="006A18FD">
          <w:headerReference w:type="default" r:id="rId201"/>
          <w:pgSz w:w="16840" w:h="11910" w:orient="landscape"/>
          <w:pgMar w:top="1040" w:right="680" w:bottom="280" w:left="620" w:header="0" w:footer="0" w:gutter="0"/>
          <w:cols w:space="720"/>
        </w:sectPr>
      </w:pPr>
    </w:p>
    <w:p w:rsidR="006A18FD" w:rsidRDefault="006A18FD">
      <w:pPr>
        <w:spacing w:before="1"/>
        <w:rPr>
          <w:rFonts w:ascii="Calibri"/>
          <w:sz w:val="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103"/>
        <w:gridCol w:w="5103"/>
      </w:tblGrid>
      <w:tr w:rsidR="006A18FD" w:rsidTr="005B5AB5">
        <w:trPr>
          <w:trHeight w:val="480"/>
          <w:tblHeader/>
        </w:trPr>
        <w:tc>
          <w:tcPr>
            <w:tcW w:w="5103" w:type="dxa"/>
          </w:tcPr>
          <w:p w:rsidR="006A18FD" w:rsidRDefault="002D29FC">
            <w:pPr>
              <w:spacing w:before="124"/>
              <w:ind w:left="103"/>
              <w:rPr>
                <w:rFonts w:ascii="Calibri"/>
                <w:b/>
                <w:sz w:val="20"/>
              </w:rPr>
            </w:pPr>
            <w:r>
              <w:rPr>
                <w:rFonts w:ascii="Calibri"/>
                <w:b/>
                <w:sz w:val="20"/>
              </w:rPr>
              <w:t>What is the programme?</w:t>
            </w:r>
          </w:p>
        </w:tc>
        <w:tc>
          <w:tcPr>
            <w:tcW w:w="5103" w:type="dxa"/>
          </w:tcPr>
          <w:p w:rsidR="006A18FD" w:rsidRDefault="002D29FC">
            <w:pPr>
              <w:spacing w:before="124"/>
              <w:ind w:left="102"/>
              <w:rPr>
                <w:rFonts w:ascii="Calibri"/>
                <w:b/>
                <w:sz w:val="20"/>
              </w:rPr>
            </w:pPr>
            <w:r>
              <w:rPr>
                <w:rFonts w:ascii="Calibri"/>
                <w:b/>
                <w:sz w:val="20"/>
              </w:rPr>
              <w:t>Who is involved?</w:t>
            </w:r>
          </w:p>
        </w:tc>
        <w:tc>
          <w:tcPr>
            <w:tcW w:w="5103" w:type="dxa"/>
          </w:tcPr>
          <w:p w:rsidR="006A18FD" w:rsidRDefault="002D29FC">
            <w:pPr>
              <w:spacing w:before="124"/>
              <w:ind w:left="103"/>
              <w:rPr>
                <w:rFonts w:ascii="Calibri"/>
                <w:b/>
                <w:sz w:val="20"/>
              </w:rPr>
            </w:pPr>
            <w:r>
              <w:rPr>
                <w:rFonts w:ascii="Calibri"/>
                <w:b/>
                <w:sz w:val="20"/>
              </w:rPr>
              <w:t>Costs</w:t>
            </w:r>
          </w:p>
        </w:tc>
      </w:tr>
      <w:tr w:rsidR="006A18FD">
        <w:trPr>
          <w:trHeight w:val="1620"/>
        </w:trPr>
        <w:tc>
          <w:tcPr>
            <w:tcW w:w="5103" w:type="dxa"/>
          </w:tcPr>
          <w:p w:rsidR="006A18FD" w:rsidRDefault="002D29FC">
            <w:pPr>
              <w:spacing w:before="121"/>
              <w:ind w:left="103" w:right="296"/>
              <w:rPr>
                <w:rFonts w:ascii="Calibri"/>
                <w:sz w:val="19"/>
              </w:rPr>
            </w:pPr>
            <w:r>
              <w:rPr>
                <w:rFonts w:ascii="Calibri"/>
                <w:b/>
                <w:sz w:val="19"/>
              </w:rPr>
              <w:t xml:space="preserve">The Mockingbird Family Model </w:t>
            </w:r>
            <w:r>
              <w:rPr>
                <w:rFonts w:ascii="Calibri"/>
                <w:sz w:val="19"/>
              </w:rPr>
              <w:t>(MFM)</w:t>
            </w:r>
            <w:r>
              <w:rPr>
                <w:rFonts w:ascii="Calibri"/>
                <w:position w:val="6"/>
                <w:sz w:val="12"/>
              </w:rPr>
              <w:t xml:space="preserve">1 </w:t>
            </w:r>
            <w:r>
              <w:rPr>
                <w:rFonts w:ascii="Calibri"/>
                <w:sz w:val="19"/>
              </w:rPr>
              <w:t>is an approach to supporting foster carers and the children and young people placed with them. It aims to ensure young people in foster care experience improved stability, stronger birth family and sibling relationships and more successful early reunifications with their birth family.</w:t>
            </w:r>
          </w:p>
        </w:tc>
        <w:tc>
          <w:tcPr>
            <w:tcW w:w="5103" w:type="dxa"/>
          </w:tcPr>
          <w:p w:rsidR="006A18FD" w:rsidRDefault="002D29FC">
            <w:pPr>
              <w:spacing w:before="121"/>
              <w:ind w:left="102" w:right="206"/>
              <w:rPr>
                <w:rFonts w:ascii="Calibri" w:hAnsi="Calibri"/>
                <w:sz w:val="19"/>
              </w:rPr>
            </w:pPr>
            <w:r>
              <w:rPr>
                <w:rFonts w:ascii="Calibri" w:hAnsi="Calibri"/>
                <w:sz w:val="19"/>
              </w:rPr>
              <w:t>MFM brings together clusters of between 6 and 10 ‘satellite foster homes’ to form a ‘constellation’. The constellation is supported by hub carers, identified as key to MFM’s success, who provide range of supports to those within the constellation</w:t>
            </w:r>
          </w:p>
        </w:tc>
        <w:tc>
          <w:tcPr>
            <w:tcW w:w="5103" w:type="dxa"/>
          </w:tcPr>
          <w:p w:rsidR="006A18FD" w:rsidRDefault="002D29FC">
            <w:pPr>
              <w:spacing w:before="121"/>
              <w:ind w:left="103" w:right="105"/>
              <w:rPr>
                <w:rFonts w:ascii="Calibri" w:hAnsi="Calibri"/>
                <w:sz w:val="19"/>
              </w:rPr>
            </w:pPr>
            <w:r>
              <w:rPr>
                <w:rFonts w:ascii="Calibri" w:hAnsi="Calibri"/>
                <w:sz w:val="19"/>
              </w:rPr>
              <w:t>The ongoing cost of running a constellation during the pilot phase was estimated to be around £30,491 per year (data</w:t>
            </w:r>
            <w:r>
              <w:rPr>
                <w:rFonts w:ascii="Calibri" w:hAnsi="Calibri"/>
                <w:spacing w:val="-19"/>
                <w:sz w:val="19"/>
              </w:rPr>
              <w:t xml:space="preserve"> </w:t>
            </w:r>
            <w:r>
              <w:rPr>
                <w:rFonts w:ascii="Calibri" w:hAnsi="Calibri"/>
                <w:sz w:val="19"/>
              </w:rPr>
              <w:t>from 5/8 MFM host services; 2015 prices) including payments to hub carers, additional payments for activities and mileage. This excludes payments for respite care or the costs for staffing, such as the constellation liaison</w:t>
            </w:r>
            <w:r>
              <w:rPr>
                <w:rFonts w:ascii="Calibri" w:hAnsi="Calibri"/>
                <w:spacing w:val="-16"/>
                <w:sz w:val="19"/>
              </w:rPr>
              <w:t xml:space="preserve"> </w:t>
            </w:r>
            <w:r>
              <w:rPr>
                <w:rFonts w:ascii="Calibri" w:hAnsi="Calibri"/>
                <w:sz w:val="19"/>
              </w:rPr>
              <w:t>worker.</w:t>
            </w:r>
          </w:p>
        </w:tc>
      </w:tr>
      <w:tr w:rsidR="006A18FD">
        <w:trPr>
          <w:trHeight w:val="2920"/>
        </w:trPr>
        <w:tc>
          <w:tcPr>
            <w:tcW w:w="5103" w:type="dxa"/>
          </w:tcPr>
          <w:p w:rsidR="006A18FD" w:rsidRDefault="002D29FC">
            <w:pPr>
              <w:spacing w:before="121"/>
              <w:ind w:left="103" w:right="131"/>
              <w:rPr>
                <w:rFonts w:ascii="Calibri"/>
                <w:sz w:val="19"/>
              </w:rPr>
            </w:pPr>
            <w:r>
              <w:rPr>
                <w:rFonts w:ascii="Calibri"/>
                <w:sz w:val="19"/>
              </w:rPr>
              <w:t xml:space="preserve">The overall objective of the Innovation Programme in </w:t>
            </w:r>
            <w:r>
              <w:rPr>
                <w:rFonts w:ascii="Calibri"/>
                <w:b/>
                <w:sz w:val="19"/>
              </w:rPr>
              <w:t xml:space="preserve">Hampshire and the Isle of Wight </w:t>
            </w:r>
            <w:r>
              <w:rPr>
                <w:rFonts w:ascii="Calibri"/>
                <w:sz w:val="19"/>
              </w:rPr>
              <w:t>was to create the right conditions and capacity for professional to work as effectively as possible (p7).</w:t>
            </w:r>
            <w:r>
              <w:rPr>
                <w:rFonts w:ascii="Calibri"/>
                <w:position w:val="6"/>
                <w:sz w:val="12"/>
              </w:rPr>
              <w:t xml:space="preserve">2 </w:t>
            </w:r>
            <w:r>
              <w:rPr>
                <w:rFonts w:ascii="Calibri"/>
                <w:sz w:val="19"/>
              </w:rPr>
              <w:t>Specific Social Care Innovations include:</w:t>
            </w:r>
          </w:p>
          <w:p w:rsidR="006A18FD" w:rsidRDefault="002D29FC" w:rsidP="008E3FA8">
            <w:pPr>
              <w:numPr>
                <w:ilvl w:val="0"/>
                <w:numId w:val="14"/>
              </w:numPr>
              <w:tabs>
                <w:tab w:val="left" w:pos="868"/>
                <w:tab w:val="left" w:pos="869"/>
              </w:tabs>
              <w:spacing w:before="120" w:line="231" w:lineRule="exact"/>
              <w:rPr>
                <w:rFonts w:ascii="Calibri"/>
                <w:sz w:val="19"/>
              </w:rPr>
            </w:pPr>
            <w:r>
              <w:rPr>
                <w:rFonts w:ascii="Calibri"/>
                <w:sz w:val="19"/>
              </w:rPr>
              <w:t>An new offer for children on the edge of</w:t>
            </w:r>
            <w:r>
              <w:rPr>
                <w:rFonts w:ascii="Calibri"/>
                <w:spacing w:val="-24"/>
                <w:sz w:val="19"/>
              </w:rPr>
              <w:t xml:space="preserve"> </w:t>
            </w:r>
            <w:r>
              <w:rPr>
                <w:rFonts w:ascii="Calibri"/>
                <w:sz w:val="19"/>
              </w:rPr>
              <w:t>care</w:t>
            </w:r>
          </w:p>
          <w:p w:rsidR="006A18FD" w:rsidRDefault="002D29FC" w:rsidP="008E3FA8">
            <w:pPr>
              <w:numPr>
                <w:ilvl w:val="0"/>
                <w:numId w:val="14"/>
              </w:numPr>
              <w:tabs>
                <w:tab w:val="left" w:pos="868"/>
                <w:tab w:val="left" w:pos="869"/>
              </w:tabs>
              <w:ind w:right="788"/>
              <w:rPr>
                <w:rFonts w:ascii="Calibri"/>
                <w:sz w:val="19"/>
              </w:rPr>
            </w:pPr>
            <w:r>
              <w:rPr>
                <w:rFonts w:ascii="Calibri"/>
                <w:sz w:val="19"/>
              </w:rPr>
              <w:t>Piloting an approaching to volunteering</w:t>
            </w:r>
            <w:r>
              <w:rPr>
                <w:rFonts w:ascii="Calibri"/>
                <w:spacing w:val="-15"/>
                <w:sz w:val="19"/>
              </w:rPr>
              <w:t xml:space="preserve"> </w:t>
            </w:r>
            <w:r>
              <w:rPr>
                <w:rFonts w:ascii="Calibri"/>
                <w:sz w:val="19"/>
              </w:rPr>
              <w:t>with vulnerable children and</w:t>
            </w:r>
            <w:r>
              <w:rPr>
                <w:rFonts w:ascii="Calibri"/>
                <w:spacing w:val="-15"/>
                <w:sz w:val="19"/>
              </w:rPr>
              <w:t xml:space="preserve"> </w:t>
            </w:r>
            <w:r>
              <w:rPr>
                <w:rFonts w:ascii="Calibri"/>
                <w:sz w:val="19"/>
              </w:rPr>
              <w:t>families</w:t>
            </w:r>
          </w:p>
          <w:p w:rsidR="006A18FD" w:rsidRDefault="002D29FC" w:rsidP="008E3FA8">
            <w:pPr>
              <w:numPr>
                <w:ilvl w:val="0"/>
                <w:numId w:val="14"/>
              </w:numPr>
              <w:tabs>
                <w:tab w:val="left" w:pos="868"/>
                <w:tab w:val="left" w:pos="869"/>
              </w:tabs>
              <w:spacing w:before="2"/>
              <w:ind w:right="932"/>
              <w:rPr>
                <w:rFonts w:ascii="Calibri"/>
                <w:sz w:val="19"/>
              </w:rPr>
            </w:pPr>
            <w:r>
              <w:rPr>
                <w:rFonts w:ascii="Calibri"/>
                <w:sz w:val="19"/>
              </w:rPr>
              <w:t>A pilot intervention to address child sexual exploitation.</w:t>
            </w:r>
          </w:p>
        </w:tc>
        <w:tc>
          <w:tcPr>
            <w:tcW w:w="5103" w:type="dxa"/>
          </w:tcPr>
          <w:p w:rsidR="006A18FD" w:rsidRDefault="002D29FC">
            <w:pPr>
              <w:spacing w:before="121"/>
              <w:ind w:left="102" w:right="491"/>
              <w:rPr>
                <w:rFonts w:ascii="Calibri"/>
                <w:sz w:val="19"/>
              </w:rPr>
            </w:pPr>
            <w:r>
              <w:rPr>
                <w:rFonts w:ascii="Calibri"/>
                <w:b/>
                <w:sz w:val="19"/>
              </w:rPr>
              <w:t xml:space="preserve">The edge of care offer </w:t>
            </w:r>
            <w:r>
              <w:rPr>
                <w:rFonts w:ascii="Calibri"/>
                <w:sz w:val="19"/>
              </w:rPr>
              <w:t>includes a key worker, a structured weekly activities programme and a volunteer mentor.</w:t>
            </w:r>
          </w:p>
          <w:p w:rsidR="006A18FD" w:rsidRDefault="002D29FC">
            <w:pPr>
              <w:spacing w:before="118"/>
              <w:ind w:left="102" w:right="85"/>
              <w:rPr>
                <w:rFonts w:ascii="Calibri" w:hAnsi="Calibri"/>
                <w:sz w:val="19"/>
              </w:rPr>
            </w:pPr>
            <w:r>
              <w:rPr>
                <w:rFonts w:ascii="Calibri" w:hAnsi="Calibri"/>
                <w:b/>
                <w:sz w:val="19"/>
              </w:rPr>
              <w:t xml:space="preserve">Volunteering </w:t>
            </w:r>
            <w:r>
              <w:rPr>
                <w:rFonts w:ascii="Calibri" w:hAnsi="Calibri"/>
                <w:sz w:val="19"/>
              </w:rPr>
              <w:t xml:space="preserve">The Hampshire model is a newly recruited team of 4 volunteer coordinators. The Isle of Wight model involves Home Start providing family support volunteers. The </w:t>
            </w:r>
            <w:r>
              <w:rPr>
                <w:rFonts w:ascii="Calibri" w:hAnsi="Calibri"/>
                <w:b/>
                <w:sz w:val="19"/>
              </w:rPr>
              <w:t xml:space="preserve">child sexual exploitation team </w:t>
            </w:r>
            <w:r>
              <w:rPr>
                <w:rFonts w:ascii="Calibri" w:hAnsi="Calibri"/>
                <w:sz w:val="19"/>
              </w:rPr>
              <w:t>includes a team manager, 3 social workers and two administrators. The team also includes 2 health safeguarding nurses, the specialist Barnardo’s worker and police inputs, however, the costs of these members are excluded from the unit costs shown here.</w:t>
            </w:r>
          </w:p>
        </w:tc>
        <w:tc>
          <w:tcPr>
            <w:tcW w:w="5103" w:type="dxa"/>
          </w:tcPr>
          <w:p w:rsidR="006A18FD" w:rsidRDefault="002D29FC">
            <w:pPr>
              <w:spacing w:before="121"/>
              <w:ind w:left="103"/>
              <w:rPr>
                <w:rFonts w:ascii="Calibri" w:hAnsi="Calibri"/>
                <w:sz w:val="19"/>
              </w:rPr>
            </w:pPr>
            <w:r>
              <w:rPr>
                <w:rFonts w:ascii="Calibri" w:hAnsi="Calibri"/>
                <w:sz w:val="19"/>
              </w:rPr>
              <w:t xml:space="preserve">A typical </w:t>
            </w:r>
            <w:r>
              <w:rPr>
                <w:rFonts w:ascii="Calibri" w:hAnsi="Calibri"/>
                <w:b/>
                <w:sz w:val="19"/>
              </w:rPr>
              <w:t xml:space="preserve">edge of care </w:t>
            </w:r>
            <w:r>
              <w:rPr>
                <w:rFonts w:ascii="Calibri" w:hAnsi="Calibri"/>
                <w:sz w:val="19"/>
              </w:rPr>
              <w:t>intervention costs £3,273. This includes</w:t>
            </w:r>
          </w:p>
          <w:p w:rsidR="006A18FD" w:rsidRDefault="002D29FC">
            <w:pPr>
              <w:spacing w:before="1"/>
              <w:ind w:left="103" w:right="100"/>
              <w:rPr>
                <w:rFonts w:ascii="Calibri" w:hAnsi="Calibri"/>
                <w:sz w:val="19"/>
              </w:rPr>
            </w:pPr>
            <w:r>
              <w:rPr>
                <w:rFonts w:ascii="Calibri" w:hAnsi="Calibri"/>
                <w:sz w:val="19"/>
              </w:rPr>
              <w:t>£1,812 for the key worker, £1,065 for the Activities Programme, and £396 for support from the volunteer mentors.</w:t>
            </w:r>
          </w:p>
          <w:p w:rsidR="006A18FD" w:rsidRDefault="002D29FC">
            <w:pPr>
              <w:spacing w:before="118"/>
              <w:ind w:left="103" w:right="124"/>
              <w:rPr>
                <w:rFonts w:ascii="Calibri" w:hAnsi="Calibri"/>
                <w:sz w:val="19"/>
              </w:rPr>
            </w:pPr>
            <w:r>
              <w:rPr>
                <w:rFonts w:ascii="Calibri" w:hAnsi="Calibri"/>
                <w:b/>
                <w:sz w:val="19"/>
              </w:rPr>
              <w:t xml:space="preserve">Volunteering </w:t>
            </w:r>
            <w:r>
              <w:rPr>
                <w:rFonts w:ascii="Calibri" w:hAnsi="Calibri"/>
                <w:sz w:val="19"/>
              </w:rPr>
              <w:t>Hampshire, £396.40 per substantive intervention, including the co-ordinator, marketing and admin, volunteer expenses, and overheads at 20%</w:t>
            </w:r>
          </w:p>
          <w:p w:rsidR="006A18FD" w:rsidRDefault="002D29FC">
            <w:pPr>
              <w:spacing w:before="118"/>
              <w:ind w:left="103" w:right="721"/>
              <w:rPr>
                <w:rFonts w:ascii="Calibri" w:hAnsi="Calibri"/>
                <w:sz w:val="19"/>
              </w:rPr>
            </w:pPr>
            <w:r>
              <w:rPr>
                <w:rFonts w:ascii="Calibri" w:hAnsi="Calibri"/>
                <w:sz w:val="19"/>
              </w:rPr>
              <w:t>Isle of Wight, £305 per substantive intervention for the Volunteer Co-ordinator.</w:t>
            </w:r>
          </w:p>
          <w:p w:rsidR="006A18FD" w:rsidRDefault="002D29FC">
            <w:pPr>
              <w:spacing w:before="118"/>
              <w:ind w:left="103" w:right="322"/>
              <w:rPr>
                <w:rFonts w:ascii="Calibri" w:hAnsi="Calibri"/>
                <w:sz w:val="19"/>
              </w:rPr>
            </w:pPr>
            <w:r>
              <w:rPr>
                <w:rFonts w:ascii="Calibri" w:hAnsi="Calibri"/>
                <w:b/>
                <w:sz w:val="19"/>
              </w:rPr>
              <w:t xml:space="preserve">Addressing child exploitation </w:t>
            </w:r>
            <w:r>
              <w:rPr>
                <w:rFonts w:ascii="Calibri" w:hAnsi="Calibri"/>
                <w:sz w:val="19"/>
              </w:rPr>
              <w:t>- £262,980 per team including staffing and approximate overheads at 20%.</w:t>
            </w:r>
          </w:p>
        </w:tc>
      </w:tr>
      <w:tr w:rsidR="006A18FD">
        <w:trPr>
          <w:trHeight w:val="2440"/>
        </w:trPr>
        <w:tc>
          <w:tcPr>
            <w:tcW w:w="5103" w:type="dxa"/>
          </w:tcPr>
          <w:p w:rsidR="006A18FD" w:rsidRDefault="002D29FC">
            <w:pPr>
              <w:spacing w:before="121"/>
              <w:ind w:left="103"/>
              <w:rPr>
                <w:rFonts w:ascii="Calibri"/>
                <w:sz w:val="19"/>
              </w:rPr>
            </w:pPr>
            <w:r>
              <w:rPr>
                <w:rFonts w:ascii="Calibri"/>
                <w:b/>
                <w:sz w:val="19"/>
              </w:rPr>
              <w:t xml:space="preserve">Sefton Community Adolescent Service </w:t>
            </w:r>
            <w:r>
              <w:rPr>
                <w:rFonts w:ascii="Calibri"/>
                <w:sz w:val="19"/>
              </w:rPr>
              <w:t>(CAS)</w:t>
            </w:r>
            <w:r>
              <w:rPr>
                <w:rFonts w:ascii="Calibri"/>
                <w:position w:val="6"/>
                <w:sz w:val="12"/>
              </w:rPr>
              <w:t xml:space="preserve">3 </w:t>
            </w:r>
            <w:r>
              <w:rPr>
                <w:rFonts w:ascii="Calibri"/>
                <w:sz w:val="19"/>
              </w:rPr>
              <w:t>aimed to:</w:t>
            </w:r>
          </w:p>
          <w:p w:rsidR="006A18FD" w:rsidRDefault="002D29FC">
            <w:pPr>
              <w:spacing w:before="117"/>
              <w:ind w:left="103" w:right="242"/>
              <w:rPr>
                <w:rFonts w:ascii="Calibri"/>
                <w:sz w:val="19"/>
              </w:rPr>
            </w:pPr>
            <w:r>
              <w:rPr>
                <w:rFonts w:ascii="Calibri"/>
                <w:sz w:val="19"/>
              </w:rPr>
              <w:t>a) reduce numbers of young people entering the care system at age 13+; b) improve placement stability for looked after young people; c) reduce the number of children missing from home or care; d) achieve engagement in Education, Training and Employment; e) reduce involvement with the criminal justice system, and with guns and gangs; and f) reduce the number of young people at risk of Child Sexual Exploitation (p7).</w:t>
            </w:r>
          </w:p>
        </w:tc>
        <w:tc>
          <w:tcPr>
            <w:tcW w:w="5103" w:type="dxa"/>
          </w:tcPr>
          <w:p w:rsidR="006A18FD" w:rsidRDefault="002D29FC">
            <w:pPr>
              <w:spacing w:before="1"/>
              <w:ind w:left="102" w:right="226"/>
              <w:rPr>
                <w:rFonts w:ascii="Calibri" w:hAnsi="Calibri"/>
                <w:sz w:val="19"/>
              </w:rPr>
            </w:pPr>
            <w:r>
              <w:rPr>
                <w:rFonts w:ascii="Calibri" w:hAnsi="Calibri"/>
                <w:sz w:val="19"/>
              </w:rPr>
              <w:t>The model centred on 2 multi-disciplinary hub teams working with young people and their families. These teams were supported by a 4-bed residential children’s home, commissioned to offer planned respite provision.</w:t>
            </w:r>
          </w:p>
        </w:tc>
        <w:tc>
          <w:tcPr>
            <w:tcW w:w="5103" w:type="dxa"/>
          </w:tcPr>
          <w:p w:rsidR="006A18FD" w:rsidRDefault="002D29FC">
            <w:pPr>
              <w:spacing w:before="121"/>
              <w:ind w:left="103" w:right="103"/>
              <w:rPr>
                <w:rFonts w:ascii="Calibri" w:hAnsi="Calibri"/>
                <w:sz w:val="19"/>
              </w:rPr>
            </w:pPr>
            <w:r>
              <w:rPr>
                <w:rFonts w:ascii="Calibri" w:hAnsi="Calibri"/>
                <w:sz w:val="19"/>
              </w:rPr>
              <w:t>The residential respite unit has capacity for 4 young people to stay, totalling 1,440 overnight stays a year. During the evaluation period, the total number of young people did not exceed 139 (756 overnight stays). This under-occupancy meant the unit costs were higher than expected at £889 per night compared to £467 if operating at full capacity over the year.</w:t>
            </w:r>
          </w:p>
          <w:p w:rsidR="006A18FD" w:rsidRDefault="002D29FC">
            <w:pPr>
              <w:ind w:left="103" w:right="131"/>
              <w:rPr>
                <w:rFonts w:ascii="Calibri"/>
                <w:sz w:val="19"/>
              </w:rPr>
            </w:pPr>
            <w:r>
              <w:rPr>
                <w:rFonts w:ascii="Calibri"/>
                <w:sz w:val="19"/>
              </w:rPr>
              <w:t>However, the unit was also used flexibly with some young people accessing it for just a few hours during the day (p36).</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5"/>
        <w:rPr>
          <w:rFonts w:ascii="Calibri"/>
          <w:sz w:val="24"/>
        </w:rPr>
      </w:pPr>
    </w:p>
    <w:p w:rsidR="006A18FD" w:rsidRDefault="002D29FC">
      <w:pPr>
        <w:spacing w:before="74"/>
        <w:ind w:left="383" w:right="1384" w:hanging="284"/>
        <w:rPr>
          <w:rFonts w:ascii="Calibri"/>
          <w:sz w:val="16"/>
        </w:rPr>
      </w:pPr>
      <w:r>
        <w:rPr>
          <w:rFonts w:ascii="Calibri"/>
          <w:position w:val="5"/>
          <w:sz w:val="10"/>
        </w:rPr>
        <w:t xml:space="preserve">1 </w:t>
      </w:r>
      <w:r>
        <w:rPr>
          <w:rFonts w:ascii="Calibri"/>
          <w:sz w:val="16"/>
        </w:rPr>
        <w:t xml:space="preserve">McDermid, S., Baker, C. &amp; Lawson, D. with Holmes, L. (2016) The evaluation of the Mockingbird Family Model, Department for Education, </w:t>
      </w:r>
      <w:hyperlink r:id="rId202">
        <w:r>
          <w:rPr>
            <w:rFonts w:ascii="Calibri"/>
            <w:sz w:val="16"/>
            <w:u w:val="single"/>
          </w:rPr>
          <w:t>http://innovationcsc.co.uk/wp-content/uploads/2017/11/1.2.73-DFE-RR528-</w:t>
        </w:r>
      </w:hyperlink>
      <w:r>
        <w:rPr>
          <w:rFonts w:ascii="Calibri"/>
          <w:sz w:val="16"/>
        </w:rPr>
        <w:t xml:space="preserve"> </w:t>
      </w:r>
      <w:hyperlink r:id="rId203">
        <w:r>
          <w:rPr>
            <w:rFonts w:ascii="Calibri"/>
            <w:sz w:val="16"/>
            <w:u w:val="single"/>
          </w:rPr>
          <w:t>Mockingbird_family_model_evaluation.pdf</w:t>
        </w:r>
        <w:r>
          <w:rPr>
            <w:rFonts w:ascii="Calibri"/>
            <w:sz w:val="16"/>
          </w:rPr>
          <w:t>.</w:t>
        </w:r>
      </w:hyperlink>
    </w:p>
    <w:p w:rsidR="006A18FD" w:rsidRDefault="002D29FC">
      <w:pPr>
        <w:ind w:left="383" w:hanging="284"/>
        <w:rPr>
          <w:rFonts w:ascii="Calibri"/>
          <w:sz w:val="16"/>
        </w:rPr>
      </w:pPr>
      <w:r>
        <w:rPr>
          <w:rFonts w:ascii="Calibri"/>
          <w:position w:val="5"/>
          <w:sz w:val="10"/>
        </w:rPr>
        <w:t xml:space="preserve">2 </w:t>
      </w:r>
      <w:r>
        <w:rPr>
          <w:rFonts w:ascii="Calibri"/>
          <w:sz w:val="16"/>
        </w:rPr>
        <w:t xml:space="preserve">Burch, K., Green, C., Merrell, S., Taylor, V. &amp; Wise, S. (2017) Social Care innovations in Hampshire and the Isle of Wight, Evaluation Report, Department for Education, </w:t>
      </w:r>
      <w:hyperlink r:id="rId204">
        <w:r>
          <w:rPr>
            <w:rFonts w:ascii="Calibri"/>
            <w:sz w:val="16"/>
            <w:u w:val="single"/>
          </w:rPr>
          <w:t>http://innovationcsc.co.uk/wp-content/uploads/2017/11/1.2.49-</w:t>
        </w:r>
      </w:hyperlink>
      <w:r>
        <w:rPr>
          <w:rFonts w:ascii="Calibri"/>
          <w:sz w:val="16"/>
        </w:rPr>
        <w:t xml:space="preserve"> </w:t>
      </w:r>
      <w:hyperlink r:id="rId205">
        <w:r>
          <w:rPr>
            <w:rFonts w:ascii="Calibri"/>
            <w:sz w:val="16"/>
            <w:u w:val="single"/>
          </w:rPr>
          <w:t>Hampshire_and_IOW_Evaluation_Report_March_2017.pdf</w:t>
        </w:r>
        <w:r>
          <w:rPr>
            <w:rFonts w:ascii="Calibri"/>
            <w:sz w:val="16"/>
          </w:rPr>
          <w:t>.</w:t>
        </w:r>
      </w:hyperlink>
    </w:p>
    <w:p w:rsidR="006A18FD" w:rsidRDefault="002D29FC">
      <w:pPr>
        <w:ind w:left="383" w:right="2967" w:hanging="284"/>
        <w:rPr>
          <w:rFonts w:ascii="Calibri"/>
          <w:sz w:val="16"/>
        </w:rPr>
      </w:pPr>
      <w:r>
        <w:rPr>
          <w:rFonts w:ascii="Calibri"/>
          <w:position w:val="5"/>
          <w:sz w:val="10"/>
        </w:rPr>
        <w:t xml:space="preserve">3 </w:t>
      </w:r>
      <w:r>
        <w:rPr>
          <w:rFonts w:ascii="Calibri"/>
          <w:sz w:val="16"/>
        </w:rPr>
        <w:t xml:space="preserve">Day, L., Scott,L. &amp; Smith, K. (2017) Evaluation of the Sefton Community Adolescent Service (CAS), Department for Education. </w:t>
      </w:r>
      <w:hyperlink r:id="rId206">
        <w:r>
          <w:rPr>
            <w:rFonts w:ascii="Calibri"/>
            <w:sz w:val="16"/>
            <w:u w:val="single"/>
          </w:rPr>
          <w:t>http://innovationcsc.co.uk/wp-content/uploads/2017/11/1.2.68-</w:t>
        </w:r>
      </w:hyperlink>
      <w:r>
        <w:rPr>
          <w:rFonts w:ascii="Calibri"/>
          <w:sz w:val="16"/>
        </w:rPr>
        <w:t xml:space="preserve"> </w:t>
      </w:r>
      <w:hyperlink r:id="rId207">
        <w:r>
          <w:rPr>
            <w:rFonts w:ascii="Calibri"/>
            <w:sz w:val="16"/>
            <w:u w:val="single"/>
          </w:rPr>
          <w:t>Evaluation_of_the_Sefton_Community_Adolescent_Service-1.pdf</w:t>
        </w:r>
        <w:r>
          <w:rPr>
            <w:rFonts w:ascii="Calibri"/>
            <w:sz w:val="16"/>
          </w:rPr>
          <w:t>.</w:t>
        </w:r>
      </w:hyperlink>
    </w:p>
    <w:p w:rsidR="006A18FD" w:rsidRDefault="006A18FD">
      <w:pPr>
        <w:rPr>
          <w:rFonts w:ascii="Calibri"/>
          <w:sz w:val="16"/>
        </w:rPr>
        <w:sectPr w:rsidR="006A18FD">
          <w:headerReference w:type="even" r:id="rId208"/>
          <w:pgSz w:w="16840" w:h="11910" w:orient="landscape"/>
          <w:pgMar w:top="1100" w:right="680" w:bottom="280" w:left="620" w:header="0"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0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03" name="Line 16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D816C5" id="Group 15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JneADp/AgAAgQUA&#10;AA4AAAAAAAAAAAAAAAAALgIAAGRycy9lMm9Eb2MueG1sUEsBAi0AFAAGAAgAAAAhAC135FzaAAAA&#10;BAEAAA8AAAAAAAAAAAAAAAAA2QQAAGRycy9kb3ducmV2LnhtbFBLBQYAAAAABAAEAPMAAADgBQAA&#10;AAA=&#10;">
                <v:line id="Line 16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w10:anchorlock/>
              </v:group>
            </w:pict>
          </mc:Fallback>
        </mc:AlternateContent>
      </w:r>
    </w:p>
    <w:p w:rsidR="006A18FD" w:rsidRDefault="00E06635" w:rsidP="00E06635">
      <w:pPr>
        <w:pStyle w:val="Heading2"/>
      </w:pPr>
      <w:r>
        <w:t xml:space="preserve">6.3 </w:t>
      </w:r>
      <w:r w:rsidR="002D29FC">
        <w:t>Care homes for children - local authority</w:t>
      </w:r>
      <w:r w:rsidR="002D29FC">
        <w:rPr>
          <w:spacing w:val="-27"/>
        </w:rPr>
        <w:t xml:space="preserve"> </w:t>
      </w:r>
      <w:r w:rsidR="002D29FC">
        <w:t>own-provision</w:t>
      </w:r>
    </w:p>
    <w:p w:rsidR="006A18FD" w:rsidRDefault="002D29FC">
      <w:pPr>
        <w:spacing w:before="172"/>
        <w:ind w:left="152" w:right="176"/>
        <w:rPr>
          <w:rFonts w:ascii="Calibri" w:hAnsi="Calibri"/>
          <w:sz w:val="18"/>
        </w:rPr>
      </w:pPr>
      <w:r>
        <w:rPr>
          <w:rFonts w:ascii="Calibri" w:hAnsi="Calibri"/>
          <w:sz w:val="18"/>
        </w:rPr>
        <w:t>This table presents the costs per resident week for a local authority own-provision home for children. Establishment costs are £6,380 per resident week. The Chartered Institute of Public Finance &amp; Accountancy (CIPFA) reported that the average spend per authority on own- provision residential care for children in 2018 was £1,238,700 compared with £956,300 in 2017. In 2018, 67 per cent of total spend was attributed to on-site social workers (including agency staff, floating staff, staff on sick leave) and includes pay, overtime, national insurance and any pension contributions</w:t>
      </w:r>
    </w:p>
    <w:p w:rsidR="006A18FD" w:rsidRDefault="002D29FC">
      <w:pPr>
        <w:spacing w:before="118"/>
        <w:ind w:left="152" w:right="610"/>
        <w:rPr>
          <w:rFonts w:ascii="Calibri" w:hAnsi="Calibri"/>
          <w:sz w:val="18"/>
        </w:rPr>
      </w:pPr>
      <w:r>
        <w:rPr>
          <w:rFonts w:ascii="Calibri" w:hAnsi="Calibri"/>
          <w:sz w:val="18"/>
        </w:rPr>
        <w:t xml:space="preserve">See: </w:t>
      </w:r>
      <w:hyperlink r:id="rId209">
        <w:r>
          <w:rPr>
            <w:rFonts w:ascii="Calibri" w:hAnsi="Calibri"/>
            <w:sz w:val="18"/>
            <w:u w:val="single"/>
          </w:rPr>
          <w:t>https://socialcareinspection.blog.gov.uk/2018/08/22/the-changing-picture-in-the-childrens-homes-sector/</w:t>
        </w:r>
        <w:r>
          <w:rPr>
            <w:rFonts w:ascii="Calibri" w:hAnsi="Calibri"/>
            <w:sz w:val="18"/>
          </w:rPr>
          <w:t xml:space="preserve"> </w:t>
        </w:r>
      </w:hyperlink>
      <w:r>
        <w:rPr>
          <w:rFonts w:ascii="Calibri" w:hAnsi="Calibri"/>
          <w:sz w:val="18"/>
        </w:rPr>
        <w:t>for a report on the children’s homes sector.</w:t>
      </w:r>
    </w:p>
    <w:p w:rsidR="006A18FD" w:rsidRDefault="006A18FD">
      <w:pPr>
        <w:spacing w:before="9"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678"/>
        <w:gridCol w:w="6131"/>
      </w:tblGrid>
      <w:tr w:rsidR="006A18FD" w:rsidTr="005B5AB5">
        <w:trPr>
          <w:trHeight w:val="340"/>
          <w:tblHeader/>
        </w:trPr>
        <w:tc>
          <w:tcPr>
            <w:tcW w:w="2242" w:type="dxa"/>
          </w:tcPr>
          <w:p w:rsidR="006A18FD" w:rsidRDefault="002D29FC">
            <w:pPr>
              <w:spacing w:before="1"/>
              <w:ind w:left="52"/>
              <w:rPr>
                <w:rFonts w:ascii="Calibri"/>
                <w:b/>
                <w:sz w:val="19"/>
              </w:rPr>
            </w:pPr>
            <w:r>
              <w:rPr>
                <w:rFonts w:ascii="Calibri"/>
                <w:b/>
                <w:sz w:val="19"/>
              </w:rPr>
              <w:t>Costs and unit estimation</w:t>
            </w:r>
          </w:p>
        </w:tc>
        <w:tc>
          <w:tcPr>
            <w:tcW w:w="1678" w:type="dxa"/>
          </w:tcPr>
          <w:p w:rsidR="006A18FD" w:rsidRDefault="002D29FC">
            <w:pPr>
              <w:spacing w:before="1"/>
              <w:ind w:left="102"/>
              <w:rPr>
                <w:rFonts w:ascii="Calibri"/>
                <w:b/>
                <w:sz w:val="19"/>
              </w:rPr>
            </w:pPr>
            <w:r>
              <w:rPr>
                <w:rFonts w:ascii="Calibri"/>
                <w:b/>
                <w:sz w:val="19"/>
              </w:rPr>
              <w:t>2018/2019 value</w:t>
            </w:r>
          </w:p>
        </w:tc>
        <w:tc>
          <w:tcPr>
            <w:tcW w:w="6131" w:type="dxa"/>
          </w:tcPr>
          <w:p w:rsidR="006A18FD" w:rsidRDefault="002D29FC">
            <w:pPr>
              <w:spacing w:before="1"/>
              <w:ind w:left="102"/>
              <w:rPr>
                <w:rFonts w:ascii="Calibri"/>
                <w:b/>
                <w:sz w:val="19"/>
              </w:rPr>
            </w:pPr>
            <w:r>
              <w:rPr>
                <w:rFonts w:ascii="Calibri"/>
                <w:b/>
                <w:sz w:val="19"/>
              </w:rPr>
              <w:t>Notes</w:t>
            </w:r>
          </w:p>
        </w:tc>
      </w:tr>
      <w:tr w:rsidR="006A18FD">
        <w:trPr>
          <w:trHeight w:val="1260"/>
        </w:trPr>
        <w:tc>
          <w:tcPr>
            <w:tcW w:w="2242" w:type="dxa"/>
          </w:tcPr>
          <w:p w:rsidR="006A18FD" w:rsidRDefault="002D29FC">
            <w:pPr>
              <w:spacing w:before="1"/>
              <w:ind w:left="52"/>
              <w:rPr>
                <w:rFonts w:ascii="Calibri"/>
                <w:sz w:val="19"/>
              </w:rPr>
            </w:pPr>
            <w:r>
              <w:rPr>
                <w:rFonts w:ascii="Calibri"/>
                <w:sz w:val="19"/>
              </w:rPr>
              <w:t>Capital costs (A &amp; B)</w:t>
            </w:r>
          </w:p>
          <w:p w:rsidR="006A18FD" w:rsidRDefault="002D29FC">
            <w:pPr>
              <w:spacing w:before="118"/>
              <w:ind w:left="52"/>
              <w:rPr>
                <w:rFonts w:ascii="Calibri"/>
                <w:sz w:val="19"/>
              </w:rPr>
            </w:pPr>
            <w:r>
              <w:rPr>
                <w:rFonts w:ascii="Calibri"/>
                <w:sz w:val="19"/>
              </w:rPr>
              <w:t>A. Buildings</w:t>
            </w:r>
          </w:p>
        </w:tc>
        <w:tc>
          <w:tcPr>
            <w:tcW w:w="1678" w:type="dxa"/>
          </w:tcPr>
          <w:p w:rsidR="006A18FD" w:rsidRDefault="006A18FD">
            <w:pPr>
              <w:rPr>
                <w:rFonts w:ascii="Calibri"/>
                <w:sz w:val="18"/>
              </w:rPr>
            </w:pPr>
          </w:p>
          <w:p w:rsidR="006A18FD" w:rsidRDefault="002D29FC">
            <w:pPr>
              <w:spacing w:before="132"/>
              <w:ind w:left="102" w:right="177"/>
              <w:rPr>
                <w:rFonts w:ascii="Calibri" w:hAnsi="Calibri"/>
                <w:sz w:val="19"/>
              </w:rPr>
            </w:pPr>
            <w:r>
              <w:rPr>
                <w:rFonts w:ascii="Calibri" w:hAnsi="Calibri"/>
                <w:sz w:val="19"/>
              </w:rPr>
              <w:t>£148 per resident week</w:t>
            </w:r>
          </w:p>
        </w:tc>
        <w:tc>
          <w:tcPr>
            <w:tcW w:w="6131" w:type="dxa"/>
          </w:tcPr>
          <w:p w:rsidR="006A18FD" w:rsidRDefault="006A18FD">
            <w:pPr>
              <w:rPr>
                <w:rFonts w:ascii="Calibri"/>
                <w:sz w:val="18"/>
              </w:rPr>
            </w:pPr>
          </w:p>
          <w:p w:rsidR="006A18FD" w:rsidRDefault="002D29FC">
            <w:pPr>
              <w:spacing w:before="132"/>
              <w:ind w:left="102" w:right="109"/>
              <w:rPr>
                <w:rFonts w:ascii="Calibri" w:hAnsi="Calibri"/>
                <w:sz w:val="19"/>
              </w:rPr>
            </w:pPr>
            <w:r>
              <w:rPr>
                <w:rFonts w:ascii="Calibri" w:hAnsi="Calibri"/>
                <w:sz w:val="19"/>
              </w:rPr>
              <w:t>Based on the new-build requirements for local authority children’s homes. These allow for 59.95 m</w:t>
            </w:r>
            <w:r>
              <w:rPr>
                <w:rFonts w:ascii="Calibri" w:hAnsi="Calibri"/>
                <w:position w:val="6"/>
                <w:sz w:val="12"/>
              </w:rPr>
              <w:t xml:space="preserve">2 </w:t>
            </w:r>
            <w:r>
              <w:rPr>
                <w:rFonts w:ascii="Calibri" w:hAnsi="Calibri"/>
                <w:sz w:val="19"/>
              </w:rPr>
              <w:t>per person.</w:t>
            </w:r>
            <w:r>
              <w:rPr>
                <w:rFonts w:ascii="Calibri" w:hAnsi="Calibri"/>
                <w:position w:val="6"/>
                <w:sz w:val="12"/>
              </w:rPr>
              <w:t xml:space="preserve">1 </w:t>
            </w:r>
            <w:r>
              <w:rPr>
                <w:rFonts w:ascii="Calibri" w:hAnsi="Calibri"/>
                <w:sz w:val="19"/>
              </w:rPr>
              <w:t>Capital costs have been annuitised over 60 years at a discount rate of 3.5 per cent, declining to 3 per cent after</w:t>
            </w:r>
          </w:p>
          <w:p w:rsidR="006A18FD" w:rsidRDefault="002D29FC">
            <w:pPr>
              <w:spacing w:line="210" w:lineRule="exact"/>
              <w:ind w:left="102"/>
              <w:rPr>
                <w:rFonts w:ascii="Calibri"/>
                <w:sz w:val="19"/>
              </w:rPr>
            </w:pPr>
            <w:r>
              <w:rPr>
                <w:rFonts w:ascii="Calibri"/>
                <w:sz w:val="19"/>
              </w:rPr>
              <w:t>30 years.</w:t>
            </w:r>
          </w:p>
        </w:tc>
      </w:tr>
      <w:tr w:rsidR="006A18FD">
        <w:trPr>
          <w:trHeight w:val="460"/>
        </w:trPr>
        <w:tc>
          <w:tcPr>
            <w:tcW w:w="2242" w:type="dxa"/>
          </w:tcPr>
          <w:p w:rsidR="006A18FD" w:rsidRDefault="002D29FC">
            <w:pPr>
              <w:spacing w:before="1"/>
              <w:ind w:left="52"/>
              <w:rPr>
                <w:rFonts w:ascii="Calibri"/>
                <w:sz w:val="19"/>
              </w:rPr>
            </w:pPr>
            <w:r>
              <w:rPr>
                <w:rFonts w:ascii="Calibri"/>
                <w:sz w:val="19"/>
              </w:rPr>
              <w:t>B. Land</w:t>
            </w:r>
          </w:p>
        </w:tc>
        <w:tc>
          <w:tcPr>
            <w:tcW w:w="1678" w:type="dxa"/>
          </w:tcPr>
          <w:p w:rsidR="006A18FD" w:rsidRDefault="002D29FC">
            <w:pPr>
              <w:spacing w:before="1" w:line="230" w:lineRule="atLeast"/>
              <w:ind w:left="102" w:right="274"/>
              <w:rPr>
                <w:rFonts w:ascii="Calibri" w:hAnsi="Calibri"/>
                <w:sz w:val="19"/>
              </w:rPr>
            </w:pPr>
            <w:r>
              <w:rPr>
                <w:rFonts w:ascii="Calibri" w:hAnsi="Calibri"/>
                <w:sz w:val="19"/>
              </w:rPr>
              <w:t>£31 per resident week</w:t>
            </w:r>
          </w:p>
        </w:tc>
        <w:tc>
          <w:tcPr>
            <w:tcW w:w="6131" w:type="dxa"/>
          </w:tcPr>
          <w:p w:rsidR="006A18FD" w:rsidRDefault="002D29FC">
            <w:pPr>
              <w:spacing w:before="1" w:line="230" w:lineRule="atLeast"/>
              <w:ind w:left="102" w:right="618"/>
              <w:rPr>
                <w:rFonts w:ascii="Calibri"/>
                <w:sz w:val="12"/>
              </w:rPr>
            </w:pPr>
            <w:r>
              <w:rPr>
                <w:rFonts w:ascii="Calibri"/>
                <w:sz w:val="19"/>
              </w:rPr>
              <w:t>Based on Ministry of Housing, Communities &amp; Local Government land estimates.</w:t>
            </w:r>
            <w:r>
              <w:rPr>
                <w:rFonts w:ascii="Calibri"/>
                <w:position w:val="6"/>
                <w:sz w:val="12"/>
              </w:rPr>
              <w:t>2</w:t>
            </w:r>
          </w:p>
        </w:tc>
      </w:tr>
      <w:tr w:rsidR="006A18FD">
        <w:trPr>
          <w:trHeight w:val="3699"/>
        </w:trPr>
        <w:tc>
          <w:tcPr>
            <w:tcW w:w="2242" w:type="dxa"/>
          </w:tcPr>
          <w:p w:rsidR="006A18FD" w:rsidRDefault="002D29FC">
            <w:pPr>
              <w:ind w:left="52" w:right="37"/>
              <w:rPr>
                <w:rFonts w:ascii="Calibri"/>
                <w:sz w:val="19"/>
              </w:rPr>
            </w:pPr>
            <w:r>
              <w:rPr>
                <w:rFonts w:ascii="Calibri"/>
                <w:sz w:val="19"/>
              </w:rPr>
              <w:t>C. Total local authority expenditure (minus capital)</w:t>
            </w:r>
          </w:p>
        </w:tc>
        <w:tc>
          <w:tcPr>
            <w:tcW w:w="1678" w:type="dxa"/>
          </w:tcPr>
          <w:p w:rsidR="006A18FD" w:rsidRDefault="002D29FC">
            <w:pPr>
              <w:ind w:left="102" w:right="455"/>
              <w:rPr>
                <w:rFonts w:ascii="Calibri" w:hAnsi="Calibri"/>
                <w:sz w:val="19"/>
              </w:rPr>
            </w:pPr>
            <w:r>
              <w:rPr>
                <w:rFonts w:ascii="Calibri" w:hAnsi="Calibri"/>
                <w:sz w:val="19"/>
              </w:rPr>
              <w:t>£4,557 per resident week</w:t>
            </w:r>
          </w:p>
        </w:tc>
        <w:tc>
          <w:tcPr>
            <w:tcW w:w="6131" w:type="dxa"/>
          </w:tcPr>
          <w:p w:rsidR="006A18FD" w:rsidRDefault="002D29FC">
            <w:pPr>
              <w:ind w:left="102" w:right="189"/>
              <w:rPr>
                <w:rFonts w:ascii="Calibri" w:hAnsi="Calibri"/>
                <w:sz w:val="12"/>
              </w:rPr>
            </w:pPr>
            <w:r>
              <w:rPr>
                <w:rFonts w:ascii="Calibri" w:hAnsi="Calibri"/>
                <w:sz w:val="19"/>
              </w:rPr>
              <w:t>Mean costs for children looked-after in own-provision children’s homes are based on the underlying data of the DfE Section 251 outturn data for 2017/18</w:t>
            </w:r>
            <w:r>
              <w:rPr>
                <w:rFonts w:ascii="Calibri" w:hAnsi="Calibri"/>
                <w:i/>
                <w:sz w:val="19"/>
              </w:rPr>
              <w:t>.</w:t>
            </w:r>
            <w:r>
              <w:rPr>
                <w:rFonts w:ascii="Calibri" w:hAnsi="Calibri"/>
                <w:position w:val="6"/>
                <w:sz w:val="12"/>
              </w:rPr>
              <w:t>3</w:t>
            </w:r>
          </w:p>
          <w:p w:rsidR="006A18FD" w:rsidRDefault="006A18FD">
            <w:pPr>
              <w:spacing w:before="1"/>
              <w:rPr>
                <w:rFonts w:ascii="Calibri"/>
                <w:sz w:val="19"/>
              </w:rPr>
            </w:pPr>
          </w:p>
          <w:p w:rsidR="006A18FD" w:rsidRDefault="002D29FC">
            <w:pPr>
              <w:ind w:left="102" w:right="259"/>
              <w:rPr>
                <w:rFonts w:ascii="Calibri" w:hAnsi="Calibri"/>
                <w:sz w:val="19"/>
              </w:rPr>
            </w:pPr>
            <w:r>
              <w:rPr>
                <w:rFonts w:ascii="Calibri" w:hAnsi="Calibri"/>
                <w:sz w:val="19"/>
              </w:rPr>
              <w:t>The cost for a child for a week in an own-provision residential care home was £4,557. This was calculated by dividing total current expenditure for local authority (LA) provision children’s care homes (£292,975,611) by the number of LA provision care days (own-provision and other local authority provision) for children in residential care (residential care homes: R1; children in secure units: K1; children in homes and hostels: K2; residential schools: S1) (444,329).</w:t>
            </w:r>
            <w:r>
              <w:rPr>
                <w:rFonts w:ascii="Calibri" w:hAnsi="Calibri"/>
                <w:position w:val="6"/>
                <w:sz w:val="12"/>
              </w:rPr>
              <w:t xml:space="preserve">4 </w:t>
            </w:r>
            <w:r>
              <w:rPr>
                <w:rFonts w:ascii="Calibri" w:hAnsi="Calibri"/>
                <w:sz w:val="19"/>
              </w:rPr>
              <w:t>This gives a cost of £659 per day or £4,616 per week, and £4,736 when inflated using the PSS pay and prices inflator.</w:t>
            </w:r>
          </w:p>
          <w:p w:rsidR="006A18FD" w:rsidRDefault="002D29FC">
            <w:pPr>
              <w:ind w:left="102" w:right="181"/>
              <w:jc w:val="both"/>
              <w:rPr>
                <w:rFonts w:ascii="Calibri" w:hAnsi="Calibri"/>
                <w:sz w:val="19"/>
              </w:rPr>
            </w:pPr>
            <w:r>
              <w:rPr>
                <w:rFonts w:ascii="Calibri" w:hAnsi="Calibri"/>
                <w:sz w:val="19"/>
              </w:rPr>
              <w:t>Capital charges for buildings and land have been excluded to give a cost per resident week of £4,557. Local authorities reporting costs of less than £400 per week (5 local authorities) or more than £14,000 per week (25 local</w:t>
            </w:r>
          </w:p>
          <w:p w:rsidR="006A18FD" w:rsidRDefault="002D29FC">
            <w:pPr>
              <w:spacing w:line="211" w:lineRule="exact"/>
              <w:ind w:left="102"/>
              <w:rPr>
                <w:rFonts w:ascii="Calibri"/>
                <w:sz w:val="19"/>
              </w:rPr>
            </w:pPr>
            <w:r>
              <w:rPr>
                <w:rFonts w:ascii="Calibri"/>
                <w:sz w:val="19"/>
              </w:rPr>
              <w:t>authorities) have been excluded.</w:t>
            </w:r>
          </w:p>
        </w:tc>
      </w:tr>
      <w:tr w:rsidR="006A18FD">
        <w:trPr>
          <w:trHeight w:val="460"/>
        </w:trPr>
        <w:tc>
          <w:tcPr>
            <w:tcW w:w="2242" w:type="dxa"/>
          </w:tcPr>
          <w:p w:rsidR="006A18FD" w:rsidRDefault="002D29FC">
            <w:pPr>
              <w:spacing w:before="1"/>
              <w:ind w:left="52"/>
              <w:rPr>
                <w:rFonts w:ascii="Calibri"/>
                <w:sz w:val="19"/>
              </w:rPr>
            </w:pPr>
            <w:r>
              <w:rPr>
                <w:rFonts w:ascii="Calibri"/>
                <w:sz w:val="19"/>
              </w:rPr>
              <w:t>D. Overheads</w:t>
            </w:r>
          </w:p>
        </w:tc>
        <w:tc>
          <w:tcPr>
            <w:tcW w:w="1678" w:type="dxa"/>
          </w:tcPr>
          <w:p w:rsidR="006A18FD" w:rsidRDefault="006A18FD">
            <w:pPr>
              <w:rPr>
                <w:rFonts w:ascii="Times New Roman"/>
                <w:sz w:val="18"/>
              </w:rPr>
            </w:pPr>
          </w:p>
        </w:tc>
        <w:tc>
          <w:tcPr>
            <w:tcW w:w="6131" w:type="dxa"/>
          </w:tcPr>
          <w:p w:rsidR="006A18FD" w:rsidRDefault="002D29FC">
            <w:pPr>
              <w:spacing w:before="1" w:line="231" w:lineRule="exact"/>
              <w:ind w:left="102"/>
              <w:rPr>
                <w:rFonts w:ascii="Calibri"/>
                <w:sz w:val="19"/>
              </w:rPr>
            </w:pPr>
            <w:r>
              <w:rPr>
                <w:rFonts w:ascii="Calibri"/>
                <w:sz w:val="19"/>
              </w:rPr>
              <w:t>No current information available. See previous editions of this volume for</w:t>
            </w:r>
          </w:p>
          <w:p w:rsidR="006A18FD" w:rsidRDefault="002D29FC">
            <w:pPr>
              <w:spacing w:line="210" w:lineRule="exact"/>
              <w:ind w:left="102"/>
              <w:rPr>
                <w:rFonts w:ascii="Calibri"/>
                <w:sz w:val="19"/>
              </w:rPr>
            </w:pPr>
            <w:r>
              <w:rPr>
                <w:rFonts w:ascii="Calibri"/>
                <w:sz w:val="19"/>
              </w:rPr>
              <w:t>sources of information.</w:t>
            </w:r>
          </w:p>
        </w:tc>
      </w:tr>
      <w:tr w:rsidR="006A18FD">
        <w:trPr>
          <w:trHeight w:val="1380"/>
        </w:trPr>
        <w:tc>
          <w:tcPr>
            <w:tcW w:w="2242" w:type="dxa"/>
          </w:tcPr>
          <w:p w:rsidR="006A18FD" w:rsidRDefault="002D29FC">
            <w:pPr>
              <w:spacing w:before="1"/>
              <w:ind w:left="52"/>
              <w:rPr>
                <w:rFonts w:ascii="Calibri"/>
                <w:sz w:val="19"/>
              </w:rPr>
            </w:pPr>
            <w:r>
              <w:rPr>
                <w:rFonts w:ascii="Calibri"/>
                <w:sz w:val="19"/>
              </w:rPr>
              <w:t>E. Other costs</w:t>
            </w:r>
          </w:p>
        </w:tc>
        <w:tc>
          <w:tcPr>
            <w:tcW w:w="1678" w:type="dxa"/>
          </w:tcPr>
          <w:p w:rsidR="006A18FD" w:rsidRDefault="002D29FC">
            <w:pPr>
              <w:spacing w:before="1"/>
              <w:ind w:left="102" w:right="188"/>
              <w:rPr>
                <w:rFonts w:ascii="Calibri" w:hAnsi="Calibri"/>
                <w:sz w:val="19"/>
              </w:rPr>
            </w:pPr>
            <w:r>
              <w:rPr>
                <w:rFonts w:ascii="Calibri" w:hAnsi="Calibri"/>
                <w:sz w:val="19"/>
              </w:rPr>
              <w:t>£14.30 per resident week for school support</w:t>
            </w:r>
          </w:p>
        </w:tc>
        <w:tc>
          <w:tcPr>
            <w:tcW w:w="6131" w:type="dxa"/>
          </w:tcPr>
          <w:p w:rsidR="006A18FD" w:rsidRDefault="002D29FC">
            <w:pPr>
              <w:spacing w:before="1"/>
              <w:ind w:left="102" w:right="246"/>
              <w:rPr>
                <w:rFonts w:ascii="Calibri" w:hAnsi="Calibri"/>
                <w:sz w:val="19"/>
              </w:rPr>
            </w:pPr>
            <w:r>
              <w:rPr>
                <w:rFonts w:ascii="Calibri" w:hAnsi="Calibri"/>
                <w:sz w:val="19"/>
              </w:rPr>
              <w:t>Using Section 251 data,</w:t>
            </w:r>
            <w:r>
              <w:rPr>
                <w:rFonts w:ascii="Calibri" w:hAnsi="Calibri"/>
                <w:position w:val="6"/>
                <w:sz w:val="12"/>
              </w:rPr>
              <w:t xml:space="preserve">3 </w:t>
            </w:r>
            <w:r>
              <w:rPr>
                <w:rFonts w:ascii="Calibri" w:hAnsi="Calibri"/>
                <w:sz w:val="19"/>
              </w:rPr>
              <w:t>and dividing total expenditure for ‘education of looked-after children’ (£44,572,670) by total children looked-after aged 5 and over (61,330),</w:t>
            </w:r>
            <w:r>
              <w:rPr>
                <w:rFonts w:ascii="Calibri" w:hAnsi="Calibri"/>
                <w:position w:val="6"/>
                <w:sz w:val="12"/>
              </w:rPr>
              <w:t xml:space="preserve">5 </w:t>
            </w:r>
            <w:r>
              <w:rPr>
                <w:rFonts w:ascii="Calibri" w:hAnsi="Calibri"/>
                <w:sz w:val="19"/>
              </w:rPr>
              <w:t>a cost per child per year for education was calculated (£727). When uprated, this gives a cost of £14.30 per resident week. This cost excludes school spending and relates to additional LA services to</w:t>
            </w:r>
          </w:p>
          <w:p w:rsidR="006A18FD" w:rsidRDefault="002D29FC">
            <w:pPr>
              <w:spacing w:line="210" w:lineRule="exact"/>
              <w:ind w:left="102"/>
              <w:rPr>
                <w:rFonts w:ascii="Calibri"/>
                <w:sz w:val="19"/>
              </w:rPr>
            </w:pPr>
            <w:r>
              <w:rPr>
                <w:rFonts w:ascii="Calibri"/>
                <w:sz w:val="19"/>
              </w:rPr>
              <w:t>promote the education of looked-after children, for example virtual heads.</w:t>
            </w:r>
          </w:p>
        </w:tc>
      </w:tr>
      <w:tr w:rsidR="006A18FD">
        <w:trPr>
          <w:trHeight w:val="220"/>
        </w:trPr>
        <w:tc>
          <w:tcPr>
            <w:tcW w:w="2242" w:type="dxa"/>
          </w:tcPr>
          <w:p w:rsidR="006A18FD" w:rsidRDefault="002D29FC">
            <w:pPr>
              <w:spacing w:before="1" w:line="211" w:lineRule="exact"/>
              <w:ind w:left="52"/>
              <w:rPr>
                <w:rFonts w:ascii="Calibri"/>
                <w:sz w:val="19"/>
              </w:rPr>
            </w:pPr>
            <w:r>
              <w:rPr>
                <w:rFonts w:ascii="Calibri"/>
                <w:sz w:val="19"/>
              </w:rPr>
              <w:t>Use of facility by client</w:t>
            </w:r>
          </w:p>
        </w:tc>
        <w:tc>
          <w:tcPr>
            <w:tcW w:w="1678" w:type="dxa"/>
          </w:tcPr>
          <w:p w:rsidR="006A18FD" w:rsidRDefault="002D29FC">
            <w:pPr>
              <w:spacing w:before="1" w:line="211" w:lineRule="exact"/>
              <w:ind w:left="102"/>
              <w:rPr>
                <w:rFonts w:ascii="Calibri"/>
                <w:sz w:val="19"/>
              </w:rPr>
            </w:pPr>
            <w:r>
              <w:rPr>
                <w:rFonts w:ascii="Calibri"/>
                <w:sz w:val="19"/>
              </w:rPr>
              <w:t>52.18 weeks</w:t>
            </w:r>
          </w:p>
        </w:tc>
        <w:tc>
          <w:tcPr>
            <w:tcW w:w="6131" w:type="dxa"/>
          </w:tcPr>
          <w:p w:rsidR="006A18FD" w:rsidRDefault="006A18FD">
            <w:pPr>
              <w:rPr>
                <w:rFonts w:ascii="Times New Roman"/>
                <w:sz w:val="16"/>
              </w:rPr>
            </w:pPr>
          </w:p>
        </w:tc>
      </w:tr>
      <w:tr w:rsidR="006A18FD">
        <w:trPr>
          <w:trHeight w:val="220"/>
        </w:trPr>
        <w:tc>
          <w:tcPr>
            <w:tcW w:w="2242" w:type="dxa"/>
          </w:tcPr>
          <w:p w:rsidR="006A18FD" w:rsidRDefault="002D29FC">
            <w:pPr>
              <w:spacing w:before="2" w:line="211" w:lineRule="exact"/>
              <w:ind w:left="52"/>
              <w:rPr>
                <w:rFonts w:ascii="Calibri"/>
                <w:sz w:val="19"/>
              </w:rPr>
            </w:pPr>
            <w:r>
              <w:rPr>
                <w:rFonts w:ascii="Calibri"/>
                <w:sz w:val="19"/>
              </w:rPr>
              <w:t>Occupancy</w:t>
            </w:r>
          </w:p>
        </w:tc>
        <w:tc>
          <w:tcPr>
            <w:tcW w:w="1678" w:type="dxa"/>
          </w:tcPr>
          <w:p w:rsidR="006A18FD" w:rsidRDefault="002D29FC">
            <w:pPr>
              <w:spacing w:before="2" w:line="211" w:lineRule="exact"/>
              <w:ind w:left="102"/>
              <w:rPr>
                <w:rFonts w:ascii="Calibri"/>
                <w:sz w:val="19"/>
              </w:rPr>
            </w:pPr>
            <w:r>
              <w:rPr>
                <w:rFonts w:ascii="Calibri"/>
                <w:sz w:val="19"/>
              </w:rPr>
              <w:t>86 per cent</w:t>
            </w:r>
          </w:p>
        </w:tc>
        <w:tc>
          <w:tcPr>
            <w:tcW w:w="6131" w:type="dxa"/>
          </w:tcPr>
          <w:p w:rsidR="006A18FD" w:rsidRDefault="002D29FC">
            <w:pPr>
              <w:spacing w:before="2" w:line="211" w:lineRule="exact"/>
              <w:ind w:left="102"/>
              <w:rPr>
                <w:rFonts w:ascii="Calibri"/>
                <w:sz w:val="12"/>
              </w:rPr>
            </w:pPr>
            <w:r>
              <w:rPr>
                <w:rFonts w:ascii="Calibri"/>
                <w:sz w:val="19"/>
              </w:rPr>
              <w:t>Occupancy rates in local authority run homes was 86 per cent in 2014.</w:t>
            </w:r>
            <w:r>
              <w:rPr>
                <w:rFonts w:ascii="Calibri"/>
                <w:position w:val="6"/>
                <w:sz w:val="12"/>
              </w:rPr>
              <w:t>6</w:t>
            </w:r>
          </w:p>
        </w:tc>
      </w:tr>
      <w:tr w:rsidR="006A18FD">
        <w:trPr>
          <w:trHeight w:val="460"/>
        </w:trPr>
        <w:tc>
          <w:tcPr>
            <w:tcW w:w="2242" w:type="dxa"/>
          </w:tcPr>
          <w:p w:rsidR="006A18FD" w:rsidRDefault="002D29FC">
            <w:pPr>
              <w:spacing w:before="1"/>
              <w:ind w:left="52"/>
              <w:rPr>
                <w:rFonts w:ascii="Calibri"/>
                <w:sz w:val="19"/>
              </w:rPr>
            </w:pPr>
            <w:r>
              <w:rPr>
                <w:rFonts w:ascii="Calibri"/>
                <w:sz w:val="19"/>
              </w:rPr>
              <w:t>London multiplier</w:t>
            </w:r>
          </w:p>
        </w:tc>
        <w:tc>
          <w:tcPr>
            <w:tcW w:w="1678" w:type="dxa"/>
          </w:tcPr>
          <w:p w:rsidR="006A18FD" w:rsidRDefault="002D29FC">
            <w:pPr>
              <w:spacing w:before="1"/>
              <w:ind w:left="102"/>
              <w:rPr>
                <w:rFonts w:ascii="Calibri"/>
                <w:sz w:val="19"/>
              </w:rPr>
            </w:pPr>
            <w:r>
              <w:rPr>
                <w:rFonts w:ascii="Calibri"/>
                <w:sz w:val="19"/>
              </w:rPr>
              <w:t>1.02 x C</w:t>
            </w:r>
          </w:p>
        </w:tc>
        <w:tc>
          <w:tcPr>
            <w:tcW w:w="6131" w:type="dxa"/>
          </w:tcPr>
          <w:p w:rsidR="006A18FD" w:rsidRDefault="002D29FC">
            <w:pPr>
              <w:spacing w:before="1" w:line="231" w:lineRule="exact"/>
              <w:ind w:left="102"/>
              <w:rPr>
                <w:rFonts w:ascii="Calibri"/>
                <w:sz w:val="19"/>
              </w:rPr>
            </w:pPr>
            <w:r>
              <w:rPr>
                <w:rFonts w:ascii="Calibri"/>
                <w:sz w:val="19"/>
              </w:rPr>
              <w:t>Relative London costs are drawn from the same source as the base data for</w:t>
            </w:r>
          </w:p>
          <w:p w:rsidR="006A18FD" w:rsidRDefault="002D29FC">
            <w:pPr>
              <w:spacing w:line="210" w:lineRule="exact"/>
              <w:ind w:left="102"/>
              <w:rPr>
                <w:rFonts w:ascii="Calibri"/>
                <w:sz w:val="12"/>
              </w:rPr>
            </w:pPr>
            <w:r>
              <w:rPr>
                <w:rFonts w:ascii="Calibri"/>
                <w:sz w:val="19"/>
              </w:rPr>
              <w:t>each cost element.</w:t>
            </w:r>
            <w:r>
              <w:rPr>
                <w:rFonts w:ascii="Calibri"/>
                <w:position w:val="6"/>
                <w:sz w:val="12"/>
              </w:rPr>
              <w:t>3</w:t>
            </w:r>
          </w:p>
        </w:tc>
      </w:tr>
      <w:tr w:rsidR="006A18FD">
        <w:trPr>
          <w:trHeight w:val="340"/>
        </w:trPr>
        <w:tc>
          <w:tcPr>
            <w:tcW w:w="10051" w:type="dxa"/>
            <w:gridSpan w:val="3"/>
          </w:tcPr>
          <w:p w:rsidR="006A18FD" w:rsidRDefault="002D29FC">
            <w:pPr>
              <w:spacing w:before="3"/>
              <w:ind w:left="52"/>
              <w:rPr>
                <w:rFonts w:ascii="Calibri"/>
                <w:b/>
                <w:sz w:val="19"/>
              </w:rPr>
            </w:pPr>
            <w:r>
              <w:rPr>
                <w:rFonts w:ascii="Calibri"/>
                <w:b/>
                <w:sz w:val="19"/>
              </w:rPr>
              <w:t>Unit costs available 2018/2019</w:t>
            </w:r>
          </w:p>
        </w:tc>
      </w:tr>
      <w:tr w:rsidR="006A18FD">
        <w:trPr>
          <w:trHeight w:val="460"/>
        </w:trPr>
        <w:tc>
          <w:tcPr>
            <w:tcW w:w="10051" w:type="dxa"/>
            <w:gridSpan w:val="3"/>
          </w:tcPr>
          <w:p w:rsidR="006A18FD" w:rsidRDefault="002D29FC">
            <w:pPr>
              <w:spacing w:before="1"/>
              <w:ind w:left="52"/>
              <w:rPr>
                <w:rFonts w:ascii="Calibri" w:hAnsi="Calibri"/>
                <w:sz w:val="19"/>
              </w:rPr>
            </w:pPr>
            <w:r>
              <w:rPr>
                <w:rFonts w:ascii="Calibri" w:hAnsi="Calibri"/>
                <w:sz w:val="19"/>
              </w:rPr>
              <w:t>£4,736 establishment costs per resident week (includes A to C); £677 establishment costs per resident day (includes A to C);</w:t>
            </w:r>
          </w:p>
          <w:p w:rsidR="006A18FD" w:rsidRDefault="002D29FC">
            <w:pPr>
              <w:spacing w:line="211" w:lineRule="exact"/>
              <w:ind w:left="52"/>
              <w:rPr>
                <w:rFonts w:ascii="Calibri" w:hAnsi="Calibri"/>
                <w:sz w:val="19"/>
              </w:rPr>
            </w:pPr>
            <w:r>
              <w:rPr>
                <w:rFonts w:ascii="Calibri" w:hAnsi="Calibri"/>
                <w:sz w:val="19"/>
              </w:rPr>
              <w:t>£4,750 per resident week (includes A to E); £679 per resident day (includes A to E).</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23"/>
        </w:rPr>
      </w:pPr>
    </w:p>
    <w:p w:rsidR="006A18FD" w:rsidRDefault="002D29FC">
      <w:pPr>
        <w:spacing w:line="195" w:lineRule="exact"/>
        <w:ind w:left="152"/>
        <w:rPr>
          <w:rFonts w:ascii="Calibri"/>
          <w:sz w:val="16"/>
        </w:rPr>
      </w:pPr>
      <w:r>
        <w:rPr>
          <w:rFonts w:ascii="Calibri"/>
          <w:position w:val="5"/>
          <w:sz w:val="10"/>
        </w:rPr>
        <w:t xml:space="preserve">1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1704" w:hanging="284"/>
        <w:rPr>
          <w:rFonts w:ascii="Calibri"/>
          <w:sz w:val="16"/>
        </w:rPr>
      </w:pPr>
      <w:r>
        <w:rPr>
          <w:rFonts w:ascii="Calibri"/>
          <w:position w:val="5"/>
          <w:sz w:val="10"/>
        </w:rPr>
        <w:t xml:space="preserve">2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210">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3"/>
        <w:ind w:left="436" w:hanging="284"/>
        <w:rPr>
          <w:rFonts w:ascii="Calibri"/>
          <w:sz w:val="16"/>
        </w:rPr>
      </w:pPr>
      <w:r>
        <w:rPr>
          <w:rFonts w:ascii="Calibri"/>
          <w:position w:val="5"/>
          <w:sz w:val="10"/>
        </w:rPr>
        <w:t xml:space="preserve">3 </w:t>
      </w:r>
      <w:r>
        <w:rPr>
          <w:rFonts w:ascii="Calibri"/>
          <w:sz w:val="16"/>
        </w:rPr>
        <w:t xml:space="preserve">Department for Education (2019) </w:t>
      </w:r>
      <w:r>
        <w:rPr>
          <w:rFonts w:ascii="Calibri"/>
          <w:i/>
          <w:sz w:val="16"/>
        </w:rPr>
        <w:t>Section 251 documents</w:t>
      </w:r>
      <w:r>
        <w:rPr>
          <w:rFonts w:ascii="Calibri"/>
          <w:sz w:val="16"/>
        </w:rPr>
        <w:t xml:space="preserve">, Department for Education, London. </w:t>
      </w:r>
      <w:hyperlink r:id="rId211">
        <w:r>
          <w:rPr>
            <w:rFonts w:ascii="Calibri"/>
            <w:sz w:val="16"/>
            <w:u w:val="single"/>
          </w:rPr>
          <w:t>https://www.gov.uk/government/collections/section-251-</w:t>
        </w:r>
      </w:hyperlink>
      <w:r>
        <w:rPr>
          <w:rFonts w:ascii="Calibri"/>
          <w:sz w:val="16"/>
        </w:rPr>
        <w:t xml:space="preserve"> </w:t>
      </w:r>
      <w:hyperlink r:id="rId212">
        <w:r>
          <w:rPr>
            <w:rFonts w:ascii="Calibri"/>
            <w:sz w:val="16"/>
            <w:u w:val="single"/>
          </w:rPr>
          <w:t>materials</w:t>
        </w:r>
        <w:r>
          <w:rPr>
            <w:rFonts w:ascii="Calibri"/>
            <w:sz w:val="16"/>
          </w:rPr>
          <w:t xml:space="preserve"> </w:t>
        </w:r>
      </w:hyperlink>
      <w:r>
        <w:rPr>
          <w:rFonts w:ascii="Calibri"/>
          <w:sz w:val="16"/>
        </w:rPr>
        <w:t>[accessed 29 October 2019].</w:t>
      </w:r>
    </w:p>
    <w:p w:rsidR="006A18FD" w:rsidRDefault="002D29FC">
      <w:pPr>
        <w:spacing w:before="1"/>
        <w:ind w:left="436" w:hanging="284"/>
        <w:rPr>
          <w:rFonts w:ascii="Calibri"/>
          <w:sz w:val="16"/>
        </w:rPr>
      </w:pPr>
      <w:r>
        <w:rPr>
          <w:rFonts w:ascii="Calibri"/>
          <w:position w:val="5"/>
          <w:sz w:val="10"/>
        </w:rPr>
        <w:t xml:space="preserve">4 </w:t>
      </w:r>
      <w:r>
        <w:rPr>
          <w:rFonts w:ascii="Calibri"/>
          <w:sz w:val="16"/>
        </w:rPr>
        <w:t xml:space="preserve">Department for Education (2019) </w:t>
      </w:r>
      <w:r>
        <w:rPr>
          <w:rFonts w:ascii="Calibri"/>
          <w:i/>
          <w:sz w:val="16"/>
        </w:rPr>
        <w:t>Children looked-after in England including adoption and care leavers</w:t>
      </w:r>
      <w:r>
        <w:rPr>
          <w:rFonts w:ascii="Calibri"/>
          <w:sz w:val="16"/>
        </w:rPr>
        <w:t xml:space="preserve">, </w:t>
      </w:r>
      <w:r>
        <w:rPr>
          <w:rFonts w:ascii="Calibri"/>
          <w:i/>
          <w:sz w:val="16"/>
        </w:rPr>
        <w:t xml:space="preserve">year ending 31 March 2017, </w:t>
      </w:r>
      <w:r>
        <w:rPr>
          <w:rFonts w:ascii="Calibri"/>
          <w:sz w:val="16"/>
        </w:rPr>
        <w:t>Department for Education, London.</w:t>
      </w:r>
    </w:p>
    <w:p w:rsidR="006A18FD" w:rsidRDefault="002D29FC">
      <w:pPr>
        <w:ind w:left="436" w:right="749" w:hanging="284"/>
        <w:rPr>
          <w:rFonts w:ascii="Calibri"/>
          <w:sz w:val="16"/>
        </w:rPr>
      </w:pPr>
      <w:r>
        <w:rPr>
          <w:rFonts w:ascii="Calibri"/>
          <w:position w:val="5"/>
          <w:sz w:val="10"/>
        </w:rPr>
        <w:t xml:space="preserve">5 </w:t>
      </w:r>
      <w:r>
        <w:rPr>
          <w:rFonts w:ascii="Calibri"/>
          <w:sz w:val="16"/>
        </w:rPr>
        <w:t xml:space="preserve">Department for Education (2019) </w:t>
      </w:r>
      <w:r>
        <w:rPr>
          <w:rFonts w:ascii="Calibri"/>
          <w:i/>
          <w:sz w:val="16"/>
        </w:rPr>
        <w:t>Children looked after in England including adoption: 2017 to 2018</w:t>
      </w:r>
      <w:r>
        <w:rPr>
          <w:rFonts w:ascii="Calibri"/>
          <w:sz w:val="16"/>
        </w:rPr>
        <w:t xml:space="preserve">, </w:t>
      </w:r>
      <w:hyperlink r:id="rId213">
        <w:r>
          <w:rPr>
            <w:rFonts w:ascii="Calibri"/>
            <w:sz w:val="16"/>
            <w:u w:val="single"/>
          </w:rPr>
          <w:t>https://www.gov.uk/government/statistics/children-looked-after-in-england-including-adoption-2017-to-2018</w:t>
        </w:r>
        <w:r>
          <w:rPr>
            <w:rFonts w:ascii="Calibri"/>
            <w:sz w:val="16"/>
          </w:rPr>
          <w:t xml:space="preserve"> </w:t>
        </w:r>
      </w:hyperlink>
      <w:r>
        <w:rPr>
          <w:rFonts w:ascii="Calibri"/>
          <w:sz w:val="16"/>
        </w:rPr>
        <w:t>[accessed 5 November 2019].</w:t>
      </w:r>
    </w:p>
    <w:p w:rsidR="006A18FD" w:rsidRDefault="002D29FC">
      <w:pPr>
        <w:ind w:left="436" w:right="525" w:hanging="284"/>
        <w:rPr>
          <w:rFonts w:ascii="Calibri" w:hAnsi="Calibri"/>
          <w:sz w:val="16"/>
        </w:rPr>
      </w:pPr>
      <w:r>
        <w:rPr>
          <w:rFonts w:ascii="Calibri" w:hAnsi="Calibri"/>
          <w:position w:val="5"/>
          <w:sz w:val="10"/>
        </w:rPr>
        <w:t xml:space="preserve">6 </w:t>
      </w:r>
      <w:r>
        <w:rPr>
          <w:rFonts w:ascii="Calibri" w:hAnsi="Calibri"/>
          <w:sz w:val="16"/>
        </w:rPr>
        <w:t xml:space="preserve">Department for Education (2015) </w:t>
      </w:r>
      <w:r>
        <w:rPr>
          <w:rFonts w:ascii="Calibri" w:hAnsi="Calibri"/>
          <w:i/>
          <w:sz w:val="16"/>
        </w:rPr>
        <w:t>A census of the children’s homes workforce</w:t>
      </w:r>
      <w:r>
        <w:rPr>
          <w:rFonts w:ascii="Calibri" w:hAnsi="Calibri"/>
          <w:sz w:val="16"/>
        </w:rPr>
        <w:t xml:space="preserve">, Research report, Department for Education, London. </w:t>
      </w:r>
      <w:hyperlink r:id="rId214">
        <w:r>
          <w:rPr>
            <w:rFonts w:ascii="Calibri" w:hAnsi="Calibri"/>
            <w:sz w:val="16"/>
            <w:u w:val="single"/>
          </w:rPr>
          <w:t>https://www.gov.uk/government/uploads/system/uploads/attachment_data/file/391529/RR437_-_Children_s_homes_workforce_census_.pdf</w:t>
        </w:r>
        <w:r>
          <w:rPr>
            <w:rFonts w:ascii="Calibri" w:hAnsi="Calibri"/>
            <w:sz w:val="16"/>
          </w:rPr>
          <w:t>.</w:t>
        </w:r>
      </w:hyperlink>
    </w:p>
    <w:p w:rsidR="006A18FD" w:rsidRDefault="006A18FD">
      <w:pPr>
        <w:rPr>
          <w:rFonts w:ascii="Calibri" w:hAnsi="Calibri"/>
          <w:sz w:val="16"/>
        </w:rPr>
        <w:sectPr w:rsidR="006A18FD">
          <w:headerReference w:type="even" r:id="rId215"/>
          <w:headerReference w:type="default" r:id="rId216"/>
          <w:pgSz w:w="11910" w:h="16840"/>
          <w:pgMar w:top="960" w:right="580" w:bottom="280" w:left="980" w:header="751" w:footer="0" w:gutter="0"/>
          <w:pgNumType w:start="71"/>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30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301" name="Line 15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C5099" id="Group 15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Rz4r+H4CAACBBQAA&#10;DgAAAAAAAAAAAAAAAAAuAgAAZHJzL2Uyb0RvYy54bWxQSwECLQAUAAYACAAAACEALXfkXNoAAAAE&#10;AQAADwAAAAAAAAAAAAAAAADYBAAAZHJzL2Rvd25yZXYueG1sUEsFBgAAAAAEAAQA8wAAAN8FAAAA&#10;AA==&#10;">
                <v:line id="Line 15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w10:anchorlock/>
              </v:group>
            </w:pict>
          </mc:Fallback>
        </mc:AlternateContent>
      </w:r>
    </w:p>
    <w:p w:rsidR="006A18FD" w:rsidRDefault="00E06635" w:rsidP="00E06635">
      <w:pPr>
        <w:pStyle w:val="Heading2"/>
      </w:pPr>
      <w:r>
        <w:t xml:space="preserve">6.4 </w:t>
      </w:r>
      <w:r w:rsidR="002D29FC">
        <w:t>Voluntary and private sector care homes for</w:t>
      </w:r>
      <w:r w:rsidR="002D29FC">
        <w:rPr>
          <w:spacing w:val="-22"/>
        </w:rPr>
        <w:t xml:space="preserve"> </w:t>
      </w:r>
      <w:r w:rsidR="002D29FC">
        <w:t>children</w:t>
      </w:r>
    </w:p>
    <w:p w:rsidR="006A18FD" w:rsidRDefault="002D29FC">
      <w:pPr>
        <w:spacing w:before="172"/>
        <w:ind w:left="140"/>
        <w:rPr>
          <w:rFonts w:ascii="Calibri"/>
          <w:sz w:val="20"/>
        </w:rPr>
      </w:pPr>
      <w:r>
        <w:rPr>
          <w:rFonts w:ascii="Calibri"/>
          <w:sz w:val="20"/>
        </w:rPr>
        <w:t>This table presents the costs per resident week for an independent sector care home for children. Establishment costs are</w:t>
      </w:r>
    </w:p>
    <w:p w:rsidR="006A18FD" w:rsidRDefault="002D29FC">
      <w:pPr>
        <w:spacing w:before="36"/>
        <w:ind w:left="140"/>
        <w:rPr>
          <w:rFonts w:ascii="Calibri" w:hAnsi="Calibri"/>
          <w:sz w:val="20"/>
        </w:rPr>
      </w:pPr>
      <w:r>
        <w:rPr>
          <w:rFonts w:ascii="Calibri" w:hAnsi="Calibri"/>
          <w:sz w:val="20"/>
        </w:rPr>
        <w:t>£3,582 per resident week.</w:t>
      </w:r>
    </w:p>
    <w:p w:rsidR="006A18FD" w:rsidRDefault="006A18FD">
      <w:pPr>
        <w:spacing w:before="8" w:after="1"/>
        <w:rPr>
          <w:rFonts w:ascii="Calibri"/>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5B5AB5">
        <w:trPr>
          <w:trHeight w:val="340"/>
          <w:tblHeader/>
        </w:trPr>
        <w:tc>
          <w:tcPr>
            <w:tcW w:w="2268" w:type="dxa"/>
          </w:tcPr>
          <w:p w:rsidR="006A18FD" w:rsidRDefault="002D29FC">
            <w:pPr>
              <w:spacing w:before="1"/>
              <w:ind w:left="52"/>
              <w:rPr>
                <w:rFonts w:ascii="Calibri"/>
                <w:b/>
                <w:sz w:val="19"/>
              </w:rPr>
            </w:pPr>
            <w:r>
              <w:rPr>
                <w:rFonts w:ascii="Calibri"/>
                <w:b/>
                <w:sz w:val="19"/>
              </w:rPr>
              <w:t>Costs and unit estimation</w:t>
            </w:r>
          </w:p>
        </w:tc>
        <w:tc>
          <w:tcPr>
            <w:tcW w:w="1702" w:type="dxa"/>
          </w:tcPr>
          <w:p w:rsidR="006A18FD" w:rsidRDefault="002D29FC">
            <w:pPr>
              <w:spacing w:before="1"/>
              <w:ind w:left="107"/>
              <w:rPr>
                <w:rFonts w:ascii="Calibri"/>
                <w:b/>
                <w:sz w:val="19"/>
              </w:rPr>
            </w:pPr>
            <w:r>
              <w:rPr>
                <w:rFonts w:ascii="Calibri"/>
                <w:b/>
                <w:sz w:val="19"/>
              </w:rPr>
              <w:t>2018/2019 value</w:t>
            </w:r>
          </w:p>
        </w:tc>
        <w:tc>
          <w:tcPr>
            <w:tcW w:w="6236" w:type="dxa"/>
          </w:tcPr>
          <w:p w:rsidR="006A18FD" w:rsidRDefault="002D29FC">
            <w:pPr>
              <w:spacing w:before="1"/>
              <w:ind w:left="107"/>
              <w:rPr>
                <w:rFonts w:ascii="Calibri"/>
                <w:b/>
                <w:sz w:val="19"/>
              </w:rPr>
            </w:pPr>
            <w:r>
              <w:rPr>
                <w:rFonts w:ascii="Calibri"/>
                <w:b/>
                <w:sz w:val="19"/>
              </w:rPr>
              <w:t>Notes</w:t>
            </w:r>
          </w:p>
        </w:tc>
      </w:tr>
      <w:tr w:rsidR="006A18FD">
        <w:trPr>
          <w:trHeight w:val="1260"/>
        </w:trPr>
        <w:tc>
          <w:tcPr>
            <w:tcW w:w="2268" w:type="dxa"/>
          </w:tcPr>
          <w:p w:rsidR="006A18FD" w:rsidRDefault="002D29FC">
            <w:pPr>
              <w:spacing w:before="1"/>
              <w:ind w:left="52"/>
              <w:rPr>
                <w:rFonts w:ascii="Calibri"/>
                <w:sz w:val="19"/>
              </w:rPr>
            </w:pPr>
            <w:r>
              <w:rPr>
                <w:rFonts w:ascii="Calibri"/>
                <w:sz w:val="19"/>
              </w:rPr>
              <w:t>Capital costs (A &amp;B)</w:t>
            </w:r>
          </w:p>
          <w:p w:rsidR="006A18FD" w:rsidRDefault="002D29FC">
            <w:pPr>
              <w:spacing w:before="118"/>
              <w:ind w:left="52"/>
              <w:rPr>
                <w:rFonts w:ascii="Calibri"/>
                <w:sz w:val="19"/>
              </w:rPr>
            </w:pPr>
            <w:r>
              <w:rPr>
                <w:rFonts w:ascii="Calibri"/>
                <w:sz w:val="19"/>
              </w:rPr>
              <w:t>A. Buildings</w:t>
            </w:r>
          </w:p>
        </w:tc>
        <w:tc>
          <w:tcPr>
            <w:tcW w:w="1702" w:type="dxa"/>
          </w:tcPr>
          <w:p w:rsidR="006A18FD" w:rsidRDefault="006A18FD">
            <w:pPr>
              <w:rPr>
                <w:rFonts w:ascii="Calibri"/>
                <w:sz w:val="18"/>
              </w:rPr>
            </w:pPr>
          </w:p>
          <w:p w:rsidR="006A18FD" w:rsidRDefault="002D29FC">
            <w:pPr>
              <w:spacing w:before="132"/>
              <w:ind w:left="107" w:right="196"/>
              <w:rPr>
                <w:rFonts w:ascii="Calibri" w:hAnsi="Calibri"/>
                <w:sz w:val="19"/>
              </w:rPr>
            </w:pPr>
            <w:r>
              <w:rPr>
                <w:rFonts w:ascii="Calibri" w:hAnsi="Calibri"/>
                <w:sz w:val="19"/>
              </w:rPr>
              <w:t>£148 per resident week</w:t>
            </w:r>
          </w:p>
        </w:tc>
        <w:tc>
          <w:tcPr>
            <w:tcW w:w="6236" w:type="dxa"/>
          </w:tcPr>
          <w:p w:rsidR="006A18FD" w:rsidRDefault="006A18FD">
            <w:pPr>
              <w:rPr>
                <w:rFonts w:ascii="Calibri"/>
                <w:sz w:val="18"/>
              </w:rPr>
            </w:pPr>
          </w:p>
          <w:p w:rsidR="006A18FD" w:rsidRDefault="002D29FC">
            <w:pPr>
              <w:spacing w:before="132"/>
              <w:ind w:left="107"/>
              <w:rPr>
                <w:rFonts w:ascii="Calibri" w:hAnsi="Calibri"/>
                <w:sz w:val="19"/>
              </w:rPr>
            </w:pPr>
            <w:r>
              <w:rPr>
                <w:rFonts w:ascii="Calibri" w:hAnsi="Calibri"/>
                <w:sz w:val="19"/>
              </w:rPr>
              <w:t>Based on the new-build requirements for local authority children’s homes. These allow for 59.95 m</w:t>
            </w:r>
            <w:r>
              <w:rPr>
                <w:rFonts w:ascii="Calibri" w:hAnsi="Calibri"/>
                <w:position w:val="6"/>
                <w:sz w:val="12"/>
              </w:rPr>
              <w:t xml:space="preserve">2 </w:t>
            </w:r>
            <w:r>
              <w:rPr>
                <w:rFonts w:ascii="Calibri" w:hAnsi="Calibri"/>
                <w:sz w:val="19"/>
              </w:rPr>
              <w:t>per person.</w:t>
            </w:r>
            <w:r>
              <w:rPr>
                <w:rFonts w:ascii="Calibri" w:hAnsi="Calibri"/>
                <w:position w:val="6"/>
                <w:sz w:val="12"/>
              </w:rPr>
              <w:t xml:space="preserve">1 </w:t>
            </w:r>
            <w:r>
              <w:rPr>
                <w:rFonts w:ascii="Calibri" w:hAnsi="Calibri"/>
                <w:sz w:val="19"/>
              </w:rPr>
              <w:t>Capital costs have been annuitised over 60 years at a discount rate of 3.5 per cent, declining to 3 per cent after 30</w:t>
            </w:r>
          </w:p>
          <w:p w:rsidR="006A18FD" w:rsidRDefault="002D29FC">
            <w:pPr>
              <w:spacing w:line="210" w:lineRule="exact"/>
              <w:ind w:left="107"/>
              <w:rPr>
                <w:rFonts w:ascii="Calibri"/>
                <w:sz w:val="19"/>
              </w:rPr>
            </w:pPr>
            <w:r>
              <w:rPr>
                <w:rFonts w:ascii="Calibri"/>
                <w:sz w:val="19"/>
              </w:rPr>
              <w:t>years.</w:t>
            </w:r>
          </w:p>
        </w:tc>
      </w:tr>
      <w:tr w:rsidR="006A18FD">
        <w:trPr>
          <w:trHeight w:val="460"/>
        </w:trPr>
        <w:tc>
          <w:tcPr>
            <w:tcW w:w="2268" w:type="dxa"/>
          </w:tcPr>
          <w:p w:rsidR="006A18FD" w:rsidRDefault="002D29FC">
            <w:pPr>
              <w:spacing w:before="1"/>
              <w:ind w:left="52"/>
              <w:rPr>
                <w:rFonts w:ascii="Calibri"/>
                <w:sz w:val="19"/>
              </w:rPr>
            </w:pPr>
            <w:r>
              <w:rPr>
                <w:rFonts w:ascii="Calibri"/>
                <w:sz w:val="19"/>
              </w:rPr>
              <w:t>B. Land</w:t>
            </w:r>
          </w:p>
        </w:tc>
        <w:tc>
          <w:tcPr>
            <w:tcW w:w="1702" w:type="dxa"/>
          </w:tcPr>
          <w:p w:rsidR="006A18FD" w:rsidRDefault="002D29FC">
            <w:pPr>
              <w:spacing w:before="1" w:line="230" w:lineRule="atLeast"/>
              <w:ind w:left="107" w:right="293"/>
              <w:rPr>
                <w:rFonts w:ascii="Calibri" w:hAnsi="Calibri"/>
                <w:sz w:val="19"/>
              </w:rPr>
            </w:pPr>
            <w:r>
              <w:rPr>
                <w:rFonts w:ascii="Calibri" w:hAnsi="Calibri"/>
                <w:sz w:val="19"/>
              </w:rPr>
              <w:t>£31 per resident week</w:t>
            </w:r>
          </w:p>
        </w:tc>
        <w:tc>
          <w:tcPr>
            <w:tcW w:w="6236" w:type="dxa"/>
          </w:tcPr>
          <w:p w:rsidR="006A18FD" w:rsidRDefault="002D29FC">
            <w:pPr>
              <w:spacing w:before="1" w:line="230" w:lineRule="atLeast"/>
              <w:ind w:left="107" w:right="719"/>
              <w:rPr>
                <w:rFonts w:ascii="Calibri"/>
                <w:sz w:val="12"/>
              </w:rPr>
            </w:pPr>
            <w:r>
              <w:rPr>
                <w:rFonts w:ascii="Calibri"/>
                <w:sz w:val="19"/>
              </w:rPr>
              <w:t>Based on Ministry of Housing, Communities &amp; Local Government land estimates.</w:t>
            </w:r>
            <w:r>
              <w:rPr>
                <w:rFonts w:ascii="Calibri"/>
                <w:position w:val="6"/>
                <w:sz w:val="12"/>
              </w:rPr>
              <w:t>2</w:t>
            </w:r>
          </w:p>
        </w:tc>
      </w:tr>
      <w:tr w:rsidR="006A18FD">
        <w:trPr>
          <w:trHeight w:val="3699"/>
        </w:trPr>
        <w:tc>
          <w:tcPr>
            <w:tcW w:w="2268" w:type="dxa"/>
          </w:tcPr>
          <w:p w:rsidR="006A18FD" w:rsidRDefault="002D29FC">
            <w:pPr>
              <w:ind w:left="52" w:right="51"/>
              <w:rPr>
                <w:rFonts w:ascii="Calibri"/>
                <w:sz w:val="19"/>
              </w:rPr>
            </w:pPr>
            <w:r>
              <w:rPr>
                <w:rFonts w:ascii="Calibri"/>
                <w:sz w:val="19"/>
              </w:rPr>
              <w:t>C. Total expenditure (minus capital)</w:t>
            </w:r>
          </w:p>
        </w:tc>
        <w:tc>
          <w:tcPr>
            <w:tcW w:w="1702" w:type="dxa"/>
          </w:tcPr>
          <w:p w:rsidR="006A18FD" w:rsidRDefault="002D29FC">
            <w:pPr>
              <w:ind w:left="107" w:right="474"/>
              <w:rPr>
                <w:rFonts w:ascii="Calibri" w:hAnsi="Calibri"/>
                <w:sz w:val="19"/>
              </w:rPr>
            </w:pPr>
            <w:r>
              <w:rPr>
                <w:rFonts w:ascii="Calibri" w:hAnsi="Calibri"/>
                <w:sz w:val="19"/>
              </w:rPr>
              <w:t>£3,403 per resident week</w:t>
            </w:r>
          </w:p>
        </w:tc>
        <w:tc>
          <w:tcPr>
            <w:tcW w:w="6236" w:type="dxa"/>
          </w:tcPr>
          <w:p w:rsidR="006A18FD" w:rsidRDefault="002D29FC">
            <w:pPr>
              <w:spacing w:line="242" w:lineRule="auto"/>
              <w:ind w:left="107" w:right="93"/>
              <w:rPr>
                <w:rFonts w:ascii="Calibri" w:hAnsi="Calibri"/>
                <w:sz w:val="12"/>
              </w:rPr>
            </w:pPr>
            <w:r>
              <w:rPr>
                <w:rFonts w:ascii="Calibri" w:hAnsi="Calibri"/>
                <w:sz w:val="19"/>
              </w:rPr>
              <w:t>Mean costs for children looked-after in externally provided children’s homes (e.g. non-local authority (LA) own-provision) are based on the underlying data of the DfE Section 251 outturn data for 2017/2018</w:t>
            </w:r>
            <w:r>
              <w:rPr>
                <w:rFonts w:ascii="Calibri" w:hAnsi="Calibri"/>
                <w:i/>
                <w:sz w:val="19"/>
              </w:rPr>
              <w:t xml:space="preserve">. </w:t>
            </w:r>
            <w:r>
              <w:rPr>
                <w:rFonts w:ascii="Calibri" w:hAnsi="Calibri"/>
                <w:position w:val="6"/>
                <w:sz w:val="12"/>
              </w:rPr>
              <w:t>3</w:t>
            </w:r>
          </w:p>
          <w:p w:rsidR="006A18FD" w:rsidRDefault="006A18FD">
            <w:pPr>
              <w:spacing w:before="11"/>
              <w:rPr>
                <w:rFonts w:ascii="Calibri"/>
                <w:sz w:val="18"/>
              </w:rPr>
            </w:pPr>
          </w:p>
          <w:p w:rsidR="006A18FD" w:rsidRDefault="002D29FC">
            <w:pPr>
              <w:ind w:left="131" w:right="169"/>
              <w:rPr>
                <w:rFonts w:ascii="Calibri" w:hAnsi="Calibri"/>
                <w:sz w:val="19"/>
              </w:rPr>
            </w:pPr>
            <w:r>
              <w:rPr>
                <w:rFonts w:ascii="Calibri" w:hAnsi="Calibri"/>
                <w:sz w:val="19"/>
              </w:rPr>
              <w:t>The cost for a child for a week in a non-statutory residential care home for children was £3,403. This was calculated by dividing total expenditure for other provision children’s care homes (private and voluntary/third sector) (£899,077,800) by the number of care days in non-LA provision for children in residential care (residential care homes: R1; children in secure units: K1; children in homes and hostels: K2; residential schools: S1) (1,808,920).</w:t>
            </w:r>
            <w:r>
              <w:rPr>
                <w:rFonts w:ascii="Calibri" w:hAnsi="Calibri"/>
                <w:position w:val="6"/>
                <w:sz w:val="12"/>
              </w:rPr>
              <w:t xml:space="preserve">4 </w:t>
            </w:r>
            <w:r>
              <w:rPr>
                <w:rFonts w:ascii="Calibri" w:hAnsi="Calibri"/>
                <w:sz w:val="19"/>
              </w:rPr>
              <w:t>This gives a cost of £497 per day (£3,479 per week, and £3,583 when uprated using the PSS pay and prices inflator). Capital charges for buildings and land have been excluded to give a cost per resident week of £3,403. Local authorities reporting costs of less than £400 per week (6 local authorities) or more than £14,000 per week have been excluded (no local authority data</w:t>
            </w:r>
          </w:p>
          <w:p w:rsidR="006A18FD" w:rsidRDefault="002D29FC">
            <w:pPr>
              <w:spacing w:line="211" w:lineRule="exact"/>
              <w:ind w:left="131"/>
              <w:rPr>
                <w:rFonts w:ascii="Calibri"/>
                <w:sz w:val="19"/>
              </w:rPr>
            </w:pPr>
            <w:r>
              <w:rPr>
                <w:rFonts w:ascii="Calibri"/>
                <w:sz w:val="19"/>
              </w:rPr>
              <w:t>showed costs in this category).</w:t>
            </w:r>
          </w:p>
        </w:tc>
      </w:tr>
      <w:tr w:rsidR="006A18FD">
        <w:trPr>
          <w:trHeight w:val="460"/>
        </w:trPr>
        <w:tc>
          <w:tcPr>
            <w:tcW w:w="2268" w:type="dxa"/>
          </w:tcPr>
          <w:p w:rsidR="006A18FD" w:rsidRDefault="002D29FC">
            <w:pPr>
              <w:spacing w:before="1"/>
              <w:ind w:left="52"/>
              <w:rPr>
                <w:rFonts w:ascii="Calibri"/>
                <w:sz w:val="19"/>
              </w:rPr>
            </w:pPr>
            <w:r>
              <w:rPr>
                <w:rFonts w:ascii="Calibri"/>
                <w:sz w:val="19"/>
              </w:rPr>
              <w:t>D. Overheads</w:t>
            </w:r>
          </w:p>
        </w:tc>
        <w:tc>
          <w:tcPr>
            <w:tcW w:w="1702" w:type="dxa"/>
          </w:tcPr>
          <w:p w:rsidR="006A18FD" w:rsidRDefault="006A18FD">
            <w:pPr>
              <w:rPr>
                <w:rFonts w:ascii="Times New Roman"/>
                <w:sz w:val="18"/>
              </w:rPr>
            </w:pPr>
          </w:p>
        </w:tc>
        <w:tc>
          <w:tcPr>
            <w:tcW w:w="6236" w:type="dxa"/>
          </w:tcPr>
          <w:p w:rsidR="006A18FD" w:rsidRDefault="002D29FC">
            <w:pPr>
              <w:spacing w:before="1" w:line="230" w:lineRule="atLeast"/>
              <w:ind w:left="107"/>
              <w:rPr>
                <w:rFonts w:ascii="Calibri"/>
                <w:sz w:val="19"/>
              </w:rPr>
            </w:pPr>
            <w:r>
              <w:rPr>
                <w:rFonts w:ascii="Calibri"/>
                <w:sz w:val="19"/>
              </w:rPr>
              <w:t>No current information available. See previous editions of this volume for sources of information.</w:t>
            </w:r>
          </w:p>
        </w:tc>
      </w:tr>
      <w:tr w:rsidR="006A18FD">
        <w:trPr>
          <w:trHeight w:val="1378"/>
        </w:trPr>
        <w:tc>
          <w:tcPr>
            <w:tcW w:w="2268" w:type="dxa"/>
          </w:tcPr>
          <w:p w:rsidR="006A18FD" w:rsidRDefault="002D29FC">
            <w:pPr>
              <w:ind w:left="52" w:right="642"/>
              <w:rPr>
                <w:rFonts w:ascii="Calibri"/>
                <w:sz w:val="19"/>
              </w:rPr>
            </w:pPr>
            <w:r>
              <w:rPr>
                <w:rFonts w:ascii="Calibri"/>
                <w:sz w:val="19"/>
              </w:rPr>
              <w:t>E. Other costs External services</w:t>
            </w:r>
          </w:p>
        </w:tc>
        <w:tc>
          <w:tcPr>
            <w:tcW w:w="1702" w:type="dxa"/>
          </w:tcPr>
          <w:p w:rsidR="006A18FD" w:rsidRDefault="002D29FC">
            <w:pPr>
              <w:ind w:left="107" w:right="207"/>
              <w:rPr>
                <w:rFonts w:ascii="Calibri" w:hAnsi="Calibri"/>
                <w:sz w:val="19"/>
              </w:rPr>
            </w:pPr>
            <w:r>
              <w:rPr>
                <w:rFonts w:ascii="Calibri" w:hAnsi="Calibri"/>
                <w:sz w:val="19"/>
              </w:rPr>
              <w:t>£14.30 per resident week for school support</w:t>
            </w:r>
          </w:p>
        </w:tc>
        <w:tc>
          <w:tcPr>
            <w:tcW w:w="6236" w:type="dxa"/>
          </w:tcPr>
          <w:p w:rsidR="006A18FD" w:rsidRDefault="002D29FC">
            <w:pPr>
              <w:ind w:left="107" w:right="115"/>
              <w:rPr>
                <w:rFonts w:ascii="Calibri" w:hAnsi="Calibri"/>
                <w:sz w:val="19"/>
              </w:rPr>
            </w:pPr>
            <w:r>
              <w:rPr>
                <w:rFonts w:ascii="Calibri" w:hAnsi="Calibri"/>
                <w:sz w:val="19"/>
              </w:rPr>
              <w:t>Using Section 251 data,</w:t>
            </w:r>
            <w:r>
              <w:rPr>
                <w:rFonts w:ascii="Calibri" w:hAnsi="Calibri"/>
                <w:position w:val="6"/>
                <w:sz w:val="12"/>
              </w:rPr>
              <w:t xml:space="preserve">3 </w:t>
            </w:r>
            <w:r>
              <w:rPr>
                <w:rFonts w:ascii="Calibri" w:hAnsi="Calibri"/>
                <w:sz w:val="19"/>
              </w:rPr>
              <w:t>and dividing total expenditure for ‘education of looked-after children’ (£44,572,670) by total children looked-after aged 5 and over (61,330),</w:t>
            </w:r>
            <w:r>
              <w:rPr>
                <w:rFonts w:ascii="Calibri" w:hAnsi="Calibri"/>
                <w:position w:val="6"/>
                <w:sz w:val="12"/>
              </w:rPr>
              <w:t xml:space="preserve">4 </w:t>
            </w:r>
            <w:r>
              <w:rPr>
                <w:rFonts w:ascii="Calibri" w:hAnsi="Calibri"/>
                <w:sz w:val="19"/>
              </w:rPr>
              <w:t>a cost per child per year for education was calculated (£727). When uprated, this gives a cost of £14.30 per resident week. This cost</w:t>
            </w:r>
          </w:p>
          <w:p w:rsidR="006A18FD" w:rsidRDefault="002D29FC">
            <w:pPr>
              <w:spacing w:before="3" w:line="230" w:lineRule="atLeast"/>
              <w:ind w:left="107" w:right="97"/>
              <w:rPr>
                <w:rFonts w:ascii="Calibri"/>
                <w:sz w:val="19"/>
              </w:rPr>
            </w:pPr>
            <w:r>
              <w:rPr>
                <w:rFonts w:ascii="Calibri"/>
                <w:sz w:val="19"/>
              </w:rPr>
              <w:t>excludes school spending and relates to additional LA services to promote the education of looked-after children, for example virtual heads.</w:t>
            </w:r>
          </w:p>
        </w:tc>
      </w:tr>
      <w:tr w:rsidR="006A18FD">
        <w:trPr>
          <w:trHeight w:val="219"/>
        </w:trPr>
        <w:tc>
          <w:tcPr>
            <w:tcW w:w="2268" w:type="dxa"/>
          </w:tcPr>
          <w:p w:rsidR="006A18FD" w:rsidRDefault="002D29FC">
            <w:pPr>
              <w:spacing w:line="209" w:lineRule="exact"/>
              <w:ind w:left="52"/>
              <w:rPr>
                <w:rFonts w:ascii="Calibri"/>
                <w:sz w:val="19"/>
              </w:rPr>
            </w:pPr>
            <w:r>
              <w:rPr>
                <w:rFonts w:ascii="Calibri"/>
                <w:sz w:val="19"/>
              </w:rPr>
              <w:t>Use of facility by client</w:t>
            </w:r>
          </w:p>
        </w:tc>
        <w:tc>
          <w:tcPr>
            <w:tcW w:w="1702" w:type="dxa"/>
          </w:tcPr>
          <w:p w:rsidR="006A18FD" w:rsidRDefault="002D29FC">
            <w:pPr>
              <w:spacing w:line="209" w:lineRule="exact"/>
              <w:ind w:left="107"/>
              <w:rPr>
                <w:rFonts w:ascii="Calibri"/>
                <w:sz w:val="19"/>
              </w:rPr>
            </w:pPr>
            <w:r>
              <w:rPr>
                <w:rFonts w:ascii="Calibri"/>
                <w:sz w:val="19"/>
              </w:rPr>
              <w:t>52.18 weeks</w:t>
            </w:r>
          </w:p>
        </w:tc>
        <w:tc>
          <w:tcPr>
            <w:tcW w:w="6236" w:type="dxa"/>
          </w:tcPr>
          <w:p w:rsidR="006A18FD" w:rsidRDefault="006A18FD">
            <w:pPr>
              <w:rPr>
                <w:rFonts w:ascii="Times New Roman"/>
                <w:sz w:val="16"/>
              </w:rPr>
            </w:pPr>
          </w:p>
        </w:tc>
      </w:tr>
      <w:tr w:rsidR="006A18FD">
        <w:trPr>
          <w:trHeight w:val="220"/>
        </w:trPr>
        <w:tc>
          <w:tcPr>
            <w:tcW w:w="2268" w:type="dxa"/>
          </w:tcPr>
          <w:p w:rsidR="006A18FD" w:rsidRDefault="002D29FC">
            <w:pPr>
              <w:spacing w:before="1" w:line="211" w:lineRule="exact"/>
              <w:ind w:left="52"/>
              <w:rPr>
                <w:rFonts w:ascii="Calibri"/>
                <w:sz w:val="19"/>
              </w:rPr>
            </w:pPr>
            <w:r>
              <w:rPr>
                <w:rFonts w:ascii="Calibri"/>
                <w:sz w:val="19"/>
              </w:rPr>
              <w:t>Occupancy</w:t>
            </w:r>
          </w:p>
        </w:tc>
        <w:tc>
          <w:tcPr>
            <w:tcW w:w="1702" w:type="dxa"/>
          </w:tcPr>
          <w:p w:rsidR="006A18FD" w:rsidRDefault="002D29FC">
            <w:pPr>
              <w:spacing w:before="1" w:line="211" w:lineRule="exact"/>
              <w:ind w:left="107"/>
              <w:rPr>
                <w:rFonts w:ascii="Calibri"/>
                <w:sz w:val="19"/>
              </w:rPr>
            </w:pPr>
            <w:r>
              <w:rPr>
                <w:rFonts w:ascii="Calibri"/>
                <w:sz w:val="19"/>
              </w:rPr>
              <w:t>79 per cent</w:t>
            </w:r>
          </w:p>
        </w:tc>
        <w:tc>
          <w:tcPr>
            <w:tcW w:w="6236" w:type="dxa"/>
          </w:tcPr>
          <w:p w:rsidR="006A18FD" w:rsidRDefault="002D29FC">
            <w:pPr>
              <w:spacing w:before="1" w:line="211" w:lineRule="exact"/>
              <w:ind w:left="107"/>
              <w:rPr>
                <w:rFonts w:ascii="Calibri"/>
                <w:sz w:val="12"/>
              </w:rPr>
            </w:pPr>
            <w:r>
              <w:rPr>
                <w:rFonts w:ascii="Calibri"/>
                <w:sz w:val="19"/>
              </w:rPr>
              <w:t>Occupancy rates in independent sector homes was 79 per cent in 2014.</w:t>
            </w:r>
            <w:r>
              <w:rPr>
                <w:rFonts w:ascii="Calibri"/>
                <w:position w:val="6"/>
                <w:sz w:val="12"/>
              </w:rPr>
              <w:t>5</w:t>
            </w:r>
          </w:p>
        </w:tc>
      </w:tr>
      <w:tr w:rsidR="006A18FD">
        <w:trPr>
          <w:trHeight w:val="460"/>
        </w:trPr>
        <w:tc>
          <w:tcPr>
            <w:tcW w:w="2268" w:type="dxa"/>
          </w:tcPr>
          <w:p w:rsidR="006A18FD" w:rsidRDefault="002D29FC">
            <w:pPr>
              <w:spacing w:before="1"/>
              <w:ind w:left="52"/>
              <w:rPr>
                <w:rFonts w:ascii="Calibri"/>
                <w:sz w:val="19"/>
              </w:rPr>
            </w:pPr>
            <w:r>
              <w:rPr>
                <w:rFonts w:ascii="Calibri"/>
                <w:sz w:val="19"/>
              </w:rPr>
              <w:t>London multiplier</w:t>
            </w:r>
          </w:p>
        </w:tc>
        <w:tc>
          <w:tcPr>
            <w:tcW w:w="1702" w:type="dxa"/>
          </w:tcPr>
          <w:p w:rsidR="006A18FD" w:rsidRDefault="002D29FC">
            <w:pPr>
              <w:spacing w:before="1"/>
              <w:ind w:left="107"/>
              <w:rPr>
                <w:rFonts w:ascii="Calibri"/>
                <w:sz w:val="19"/>
              </w:rPr>
            </w:pPr>
            <w:r>
              <w:rPr>
                <w:rFonts w:ascii="Calibri"/>
                <w:sz w:val="19"/>
              </w:rPr>
              <w:t>1.00 x C</w:t>
            </w:r>
          </w:p>
        </w:tc>
        <w:tc>
          <w:tcPr>
            <w:tcW w:w="6236" w:type="dxa"/>
          </w:tcPr>
          <w:p w:rsidR="006A18FD" w:rsidRDefault="002D29FC">
            <w:pPr>
              <w:spacing w:before="1" w:line="230" w:lineRule="atLeast"/>
              <w:ind w:left="107" w:right="289"/>
              <w:rPr>
                <w:rFonts w:ascii="Calibri"/>
                <w:sz w:val="12"/>
              </w:rPr>
            </w:pPr>
            <w:r>
              <w:rPr>
                <w:rFonts w:ascii="Calibri"/>
                <w:sz w:val="19"/>
              </w:rPr>
              <w:t>Relative London costs are drawn from the same source as the base data for each cost element.</w:t>
            </w:r>
            <w:r>
              <w:rPr>
                <w:rFonts w:ascii="Calibri"/>
                <w:position w:val="6"/>
                <w:sz w:val="12"/>
              </w:rPr>
              <w:t>3</w:t>
            </w:r>
          </w:p>
        </w:tc>
      </w:tr>
      <w:tr w:rsidR="006A18FD">
        <w:trPr>
          <w:trHeight w:val="339"/>
        </w:trPr>
        <w:tc>
          <w:tcPr>
            <w:tcW w:w="10207" w:type="dxa"/>
            <w:gridSpan w:val="3"/>
          </w:tcPr>
          <w:p w:rsidR="006A18FD" w:rsidRDefault="002D29FC">
            <w:pPr>
              <w:ind w:left="107"/>
              <w:rPr>
                <w:rFonts w:ascii="Calibri"/>
                <w:b/>
                <w:sz w:val="19"/>
              </w:rPr>
            </w:pPr>
            <w:r>
              <w:rPr>
                <w:rFonts w:ascii="Calibri"/>
                <w:b/>
                <w:sz w:val="19"/>
              </w:rPr>
              <w:t>Unit costs available 2018/2019</w:t>
            </w:r>
          </w:p>
        </w:tc>
      </w:tr>
      <w:tr w:rsidR="006A18FD">
        <w:trPr>
          <w:trHeight w:val="460"/>
        </w:trPr>
        <w:tc>
          <w:tcPr>
            <w:tcW w:w="10207" w:type="dxa"/>
            <w:gridSpan w:val="3"/>
          </w:tcPr>
          <w:p w:rsidR="006A18FD" w:rsidRDefault="002D29FC">
            <w:pPr>
              <w:spacing w:before="1"/>
              <w:ind w:left="107"/>
              <w:rPr>
                <w:rFonts w:ascii="Calibri" w:hAnsi="Calibri"/>
                <w:sz w:val="19"/>
              </w:rPr>
            </w:pPr>
            <w:r>
              <w:rPr>
                <w:rFonts w:ascii="Calibri" w:hAnsi="Calibri"/>
                <w:sz w:val="19"/>
              </w:rPr>
              <w:t>£3,582 establishment costs per resident week (includes A to C); £512 establishment costs per resident day (includes A to C)</w:t>
            </w:r>
          </w:p>
          <w:p w:rsidR="006A18FD" w:rsidRDefault="002D29FC">
            <w:pPr>
              <w:spacing w:before="1" w:line="211" w:lineRule="exact"/>
              <w:ind w:left="107"/>
              <w:rPr>
                <w:rFonts w:ascii="Calibri" w:hAnsi="Calibri"/>
                <w:sz w:val="19"/>
              </w:rPr>
            </w:pPr>
            <w:r>
              <w:rPr>
                <w:rFonts w:ascii="Calibri" w:hAnsi="Calibri"/>
                <w:sz w:val="19"/>
              </w:rPr>
              <w:t>£3,596 per resident week (includes A to E); £514 per resident day (includes A to E).</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9"/>
        <w:rPr>
          <w:rFonts w:ascii="Calibri"/>
          <w:sz w:val="16"/>
        </w:rPr>
      </w:pPr>
    </w:p>
    <w:p w:rsidR="006A18FD" w:rsidRDefault="002D29FC">
      <w:pPr>
        <w:ind w:left="140"/>
        <w:rPr>
          <w:rFonts w:ascii="Calibri"/>
          <w:sz w:val="16"/>
        </w:rPr>
      </w:pPr>
      <w:r>
        <w:rPr>
          <w:rFonts w:ascii="Calibri"/>
          <w:position w:val="5"/>
          <w:sz w:val="10"/>
        </w:rPr>
        <w:t xml:space="preserve">1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23" w:right="1837" w:hanging="284"/>
        <w:rPr>
          <w:rFonts w:ascii="Calibri"/>
          <w:sz w:val="16"/>
        </w:rPr>
      </w:pPr>
      <w:r>
        <w:rPr>
          <w:rFonts w:ascii="Calibri"/>
          <w:position w:val="5"/>
          <w:sz w:val="10"/>
        </w:rPr>
        <w:t xml:space="preserve">2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217">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1"/>
        <w:ind w:left="423" w:right="301" w:hanging="284"/>
        <w:rPr>
          <w:rFonts w:ascii="Calibri"/>
          <w:sz w:val="16"/>
        </w:rPr>
      </w:pPr>
      <w:r>
        <w:rPr>
          <w:rFonts w:ascii="Calibri"/>
          <w:position w:val="5"/>
          <w:sz w:val="10"/>
        </w:rPr>
        <w:t xml:space="preserve">3 </w:t>
      </w:r>
      <w:r>
        <w:rPr>
          <w:rFonts w:ascii="Calibri"/>
          <w:sz w:val="16"/>
        </w:rPr>
        <w:t xml:space="preserve">Department for Education (2019) </w:t>
      </w:r>
      <w:r>
        <w:rPr>
          <w:rFonts w:ascii="Calibri"/>
          <w:i/>
          <w:sz w:val="16"/>
        </w:rPr>
        <w:t>Section 251 documents</w:t>
      </w:r>
      <w:r>
        <w:rPr>
          <w:rFonts w:ascii="Calibri"/>
          <w:sz w:val="16"/>
        </w:rPr>
        <w:t xml:space="preserve">, Department for Education, London. </w:t>
      </w:r>
      <w:hyperlink r:id="rId218">
        <w:r>
          <w:rPr>
            <w:rFonts w:ascii="Calibri"/>
            <w:sz w:val="16"/>
            <w:u w:val="single"/>
          </w:rPr>
          <w:t>https://www.gov.uk/government/collections/section-251-</w:t>
        </w:r>
      </w:hyperlink>
      <w:r>
        <w:rPr>
          <w:rFonts w:ascii="Calibri"/>
          <w:sz w:val="16"/>
        </w:rPr>
        <w:t xml:space="preserve"> </w:t>
      </w:r>
      <w:hyperlink r:id="rId219">
        <w:r>
          <w:rPr>
            <w:rFonts w:ascii="Calibri"/>
            <w:sz w:val="16"/>
            <w:u w:val="single"/>
          </w:rPr>
          <w:t>materials</w:t>
        </w:r>
        <w:r>
          <w:rPr>
            <w:rFonts w:ascii="Calibri"/>
            <w:sz w:val="16"/>
          </w:rPr>
          <w:t xml:space="preserve"> </w:t>
        </w:r>
      </w:hyperlink>
      <w:r>
        <w:rPr>
          <w:rFonts w:ascii="Calibri"/>
          <w:sz w:val="16"/>
        </w:rPr>
        <w:t>[accessed 29 October 2019].</w:t>
      </w:r>
    </w:p>
    <w:p w:rsidR="006A18FD" w:rsidRDefault="002D29FC">
      <w:pPr>
        <w:ind w:left="423" w:right="882" w:hanging="284"/>
        <w:rPr>
          <w:rFonts w:ascii="Calibri"/>
          <w:sz w:val="16"/>
        </w:rPr>
      </w:pPr>
      <w:r>
        <w:rPr>
          <w:rFonts w:ascii="Calibri"/>
          <w:position w:val="5"/>
          <w:sz w:val="10"/>
        </w:rPr>
        <w:t xml:space="preserve">4 </w:t>
      </w:r>
      <w:r>
        <w:rPr>
          <w:rFonts w:ascii="Calibri"/>
          <w:sz w:val="16"/>
        </w:rPr>
        <w:t xml:space="preserve">Department for Education (2019) </w:t>
      </w:r>
      <w:r>
        <w:rPr>
          <w:rFonts w:ascii="Calibri"/>
          <w:i/>
          <w:sz w:val="16"/>
        </w:rPr>
        <w:t>Children looked after in England including adoption: 2017 to 2018</w:t>
      </w:r>
      <w:r>
        <w:rPr>
          <w:rFonts w:ascii="Calibri"/>
          <w:sz w:val="16"/>
        </w:rPr>
        <w:t xml:space="preserve">, </w:t>
      </w:r>
      <w:hyperlink r:id="rId220">
        <w:r>
          <w:rPr>
            <w:rFonts w:ascii="Calibri"/>
            <w:sz w:val="16"/>
            <w:u w:val="single"/>
          </w:rPr>
          <w:t>https://www.gov.uk/government/statistics/children-looked-after-in-england-including-adoption-2017-to-2018</w:t>
        </w:r>
        <w:r>
          <w:rPr>
            <w:rFonts w:ascii="Calibri"/>
            <w:sz w:val="16"/>
          </w:rPr>
          <w:t xml:space="preserve"> </w:t>
        </w:r>
      </w:hyperlink>
      <w:r>
        <w:rPr>
          <w:rFonts w:ascii="Calibri"/>
          <w:sz w:val="16"/>
        </w:rPr>
        <w:t>[accessed 5 November 2019].</w:t>
      </w:r>
    </w:p>
    <w:p w:rsidR="006A18FD" w:rsidRDefault="002D29FC">
      <w:pPr>
        <w:ind w:left="423" w:right="657" w:hanging="284"/>
        <w:rPr>
          <w:rFonts w:ascii="Calibri" w:hAnsi="Calibri"/>
          <w:sz w:val="16"/>
        </w:rPr>
      </w:pPr>
      <w:r>
        <w:rPr>
          <w:rFonts w:ascii="Calibri" w:hAnsi="Calibri"/>
          <w:position w:val="5"/>
          <w:sz w:val="10"/>
        </w:rPr>
        <w:t xml:space="preserve">5 </w:t>
      </w:r>
      <w:r>
        <w:rPr>
          <w:rFonts w:ascii="Calibri" w:hAnsi="Calibri"/>
          <w:sz w:val="16"/>
        </w:rPr>
        <w:t xml:space="preserve">Department for Education (2015) </w:t>
      </w:r>
      <w:r>
        <w:rPr>
          <w:rFonts w:ascii="Calibri" w:hAnsi="Calibri"/>
          <w:i/>
          <w:sz w:val="16"/>
        </w:rPr>
        <w:t>A census of the children’s homes workforce</w:t>
      </w:r>
      <w:r>
        <w:rPr>
          <w:rFonts w:ascii="Calibri" w:hAnsi="Calibri"/>
          <w:sz w:val="16"/>
        </w:rPr>
        <w:t xml:space="preserve">, Research report, Department for Education, London. </w:t>
      </w:r>
      <w:hyperlink r:id="rId221">
        <w:r>
          <w:rPr>
            <w:rFonts w:ascii="Calibri" w:hAnsi="Calibri"/>
            <w:sz w:val="16"/>
            <w:u w:val="single"/>
          </w:rPr>
          <w:t>https://www.gov.uk/government/uploads/system/uploads/attachment_data/file/391529/RR437_-_Children_s_homes_workforce_census_.pdf</w:t>
        </w:r>
        <w:r>
          <w:rPr>
            <w:rFonts w:ascii="Calibri" w:hAnsi="Calibri"/>
            <w:sz w:val="16"/>
          </w:rPr>
          <w:t>.</w:t>
        </w:r>
      </w:hyperlink>
    </w:p>
    <w:p w:rsidR="006A18FD" w:rsidRDefault="006A18FD">
      <w:pPr>
        <w:rPr>
          <w:rFonts w:ascii="Calibri" w:hAnsi="Calibri"/>
          <w:sz w:val="16"/>
        </w:rPr>
        <w:sectPr w:rsidR="006A18FD">
          <w:pgSz w:w="11910" w:h="16840"/>
          <w:pgMar w:top="960" w:right="86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9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99" name="Line 15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0AED0A" id="Group 15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2mwGPX4CAACBBQAA&#10;DgAAAAAAAAAAAAAAAAAuAgAAZHJzL2Uyb0RvYy54bWxQSwECLQAUAAYACAAAACEALXfkXNoAAAAE&#10;AQAADwAAAAAAAAAAAAAAAADYBAAAZHJzL2Rvd25yZXYueG1sUEsFBgAAAAAEAAQA8wAAAN8FAAAA&#10;AA==&#10;">
                <v:line id="Line 15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w10:anchorlock/>
              </v:group>
            </w:pict>
          </mc:Fallback>
        </mc:AlternateContent>
      </w:r>
    </w:p>
    <w:p w:rsidR="006A18FD" w:rsidRDefault="00E06635" w:rsidP="00E06635">
      <w:pPr>
        <w:pStyle w:val="Heading2"/>
      </w:pPr>
      <w:r>
        <w:t xml:space="preserve">6.5 </w:t>
      </w:r>
      <w:r w:rsidR="002D29FC">
        <w:t>Foster care for</w:t>
      </w:r>
      <w:r w:rsidR="002D29FC">
        <w:rPr>
          <w:spacing w:val="-11"/>
        </w:rPr>
        <w:t xml:space="preserve"> </w:t>
      </w:r>
      <w:r w:rsidR="002D29FC">
        <w:t>children</w:t>
      </w:r>
    </w:p>
    <w:p w:rsidR="006A18FD" w:rsidRDefault="002D29FC">
      <w:pPr>
        <w:spacing w:before="172"/>
        <w:ind w:left="152"/>
        <w:rPr>
          <w:rFonts w:ascii="Calibri"/>
          <w:sz w:val="19"/>
        </w:rPr>
      </w:pPr>
      <w:r>
        <w:rPr>
          <w:rFonts w:ascii="Calibri"/>
          <w:sz w:val="19"/>
        </w:rPr>
        <w:t>This table provides the cost of foster care for children.</w:t>
      </w:r>
    </w:p>
    <w:p w:rsidR="006A18FD" w:rsidRDefault="006A18FD">
      <w:pPr>
        <w:spacing w:before="6"/>
        <w:rPr>
          <w:rFonts w:ascii="Calibri"/>
          <w:sz w:val="12"/>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1697"/>
        <w:gridCol w:w="6222"/>
      </w:tblGrid>
      <w:tr w:rsidR="006A18FD" w:rsidTr="005B5AB5">
        <w:trPr>
          <w:trHeight w:val="340"/>
          <w:tblHeader/>
        </w:trPr>
        <w:tc>
          <w:tcPr>
            <w:tcW w:w="2261" w:type="dxa"/>
          </w:tcPr>
          <w:p w:rsidR="006A18FD" w:rsidRDefault="002D29FC">
            <w:pPr>
              <w:spacing w:before="1"/>
              <w:ind w:left="52"/>
              <w:rPr>
                <w:rFonts w:ascii="Calibri"/>
                <w:b/>
                <w:sz w:val="19"/>
              </w:rPr>
            </w:pPr>
            <w:r>
              <w:rPr>
                <w:rFonts w:ascii="Calibri"/>
                <w:b/>
                <w:sz w:val="19"/>
              </w:rPr>
              <w:t>Costs and unit estimation</w:t>
            </w:r>
          </w:p>
        </w:tc>
        <w:tc>
          <w:tcPr>
            <w:tcW w:w="1697" w:type="dxa"/>
          </w:tcPr>
          <w:p w:rsidR="006A18FD" w:rsidRDefault="002D29FC">
            <w:pPr>
              <w:spacing w:before="1"/>
              <w:ind w:left="54"/>
              <w:rPr>
                <w:rFonts w:ascii="Calibri"/>
                <w:b/>
                <w:sz w:val="19"/>
              </w:rPr>
            </w:pPr>
            <w:r>
              <w:rPr>
                <w:rFonts w:ascii="Calibri"/>
                <w:b/>
                <w:sz w:val="19"/>
              </w:rPr>
              <w:t>2018/2019 value</w:t>
            </w:r>
          </w:p>
        </w:tc>
        <w:tc>
          <w:tcPr>
            <w:tcW w:w="6222" w:type="dxa"/>
          </w:tcPr>
          <w:p w:rsidR="006A18FD" w:rsidRDefault="002D29FC">
            <w:pPr>
              <w:spacing w:before="1"/>
              <w:ind w:left="52"/>
              <w:rPr>
                <w:rFonts w:ascii="Calibri"/>
                <w:b/>
                <w:sz w:val="19"/>
              </w:rPr>
            </w:pPr>
            <w:r>
              <w:rPr>
                <w:rFonts w:ascii="Calibri"/>
                <w:b/>
                <w:sz w:val="19"/>
              </w:rPr>
              <w:t>Notes</w:t>
            </w:r>
          </w:p>
        </w:tc>
      </w:tr>
      <w:tr w:rsidR="006A18FD">
        <w:trPr>
          <w:trHeight w:val="4620"/>
        </w:trPr>
        <w:tc>
          <w:tcPr>
            <w:tcW w:w="2261" w:type="dxa"/>
          </w:tcPr>
          <w:p w:rsidR="006A18FD" w:rsidRDefault="002D29FC">
            <w:pPr>
              <w:spacing w:before="1"/>
              <w:ind w:left="52" w:right="39"/>
              <w:rPr>
                <w:rFonts w:ascii="Calibri"/>
                <w:sz w:val="19"/>
              </w:rPr>
            </w:pPr>
            <w:r>
              <w:rPr>
                <w:rFonts w:ascii="Calibri"/>
                <w:sz w:val="19"/>
              </w:rPr>
              <w:t>A. Boarding out allowances, administration and the costs of social worker and other support staff who support foster carers</w:t>
            </w:r>
          </w:p>
        </w:tc>
        <w:tc>
          <w:tcPr>
            <w:tcW w:w="1697" w:type="dxa"/>
          </w:tcPr>
          <w:p w:rsidR="006A18FD" w:rsidRDefault="002D29FC">
            <w:pPr>
              <w:spacing w:before="1"/>
              <w:ind w:left="54" w:right="210"/>
              <w:rPr>
                <w:rFonts w:ascii="Calibri" w:hAnsi="Calibri"/>
                <w:sz w:val="19"/>
              </w:rPr>
            </w:pPr>
            <w:r>
              <w:rPr>
                <w:rFonts w:ascii="Calibri" w:hAnsi="Calibri"/>
                <w:sz w:val="19"/>
              </w:rPr>
              <w:t>£607 per child per week</w:t>
            </w:r>
          </w:p>
        </w:tc>
        <w:tc>
          <w:tcPr>
            <w:tcW w:w="6222" w:type="dxa"/>
          </w:tcPr>
          <w:p w:rsidR="006A18FD" w:rsidRDefault="002D29FC">
            <w:pPr>
              <w:spacing w:before="1"/>
              <w:ind w:left="52" w:right="61"/>
              <w:rPr>
                <w:rFonts w:ascii="Calibri" w:hAnsi="Calibri"/>
                <w:sz w:val="19"/>
              </w:rPr>
            </w:pPr>
            <w:r>
              <w:rPr>
                <w:rFonts w:ascii="Calibri" w:hAnsi="Calibri"/>
                <w:sz w:val="19"/>
              </w:rPr>
              <w:t>Using Section 251 data,</w:t>
            </w:r>
            <w:r>
              <w:rPr>
                <w:rFonts w:ascii="Calibri" w:hAnsi="Calibri"/>
                <w:position w:val="6"/>
                <w:sz w:val="12"/>
              </w:rPr>
              <w:t xml:space="preserve">1 </w:t>
            </w:r>
            <w:r>
              <w:rPr>
                <w:rFonts w:ascii="Calibri" w:hAnsi="Calibri"/>
                <w:sz w:val="19"/>
              </w:rPr>
              <w:t>and dividing total expenditure for all foster care (including children placed with family and friends, own-provision, private, other public and voluntary foster care) of £1,645,285,832 by the total number of days of care for children in foster placements with a relative or friend (code Q1), and children in foster placements with other foster carers (code Q2) (19,540,928),</w:t>
            </w:r>
            <w:r>
              <w:rPr>
                <w:rFonts w:ascii="Calibri" w:hAnsi="Calibri"/>
                <w:position w:val="6"/>
                <w:sz w:val="12"/>
              </w:rPr>
              <w:t xml:space="preserve">2   </w:t>
            </w:r>
            <w:r>
              <w:rPr>
                <w:rFonts w:ascii="Calibri" w:hAnsi="Calibri"/>
                <w:sz w:val="19"/>
              </w:rPr>
              <w:t>the cost per day for all foster care for 2017/18 was £84 (£87 per day and £609 per week when uprated to 2018/19 prices using the Personal Social Services (PSS) pay &amp; prices inflator). Local authorities reporting an average cost of more than £1,500 per week (1 local authority) has been excluded.</w:t>
            </w:r>
          </w:p>
          <w:p w:rsidR="006A18FD" w:rsidRDefault="006A18FD">
            <w:pPr>
              <w:spacing w:before="11"/>
              <w:rPr>
                <w:rFonts w:ascii="Calibri"/>
                <w:sz w:val="18"/>
              </w:rPr>
            </w:pPr>
          </w:p>
          <w:p w:rsidR="006A18FD" w:rsidRDefault="002D29FC">
            <w:pPr>
              <w:spacing w:before="1"/>
              <w:ind w:left="52" w:right="56"/>
              <w:rPr>
                <w:rFonts w:ascii="Calibri" w:hAnsi="Calibri"/>
                <w:sz w:val="19"/>
              </w:rPr>
            </w:pPr>
            <w:r>
              <w:rPr>
                <w:rFonts w:ascii="Calibri" w:hAnsi="Calibri"/>
                <w:sz w:val="19"/>
              </w:rPr>
              <w:t>Using Section 251 data</w:t>
            </w:r>
            <w:r>
              <w:rPr>
                <w:rFonts w:ascii="Calibri" w:hAnsi="Calibri"/>
                <w:position w:val="6"/>
                <w:sz w:val="12"/>
              </w:rPr>
              <w:t xml:space="preserve">1 </w:t>
            </w:r>
            <w:r>
              <w:rPr>
                <w:rFonts w:ascii="Calibri" w:hAnsi="Calibri"/>
                <w:sz w:val="19"/>
              </w:rPr>
              <w:t>and dividing total expenditure for LA provision foster care (including children placed with family and friends, own-provision and other public provision) of £830,709,206 by the total number of days of care for children in foster placements with a relative or friend (code Q1) and children in foster placements with other foster carers (code Q2) (12,799,470),</w:t>
            </w:r>
            <w:r>
              <w:rPr>
                <w:rFonts w:ascii="Calibri" w:hAnsi="Calibri"/>
                <w:position w:val="6"/>
                <w:sz w:val="12"/>
              </w:rPr>
              <w:t xml:space="preserve">2 </w:t>
            </w:r>
            <w:r>
              <w:rPr>
                <w:rFonts w:ascii="Calibri" w:hAnsi="Calibri"/>
                <w:sz w:val="19"/>
              </w:rPr>
              <w:t>the cost per day for 2017/18 was £65 (£67 per day or £466 per week when uprated to 2018/19 prices using the PSS pay &amp; prices inflator). Local authorities reporting an average cost of more than £1,500 per week (7 local authorities) have</w:t>
            </w:r>
            <w:r>
              <w:rPr>
                <w:rFonts w:ascii="Calibri" w:hAnsi="Calibri"/>
                <w:spacing w:val="-26"/>
                <w:sz w:val="19"/>
              </w:rPr>
              <w:t xml:space="preserve"> </w:t>
            </w:r>
            <w:r>
              <w:rPr>
                <w:rFonts w:ascii="Calibri" w:hAnsi="Calibri"/>
                <w:sz w:val="19"/>
              </w:rPr>
              <w:t>been</w:t>
            </w:r>
          </w:p>
          <w:p w:rsidR="006A18FD" w:rsidRDefault="002D29FC">
            <w:pPr>
              <w:spacing w:before="1" w:line="211" w:lineRule="exact"/>
              <w:ind w:left="52"/>
              <w:rPr>
                <w:rFonts w:ascii="Calibri"/>
                <w:sz w:val="19"/>
              </w:rPr>
            </w:pPr>
            <w:r>
              <w:rPr>
                <w:rFonts w:ascii="Calibri"/>
                <w:sz w:val="19"/>
              </w:rPr>
              <w:t>excluded.</w:t>
            </w:r>
          </w:p>
        </w:tc>
      </w:tr>
      <w:tr w:rsidR="006A18FD">
        <w:trPr>
          <w:trHeight w:val="680"/>
        </w:trPr>
        <w:tc>
          <w:tcPr>
            <w:tcW w:w="2261" w:type="dxa"/>
          </w:tcPr>
          <w:p w:rsidR="006A18FD" w:rsidRDefault="002D29FC">
            <w:pPr>
              <w:spacing w:before="1"/>
              <w:ind w:left="52"/>
              <w:rPr>
                <w:rFonts w:ascii="Calibri"/>
                <w:sz w:val="19"/>
              </w:rPr>
            </w:pPr>
            <w:r>
              <w:rPr>
                <w:rFonts w:ascii="Calibri"/>
                <w:sz w:val="19"/>
              </w:rPr>
              <w:t>B. Social care support</w:t>
            </w:r>
          </w:p>
        </w:tc>
        <w:tc>
          <w:tcPr>
            <w:tcW w:w="1697" w:type="dxa"/>
          </w:tcPr>
          <w:p w:rsidR="006A18FD" w:rsidRDefault="006A18FD">
            <w:pPr>
              <w:rPr>
                <w:rFonts w:ascii="Times New Roman"/>
                <w:sz w:val="18"/>
              </w:rPr>
            </w:pPr>
          </w:p>
        </w:tc>
        <w:tc>
          <w:tcPr>
            <w:tcW w:w="6222" w:type="dxa"/>
          </w:tcPr>
          <w:p w:rsidR="006A18FD" w:rsidRDefault="002D29FC">
            <w:pPr>
              <w:spacing w:before="1"/>
              <w:ind w:left="52" w:right="49"/>
              <w:rPr>
                <w:rFonts w:ascii="Calibri"/>
                <w:sz w:val="19"/>
              </w:rPr>
            </w:pPr>
            <w:r>
              <w:rPr>
                <w:rFonts w:ascii="Calibri"/>
                <w:sz w:val="19"/>
              </w:rPr>
              <w:t>No current information available on social work costs (teams and centres) directly related to fostered children. See previous editions for the cost of social</w:t>
            </w:r>
          </w:p>
          <w:p w:rsidR="006A18FD" w:rsidRDefault="002D29FC">
            <w:pPr>
              <w:spacing w:line="211" w:lineRule="exact"/>
              <w:ind w:left="52"/>
              <w:rPr>
                <w:rFonts w:ascii="Calibri"/>
                <w:sz w:val="12"/>
              </w:rPr>
            </w:pPr>
            <w:r>
              <w:rPr>
                <w:rFonts w:ascii="Calibri"/>
                <w:sz w:val="19"/>
              </w:rPr>
              <w:t>services support estimated from the Children in Need (CiN) census 2005.</w:t>
            </w:r>
            <w:r>
              <w:rPr>
                <w:rFonts w:ascii="Calibri"/>
                <w:position w:val="6"/>
                <w:sz w:val="12"/>
              </w:rPr>
              <w:t>3</w:t>
            </w:r>
          </w:p>
        </w:tc>
      </w:tr>
      <w:tr w:rsidR="006A18FD">
        <w:trPr>
          <w:trHeight w:val="220"/>
        </w:trPr>
        <w:tc>
          <w:tcPr>
            <w:tcW w:w="2261" w:type="dxa"/>
          </w:tcPr>
          <w:p w:rsidR="006A18FD" w:rsidRDefault="002D29FC">
            <w:pPr>
              <w:spacing w:before="1" w:line="211" w:lineRule="exact"/>
              <w:ind w:left="52"/>
              <w:rPr>
                <w:rFonts w:ascii="Calibri"/>
                <w:sz w:val="19"/>
              </w:rPr>
            </w:pPr>
            <w:r>
              <w:rPr>
                <w:rFonts w:ascii="Calibri"/>
                <w:sz w:val="19"/>
              </w:rPr>
              <w:t>C. Overheads</w:t>
            </w:r>
          </w:p>
        </w:tc>
        <w:tc>
          <w:tcPr>
            <w:tcW w:w="1697" w:type="dxa"/>
          </w:tcPr>
          <w:p w:rsidR="006A18FD" w:rsidRDefault="006A18FD">
            <w:pPr>
              <w:rPr>
                <w:rFonts w:ascii="Times New Roman"/>
                <w:sz w:val="16"/>
              </w:rPr>
            </w:pPr>
          </w:p>
        </w:tc>
        <w:tc>
          <w:tcPr>
            <w:tcW w:w="6222" w:type="dxa"/>
          </w:tcPr>
          <w:p w:rsidR="006A18FD" w:rsidRDefault="002D29FC">
            <w:pPr>
              <w:spacing w:before="1" w:line="211" w:lineRule="exact"/>
              <w:ind w:left="52"/>
              <w:rPr>
                <w:rFonts w:ascii="Calibri"/>
                <w:sz w:val="19"/>
              </w:rPr>
            </w:pPr>
            <w:r>
              <w:rPr>
                <w:rFonts w:ascii="Calibri"/>
                <w:sz w:val="19"/>
              </w:rPr>
              <w:t>No current information available.</w:t>
            </w:r>
          </w:p>
        </w:tc>
      </w:tr>
      <w:tr w:rsidR="006A18FD">
        <w:trPr>
          <w:trHeight w:val="1380"/>
        </w:trPr>
        <w:tc>
          <w:tcPr>
            <w:tcW w:w="2261" w:type="dxa"/>
          </w:tcPr>
          <w:p w:rsidR="006A18FD" w:rsidRDefault="002D29FC">
            <w:pPr>
              <w:spacing w:before="1"/>
              <w:ind w:left="52" w:right="74"/>
              <w:rPr>
                <w:rFonts w:ascii="Calibri"/>
                <w:sz w:val="19"/>
              </w:rPr>
            </w:pPr>
            <w:r>
              <w:rPr>
                <w:rFonts w:ascii="Calibri"/>
                <w:sz w:val="19"/>
              </w:rPr>
              <w:t>D. Other services, including education</w:t>
            </w:r>
          </w:p>
        </w:tc>
        <w:tc>
          <w:tcPr>
            <w:tcW w:w="1697" w:type="dxa"/>
          </w:tcPr>
          <w:p w:rsidR="006A18FD" w:rsidRDefault="002D29FC">
            <w:pPr>
              <w:spacing w:before="1"/>
              <w:ind w:left="54" w:right="100"/>
              <w:rPr>
                <w:rFonts w:ascii="Calibri" w:hAnsi="Calibri"/>
                <w:sz w:val="19"/>
              </w:rPr>
            </w:pPr>
            <w:r>
              <w:rPr>
                <w:rFonts w:ascii="Calibri" w:hAnsi="Calibri"/>
                <w:sz w:val="19"/>
              </w:rPr>
              <w:t>£14.30 per resident week for school support</w:t>
            </w:r>
          </w:p>
        </w:tc>
        <w:tc>
          <w:tcPr>
            <w:tcW w:w="6222" w:type="dxa"/>
          </w:tcPr>
          <w:p w:rsidR="006A18FD" w:rsidRDefault="002D29FC">
            <w:pPr>
              <w:spacing w:before="1"/>
              <w:ind w:left="52" w:right="51"/>
              <w:rPr>
                <w:rFonts w:ascii="Calibri" w:hAnsi="Calibri"/>
                <w:sz w:val="19"/>
              </w:rPr>
            </w:pPr>
            <w:r>
              <w:rPr>
                <w:rFonts w:ascii="Calibri" w:hAnsi="Calibri"/>
                <w:sz w:val="19"/>
              </w:rPr>
              <w:t>Using Section 251 data,</w:t>
            </w:r>
            <w:r>
              <w:rPr>
                <w:rFonts w:ascii="Calibri" w:hAnsi="Calibri"/>
                <w:position w:val="6"/>
                <w:sz w:val="12"/>
              </w:rPr>
              <w:t xml:space="preserve">1 </w:t>
            </w:r>
            <w:r>
              <w:rPr>
                <w:rFonts w:ascii="Calibri" w:hAnsi="Calibri"/>
                <w:sz w:val="19"/>
              </w:rPr>
              <w:t>and dividing total expenditure for ‘education of looked-after children’ (£44,572,670) by total children looked-after aged 5 and over (61,330),</w:t>
            </w:r>
            <w:r>
              <w:rPr>
                <w:rFonts w:ascii="Calibri" w:hAnsi="Calibri"/>
                <w:position w:val="6"/>
                <w:sz w:val="12"/>
              </w:rPr>
              <w:t xml:space="preserve">4 </w:t>
            </w:r>
            <w:r>
              <w:rPr>
                <w:rFonts w:ascii="Calibri" w:hAnsi="Calibri"/>
                <w:sz w:val="19"/>
              </w:rPr>
              <w:t>a cost per child per year for education was calculated (£727). When uprated, this gives a cost of £14.30 per resident week. This cost excludes school spending and relates to additional LA services to promote the education</w:t>
            </w:r>
          </w:p>
          <w:p w:rsidR="006A18FD" w:rsidRDefault="002D29FC">
            <w:pPr>
              <w:spacing w:line="211" w:lineRule="exact"/>
              <w:ind w:left="52"/>
              <w:rPr>
                <w:rFonts w:ascii="Calibri"/>
                <w:sz w:val="19"/>
              </w:rPr>
            </w:pPr>
            <w:r>
              <w:rPr>
                <w:rFonts w:ascii="Calibri"/>
                <w:sz w:val="19"/>
              </w:rPr>
              <w:t>of looked-after children, for example virtual heads.</w:t>
            </w:r>
          </w:p>
        </w:tc>
      </w:tr>
      <w:tr w:rsidR="006A18FD">
        <w:trPr>
          <w:trHeight w:val="460"/>
        </w:trPr>
        <w:tc>
          <w:tcPr>
            <w:tcW w:w="2261" w:type="dxa"/>
          </w:tcPr>
          <w:p w:rsidR="006A18FD" w:rsidRDefault="002D29FC">
            <w:pPr>
              <w:spacing w:before="1"/>
              <w:ind w:left="52"/>
              <w:rPr>
                <w:rFonts w:ascii="Calibri"/>
                <w:sz w:val="19"/>
              </w:rPr>
            </w:pPr>
            <w:r>
              <w:rPr>
                <w:rFonts w:ascii="Calibri"/>
                <w:sz w:val="19"/>
              </w:rPr>
              <w:t>Service use by client</w:t>
            </w:r>
          </w:p>
        </w:tc>
        <w:tc>
          <w:tcPr>
            <w:tcW w:w="1697" w:type="dxa"/>
          </w:tcPr>
          <w:p w:rsidR="006A18FD" w:rsidRDefault="002D29FC">
            <w:pPr>
              <w:spacing w:before="1" w:line="231" w:lineRule="exact"/>
              <w:ind w:left="54"/>
              <w:rPr>
                <w:rFonts w:ascii="Calibri"/>
                <w:sz w:val="19"/>
              </w:rPr>
            </w:pPr>
            <w:r>
              <w:rPr>
                <w:rFonts w:ascii="Calibri"/>
                <w:sz w:val="19"/>
              </w:rPr>
              <w:t>52.18 weeks per</w:t>
            </w:r>
          </w:p>
          <w:p w:rsidR="006A18FD" w:rsidRDefault="002D29FC">
            <w:pPr>
              <w:spacing w:line="210" w:lineRule="exact"/>
              <w:ind w:left="54"/>
              <w:rPr>
                <w:rFonts w:ascii="Calibri"/>
                <w:sz w:val="19"/>
              </w:rPr>
            </w:pPr>
            <w:r>
              <w:rPr>
                <w:rFonts w:ascii="Calibri"/>
                <w:sz w:val="19"/>
              </w:rPr>
              <w:t>year</w:t>
            </w:r>
          </w:p>
        </w:tc>
        <w:tc>
          <w:tcPr>
            <w:tcW w:w="6222" w:type="dxa"/>
          </w:tcPr>
          <w:p w:rsidR="006A18FD" w:rsidRDefault="006A18FD">
            <w:pPr>
              <w:rPr>
                <w:rFonts w:ascii="Times New Roman"/>
                <w:sz w:val="18"/>
              </w:rPr>
            </w:pPr>
          </w:p>
        </w:tc>
      </w:tr>
      <w:tr w:rsidR="006A18FD">
        <w:trPr>
          <w:trHeight w:val="220"/>
        </w:trPr>
        <w:tc>
          <w:tcPr>
            <w:tcW w:w="2261" w:type="dxa"/>
          </w:tcPr>
          <w:p w:rsidR="006A18FD" w:rsidRDefault="002D29FC">
            <w:pPr>
              <w:spacing w:before="1" w:line="211" w:lineRule="exact"/>
              <w:ind w:left="52"/>
              <w:rPr>
                <w:rFonts w:ascii="Calibri"/>
                <w:sz w:val="19"/>
              </w:rPr>
            </w:pPr>
            <w:r>
              <w:rPr>
                <w:rFonts w:ascii="Calibri"/>
                <w:sz w:val="19"/>
              </w:rPr>
              <w:t>London multiplier</w:t>
            </w:r>
          </w:p>
        </w:tc>
        <w:tc>
          <w:tcPr>
            <w:tcW w:w="1697" w:type="dxa"/>
          </w:tcPr>
          <w:p w:rsidR="006A18FD" w:rsidRDefault="002D29FC">
            <w:pPr>
              <w:spacing w:before="1" w:line="211" w:lineRule="exact"/>
              <w:ind w:left="54"/>
              <w:rPr>
                <w:rFonts w:ascii="Calibri"/>
                <w:sz w:val="19"/>
              </w:rPr>
            </w:pPr>
            <w:r>
              <w:rPr>
                <w:rFonts w:ascii="Calibri"/>
                <w:sz w:val="19"/>
              </w:rPr>
              <w:t>1.24 x A</w:t>
            </w:r>
          </w:p>
        </w:tc>
        <w:tc>
          <w:tcPr>
            <w:tcW w:w="6222" w:type="dxa"/>
          </w:tcPr>
          <w:p w:rsidR="006A18FD" w:rsidRDefault="002D29FC">
            <w:pPr>
              <w:spacing w:before="1" w:line="211" w:lineRule="exact"/>
              <w:ind w:left="52"/>
              <w:rPr>
                <w:rFonts w:ascii="Calibri"/>
                <w:sz w:val="12"/>
              </w:rPr>
            </w:pPr>
            <w:r>
              <w:rPr>
                <w:rFonts w:ascii="Calibri"/>
                <w:sz w:val="19"/>
              </w:rPr>
              <w:t>Relative London costs are drawn from the same source as the base data.</w:t>
            </w:r>
            <w:r>
              <w:rPr>
                <w:rFonts w:ascii="Calibri"/>
                <w:position w:val="6"/>
                <w:sz w:val="12"/>
              </w:rPr>
              <w:t>1</w:t>
            </w:r>
          </w:p>
        </w:tc>
      </w:tr>
      <w:tr w:rsidR="006A18FD">
        <w:trPr>
          <w:trHeight w:val="340"/>
        </w:trPr>
        <w:tc>
          <w:tcPr>
            <w:tcW w:w="10180" w:type="dxa"/>
            <w:gridSpan w:val="3"/>
          </w:tcPr>
          <w:p w:rsidR="006A18FD" w:rsidRDefault="002D29FC">
            <w:pPr>
              <w:spacing w:before="1"/>
              <w:ind w:left="52"/>
              <w:rPr>
                <w:rFonts w:ascii="Calibri"/>
                <w:b/>
                <w:sz w:val="19"/>
              </w:rPr>
            </w:pPr>
            <w:r>
              <w:rPr>
                <w:rFonts w:ascii="Calibri"/>
                <w:b/>
                <w:sz w:val="19"/>
              </w:rPr>
              <w:t>Unit costs available 2018/2019</w:t>
            </w:r>
          </w:p>
        </w:tc>
      </w:tr>
      <w:tr w:rsidR="006A18FD">
        <w:trPr>
          <w:trHeight w:val="460"/>
        </w:trPr>
        <w:tc>
          <w:tcPr>
            <w:tcW w:w="10180" w:type="dxa"/>
            <w:gridSpan w:val="3"/>
          </w:tcPr>
          <w:p w:rsidR="006A18FD" w:rsidRDefault="002D29FC">
            <w:pPr>
              <w:spacing w:before="1" w:line="231" w:lineRule="exact"/>
              <w:ind w:left="52"/>
              <w:rPr>
                <w:rFonts w:ascii="Calibri" w:hAnsi="Calibri"/>
                <w:sz w:val="19"/>
              </w:rPr>
            </w:pPr>
            <w:r>
              <w:rPr>
                <w:rFonts w:ascii="Calibri" w:hAnsi="Calibri"/>
                <w:sz w:val="19"/>
              </w:rPr>
              <w:t>£621 per child per week (excluding social care support directly related to fostered children but including additional education</w:t>
            </w:r>
          </w:p>
          <w:p w:rsidR="006A18FD" w:rsidRDefault="002D29FC">
            <w:pPr>
              <w:spacing w:line="213" w:lineRule="exact"/>
              <w:ind w:left="52"/>
              <w:rPr>
                <w:rFonts w:ascii="Calibri"/>
                <w:sz w:val="19"/>
              </w:rPr>
            </w:pPr>
            <w:r>
              <w:rPr>
                <w:rFonts w:ascii="Calibri"/>
                <w:sz w:val="19"/>
              </w:rPr>
              <w:t>services).</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6"/>
        <w:rPr>
          <w:rFonts w:ascii="Calibri"/>
          <w:sz w:val="18"/>
        </w:rPr>
      </w:pPr>
    </w:p>
    <w:p w:rsidR="006A18FD" w:rsidRDefault="002D29FC">
      <w:pPr>
        <w:ind w:left="436" w:hanging="284"/>
        <w:rPr>
          <w:rFonts w:ascii="Calibri"/>
          <w:sz w:val="16"/>
        </w:rPr>
      </w:pPr>
      <w:r>
        <w:rPr>
          <w:rFonts w:ascii="Calibri"/>
          <w:position w:val="5"/>
          <w:sz w:val="10"/>
        </w:rPr>
        <w:t xml:space="preserve">1 </w:t>
      </w:r>
      <w:r>
        <w:rPr>
          <w:rFonts w:ascii="Calibri"/>
          <w:sz w:val="16"/>
        </w:rPr>
        <w:t xml:space="preserve">Department for Education (2019) </w:t>
      </w:r>
      <w:r>
        <w:rPr>
          <w:rFonts w:ascii="Calibri"/>
          <w:i/>
          <w:sz w:val="16"/>
        </w:rPr>
        <w:t>Section 251 documents</w:t>
      </w:r>
      <w:r>
        <w:rPr>
          <w:rFonts w:ascii="Calibri"/>
          <w:sz w:val="16"/>
        </w:rPr>
        <w:t xml:space="preserve">, Department for Education, London. </w:t>
      </w:r>
      <w:hyperlink r:id="rId222">
        <w:r>
          <w:rPr>
            <w:rFonts w:ascii="Calibri"/>
            <w:sz w:val="16"/>
            <w:u w:val="single"/>
          </w:rPr>
          <w:t>https://www.gov.uk/government/collections/section-251-</w:t>
        </w:r>
      </w:hyperlink>
      <w:r>
        <w:rPr>
          <w:rFonts w:ascii="Calibri"/>
          <w:sz w:val="16"/>
        </w:rPr>
        <w:t xml:space="preserve"> </w:t>
      </w:r>
      <w:hyperlink r:id="rId223">
        <w:r>
          <w:rPr>
            <w:rFonts w:ascii="Calibri"/>
            <w:sz w:val="16"/>
            <w:u w:val="single"/>
          </w:rPr>
          <w:t>materials</w:t>
        </w:r>
        <w:r>
          <w:rPr>
            <w:rFonts w:ascii="Calibri"/>
            <w:sz w:val="16"/>
          </w:rPr>
          <w:t xml:space="preserve"> </w:t>
        </w:r>
      </w:hyperlink>
      <w:r>
        <w:rPr>
          <w:rFonts w:ascii="Calibri"/>
          <w:sz w:val="16"/>
        </w:rPr>
        <w:t>[accessed 29 October 2019].</w:t>
      </w:r>
    </w:p>
    <w:p w:rsidR="006A18FD" w:rsidRDefault="00E60AD2">
      <w:pPr>
        <w:spacing w:before="1"/>
        <w:ind w:left="436" w:right="230" w:hanging="284"/>
        <w:rPr>
          <w:rFonts w:ascii="Calibri"/>
          <w:sz w:val="16"/>
        </w:rPr>
      </w:pPr>
      <w:r>
        <w:rPr>
          <w:noProof/>
          <w:lang w:val="en-GB" w:eastAsia="en-GB"/>
        </w:rPr>
        <mc:AlternateContent>
          <mc:Choice Requires="wps">
            <w:drawing>
              <wp:anchor distT="0" distB="0" distL="114300" distR="114300" simplePos="0" relativeHeight="251611136" behindDoc="1" locked="0" layoutInCell="1" allowOverlap="1">
                <wp:simplePos x="0" y="0"/>
                <wp:positionH relativeFrom="page">
                  <wp:posOffset>899160</wp:posOffset>
                </wp:positionH>
                <wp:positionV relativeFrom="paragraph">
                  <wp:posOffset>236220</wp:posOffset>
                </wp:positionV>
                <wp:extent cx="2385695" cy="0"/>
                <wp:effectExtent l="13335" t="7620" r="10795" b="11430"/>
                <wp:wrapNone/>
                <wp:docPr id="29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6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7F267" id="Line 154"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8.6pt" to="258.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s7Fw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" strokeweight=".48pt">
                <w10:wrap anchorx="page"/>
              </v:line>
            </w:pict>
          </mc:Fallback>
        </mc:AlternateContent>
      </w:r>
      <w:r w:rsidR="002D29FC">
        <w:rPr>
          <w:rFonts w:ascii="Calibri"/>
          <w:position w:val="5"/>
          <w:sz w:val="10"/>
        </w:rPr>
        <w:t>2</w:t>
      </w:r>
      <w:r w:rsidR="002D29FC">
        <w:rPr>
          <w:rFonts w:ascii="Calibri"/>
          <w:sz w:val="16"/>
        </w:rPr>
        <w:t xml:space="preserve">Department for Education (2019) </w:t>
      </w:r>
      <w:r w:rsidR="002D29FC">
        <w:rPr>
          <w:rFonts w:ascii="Calibri"/>
          <w:i/>
          <w:sz w:val="16"/>
        </w:rPr>
        <w:t>Children looked after in England including adoption: 2017 to 2018</w:t>
      </w:r>
      <w:r w:rsidR="002D29FC">
        <w:rPr>
          <w:rFonts w:ascii="Calibri"/>
          <w:sz w:val="16"/>
        </w:rPr>
        <w:t xml:space="preserve">, </w:t>
      </w:r>
      <w:hyperlink r:id="rId224">
        <w:r w:rsidR="002D29FC">
          <w:rPr>
            <w:rFonts w:ascii="Calibri"/>
            <w:sz w:val="16"/>
            <w:u w:val="single"/>
          </w:rPr>
          <w:t>https://www.gov.uk/government/statistics/children-</w:t>
        </w:r>
      </w:hyperlink>
      <w:r w:rsidR="002D29FC">
        <w:rPr>
          <w:rFonts w:ascii="Calibri"/>
          <w:sz w:val="16"/>
        </w:rPr>
        <w:t xml:space="preserve"> </w:t>
      </w:r>
      <w:hyperlink r:id="rId225">
        <w:r w:rsidR="002D29FC">
          <w:rPr>
            <w:rFonts w:ascii="Calibri"/>
            <w:sz w:val="16"/>
          </w:rPr>
          <w:t>looked-after-in-england-including-adoption-2017-to-2018</w:t>
        </w:r>
      </w:hyperlink>
      <w:r w:rsidR="002D29FC">
        <w:rPr>
          <w:rFonts w:ascii="Calibri"/>
          <w:sz w:val="16"/>
        </w:rPr>
        <w:t xml:space="preserve"> [accessed 5 November 2019].</w:t>
      </w:r>
    </w:p>
    <w:p w:rsidR="006A18FD" w:rsidRDefault="002D29FC">
      <w:pPr>
        <w:ind w:left="436" w:right="341" w:hanging="284"/>
        <w:rPr>
          <w:rFonts w:ascii="Calibri" w:hAnsi="Calibri"/>
          <w:sz w:val="16"/>
        </w:rPr>
      </w:pPr>
      <w:r>
        <w:rPr>
          <w:rFonts w:ascii="Calibri" w:hAnsi="Calibri"/>
          <w:position w:val="5"/>
          <w:sz w:val="10"/>
        </w:rPr>
        <w:t xml:space="preserve">3 </w:t>
      </w:r>
      <w:r>
        <w:rPr>
          <w:rFonts w:ascii="Calibri" w:hAnsi="Calibri"/>
          <w:sz w:val="16"/>
        </w:rPr>
        <w:t xml:space="preserve">Department for Education &amp; Skills (2005) </w:t>
      </w:r>
      <w:r>
        <w:rPr>
          <w:rFonts w:ascii="Calibri" w:hAnsi="Calibri"/>
          <w:i/>
          <w:sz w:val="16"/>
        </w:rPr>
        <w:t>Children in need in England: results of a survey of activity and expenditure as reported by local authority social services’ children and families teams for a survey week in February 2005</w:t>
      </w:r>
      <w:r>
        <w:rPr>
          <w:rFonts w:ascii="Calibri" w:hAnsi="Calibri"/>
          <w:sz w:val="16"/>
        </w:rPr>
        <w:t>, Department for Education &amp; Skills, London.</w:t>
      </w:r>
    </w:p>
    <w:p w:rsidR="006A18FD" w:rsidRDefault="002D29FC">
      <w:pPr>
        <w:ind w:left="436" w:right="809" w:hanging="284"/>
        <w:rPr>
          <w:rFonts w:ascii="Calibri"/>
          <w:sz w:val="16"/>
        </w:rPr>
      </w:pPr>
      <w:r>
        <w:rPr>
          <w:rFonts w:ascii="Calibri"/>
          <w:position w:val="5"/>
          <w:sz w:val="10"/>
        </w:rPr>
        <w:t xml:space="preserve">4 </w:t>
      </w:r>
      <w:r>
        <w:rPr>
          <w:rFonts w:ascii="Calibri"/>
          <w:sz w:val="16"/>
        </w:rPr>
        <w:t xml:space="preserve">Department for Education (2017) </w:t>
      </w:r>
      <w:r>
        <w:rPr>
          <w:rFonts w:ascii="Calibri"/>
          <w:i/>
          <w:sz w:val="16"/>
        </w:rPr>
        <w:t>Children looked after in England including adoption: 2017 to 2018</w:t>
      </w:r>
      <w:r>
        <w:rPr>
          <w:rFonts w:ascii="Calibri"/>
          <w:sz w:val="16"/>
        </w:rPr>
        <w:t xml:space="preserve">, </w:t>
      </w:r>
      <w:hyperlink r:id="rId226">
        <w:r>
          <w:rPr>
            <w:rFonts w:ascii="Calibri"/>
            <w:sz w:val="16"/>
            <w:u w:val="single"/>
          </w:rPr>
          <w:t>https://www.gov.uk/government/statistics/children-looked-after-in-england-including-adoption-2017-to-2018</w:t>
        </w:r>
        <w:r>
          <w:rPr>
            <w:rFonts w:ascii="Calibri"/>
            <w:sz w:val="16"/>
          </w:rPr>
          <w:t xml:space="preserve"> </w:t>
        </w:r>
      </w:hyperlink>
      <w:r>
        <w:rPr>
          <w:rFonts w:ascii="Calibri"/>
          <w:sz w:val="16"/>
        </w:rPr>
        <w:t>[accessed 5 November 2019].</w:t>
      </w:r>
    </w:p>
    <w:p w:rsidR="006A18FD" w:rsidRDefault="006A18FD">
      <w:pPr>
        <w:rPr>
          <w:rFonts w:ascii="Calibri"/>
          <w:sz w:val="16"/>
        </w:rPr>
        <w:sectPr w:rsidR="006A18FD">
          <w:pgSz w:w="11910" w:h="16840"/>
          <w:pgMar w:top="960" w:right="52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9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96" name="Line 15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A5911F" id="Group 15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AQHnjEfQIAAIEFAAAO&#10;AAAAAAAAAAAAAAAAAC4CAABkcnMvZTJvRG9jLnhtbFBLAQItABQABgAIAAAAIQAtd+Rc2gAAAAQB&#10;AAAPAAAAAAAAAAAAAAAAANcEAABkcnMvZG93bnJldi54bWxQSwUGAAAAAAQABADzAAAA3gUAAAAA&#10;">
                <v:line id="Line 15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w10:anchorlock/>
              </v:group>
            </w:pict>
          </mc:Fallback>
        </mc:AlternateContent>
      </w:r>
    </w:p>
    <w:p w:rsidR="006A18FD" w:rsidRDefault="00E06635" w:rsidP="00E06635">
      <w:pPr>
        <w:pStyle w:val="Heading2"/>
      </w:pPr>
      <w:r>
        <w:t xml:space="preserve">6.6 </w:t>
      </w:r>
      <w:r w:rsidR="002D29FC">
        <w:t>Adoption</w:t>
      </w:r>
    </w:p>
    <w:p w:rsidR="006A18FD" w:rsidRDefault="002D29FC">
      <w:pPr>
        <w:spacing w:before="169" w:line="276" w:lineRule="auto"/>
        <w:ind w:left="140" w:right="182"/>
        <w:rPr>
          <w:rFonts w:ascii="Calibri" w:hAnsi="Calibri"/>
          <w:sz w:val="20"/>
        </w:rPr>
      </w:pPr>
      <w:r>
        <w:rPr>
          <w:rFonts w:ascii="Calibri" w:hAnsi="Calibri"/>
          <w:sz w:val="20"/>
        </w:rPr>
        <w:t>In 2013, an overview of the adoption research initiative was published.</w:t>
      </w:r>
      <w:r>
        <w:rPr>
          <w:rFonts w:ascii="Calibri" w:hAnsi="Calibri"/>
          <w:position w:val="7"/>
          <w:sz w:val="13"/>
        </w:rPr>
        <w:t xml:space="preserve">1 </w:t>
      </w:r>
      <w:r>
        <w:rPr>
          <w:rFonts w:ascii="Calibri" w:hAnsi="Calibri"/>
          <w:sz w:val="20"/>
        </w:rPr>
        <w:t>This draws on studies commissioned by the Department for Education (DfE) as part of the Adoption Research Initiative (ARI) to explore issues relating to the implementation of the Adoption and Children Act 2002 in England and Wales. This schema draws mainly on information contained in this overview, providing the costs of various stages of the adoption process, from the fees to post-adoption support for families. It begins with information from a routine source: Section 251 of the Department for Education’s financial data collection. It also includes findings from a survey conducted in 2016 to inform the Centre for Child and Family Research’s (CCFR’s) initial work to extend the Cost Calculator for Children’s Services (CCFCS) to include adoption services in England. All costs have been uprated using appropriate inflators.</w:t>
      </w:r>
    </w:p>
    <w:p w:rsidR="006A18FD" w:rsidRDefault="002D29FC" w:rsidP="00E06635">
      <w:pPr>
        <w:pStyle w:val="Heading3"/>
      </w:pPr>
      <w:r>
        <w:t>Local authority expenditure – Section 251</w:t>
      </w:r>
    </w:p>
    <w:p w:rsidR="006A18FD" w:rsidRDefault="002D29FC">
      <w:pPr>
        <w:spacing w:before="155" w:line="276" w:lineRule="auto"/>
        <w:ind w:left="140" w:right="142"/>
        <w:rPr>
          <w:rFonts w:ascii="Calibri" w:hAnsi="Calibri"/>
          <w:sz w:val="20"/>
        </w:rPr>
      </w:pPr>
      <w:r>
        <w:rPr>
          <w:rFonts w:ascii="Calibri" w:hAnsi="Calibri"/>
          <w:sz w:val="20"/>
        </w:rPr>
        <w:t>Based on the Section 251 budget summary for 2018/2019, the total expenditure on adoption services is £308,902,924.</w:t>
      </w:r>
      <w:r>
        <w:rPr>
          <w:rFonts w:ascii="Calibri" w:hAnsi="Calibri"/>
          <w:position w:val="7"/>
          <w:sz w:val="13"/>
        </w:rPr>
        <w:t xml:space="preserve">2 </w:t>
      </w:r>
      <w:r>
        <w:rPr>
          <w:rFonts w:ascii="Calibri" w:hAnsi="Calibri"/>
          <w:sz w:val="20"/>
        </w:rPr>
        <w:t>This comprises staff and overhead costs associated with adoption, including the costs of social workers recruiting and assessing prospective adopters, supporting existing prospective adopters, and costs related to post-adoption support services.</w:t>
      </w:r>
    </w:p>
    <w:p w:rsidR="006A18FD" w:rsidRDefault="002D29FC">
      <w:pPr>
        <w:spacing w:line="276" w:lineRule="auto"/>
        <w:ind w:left="140"/>
        <w:rPr>
          <w:rFonts w:ascii="Calibri"/>
          <w:sz w:val="20"/>
        </w:rPr>
      </w:pPr>
      <w:r>
        <w:rPr>
          <w:rFonts w:ascii="Calibri"/>
          <w:sz w:val="20"/>
        </w:rPr>
        <w:t>Support services can include: financial support; services to enable discussion groups for adoptive children/parents and birth parents or guardians; contact and mediation assistance; therapeutic services; counselling, advice and information.</w:t>
      </w:r>
    </w:p>
    <w:p w:rsidR="006A18FD" w:rsidRDefault="002D29FC">
      <w:pPr>
        <w:spacing w:line="273" w:lineRule="auto"/>
        <w:ind w:left="140" w:right="284"/>
        <w:rPr>
          <w:rFonts w:ascii="Calibri"/>
          <w:sz w:val="13"/>
        </w:rPr>
      </w:pPr>
      <w:r>
        <w:rPr>
          <w:rFonts w:ascii="Calibri"/>
          <w:sz w:val="20"/>
        </w:rPr>
        <w:t>Provision of adoption support is based on assessed needs. Financial payments are made depending on the needs of the child and are means-tested. Expenditure on care placements for children with a placement order and waiting to be adopted is excluded, as are any direct social work costs for adopted children.</w:t>
      </w:r>
      <w:r>
        <w:rPr>
          <w:rFonts w:ascii="Calibri"/>
          <w:position w:val="7"/>
          <w:sz w:val="13"/>
        </w:rPr>
        <w:t>2</w:t>
      </w:r>
    </w:p>
    <w:p w:rsidR="006A18FD" w:rsidRDefault="006A18FD">
      <w:pPr>
        <w:spacing w:before="10"/>
        <w:rPr>
          <w:rFonts w:ascii="Calibri"/>
          <w:sz w:val="16"/>
        </w:rPr>
      </w:pPr>
    </w:p>
    <w:p w:rsidR="006A18FD" w:rsidRDefault="002D29FC">
      <w:pPr>
        <w:spacing w:line="276" w:lineRule="auto"/>
        <w:ind w:left="140" w:right="195"/>
        <w:rPr>
          <w:rFonts w:ascii="Calibri" w:hAnsi="Calibri"/>
          <w:sz w:val="20"/>
        </w:rPr>
      </w:pPr>
      <w:r>
        <w:rPr>
          <w:rFonts w:ascii="Calibri" w:hAnsi="Calibri"/>
          <w:sz w:val="20"/>
        </w:rPr>
        <w:t>Based on returns from 30 local authorities which form part of the Chartered Institute of Public Finance &amp; Accountancy (CIPFA) benchmarking clubs (</w:t>
      </w:r>
      <w:hyperlink r:id="rId227">
        <w:r>
          <w:rPr>
            <w:rFonts w:ascii="Calibri" w:hAnsi="Calibri"/>
            <w:sz w:val="20"/>
            <w:u w:val="single"/>
          </w:rPr>
          <w:t>http://www.cipfa.org/services/benchmarking</w:t>
        </w:r>
      </w:hyperlink>
      <w:r>
        <w:rPr>
          <w:rFonts w:ascii="Calibri" w:hAnsi="Calibri"/>
          <w:sz w:val="20"/>
        </w:rPr>
        <w:t xml:space="preserve">), the average spend per authority on adoption services in 2017 was £2,659,300 compared with £2,424,700 in 2016. </w:t>
      </w:r>
      <w:r>
        <w:rPr>
          <w:rFonts w:ascii="Calibri" w:hAnsi="Calibri"/>
          <w:b/>
          <w:sz w:val="20"/>
        </w:rPr>
        <w:t>No data beyond 2017 is being collected by CIPFA</w:t>
      </w:r>
      <w:r>
        <w:rPr>
          <w:rFonts w:ascii="Calibri" w:hAnsi="Calibri"/>
          <w:sz w:val="20"/>
        </w:rPr>
        <w:t>. In 2017, 23 per cent of total spend was attributed to social workers (including agency staff, floating staff, staff off sick) and includes pay, overtime, national insurance and any pension contributions. Seven per cent was allocated to costs relating to all other adoption service staff, 22 per cent to other direct costs (including adoption support), 3 per cent to service overheads (property costs relating to service provision, cost of Head of Service and management, business support, the adoption management team and procurement, and nearly 7 per cent to corporate overheads. Thirty nine per cent of expenditure was attributed to the adoption allowance.</w:t>
      </w:r>
    </w:p>
    <w:p w:rsidR="006A18FD" w:rsidRDefault="006A18FD">
      <w:pPr>
        <w:spacing w:before="3"/>
        <w:rPr>
          <w:rFonts w:ascii="Calibri"/>
          <w:sz w:val="16"/>
        </w:rPr>
      </w:pPr>
    </w:p>
    <w:p w:rsidR="006A18FD" w:rsidRDefault="002D29FC">
      <w:pPr>
        <w:spacing w:line="273" w:lineRule="auto"/>
        <w:ind w:left="140" w:right="273"/>
        <w:rPr>
          <w:rFonts w:ascii="Calibri"/>
          <w:sz w:val="13"/>
        </w:rPr>
      </w:pPr>
      <w:r>
        <w:rPr>
          <w:rFonts w:ascii="Calibri"/>
          <w:sz w:val="20"/>
        </w:rPr>
        <w:t>At year end 31 March 2018, 5,360 children had a placement order; 55,240 had a care order and there was a voluntary agreement (S20) in place for 14,500.</w:t>
      </w:r>
      <w:r>
        <w:rPr>
          <w:rFonts w:ascii="Calibri"/>
          <w:position w:val="7"/>
          <w:sz w:val="13"/>
        </w:rPr>
        <w:t xml:space="preserve">3 </w:t>
      </w:r>
      <w:r>
        <w:rPr>
          <w:rFonts w:ascii="Calibri"/>
          <w:sz w:val="20"/>
        </w:rPr>
        <w:t>There were 3,820 looked-after children adopted during the year ending 31 March 2018.</w:t>
      </w:r>
      <w:r>
        <w:rPr>
          <w:rFonts w:ascii="Calibri"/>
          <w:position w:val="7"/>
          <w:sz w:val="13"/>
        </w:rPr>
        <w:t xml:space="preserve">3 </w:t>
      </w:r>
      <w:r>
        <w:rPr>
          <w:rFonts w:ascii="Calibri"/>
          <w:sz w:val="20"/>
        </w:rPr>
        <w:t>A placement order is dispensed by the court and authorises the local authority to find, match and place a child with prospective adopters, and is revoked once the adoption order is made.</w:t>
      </w:r>
      <w:r>
        <w:rPr>
          <w:rFonts w:ascii="Calibri"/>
          <w:position w:val="7"/>
          <w:sz w:val="13"/>
        </w:rPr>
        <w:t>4</w:t>
      </w:r>
    </w:p>
    <w:p w:rsidR="006A18FD" w:rsidRDefault="002D29FC" w:rsidP="00E06635">
      <w:pPr>
        <w:pStyle w:val="Heading3"/>
      </w:pPr>
      <w:r>
        <w:t>Inter-agency fees</w:t>
      </w:r>
    </w:p>
    <w:p w:rsidR="006A18FD" w:rsidRDefault="002D29FC">
      <w:pPr>
        <w:spacing w:before="156" w:line="276" w:lineRule="auto"/>
        <w:ind w:left="140" w:right="195"/>
        <w:rPr>
          <w:rFonts w:ascii="Calibri" w:hAnsi="Calibri"/>
          <w:sz w:val="13"/>
        </w:rPr>
      </w:pPr>
      <w:r>
        <w:rPr>
          <w:rFonts w:ascii="Calibri" w:hAnsi="Calibri"/>
          <w:sz w:val="20"/>
        </w:rPr>
        <w:t xml:space="preserve">Local authorities (LAs) and voluntary adoption agencies (VAAs) arrange adoptions in England. LAs place children for adoption with their own approved prospective adopters (an ‘internal placement’) or with approved prospective adopters provided by another local authority or by a VAA (an ‘external placement’). The VAAs also place a very small number of children relinquished into their care for adoption. Where an external placement is made, an inter-agency fee is charged. This fee enables an agency that has recruited and approved the prospective adopters to recoup their costs. Current fees (2019) are shown in table 1 below </w:t>
      </w:r>
      <w:hyperlink r:id="rId228">
        <w:r>
          <w:rPr>
            <w:rFonts w:ascii="Calibri" w:hAnsi="Calibri"/>
            <w:sz w:val="20"/>
            <w:u w:val="single"/>
          </w:rPr>
          <w:t>(htt</w:t>
        </w:r>
      </w:hyperlink>
      <w:r>
        <w:rPr>
          <w:rFonts w:ascii="Calibri" w:hAnsi="Calibri"/>
          <w:sz w:val="20"/>
          <w:u w:val="single"/>
        </w:rPr>
        <w:t>p</w:t>
      </w:r>
      <w:hyperlink r:id="rId229">
        <w:r>
          <w:rPr>
            <w:rFonts w:ascii="Calibri" w:hAnsi="Calibri"/>
            <w:sz w:val="20"/>
            <w:u w:val="single"/>
          </w:rPr>
          <w:t>://www.cvaa.org.uk/the-voluntary-adoption-sector/inter-agency-fees/</w:t>
        </w:r>
        <w:r>
          <w:rPr>
            <w:rFonts w:ascii="Calibri" w:hAnsi="Calibri"/>
            <w:sz w:val="20"/>
          </w:rPr>
          <w:t xml:space="preserve">). </w:t>
        </w:r>
      </w:hyperlink>
      <w:r>
        <w:rPr>
          <w:rFonts w:ascii="Calibri" w:hAnsi="Calibri"/>
          <w:sz w:val="20"/>
        </w:rPr>
        <w:t>Further information can be found in Dance et al (2017).</w:t>
      </w:r>
      <w:r>
        <w:rPr>
          <w:rFonts w:ascii="Calibri" w:hAnsi="Calibri"/>
          <w:position w:val="7"/>
          <w:sz w:val="13"/>
        </w:rPr>
        <w:t>5</w:t>
      </w: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2D29FC">
      <w:pPr>
        <w:spacing w:before="196"/>
        <w:ind w:left="140"/>
        <w:rPr>
          <w:rFonts w:ascii="Calibri"/>
          <w:sz w:val="16"/>
        </w:rPr>
      </w:pPr>
      <w:r>
        <w:rPr>
          <w:rFonts w:ascii="Calibri"/>
          <w:position w:val="5"/>
          <w:sz w:val="10"/>
        </w:rPr>
        <w:t xml:space="preserve">1 </w:t>
      </w:r>
      <w:r>
        <w:rPr>
          <w:rFonts w:ascii="Calibri"/>
          <w:sz w:val="16"/>
        </w:rPr>
        <w:t xml:space="preserve">Thomas, C. (2013) </w:t>
      </w:r>
      <w:r>
        <w:rPr>
          <w:rFonts w:ascii="Calibri"/>
          <w:i/>
          <w:sz w:val="16"/>
        </w:rPr>
        <w:t>Adoption for looked-after children: messages from research</w:t>
      </w:r>
      <w:r>
        <w:rPr>
          <w:rFonts w:ascii="Calibri"/>
          <w:sz w:val="16"/>
        </w:rPr>
        <w:t>, British Association for Adoption &amp; Fostering (BAAF).</w:t>
      </w:r>
    </w:p>
    <w:p w:rsidR="006A18FD" w:rsidRDefault="002D29FC">
      <w:pPr>
        <w:spacing w:before="1"/>
        <w:ind w:left="423" w:hanging="284"/>
        <w:rPr>
          <w:rFonts w:ascii="Calibri"/>
          <w:sz w:val="16"/>
        </w:rPr>
      </w:pPr>
      <w:r>
        <w:rPr>
          <w:rFonts w:ascii="Calibri"/>
          <w:position w:val="5"/>
          <w:sz w:val="10"/>
        </w:rPr>
        <w:t xml:space="preserve">2 </w:t>
      </w:r>
      <w:r>
        <w:rPr>
          <w:rFonts w:ascii="Calibri"/>
          <w:sz w:val="16"/>
        </w:rPr>
        <w:t xml:space="preserve">Department for Education (2019) </w:t>
      </w:r>
      <w:r>
        <w:rPr>
          <w:rFonts w:ascii="Calibri"/>
          <w:i/>
          <w:sz w:val="16"/>
        </w:rPr>
        <w:t>Section 251 documents</w:t>
      </w:r>
      <w:r>
        <w:rPr>
          <w:rFonts w:ascii="Calibri"/>
          <w:sz w:val="16"/>
        </w:rPr>
        <w:t xml:space="preserve">, Department for Education, London. </w:t>
      </w:r>
      <w:hyperlink r:id="rId230">
        <w:r>
          <w:rPr>
            <w:rFonts w:ascii="Calibri"/>
            <w:sz w:val="16"/>
            <w:u w:val="single"/>
          </w:rPr>
          <w:t>https://www.gov.uk/government/collections/section-251-</w:t>
        </w:r>
      </w:hyperlink>
      <w:r>
        <w:rPr>
          <w:rFonts w:ascii="Calibri"/>
          <w:sz w:val="16"/>
        </w:rPr>
        <w:t xml:space="preserve"> </w:t>
      </w:r>
      <w:hyperlink r:id="rId231">
        <w:r>
          <w:rPr>
            <w:rFonts w:ascii="Calibri"/>
            <w:sz w:val="16"/>
            <w:u w:val="single"/>
          </w:rPr>
          <w:t>materials</w:t>
        </w:r>
        <w:r>
          <w:rPr>
            <w:rFonts w:ascii="Calibri"/>
            <w:sz w:val="16"/>
          </w:rPr>
          <w:t xml:space="preserve"> </w:t>
        </w:r>
      </w:hyperlink>
      <w:r>
        <w:rPr>
          <w:rFonts w:ascii="Calibri"/>
          <w:sz w:val="16"/>
        </w:rPr>
        <w:t>[accessed 29 October 2019].</w:t>
      </w:r>
    </w:p>
    <w:p w:rsidR="006A18FD" w:rsidRDefault="002D29FC">
      <w:pPr>
        <w:spacing w:before="1"/>
        <w:ind w:left="423" w:right="762" w:hanging="284"/>
        <w:rPr>
          <w:rFonts w:ascii="Calibri"/>
          <w:sz w:val="16"/>
        </w:rPr>
      </w:pPr>
      <w:r>
        <w:rPr>
          <w:rFonts w:ascii="Calibri"/>
          <w:position w:val="5"/>
          <w:sz w:val="10"/>
        </w:rPr>
        <w:t xml:space="preserve">3 </w:t>
      </w:r>
      <w:r>
        <w:rPr>
          <w:rFonts w:ascii="Calibri"/>
          <w:sz w:val="16"/>
        </w:rPr>
        <w:t xml:space="preserve">Department for Education (2019) </w:t>
      </w:r>
      <w:r>
        <w:rPr>
          <w:rFonts w:ascii="Calibri"/>
          <w:i/>
          <w:sz w:val="16"/>
        </w:rPr>
        <w:t>Children looked after in England including adoption: 2017 to 2018</w:t>
      </w:r>
      <w:r>
        <w:rPr>
          <w:rFonts w:ascii="Calibri"/>
          <w:sz w:val="16"/>
        </w:rPr>
        <w:t xml:space="preserve">, </w:t>
      </w:r>
      <w:hyperlink r:id="rId232">
        <w:r>
          <w:rPr>
            <w:rFonts w:ascii="Calibri"/>
            <w:sz w:val="16"/>
            <w:u w:val="single"/>
          </w:rPr>
          <w:t>https://www.gov.uk/government/statistics/children-looked-after-in-england-including-adoption-2017-to-2018</w:t>
        </w:r>
        <w:r>
          <w:rPr>
            <w:rFonts w:ascii="Calibri"/>
            <w:sz w:val="16"/>
          </w:rPr>
          <w:t xml:space="preserve"> </w:t>
        </w:r>
      </w:hyperlink>
      <w:r>
        <w:rPr>
          <w:rFonts w:ascii="Calibri"/>
          <w:sz w:val="16"/>
        </w:rPr>
        <w:t>[accessed 5 November 2019].</w:t>
      </w:r>
    </w:p>
    <w:p w:rsidR="006A18FD" w:rsidRDefault="002D29FC">
      <w:pPr>
        <w:spacing w:line="194" w:lineRule="exact"/>
        <w:ind w:left="140"/>
        <w:rPr>
          <w:rFonts w:ascii="Calibri"/>
          <w:sz w:val="16"/>
        </w:rPr>
      </w:pPr>
      <w:r>
        <w:rPr>
          <w:rFonts w:ascii="Calibri"/>
          <w:position w:val="5"/>
          <w:sz w:val="10"/>
        </w:rPr>
        <w:t xml:space="preserve">4   </w:t>
      </w:r>
      <w:hyperlink r:id="rId233">
        <w:r>
          <w:rPr>
            <w:rFonts w:ascii="Calibri"/>
            <w:sz w:val="16"/>
            <w:u w:val="single"/>
          </w:rPr>
          <w:t>http://trixresources.proceduresonline.com/nat_key/keywords/placement_order.html</w:t>
        </w:r>
      </w:hyperlink>
    </w:p>
    <w:p w:rsidR="006A18FD" w:rsidRDefault="002D29FC">
      <w:pPr>
        <w:spacing w:before="1"/>
        <w:ind w:left="423" w:right="323" w:hanging="284"/>
        <w:rPr>
          <w:rFonts w:ascii="Calibri" w:hAnsi="Calibri"/>
          <w:sz w:val="16"/>
        </w:rPr>
      </w:pPr>
      <w:r>
        <w:rPr>
          <w:rFonts w:ascii="Calibri" w:hAnsi="Calibri"/>
          <w:position w:val="5"/>
          <w:sz w:val="10"/>
        </w:rPr>
        <w:t xml:space="preserve">5 </w:t>
      </w:r>
      <w:r>
        <w:rPr>
          <w:rFonts w:ascii="Calibri" w:hAnsi="Calibri"/>
          <w:sz w:val="16"/>
        </w:rPr>
        <w:t>Dance, C., Neil, E. &amp; Rogers, R. (2017</w:t>
      </w:r>
      <w:r>
        <w:rPr>
          <w:rFonts w:ascii="Calibri" w:hAnsi="Calibri"/>
          <w:i/>
          <w:sz w:val="16"/>
        </w:rPr>
        <w:t>) Inter-agency adoption and the government’s subsidy of the inter-agency fee</w:t>
      </w:r>
      <w:r>
        <w:rPr>
          <w:rFonts w:ascii="Calibri" w:hAnsi="Calibri"/>
          <w:sz w:val="16"/>
        </w:rPr>
        <w:t xml:space="preserve">, Department for Education, London. </w:t>
      </w:r>
      <w:hyperlink r:id="rId234">
        <w:r>
          <w:rPr>
            <w:rFonts w:ascii="Calibri" w:hAnsi="Calibri"/>
            <w:sz w:val="16"/>
            <w:u w:val="single"/>
          </w:rPr>
          <w:t>https://www.gov.uk/government/uploads/system/uploads/attachment_data/file/638885/Inter-agency_Adoption_and_Subsidy_of_the_Inter-</w:t>
        </w:r>
      </w:hyperlink>
      <w:r>
        <w:rPr>
          <w:rFonts w:ascii="Calibri" w:hAnsi="Calibri"/>
          <w:sz w:val="16"/>
        </w:rPr>
        <w:t xml:space="preserve"> </w:t>
      </w:r>
      <w:hyperlink r:id="rId235">
        <w:r>
          <w:rPr>
            <w:rFonts w:ascii="Calibri" w:hAnsi="Calibri"/>
            <w:sz w:val="16"/>
            <w:u w:val="single"/>
          </w:rPr>
          <w:t>Agency_Fee.pdf</w:t>
        </w:r>
        <w:r>
          <w:rPr>
            <w:rFonts w:ascii="Calibri" w:hAnsi="Calibri"/>
            <w:sz w:val="16"/>
          </w:rPr>
          <w:t xml:space="preserve"> </w:t>
        </w:r>
      </w:hyperlink>
      <w:r>
        <w:rPr>
          <w:rFonts w:ascii="Calibri" w:hAnsi="Calibri"/>
          <w:sz w:val="16"/>
        </w:rPr>
        <w:t>[accessed 4 December 2017].</w:t>
      </w:r>
    </w:p>
    <w:p w:rsidR="006A18FD" w:rsidRDefault="006A18FD">
      <w:pPr>
        <w:rPr>
          <w:rFonts w:ascii="Calibri" w:hAns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9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94" name="Line 15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7A0FB1" id="Group 15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DJ0Ceh/AgAAgQUA&#10;AA4AAAAAAAAAAAAAAAAALgIAAGRycy9lMm9Eb2MueG1sUEsBAi0AFAAGAAgAAAAhAC135FzaAAAA&#10;BAEAAA8AAAAAAAAAAAAAAAAA2QQAAGRycy9kb3ducmV2LnhtbFBLBQYAAAAABAAEAPMAAADgBQAA&#10;AAA=&#10;">
                <v:line id="Line 15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w10:anchorlock/>
              </v:group>
            </w:pict>
          </mc:Fallback>
        </mc:AlternateContent>
      </w:r>
    </w:p>
    <w:p w:rsidR="006A18FD" w:rsidRDefault="006A18FD">
      <w:pPr>
        <w:spacing w:before="5"/>
        <w:rPr>
          <w:rFonts w:ascii="Calibri"/>
          <w:sz w:val="24"/>
        </w:rPr>
      </w:pPr>
    </w:p>
    <w:p w:rsidR="006A18FD" w:rsidRDefault="002D29FC">
      <w:pPr>
        <w:spacing w:before="59"/>
        <w:ind w:left="152"/>
        <w:rPr>
          <w:rFonts w:ascii="Calibri"/>
          <w:b/>
          <w:sz w:val="20"/>
        </w:rPr>
      </w:pPr>
      <w:r>
        <w:rPr>
          <w:rFonts w:ascii="Calibri"/>
          <w:b/>
          <w:sz w:val="20"/>
        </w:rPr>
        <w:t>Table 1: Inter-agency fees</w:t>
      </w:r>
    </w:p>
    <w:p w:rsidR="006A18FD" w:rsidRDefault="006A18FD">
      <w:pPr>
        <w:spacing w:before="7"/>
        <w:rPr>
          <w:rFonts w:ascii="Calibri"/>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1"/>
        <w:gridCol w:w="7093"/>
      </w:tblGrid>
      <w:tr w:rsidR="006A18FD" w:rsidTr="005B5AB5">
        <w:trPr>
          <w:trHeight w:val="240"/>
          <w:tblHeader/>
        </w:trPr>
        <w:tc>
          <w:tcPr>
            <w:tcW w:w="2951" w:type="dxa"/>
          </w:tcPr>
          <w:p w:rsidR="006A18FD" w:rsidRDefault="002D29FC">
            <w:pPr>
              <w:spacing w:before="1" w:line="223" w:lineRule="exact"/>
              <w:ind w:left="105"/>
              <w:rPr>
                <w:rFonts w:ascii="Calibri"/>
                <w:b/>
                <w:sz w:val="20"/>
              </w:rPr>
            </w:pPr>
            <w:r>
              <w:rPr>
                <w:rFonts w:ascii="Calibri"/>
                <w:b/>
                <w:sz w:val="20"/>
              </w:rPr>
              <w:t>Local authorities</w:t>
            </w:r>
          </w:p>
        </w:tc>
        <w:tc>
          <w:tcPr>
            <w:tcW w:w="7093" w:type="dxa"/>
          </w:tcPr>
          <w:p w:rsidR="006A18FD" w:rsidRDefault="002D29FC">
            <w:pPr>
              <w:spacing w:before="1" w:line="223" w:lineRule="exact"/>
              <w:ind w:left="105"/>
              <w:rPr>
                <w:rFonts w:ascii="Calibri"/>
                <w:b/>
                <w:sz w:val="20"/>
              </w:rPr>
            </w:pPr>
            <w:r>
              <w:rPr>
                <w:rFonts w:ascii="Calibri"/>
                <w:b/>
                <w:sz w:val="20"/>
              </w:rPr>
              <w:t>Costs for 2019/2020 (see above for information on changes from June 2019)</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Fees for one child</w:t>
            </w:r>
          </w:p>
        </w:tc>
        <w:tc>
          <w:tcPr>
            <w:tcW w:w="7093" w:type="dxa"/>
          </w:tcPr>
          <w:p w:rsidR="006A18FD" w:rsidRDefault="002D29FC">
            <w:pPr>
              <w:spacing w:before="1" w:line="223" w:lineRule="exact"/>
              <w:ind w:left="2864" w:right="2864"/>
              <w:jc w:val="center"/>
              <w:rPr>
                <w:rFonts w:ascii="Calibri" w:hAnsi="Calibri"/>
                <w:sz w:val="20"/>
              </w:rPr>
            </w:pPr>
            <w:r>
              <w:rPr>
                <w:rFonts w:ascii="Calibri" w:hAnsi="Calibri"/>
                <w:sz w:val="20"/>
              </w:rPr>
              <w:t>£31,620</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Fees for two children</w:t>
            </w:r>
          </w:p>
        </w:tc>
        <w:tc>
          <w:tcPr>
            <w:tcW w:w="7093" w:type="dxa"/>
          </w:tcPr>
          <w:p w:rsidR="006A18FD" w:rsidRDefault="002D29FC">
            <w:pPr>
              <w:spacing w:before="1" w:line="223" w:lineRule="exact"/>
              <w:ind w:left="2864" w:right="2864"/>
              <w:jc w:val="center"/>
              <w:rPr>
                <w:rFonts w:ascii="Calibri" w:hAnsi="Calibri"/>
                <w:sz w:val="20"/>
              </w:rPr>
            </w:pPr>
            <w:r>
              <w:rPr>
                <w:rFonts w:ascii="Calibri" w:hAnsi="Calibri"/>
                <w:sz w:val="20"/>
              </w:rPr>
              <w:t>£51,000</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Fees for three or more children</w:t>
            </w:r>
          </w:p>
        </w:tc>
        <w:tc>
          <w:tcPr>
            <w:tcW w:w="7093" w:type="dxa"/>
          </w:tcPr>
          <w:p w:rsidR="006A18FD" w:rsidRDefault="002D29FC">
            <w:pPr>
              <w:spacing w:before="1" w:line="223" w:lineRule="exact"/>
              <w:ind w:left="2864" w:right="2864"/>
              <w:jc w:val="center"/>
              <w:rPr>
                <w:rFonts w:ascii="Calibri" w:hAnsi="Calibri"/>
                <w:sz w:val="20"/>
              </w:rPr>
            </w:pPr>
            <w:r>
              <w:rPr>
                <w:rFonts w:ascii="Calibri" w:hAnsi="Calibri"/>
                <w:sz w:val="20"/>
              </w:rPr>
              <w:t>£69,360</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Fees for four children</w:t>
            </w:r>
          </w:p>
        </w:tc>
        <w:tc>
          <w:tcPr>
            <w:tcW w:w="7093" w:type="dxa"/>
          </w:tcPr>
          <w:p w:rsidR="006A18FD" w:rsidRDefault="002D29FC">
            <w:pPr>
              <w:spacing w:before="1" w:line="223" w:lineRule="exact"/>
              <w:ind w:left="2864" w:right="2864"/>
              <w:jc w:val="center"/>
              <w:rPr>
                <w:rFonts w:ascii="Calibri" w:hAnsi="Calibri"/>
                <w:sz w:val="20"/>
              </w:rPr>
            </w:pPr>
            <w:r>
              <w:rPr>
                <w:rFonts w:ascii="Calibri" w:hAnsi="Calibri"/>
                <w:sz w:val="20"/>
              </w:rPr>
              <w:t>£79,560</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Fees for five children</w:t>
            </w:r>
          </w:p>
        </w:tc>
        <w:tc>
          <w:tcPr>
            <w:tcW w:w="7093" w:type="dxa"/>
          </w:tcPr>
          <w:p w:rsidR="006A18FD" w:rsidRDefault="002D29FC">
            <w:pPr>
              <w:spacing w:before="1" w:line="223" w:lineRule="exact"/>
              <w:ind w:left="2025"/>
              <w:rPr>
                <w:rFonts w:ascii="Calibri"/>
                <w:sz w:val="20"/>
              </w:rPr>
            </w:pPr>
            <w:r>
              <w:rPr>
                <w:rFonts w:ascii="Calibri"/>
                <w:sz w:val="20"/>
              </w:rPr>
              <w:t>To be negotiated on an ongoing basis</w:t>
            </w:r>
          </w:p>
        </w:tc>
      </w:tr>
      <w:tr w:rsidR="006A18FD">
        <w:trPr>
          <w:trHeight w:val="240"/>
        </w:trPr>
        <w:tc>
          <w:tcPr>
            <w:tcW w:w="2951" w:type="dxa"/>
          </w:tcPr>
          <w:p w:rsidR="006A18FD" w:rsidRDefault="002D29FC">
            <w:pPr>
              <w:spacing w:before="1" w:line="223" w:lineRule="exact"/>
              <w:ind w:left="105"/>
              <w:rPr>
                <w:rFonts w:ascii="Calibri"/>
                <w:sz w:val="20"/>
              </w:rPr>
            </w:pPr>
            <w:r>
              <w:rPr>
                <w:rFonts w:ascii="Calibri"/>
                <w:sz w:val="20"/>
              </w:rPr>
              <w:t>Ongoing supervision per child</w:t>
            </w:r>
          </w:p>
        </w:tc>
        <w:tc>
          <w:tcPr>
            <w:tcW w:w="7093" w:type="dxa"/>
          </w:tcPr>
          <w:p w:rsidR="006A18FD" w:rsidRDefault="002D29FC">
            <w:pPr>
              <w:spacing w:before="1" w:line="223" w:lineRule="exact"/>
              <w:ind w:left="2866" w:right="2864"/>
              <w:jc w:val="center"/>
              <w:rPr>
                <w:rFonts w:ascii="Calibri" w:hAnsi="Calibri"/>
                <w:sz w:val="20"/>
              </w:rPr>
            </w:pPr>
            <w:r>
              <w:rPr>
                <w:rFonts w:ascii="Calibri" w:hAnsi="Calibri"/>
                <w:sz w:val="20"/>
              </w:rPr>
              <w:t>£877 per month</w:t>
            </w:r>
          </w:p>
        </w:tc>
      </w:tr>
    </w:tbl>
    <w:p w:rsidR="006A18FD" w:rsidRDefault="002D29FC">
      <w:pPr>
        <w:spacing w:before="1"/>
        <w:ind w:left="152"/>
        <w:rPr>
          <w:rFonts w:ascii="Calibri"/>
          <w:sz w:val="20"/>
        </w:rPr>
      </w:pPr>
      <w:r>
        <w:rPr>
          <w:rFonts w:ascii="Calibri"/>
          <w:sz w:val="20"/>
        </w:rPr>
        <w:t>An additional weighting of 10% applies for agencies based in the Greater London area.</w:t>
      </w:r>
    </w:p>
    <w:p w:rsidR="006A18FD" w:rsidRDefault="002D29FC" w:rsidP="00E06635">
      <w:pPr>
        <w:pStyle w:val="Heading3"/>
      </w:pPr>
      <w:r>
        <w:t>Family-finding</w:t>
      </w:r>
    </w:p>
    <w:p w:rsidR="006A18FD" w:rsidRDefault="002D29FC">
      <w:pPr>
        <w:spacing w:before="156" w:line="276" w:lineRule="auto"/>
        <w:ind w:left="152" w:right="193"/>
        <w:rPr>
          <w:rFonts w:ascii="Calibri" w:hAnsi="Calibri"/>
          <w:sz w:val="20"/>
        </w:rPr>
      </w:pPr>
      <w:r>
        <w:rPr>
          <w:rFonts w:ascii="Calibri" w:hAnsi="Calibri"/>
          <w:sz w:val="20"/>
        </w:rPr>
        <w:t>We have drawn on research carried out by the Centre for Child and Family Research (CCFR) which was commissioned by Coram Family, as part of one of the DfE’s Innovation Programme projects (</w:t>
      </w:r>
      <w:hyperlink r:id="rId236">
        <w:r>
          <w:rPr>
            <w:rFonts w:ascii="Calibri" w:hAnsi="Calibri"/>
            <w:sz w:val="20"/>
            <w:u w:val="single"/>
          </w:rPr>
          <w:t>https://www.gov.uk/government/publications/childrens-services-innovation-programme</w:t>
        </w:r>
      </w:hyperlink>
      <w:r>
        <w:rPr>
          <w:rFonts w:ascii="Calibri" w:hAnsi="Calibri"/>
          <w:sz w:val="20"/>
        </w:rPr>
        <w:t>). The remit was to undertake research and development to extend the CCFCS and its underlying conceptual approach to adoption services in England. To calculate the costs, a bottom-up costing methodology is employed, involving the linking of social care time-use and activity data with information about salaries, overheads, and other types of expenditure.</w:t>
      </w:r>
    </w:p>
    <w:p w:rsidR="006A18FD" w:rsidRDefault="002D29FC">
      <w:pPr>
        <w:spacing w:before="120" w:line="276" w:lineRule="auto"/>
        <w:ind w:left="152" w:right="144"/>
        <w:rPr>
          <w:rFonts w:ascii="Calibri"/>
          <w:sz w:val="20"/>
        </w:rPr>
      </w:pPr>
      <w:r>
        <w:rPr>
          <w:rFonts w:ascii="Calibri"/>
          <w:sz w:val="20"/>
        </w:rPr>
        <w:t>The early stages of this ongoing project involved an online survey of 14 adoption agencies between March and July 2016. Eight local authority agencies and six VAAs participated. Two-hundred and seven personnel provided valid responses. Time- use data were collected from social workers, team managers, agency decision-makers, panel chairs and members, and business support staff and administrators involved in the adoption process.</w:t>
      </w:r>
    </w:p>
    <w:p w:rsidR="006A18FD" w:rsidRDefault="002D29FC">
      <w:pPr>
        <w:spacing w:before="116" w:line="276" w:lineRule="auto"/>
        <w:ind w:left="152" w:right="143"/>
        <w:rPr>
          <w:rFonts w:ascii="Calibri" w:hAnsi="Calibri"/>
          <w:sz w:val="20"/>
        </w:rPr>
      </w:pPr>
      <w:r>
        <w:rPr>
          <w:rFonts w:ascii="Calibri" w:hAnsi="Calibri"/>
          <w:sz w:val="20"/>
        </w:rPr>
        <w:t>The average unit costs of five adoption sub-processes are shown in Table 2, for ‘standard’ cases and ‘difficult-to-place’</w:t>
      </w:r>
      <w:r>
        <w:rPr>
          <w:rFonts w:ascii="Calibri" w:hAnsi="Calibri"/>
          <w:position w:val="7"/>
          <w:sz w:val="13"/>
        </w:rPr>
        <w:t xml:space="preserve">1 </w:t>
      </w:r>
      <w:r>
        <w:rPr>
          <w:rFonts w:ascii="Calibri" w:hAnsi="Calibri"/>
          <w:sz w:val="20"/>
        </w:rPr>
        <w:t>cases supported by local authority, voluntary and all adoption agencies. All costs have been uprated using the PSS Inflators.</w:t>
      </w:r>
    </w:p>
    <w:p w:rsidR="006A18FD" w:rsidRDefault="002D29FC">
      <w:pPr>
        <w:spacing w:before="119" w:line="276" w:lineRule="auto"/>
        <w:ind w:left="152" w:right="435"/>
        <w:rPr>
          <w:rFonts w:ascii="Calibri" w:hAnsi="Calibri"/>
          <w:sz w:val="20"/>
        </w:rPr>
      </w:pPr>
      <w:r>
        <w:rPr>
          <w:rFonts w:ascii="Calibri" w:hAnsi="Calibri"/>
          <w:sz w:val="20"/>
        </w:rPr>
        <w:t>The sub-processes for which costs are provided begin with the child’s journey from care planning, and the adopters’ journey from the decision to adopt, through to the child’s placement. The average costs for assessments for adoption support are also provided. Table 2 does not include all the costs associated with adoption. It excludes, for instance, staff travel; group training and preparation for prospective adopters; group-based family-finding events such as activity days; and the provision of adoption allowances and adoption support services. CCFR’s work involved linking the process unit</w:t>
      </w:r>
    </w:p>
    <w:p w:rsidR="006A18FD" w:rsidRDefault="002D29FC">
      <w:pPr>
        <w:spacing w:line="276" w:lineRule="auto"/>
        <w:ind w:left="152" w:right="195"/>
        <w:rPr>
          <w:rFonts w:ascii="Calibri"/>
          <w:sz w:val="20"/>
        </w:rPr>
      </w:pPr>
      <w:r>
        <w:rPr>
          <w:rFonts w:ascii="Calibri"/>
          <w:sz w:val="20"/>
        </w:rPr>
        <w:t>costs detailed in Table 2 with these other types of expenditure to estimate the total costs of adoption. In late 2016, CCFR also administered the time-use survey to additional local authorities and VAAs in the North Yorkshire and Humberside region to verify the figures from the initial survey and improve confidence in the data.</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4"/>
        </w:rPr>
      </w:pPr>
    </w:p>
    <w:p w:rsidR="006A18FD" w:rsidRDefault="002D29FC">
      <w:pPr>
        <w:ind w:left="436" w:hanging="284"/>
        <w:rPr>
          <w:rFonts w:ascii="Calibri" w:hAnsi="Calibri"/>
          <w:sz w:val="16"/>
        </w:rPr>
      </w:pPr>
      <w:r>
        <w:rPr>
          <w:rFonts w:ascii="Calibri" w:hAnsi="Calibri"/>
          <w:position w:val="5"/>
          <w:sz w:val="10"/>
        </w:rPr>
        <w:t xml:space="preserve">1 </w:t>
      </w:r>
      <w:r>
        <w:rPr>
          <w:rFonts w:ascii="Calibri" w:hAnsi="Calibri"/>
          <w:sz w:val="16"/>
        </w:rPr>
        <w:t>Cases were classified as ‘difficult to place’ if the child had a least one of the following characteristics: they were part of a sibling group; from a black and minority ethnic background; living with a disability; were affected by a health condition, and/or were over four years old.</w:t>
      </w:r>
    </w:p>
    <w:p w:rsidR="006A18FD" w:rsidRDefault="006A18FD">
      <w:pPr>
        <w:rPr>
          <w:rFonts w:ascii="Calibri" w:hAns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9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92" name="Line 14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41105" id="Group 14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ByaBg1/AgAAgQUA&#10;AA4AAAAAAAAAAAAAAAAALgIAAGRycy9lMm9Eb2MueG1sUEsBAi0AFAAGAAgAAAAhAC135FzaAAAA&#10;BAEAAA8AAAAAAAAAAAAAAAAA2QQAAGRycy9kb3ducmV2LnhtbFBLBQYAAAAABAAEAPMAAADgBQAA&#10;AAA=&#10;">
                <v:line id="Line 14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w10:anchorlock/>
              </v:group>
            </w:pict>
          </mc:Fallback>
        </mc:AlternateContent>
      </w:r>
    </w:p>
    <w:p w:rsidR="006A18FD" w:rsidRDefault="006A18FD">
      <w:pPr>
        <w:spacing w:before="5"/>
        <w:rPr>
          <w:rFonts w:ascii="Calibri"/>
          <w:sz w:val="24"/>
        </w:rPr>
      </w:pPr>
    </w:p>
    <w:p w:rsidR="006A18FD" w:rsidRDefault="002D29FC">
      <w:pPr>
        <w:spacing w:before="59"/>
        <w:ind w:left="140"/>
        <w:rPr>
          <w:rFonts w:ascii="Calibri" w:hAnsi="Calibri"/>
          <w:b/>
          <w:sz w:val="20"/>
        </w:rPr>
      </w:pPr>
      <w:r>
        <w:rPr>
          <w:rFonts w:ascii="Calibri" w:hAnsi="Calibri"/>
          <w:b/>
          <w:sz w:val="20"/>
        </w:rPr>
        <w:t>Table 2: Average costs (£) of adoption processes at 2018/2019 values</w:t>
      </w:r>
    </w:p>
    <w:p w:rsidR="006A18FD" w:rsidRDefault="006A18FD">
      <w:pPr>
        <w:rPr>
          <w:rFonts w:ascii="Calibri"/>
          <w:b/>
          <w:sz w:val="20"/>
        </w:rPr>
      </w:pPr>
    </w:p>
    <w:p w:rsidR="006A18FD" w:rsidRDefault="006A18FD">
      <w:pPr>
        <w:spacing w:before="5" w:after="1"/>
        <w:rPr>
          <w:rFonts w:ascii="Calibri"/>
          <w:b/>
          <w:sz w:val="1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541"/>
        <w:gridCol w:w="1419"/>
        <w:gridCol w:w="1560"/>
        <w:gridCol w:w="1275"/>
        <w:gridCol w:w="1561"/>
        <w:gridCol w:w="1418"/>
      </w:tblGrid>
      <w:tr w:rsidR="006A18FD" w:rsidTr="005B5AB5">
        <w:trPr>
          <w:trHeight w:val="840"/>
          <w:tblHeader/>
        </w:trPr>
        <w:tc>
          <w:tcPr>
            <w:tcW w:w="1289" w:type="dxa"/>
            <w:vMerge w:val="restart"/>
          </w:tcPr>
          <w:p w:rsidR="006A18FD" w:rsidRDefault="006A18FD">
            <w:pPr>
              <w:rPr>
                <w:rFonts w:ascii="Calibri"/>
                <w:b/>
                <w:sz w:val="20"/>
              </w:rPr>
            </w:pPr>
          </w:p>
          <w:p w:rsidR="006A18FD" w:rsidRDefault="006A18FD">
            <w:pPr>
              <w:spacing w:before="10"/>
              <w:rPr>
                <w:rFonts w:ascii="Calibri"/>
                <w:b/>
                <w:sz w:val="19"/>
              </w:rPr>
            </w:pPr>
          </w:p>
          <w:p w:rsidR="006A18FD" w:rsidRDefault="002D29FC">
            <w:pPr>
              <w:ind w:left="103" w:right="345"/>
              <w:rPr>
                <w:rFonts w:ascii="Calibri"/>
                <w:b/>
                <w:sz w:val="20"/>
              </w:rPr>
            </w:pPr>
            <w:r>
              <w:rPr>
                <w:rFonts w:ascii="Calibri"/>
                <w:b/>
                <w:sz w:val="20"/>
              </w:rPr>
              <w:t>Adoption sub- processes</w:t>
            </w:r>
          </w:p>
        </w:tc>
        <w:tc>
          <w:tcPr>
            <w:tcW w:w="2960" w:type="dxa"/>
            <w:gridSpan w:val="2"/>
          </w:tcPr>
          <w:p w:rsidR="006A18FD" w:rsidRDefault="002D29FC">
            <w:pPr>
              <w:spacing w:before="5" w:line="360" w:lineRule="atLeast"/>
              <w:ind w:left="717" w:right="698" w:firstLine="134"/>
              <w:rPr>
                <w:rFonts w:ascii="Calibri"/>
                <w:b/>
                <w:sz w:val="20"/>
              </w:rPr>
            </w:pPr>
            <w:r>
              <w:rPr>
                <w:rFonts w:ascii="Calibri"/>
                <w:b/>
                <w:sz w:val="20"/>
              </w:rPr>
              <w:t>Local authority adoption agencies</w:t>
            </w:r>
          </w:p>
        </w:tc>
        <w:tc>
          <w:tcPr>
            <w:tcW w:w="2835" w:type="dxa"/>
            <w:gridSpan w:val="2"/>
          </w:tcPr>
          <w:p w:rsidR="006A18FD" w:rsidRDefault="002D29FC">
            <w:pPr>
              <w:spacing w:before="5" w:line="360" w:lineRule="atLeast"/>
              <w:ind w:left="654" w:right="636" w:firstLine="345"/>
              <w:rPr>
                <w:rFonts w:ascii="Calibri"/>
                <w:b/>
                <w:sz w:val="20"/>
              </w:rPr>
            </w:pPr>
            <w:r>
              <w:rPr>
                <w:rFonts w:ascii="Calibri"/>
                <w:b/>
                <w:sz w:val="20"/>
              </w:rPr>
              <w:t>Voluntary adoption agencies</w:t>
            </w:r>
          </w:p>
        </w:tc>
        <w:tc>
          <w:tcPr>
            <w:tcW w:w="2979" w:type="dxa"/>
            <w:gridSpan w:val="2"/>
          </w:tcPr>
          <w:p w:rsidR="006A18FD" w:rsidRDefault="002D29FC">
            <w:pPr>
              <w:spacing w:before="5" w:line="360" w:lineRule="atLeast"/>
              <w:ind w:left="724" w:right="710" w:firstLine="651"/>
              <w:rPr>
                <w:rFonts w:ascii="Calibri"/>
                <w:b/>
                <w:sz w:val="20"/>
              </w:rPr>
            </w:pPr>
            <w:r>
              <w:rPr>
                <w:rFonts w:ascii="Calibri"/>
                <w:b/>
                <w:sz w:val="20"/>
              </w:rPr>
              <w:t>All adoption agencies</w:t>
            </w:r>
          </w:p>
        </w:tc>
      </w:tr>
      <w:tr w:rsidR="006A18FD" w:rsidTr="005B5AB5">
        <w:trPr>
          <w:trHeight w:val="720"/>
          <w:tblHeader/>
        </w:trPr>
        <w:tc>
          <w:tcPr>
            <w:tcW w:w="1289" w:type="dxa"/>
            <w:vMerge/>
            <w:tcBorders>
              <w:top w:val="nil"/>
            </w:tcBorders>
          </w:tcPr>
          <w:p w:rsidR="006A18FD" w:rsidRDefault="006A18FD">
            <w:pPr>
              <w:rPr>
                <w:sz w:val="2"/>
                <w:szCs w:val="2"/>
              </w:rPr>
            </w:pPr>
          </w:p>
        </w:tc>
        <w:tc>
          <w:tcPr>
            <w:tcW w:w="1541" w:type="dxa"/>
          </w:tcPr>
          <w:p w:rsidR="006A18FD" w:rsidRDefault="002D29FC">
            <w:pPr>
              <w:spacing w:before="121"/>
              <w:ind w:left="83" w:right="168"/>
              <w:jc w:val="center"/>
              <w:rPr>
                <w:rFonts w:ascii="Calibri" w:hAnsi="Calibri"/>
                <w:sz w:val="20"/>
              </w:rPr>
            </w:pPr>
            <w:r>
              <w:rPr>
                <w:rFonts w:ascii="Calibri" w:hAnsi="Calibri"/>
                <w:sz w:val="20"/>
              </w:rPr>
              <w:t>‘Standard’ case</w:t>
            </w:r>
          </w:p>
        </w:tc>
        <w:tc>
          <w:tcPr>
            <w:tcW w:w="1419" w:type="dxa"/>
          </w:tcPr>
          <w:p w:rsidR="006A18FD" w:rsidRDefault="002D29FC">
            <w:pPr>
              <w:spacing w:before="119"/>
              <w:ind w:left="102"/>
              <w:rPr>
                <w:rFonts w:ascii="Calibri" w:hAnsi="Calibri"/>
                <w:sz w:val="20"/>
              </w:rPr>
            </w:pPr>
            <w:r>
              <w:rPr>
                <w:rFonts w:ascii="Calibri" w:hAnsi="Calibri"/>
                <w:w w:val="95"/>
                <w:sz w:val="20"/>
              </w:rPr>
              <w:t xml:space="preserve">‘Difficult-to- </w:t>
            </w:r>
            <w:r>
              <w:rPr>
                <w:rFonts w:ascii="Calibri" w:hAnsi="Calibri"/>
                <w:sz w:val="20"/>
              </w:rPr>
              <w:t>place’ case</w:t>
            </w:r>
          </w:p>
        </w:tc>
        <w:tc>
          <w:tcPr>
            <w:tcW w:w="1560" w:type="dxa"/>
          </w:tcPr>
          <w:p w:rsidR="006A18FD" w:rsidRDefault="002D29FC">
            <w:pPr>
              <w:spacing w:before="121"/>
              <w:ind w:left="84" w:right="186"/>
              <w:jc w:val="center"/>
              <w:rPr>
                <w:rFonts w:ascii="Calibri" w:hAnsi="Calibri"/>
                <w:sz w:val="20"/>
              </w:rPr>
            </w:pPr>
            <w:r>
              <w:rPr>
                <w:rFonts w:ascii="Calibri" w:hAnsi="Calibri"/>
                <w:sz w:val="20"/>
              </w:rPr>
              <w:t>‘Standard’ case</w:t>
            </w:r>
          </w:p>
        </w:tc>
        <w:tc>
          <w:tcPr>
            <w:tcW w:w="1274" w:type="dxa"/>
          </w:tcPr>
          <w:p w:rsidR="006A18FD" w:rsidRDefault="002D29FC">
            <w:pPr>
              <w:spacing w:before="119"/>
              <w:ind w:left="103"/>
              <w:rPr>
                <w:rFonts w:ascii="Calibri" w:hAnsi="Calibri"/>
                <w:sz w:val="20"/>
              </w:rPr>
            </w:pPr>
            <w:r>
              <w:rPr>
                <w:rFonts w:ascii="Calibri" w:hAnsi="Calibri"/>
                <w:w w:val="95"/>
                <w:sz w:val="20"/>
              </w:rPr>
              <w:t xml:space="preserve">‘Difficult-to- </w:t>
            </w:r>
            <w:r>
              <w:rPr>
                <w:rFonts w:ascii="Calibri" w:hAnsi="Calibri"/>
                <w:sz w:val="20"/>
              </w:rPr>
              <w:t>place’ case</w:t>
            </w:r>
          </w:p>
        </w:tc>
        <w:tc>
          <w:tcPr>
            <w:tcW w:w="1561" w:type="dxa"/>
          </w:tcPr>
          <w:p w:rsidR="006A18FD" w:rsidRDefault="002D29FC">
            <w:pPr>
              <w:spacing w:before="121"/>
              <w:ind w:left="83" w:right="188"/>
              <w:jc w:val="center"/>
              <w:rPr>
                <w:rFonts w:ascii="Calibri" w:hAnsi="Calibri"/>
                <w:sz w:val="20"/>
              </w:rPr>
            </w:pPr>
            <w:r>
              <w:rPr>
                <w:rFonts w:ascii="Calibri" w:hAnsi="Calibri"/>
                <w:sz w:val="20"/>
              </w:rPr>
              <w:t>‘Standard’ case</w:t>
            </w:r>
          </w:p>
        </w:tc>
        <w:tc>
          <w:tcPr>
            <w:tcW w:w="1418" w:type="dxa"/>
          </w:tcPr>
          <w:p w:rsidR="006A18FD" w:rsidRDefault="002D29FC">
            <w:pPr>
              <w:spacing w:before="119"/>
              <w:ind w:left="102" w:right="295"/>
              <w:rPr>
                <w:rFonts w:ascii="Calibri" w:hAnsi="Calibri"/>
                <w:sz w:val="20"/>
              </w:rPr>
            </w:pPr>
            <w:r>
              <w:rPr>
                <w:rFonts w:ascii="Calibri" w:hAnsi="Calibri"/>
                <w:w w:val="95"/>
                <w:sz w:val="20"/>
              </w:rPr>
              <w:t xml:space="preserve">‘Difficult-to- </w:t>
            </w:r>
            <w:r>
              <w:rPr>
                <w:rFonts w:ascii="Calibri" w:hAnsi="Calibri"/>
                <w:sz w:val="20"/>
              </w:rPr>
              <w:t>place’ case</w:t>
            </w:r>
          </w:p>
        </w:tc>
      </w:tr>
      <w:tr w:rsidR="006A18FD">
        <w:trPr>
          <w:trHeight w:val="720"/>
        </w:trPr>
        <w:tc>
          <w:tcPr>
            <w:tcW w:w="1289" w:type="dxa"/>
          </w:tcPr>
          <w:p w:rsidR="006A18FD" w:rsidRDefault="002D29FC">
            <w:pPr>
              <w:spacing w:before="121"/>
              <w:ind w:left="287" w:right="244" w:hanging="27"/>
              <w:rPr>
                <w:rFonts w:ascii="Calibri"/>
                <w:sz w:val="20"/>
              </w:rPr>
            </w:pPr>
            <w:r>
              <w:rPr>
                <w:rFonts w:ascii="Calibri"/>
                <w:sz w:val="20"/>
              </w:rPr>
              <w:t>Adoption planning</w:t>
            </w:r>
          </w:p>
        </w:tc>
        <w:tc>
          <w:tcPr>
            <w:tcW w:w="154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£2,155</w:t>
            </w:r>
          </w:p>
        </w:tc>
        <w:tc>
          <w:tcPr>
            <w:tcW w:w="1419" w:type="dxa"/>
          </w:tcPr>
          <w:p w:rsidR="006A18FD" w:rsidRDefault="006A18FD">
            <w:pPr>
              <w:spacing w:before="12"/>
              <w:rPr>
                <w:rFonts w:ascii="Calibri"/>
                <w:b/>
                <w:sz w:val="29"/>
              </w:rPr>
            </w:pPr>
          </w:p>
          <w:p w:rsidR="006A18FD" w:rsidRDefault="002D29FC">
            <w:pPr>
              <w:ind w:right="427"/>
              <w:jc w:val="right"/>
              <w:rPr>
                <w:rFonts w:ascii="Calibri" w:hAnsi="Calibri"/>
                <w:sz w:val="20"/>
              </w:rPr>
            </w:pPr>
            <w:r>
              <w:rPr>
                <w:rFonts w:ascii="Calibri" w:hAnsi="Calibri"/>
                <w:w w:val="95"/>
                <w:sz w:val="20"/>
              </w:rPr>
              <w:t>£2,206</w:t>
            </w:r>
          </w:p>
        </w:tc>
        <w:tc>
          <w:tcPr>
            <w:tcW w:w="1560" w:type="dxa"/>
          </w:tcPr>
          <w:p w:rsidR="006A18FD" w:rsidRDefault="006A18FD">
            <w:pPr>
              <w:spacing w:before="12"/>
              <w:rPr>
                <w:rFonts w:ascii="Calibri"/>
                <w:b/>
                <w:sz w:val="29"/>
              </w:rPr>
            </w:pPr>
          </w:p>
          <w:p w:rsidR="006A18FD" w:rsidRDefault="002D29FC">
            <w:pPr>
              <w:ind w:left="84" w:right="84"/>
              <w:jc w:val="center"/>
              <w:rPr>
                <w:rFonts w:ascii="Calibri" w:hAnsi="Calibri"/>
                <w:sz w:val="20"/>
              </w:rPr>
            </w:pPr>
            <w:r>
              <w:rPr>
                <w:rFonts w:ascii="Calibri" w:hAnsi="Calibri"/>
                <w:sz w:val="20"/>
              </w:rPr>
              <w:t>£1,658</w:t>
            </w:r>
          </w:p>
        </w:tc>
        <w:tc>
          <w:tcPr>
            <w:tcW w:w="1274" w:type="dxa"/>
          </w:tcPr>
          <w:p w:rsidR="006A18FD" w:rsidRDefault="006A18FD">
            <w:pPr>
              <w:spacing w:before="12"/>
              <w:rPr>
                <w:rFonts w:ascii="Calibri"/>
                <w:b/>
                <w:sz w:val="29"/>
              </w:rPr>
            </w:pPr>
          </w:p>
          <w:p w:rsidR="006A18FD" w:rsidRDefault="002D29FC">
            <w:pPr>
              <w:ind w:left="355"/>
              <w:rPr>
                <w:rFonts w:ascii="Calibri" w:hAnsi="Calibri"/>
                <w:sz w:val="20"/>
              </w:rPr>
            </w:pPr>
            <w:r>
              <w:rPr>
                <w:rFonts w:ascii="Calibri" w:hAnsi="Calibri"/>
                <w:sz w:val="20"/>
              </w:rPr>
              <w:t>£1,590</w:t>
            </w:r>
          </w:p>
        </w:tc>
        <w:tc>
          <w:tcPr>
            <w:tcW w:w="156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£2,151</w:t>
            </w:r>
          </w:p>
        </w:tc>
        <w:tc>
          <w:tcPr>
            <w:tcW w:w="1418" w:type="dxa"/>
          </w:tcPr>
          <w:p w:rsidR="006A18FD" w:rsidRDefault="006A18FD">
            <w:pPr>
              <w:spacing w:before="12"/>
              <w:rPr>
                <w:rFonts w:ascii="Calibri"/>
                <w:b/>
                <w:sz w:val="29"/>
              </w:rPr>
            </w:pPr>
          </w:p>
          <w:p w:rsidR="006A18FD" w:rsidRDefault="002D29FC">
            <w:pPr>
              <w:ind w:left="424"/>
              <w:rPr>
                <w:rFonts w:ascii="Calibri" w:hAnsi="Calibri"/>
                <w:sz w:val="20"/>
              </w:rPr>
            </w:pPr>
            <w:r>
              <w:rPr>
                <w:rFonts w:ascii="Calibri" w:hAnsi="Calibri"/>
                <w:sz w:val="20"/>
              </w:rPr>
              <w:t>£2,099</w:t>
            </w:r>
          </w:p>
        </w:tc>
      </w:tr>
      <w:tr w:rsidR="006A18FD">
        <w:trPr>
          <w:trHeight w:val="960"/>
        </w:trPr>
        <w:tc>
          <w:tcPr>
            <w:tcW w:w="1289" w:type="dxa"/>
          </w:tcPr>
          <w:p w:rsidR="006A18FD" w:rsidRDefault="002D29FC">
            <w:pPr>
              <w:spacing w:before="121"/>
              <w:ind w:left="170" w:right="134" w:hanging="39"/>
              <w:jc w:val="both"/>
              <w:rPr>
                <w:rFonts w:ascii="Calibri"/>
                <w:sz w:val="20"/>
              </w:rPr>
            </w:pPr>
            <w:r>
              <w:rPr>
                <w:rFonts w:ascii="Calibri"/>
                <w:w w:val="95"/>
                <w:sz w:val="20"/>
              </w:rPr>
              <w:t xml:space="preserve">Preparation, </w:t>
            </w:r>
            <w:r>
              <w:rPr>
                <w:rFonts w:ascii="Calibri"/>
                <w:sz w:val="20"/>
              </w:rPr>
              <w:t>assessment of adopters</w:t>
            </w:r>
          </w:p>
        </w:tc>
        <w:tc>
          <w:tcPr>
            <w:tcW w:w="1541"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left="83" w:right="83"/>
              <w:jc w:val="center"/>
              <w:rPr>
                <w:rFonts w:ascii="Calibri" w:hAnsi="Calibri"/>
                <w:sz w:val="20"/>
              </w:rPr>
            </w:pPr>
            <w:r>
              <w:rPr>
                <w:rFonts w:ascii="Calibri" w:hAnsi="Calibri"/>
                <w:sz w:val="20"/>
              </w:rPr>
              <w:t>£4,281</w:t>
            </w:r>
          </w:p>
        </w:tc>
        <w:tc>
          <w:tcPr>
            <w:tcW w:w="1419"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right="427"/>
              <w:jc w:val="right"/>
              <w:rPr>
                <w:rFonts w:ascii="Calibri" w:hAnsi="Calibri"/>
                <w:sz w:val="20"/>
              </w:rPr>
            </w:pPr>
            <w:r>
              <w:rPr>
                <w:rFonts w:ascii="Calibri" w:hAnsi="Calibri"/>
                <w:w w:val="95"/>
                <w:sz w:val="20"/>
              </w:rPr>
              <w:t>£3,575</w:t>
            </w:r>
          </w:p>
        </w:tc>
        <w:tc>
          <w:tcPr>
            <w:tcW w:w="1560"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left="84" w:right="84"/>
              <w:jc w:val="center"/>
              <w:rPr>
                <w:rFonts w:ascii="Calibri" w:hAnsi="Calibri"/>
                <w:sz w:val="20"/>
              </w:rPr>
            </w:pPr>
            <w:r>
              <w:rPr>
                <w:rFonts w:ascii="Calibri" w:hAnsi="Calibri"/>
                <w:sz w:val="20"/>
              </w:rPr>
              <w:t>£3,967</w:t>
            </w:r>
          </w:p>
        </w:tc>
        <w:tc>
          <w:tcPr>
            <w:tcW w:w="1274"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left="355"/>
              <w:rPr>
                <w:rFonts w:ascii="Calibri" w:hAnsi="Calibri"/>
                <w:sz w:val="20"/>
              </w:rPr>
            </w:pPr>
            <w:r>
              <w:rPr>
                <w:rFonts w:ascii="Calibri" w:hAnsi="Calibri"/>
                <w:sz w:val="20"/>
              </w:rPr>
              <w:t>£4,731</w:t>
            </w:r>
          </w:p>
        </w:tc>
        <w:tc>
          <w:tcPr>
            <w:tcW w:w="1561"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left="83" w:right="83"/>
              <w:jc w:val="center"/>
              <w:rPr>
                <w:rFonts w:ascii="Calibri" w:hAnsi="Calibri"/>
                <w:sz w:val="20"/>
              </w:rPr>
            </w:pPr>
            <w:r>
              <w:rPr>
                <w:rFonts w:ascii="Calibri" w:hAnsi="Calibri"/>
                <w:sz w:val="20"/>
              </w:rPr>
              <w:t>£4,179</w:t>
            </w:r>
          </w:p>
        </w:tc>
        <w:tc>
          <w:tcPr>
            <w:tcW w:w="1418" w:type="dxa"/>
          </w:tcPr>
          <w:p w:rsidR="006A18FD" w:rsidRDefault="006A18FD">
            <w:pPr>
              <w:rPr>
                <w:rFonts w:ascii="Calibri"/>
                <w:b/>
                <w:sz w:val="20"/>
              </w:rPr>
            </w:pPr>
          </w:p>
          <w:p w:rsidR="006A18FD" w:rsidRDefault="006A18FD">
            <w:pPr>
              <w:spacing w:before="11"/>
              <w:rPr>
                <w:rFonts w:ascii="Calibri"/>
                <w:b/>
                <w:sz w:val="29"/>
              </w:rPr>
            </w:pPr>
          </w:p>
          <w:p w:rsidR="006A18FD" w:rsidRDefault="002D29FC">
            <w:pPr>
              <w:ind w:left="424"/>
              <w:rPr>
                <w:rFonts w:ascii="Calibri" w:hAnsi="Calibri"/>
                <w:sz w:val="20"/>
              </w:rPr>
            </w:pPr>
            <w:r>
              <w:rPr>
                <w:rFonts w:ascii="Calibri" w:hAnsi="Calibri"/>
                <w:sz w:val="20"/>
              </w:rPr>
              <w:t>£4,472</w:t>
            </w:r>
          </w:p>
        </w:tc>
      </w:tr>
      <w:tr w:rsidR="006A18FD">
        <w:trPr>
          <w:trHeight w:val="720"/>
        </w:trPr>
        <w:tc>
          <w:tcPr>
            <w:tcW w:w="1289" w:type="dxa"/>
          </w:tcPr>
          <w:p w:rsidR="006A18FD" w:rsidRDefault="002D29FC">
            <w:pPr>
              <w:spacing w:before="121"/>
              <w:ind w:left="412" w:right="244" w:hanging="152"/>
              <w:rPr>
                <w:rFonts w:ascii="Calibri"/>
                <w:sz w:val="20"/>
              </w:rPr>
            </w:pPr>
            <w:r>
              <w:rPr>
                <w:rFonts w:ascii="Calibri"/>
                <w:sz w:val="20"/>
              </w:rPr>
              <w:t>Adoption panel</w:t>
            </w:r>
          </w:p>
        </w:tc>
        <w:tc>
          <w:tcPr>
            <w:tcW w:w="154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£1,893</w:t>
            </w:r>
          </w:p>
        </w:tc>
        <w:tc>
          <w:tcPr>
            <w:tcW w:w="1419" w:type="dxa"/>
          </w:tcPr>
          <w:p w:rsidR="006A18FD" w:rsidRDefault="006A18FD">
            <w:pPr>
              <w:spacing w:before="12"/>
              <w:rPr>
                <w:rFonts w:ascii="Calibri"/>
                <w:b/>
                <w:sz w:val="29"/>
              </w:rPr>
            </w:pPr>
          </w:p>
          <w:p w:rsidR="006A18FD" w:rsidRDefault="002D29FC">
            <w:pPr>
              <w:ind w:right="427"/>
              <w:jc w:val="right"/>
              <w:rPr>
                <w:rFonts w:ascii="Calibri" w:hAnsi="Calibri"/>
                <w:sz w:val="20"/>
              </w:rPr>
            </w:pPr>
            <w:r>
              <w:rPr>
                <w:rFonts w:ascii="Calibri" w:hAnsi="Calibri"/>
                <w:w w:val="95"/>
                <w:sz w:val="20"/>
              </w:rPr>
              <w:t>£1,405</w:t>
            </w:r>
          </w:p>
        </w:tc>
        <w:tc>
          <w:tcPr>
            <w:tcW w:w="1560" w:type="dxa"/>
          </w:tcPr>
          <w:p w:rsidR="006A18FD" w:rsidRDefault="006A18FD">
            <w:pPr>
              <w:spacing w:before="12"/>
              <w:rPr>
                <w:rFonts w:ascii="Calibri"/>
                <w:b/>
                <w:sz w:val="29"/>
              </w:rPr>
            </w:pPr>
          </w:p>
          <w:p w:rsidR="006A18FD" w:rsidRDefault="002D29FC">
            <w:pPr>
              <w:ind w:left="84" w:right="87"/>
              <w:jc w:val="center"/>
              <w:rPr>
                <w:rFonts w:ascii="Calibri" w:hAnsi="Calibri"/>
                <w:sz w:val="20"/>
              </w:rPr>
            </w:pPr>
            <w:r>
              <w:rPr>
                <w:rFonts w:ascii="Calibri" w:hAnsi="Calibri"/>
                <w:sz w:val="20"/>
              </w:rPr>
              <w:t>£912</w:t>
            </w:r>
          </w:p>
        </w:tc>
        <w:tc>
          <w:tcPr>
            <w:tcW w:w="1274" w:type="dxa"/>
          </w:tcPr>
          <w:p w:rsidR="006A18FD" w:rsidRDefault="006A18FD">
            <w:pPr>
              <w:spacing w:before="12"/>
              <w:rPr>
                <w:rFonts w:ascii="Calibri"/>
                <w:b/>
                <w:sz w:val="29"/>
              </w:rPr>
            </w:pPr>
          </w:p>
          <w:p w:rsidR="006A18FD" w:rsidRDefault="002D29FC">
            <w:pPr>
              <w:ind w:left="355"/>
              <w:rPr>
                <w:rFonts w:ascii="Calibri" w:hAnsi="Calibri"/>
                <w:sz w:val="20"/>
              </w:rPr>
            </w:pPr>
            <w:r>
              <w:rPr>
                <w:rFonts w:ascii="Calibri" w:hAnsi="Calibri"/>
                <w:sz w:val="20"/>
              </w:rPr>
              <w:t>£1,728</w:t>
            </w:r>
          </w:p>
        </w:tc>
        <w:tc>
          <w:tcPr>
            <w:tcW w:w="156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£1,667</w:t>
            </w:r>
          </w:p>
        </w:tc>
        <w:tc>
          <w:tcPr>
            <w:tcW w:w="1418" w:type="dxa"/>
          </w:tcPr>
          <w:p w:rsidR="006A18FD" w:rsidRDefault="006A18FD">
            <w:pPr>
              <w:spacing w:before="12"/>
              <w:rPr>
                <w:rFonts w:ascii="Calibri"/>
                <w:b/>
                <w:sz w:val="29"/>
              </w:rPr>
            </w:pPr>
          </w:p>
          <w:p w:rsidR="006A18FD" w:rsidRDefault="002D29FC">
            <w:pPr>
              <w:ind w:left="424"/>
              <w:rPr>
                <w:rFonts w:ascii="Calibri" w:hAnsi="Calibri"/>
                <w:sz w:val="20"/>
              </w:rPr>
            </w:pPr>
            <w:r>
              <w:rPr>
                <w:rFonts w:ascii="Calibri" w:hAnsi="Calibri"/>
                <w:sz w:val="20"/>
              </w:rPr>
              <w:t>£1,645</w:t>
            </w:r>
          </w:p>
        </w:tc>
      </w:tr>
      <w:tr w:rsidR="006A18FD">
        <w:trPr>
          <w:trHeight w:val="720"/>
        </w:trPr>
        <w:tc>
          <w:tcPr>
            <w:tcW w:w="1289" w:type="dxa"/>
          </w:tcPr>
          <w:p w:rsidR="006A18FD" w:rsidRDefault="002D29FC">
            <w:pPr>
              <w:spacing w:before="121"/>
              <w:ind w:left="259" w:right="245" w:firstLine="2"/>
              <w:rPr>
                <w:rFonts w:ascii="Calibri"/>
                <w:sz w:val="20"/>
              </w:rPr>
            </w:pPr>
            <w:r>
              <w:rPr>
                <w:rFonts w:ascii="Calibri"/>
                <w:sz w:val="20"/>
              </w:rPr>
              <w:t xml:space="preserve">Linking &amp; </w:t>
            </w:r>
            <w:r>
              <w:rPr>
                <w:rFonts w:ascii="Calibri"/>
                <w:w w:val="95"/>
                <w:sz w:val="20"/>
              </w:rPr>
              <w:t>matching</w:t>
            </w:r>
          </w:p>
        </w:tc>
        <w:tc>
          <w:tcPr>
            <w:tcW w:w="154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£3,838</w:t>
            </w:r>
          </w:p>
        </w:tc>
        <w:tc>
          <w:tcPr>
            <w:tcW w:w="1419" w:type="dxa"/>
          </w:tcPr>
          <w:p w:rsidR="006A18FD" w:rsidRDefault="006A18FD">
            <w:pPr>
              <w:spacing w:before="12"/>
              <w:rPr>
                <w:rFonts w:ascii="Calibri"/>
                <w:b/>
                <w:sz w:val="29"/>
              </w:rPr>
            </w:pPr>
          </w:p>
          <w:p w:rsidR="006A18FD" w:rsidRDefault="002D29FC">
            <w:pPr>
              <w:ind w:right="427"/>
              <w:jc w:val="right"/>
              <w:rPr>
                <w:rFonts w:ascii="Calibri" w:hAnsi="Calibri"/>
                <w:sz w:val="20"/>
              </w:rPr>
            </w:pPr>
            <w:r>
              <w:rPr>
                <w:rFonts w:ascii="Calibri" w:hAnsi="Calibri"/>
                <w:w w:val="95"/>
                <w:sz w:val="20"/>
              </w:rPr>
              <w:t>£3,816</w:t>
            </w:r>
          </w:p>
        </w:tc>
        <w:tc>
          <w:tcPr>
            <w:tcW w:w="1560" w:type="dxa"/>
          </w:tcPr>
          <w:p w:rsidR="006A18FD" w:rsidRDefault="006A18FD">
            <w:pPr>
              <w:spacing w:before="12"/>
              <w:rPr>
                <w:rFonts w:ascii="Calibri"/>
                <w:b/>
                <w:sz w:val="29"/>
              </w:rPr>
            </w:pPr>
          </w:p>
          <w:p w:rsidR="006A18FD" w:rsidRDefault="002D29FC">
            <w:pPr>
              <w:ind w:left="84" w:right="84"/>
              <w:jc w:val="center"/>
              <w:rPr>
                <w:rFonts w:ascii="Calibri" w:hAnsi="Calibri"/>
                <w:sz w:val="20"/>
              </w:rPr>
            </w:pPr>
            <w:r>
              <w:rPr>
                <w:rFonts w:ascii="Calibri" w:hAnsi="Calibri"/>
                <w:sz w:val="20"/>
              </w:rPr>
              <w:t>£1,524</w:t>
            </w:r>
          </w:p>
        </w:tc>
        <w:tc>
          <w:tcPr>
            <w:tcW w:w="1274" w:type="dxa"/>
          </w:tcPr>
          <w:p w:rsidR="006A18FD" w:rsidRDefault="006A18FD">
            <w:pPr>
              <w:spacing w:before="12"/>
              <w:rPr>
                <w:rFonts w:ascii="Calibri"/>
                <w:b/>
                <w:sz w:val="29"/>
              </w:rPr>
            </w:pPr>
          </w:p>
          <w:p w:rsidR="006A18FD" w:rsidRDefault="002D29FC">
            <w:pPr>
              <w:ind w:left="355"/>
              <w:rPr>
                <w:rFonts w:ascii="Calibri" w:hAnsi="Calibri"/>
                <w:sz w:val="20"/>
              </w:rPr>
            </w:pPr>
            <w:r>
              <w:rPr>
                <w:rFonts w:ascii="Calibri" w:hAnsi="Calibri"/>
                <w:sz w:val="20"/>
              </w:rPr>
              <w:t>£5,681</w:t>
            </w:r>
          </w:p>
        </w:tc>
        <w:tc>
          <w:tcPr>
            <w:tcW w:w="156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£2,744</w:t>
            </w:r>
          </w:p>
        </w:tc>
        <w:tc>
          <w:tcPr>
            <w:tcW w:w="1418" w:type="dxa"/>
          </w:tcPr>
          <w:p w:rsidR="006A18FD" w:rsidRDefault="006A18FD">
            <w:pPr>
              <w:spacing w:before="12"/>
              <w:rPr>
                <w:rFonts w:ascii="Calibri"/>
                <w:b/>
                <w:sz w:val="29"/>
              </w:rPr>
            </w:pPr>
          </w:p>
          <w:p w:rsidR="006A18FD" w:rsidRDefault="002D29FC">
            <w:pPr>
              <w:ind w:left="424"/>
              <w:rPr>
                <w:rFonts w:ascii="Calibri" w:hAnsi="Calibri"/>
                <w:sz w:val="20"/>
              </w:rPr>
            </w:pPr>
            <w:r>
              <w:rPr>
                <w:rFonts w:ascii="Calibri" w:hAnsi="Calibri"/>
                <w:sz w:val="20"/>
              </w:rPr>
              <w:t>£5,097</w:t>
            </w:r>
          </w:p>
        </w:tc>
      </w:tr>
      <w:tr w:rsidR="006A18FD">
        <w:trPr>
          <w:trHeight w:val="720"/>
        </w:trPr>
        <w:tc>
          <w:tcPr>
            <w:tcW w:w="1289" w:type="dxa"/>
          </w:tcPr>
          <w:p w:rsidR="006A18FD" w:rsidRDefault="002D29FC">
            <w:pPr>
              <w:spacing w:before="121"/>
              <w:ind w:left="182" w:right="162" w:firstLine="26"/>
              <w:rPr>
                <w:rFonts w:ascii="Calibri"/>
                <w:sz w:val="20"/>
              </w:rPr>
            </w:pPr>
            <w:r>
              <w:rPr>
                <w:rFonts w:ascii="Calibri"/>
                <w:sz w:val="20"/>
              </w:rPr>
              <w:t>Placement of the child</w:t>
            </w:r>
          </w:p>
        </w:tc>
        <w:tc>
          <w:tcPr>
            <w:tcW w:w="154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£1,885</w:t>
            </w:r>
          </w:p>
        </w:tc>
        <w:tc>
          <w:tcPr>
            <w:tcW w:w="1419" w:type="dxa"/>
          </w:tcPr>
          <w:p w:rsidR="006A18FD" w:rsidRDefault="006A18FD">
            <w:pPr>
              <w:spacing w:before="12"/>
              <w:rPr>
                <w:rFonts w:ascii="Calibri"/>
                <w:b/>
                <w:sz w:val="29"/>
              </w:rPr>
            </w:pPr>
          </w:p>
          <w:p w:rsidR="006A18FD" w:rsidRDefault="002D29FC">
            <w:pPr>
              <w:ind w:right="427"/>
              <w:jc w:val="right"/>
              <w:rPr>
                <w:rFonts w:ascii="Calibri" w:hAnsi="Calibri"/>
                <w:sz w:val="20"/>
              </w:rPr>
            </w:pPr>
            <w:r>
              <w:rPr>
                <w:rFonts w:ascii="Calibri" w:hAnsi="Calibri"/>
                <w:w w:val="95"/>
                <w:sz w:val="20"/>
              </w:rPr>
              <w:t>£2,004</w:t>
            </w:r>
          </w:p>
        </w:tc>
        <w:tc>
          <w:tcPr>
            <w:tcW w:w="1560" w:type="dxa"/>
          </w:tcPr>
          <w:p w:rsidR="006A18FD" w:rsidRDefault="006A18FD">
            <w:pPr>
              <w:spacing w:before="12"/>
              <w:rPr>
                <w:rFonts w:ascii="Calibri"/>
                <w:b/>
                <w:sz w:val="29"/>
              </w:rPr>
            </w:pPr>
          </w:p>
          <w:p w:rsidR="006A18FD" w:rsidRDefault="002D29FC">
            <w:pPr>
              <w:ind w:left="84" w:right="87"/>
              <w:jc w:val="center"/>
              <w:rPr>
                <w:rFonts w:ascii="Calibri" w:hAnsi="Calibri"/>
                <w:sz w:val="20"/>
              </w:rPr>
            </w:pPr>
            <w:r>
              <w:rPr>
                <w:rFonts w:ascii="Calibri" w:hAnsi="Calibri"/>
                <w:sz w:val="20"/>
              </w:rPr>
              <w:t>£739</w:t>
            </w:r>
          </w:p>
        </w:tc>
        <w:tc>
          <w:tcPr>
            <w:tcW w:w="1274" w:type="dxa"/>
          </w:tcPr>
          <w:p w:rsidR="006A18FD" w:rsidRDefault="006A18FD">
            <w:pPr>
              <w:spacing w:before="12"/>
              <w:rPr>
                <w:rFonts w:ascii="Calibri"/>
                <w:b/>
                <w:sz w:val="29"/>
              </w:rPr>
            </w:pPr>
          </w:p>
          <w:p w:rsidR="006A18FD" w:rsidRDefault="002D29FC">
            <w:pPr>
              <w:ind w:left="355"/>
              <w:rPr>
                <w:rFonts w:ascii="Calibri" w:hAnsi="Calibri"/>
                <w:sz w:val="20"/>
              </w:rPr>
            </w:pPr>
            <w:r>
              <w:rPr>
                <w:rFonts w:ascii="Calibri" w:hAnsi="Calibri"/>
                <w:sz w:val="20"/>
              </w:rPr>
              <w:t>£2,508</w:t>
            </w:r>
          </w:p>
        </w:tc>
        <w:tc>
          <w:tcPr>
            <w:tcW w:w="1561" w:type="dxa"/>
          </w:tcPr>
          <w:p w:rsidR="006A18FD" w:rsidRDefault="006A18FD">
            <w:pPr>
              <w:spacing w:before="12"/>
              <w:rPr>
                <w:rFonts w:ascii="Calibri"/>
                <w:b/>
                <w:sz w:val="29"/>
              </w:rPr>
            </w:pPr>
          </w:p>
          <w:p w:rsidR="006A18FD" w:rsidRDefault="002D29FC">
            <w:pPr>
              <w:ind w:left="83" w:right="83"/>
              <w:jc w:val="center"/>
              <w:rPr>
                <w:rFonts w:ascii="Calibri" w:hAnsi="Calibri"/>
                <w:sz w:val="20"/>
              </w:rPr>
            </w:pPr>
            <w:r>
              <w:rPr>
                <w:rFonts w:ascii="Calibri" w:hAnsi="Calibri"/>
                <w:sz w:val="20"/>
              </w:rPr>
              <w:t>£1,833</w:t>
            </w:r>
          </w:p>
        </w:tc>
        <w:tc>
          <w:tcPr>
            <w:tcW w:w="1418" w:type="dxa"/>
          </w:tcPr>
          <w:p w:rsidR="006A18FD" w:rsidRDefault="006A18FD">
            <w:pPr>
              <w:spacing w:before="12"/>
              <w:rPr>
                <w:rFonts w:ascii="Calibri"/>
                <w:b/>
                <w:sz w:val="29"/>
              </w:rPr>
            </w:pPr>
          </w:p>
          <w:p w:rsidR="006A18FD" w:rsidRDefault="002D29FC">
            <w:pPr>
              <w:ind w:left="424"/>
              <w:rPr>
                <w:rFonts w:ascii="Calibri" w:hAnsi="Calibri"/>
                <w:sz w:val="20"/>
              </w:rPr>
            </w:pPr>
            <w:r>
              <w:rPr>
                <w:rFonts w:ascii="Calibri" w:hAnsi="Calibri"/>
                <w:sz w:val="20"/>
              </w:rPr>
              <w:t>£2,314</w:t>
            </w:r>
          </w:p>
        </w:tc>
      </w:tr>
      <w:tr w:rsidR="006A18FD">
        <w:trPr>
          <w:trHeight w:val="960"/>
        </w:trPr>
        <w:tc>
          <w:tcPr>
            <w:tcW w:w="1289" w:type="dxa"/>
          </w:tcPr>
          <w:p w:rsidR="006A18FD" w:rsidRDefault="002D29FC">
            <w:pPr>
              <w:spacing w:before="121"/>
              <w:ind w:left="129" w:right="132" w:firstLine="3"/>
              <w:jc w:val="center"/>
              <w:rPr>
                <w:rFonts w:ascii="Calibri"/>
                <w:sz w:val="20"/>
              </w:rPr>
            </w:pPr>
            <w:r>
              <w:rPr>
                <w:rFonts w:ascii="Calibri"/>
                <w:sz w:val="20"/>
              </w:rPr>
              <w:t>Assessment for adoption support</w:t>
            </w:r>
          </w:p>
        </w:tc>
        <w:tc>
          <w:tcPr>
            <w:tcW w:w="1541"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left="83" w:right="83"/>
              <w:jc w:val="center"/>
              <w:rPr>
                <w:rFonts w:ascii="Calibri" w:hAnsi="Calibri"/>
                <w:sz w:val="20"/>
              </w:rPr>
            </w:pPr>
            <w:r>
              <w:rPr>
                <w:rFonts w:ascii="Calibri" w:hAnsi="Calibri"/>
                <w:sz w:val="20"/>
              </w:rPr>
              <w:t>£2,736</w:t>
            </w:r>
          </w:p>
        </w:tc>
        <w:tc>
          <w:tcPr>
            <w:tcW w:w="1419"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right="427"/>
              <w:jc w:val="right"/>
              <w:rPr>
                <w:rFonts w:ascii="Calibri" w:hAnsi="Calibri"/>
                <w:sz w:val="20"/>
              </w:rPr>
            </w:pPr>
            <w:r>
              <w:rPr>
                <w:rFonts w:ascii="Calibri" w:hAnsi="Calibri"/>
                <w:w w:val="95"/>
                <w:sz w:val="20"/>
              </w:rPr>
              <w:t>£3,326</w:t>
            </w:r>
          </w:p>
        </w:tc>
        <w:tc>
          <w:tcPr>
            <w:tcW w:w="1560"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left="84" w:right="84"/>
              <w:jc w:val="center"/>
              <w:rPr>
                <w:rFonts w:ascii="Calibri" w:hAnsi="Calibri"/>
                <w:sz w:val="20"/>
              </w:rPr>
            </w:pPr>
            <w:r>
              <w:rPr>
                <w:rFonts w:ascii="Calibri" w:hAnsi="Calibri"/>
                <w:sz w:val="20"/>
              </w:rPr>
              <w:t>£1,810</w:t>
            </w:r>
          </w:p>
        </w:tc>
        <w:tc>
          <w:tcPr>
            <w:tcW w:w="1274"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left="355"/>
              <w:rPr>
                <w:rFonts w:ascii="Calibri" w:hAnsi="Calibri"/>
                <w:sz w:val="20"/>
              </w:rPr>
            </w:pPr>
            <w:r>
              <w:rPr>
                <w:rFonts w:ascii="Calibri" w:hAnsi="Calibri"/>
                <w:sz w:val="20"/>
              </w:rPr>
              <w:t>£3,396</w:t>
            </w:r>
          </w:p>
        </w:tc>
        <w:tc>
          <w:tcPr>
            <w:tcW w:w="1561"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left="83" w:right="83"/>
              <w:jc w:val="center"/>
              <w:rPr>
                <w:rFonts w:ascii="Calibri" w:hAnsi="Calibri"/>
                <w:sz w:val="20"/>
              </w:rPr>
            </w:pPr>
            <w:r>
              <w:rPr>
                <w:rFonts w:ascii="Calibri" w:hAnsi="Calibri"/>
                <w:sz w:val="20"/>
              </w:rPr>
              <w:t>£2,212</w:t>
            </w:r>
          </w:p>
        </w:tc>
        <w:tc>
          <w:tcPr>
            <w:tcW w:w="1418" w:type="dxa"/>
          </w:tcPr>
          <w:p w:rsidR="006A18FD" w:rsidRDefault="006A18FD">
            <w:pPr>
              <w:rPr>
                <w:rFonts w:ascii="Calibri"/>
                <w:b/>
                <w:sz w:val="20"/>
              </w:rPr>
            </w:pPr>
          </w:p>
          <w:p w:rsidR="006A18FD" w:rsidRDefault="006A18FD">
            <w:pPr>
              <w:spacing w:before="10"/>
              <w:rPr>
                <w:rFonts w:ascii="Calibri"/>
                <w:b/>
                <w:sz w:val="19"/>
              </w:rPr>
            </w:pPr>
          </w:p>
          <w:p w:rsidR="006A18FD" w:rsidRDefault="002D29FC">
            <w:pPr>
              <w:ind w:left="424"/>
              <w:rPr>
                <w:rFonts w:ascii="Calibri" w:hAnsi="Calibri"/>
                <w:sz w:val="20"/>
              </w:rPr>
            </w:pPr>
            <w:r>
              <w:rPr>
                <w:rFonts w:ascii="Calibri" w:hAnsi="Calibri"/>
                <w:sz w:val="20"/>
              </w:rPr>
              <w:t>£3,861</w:t>
            </w:r>
          </w:p>
        </w:tc>
      </w:tr>
    </w:tbl>
    <w:p w:rsidR="006A18FD" w:rsidRDefault="002D29FC" w:rsidP="00E06635">
      <w:pPr>
        <w:pStyle w:val="Heading3"/>
      </w:pPr>
      <w:r>
        <w:t>Helping birth families</w:t>
      </w:r>
    </w:p>
    <w:p w:rsidR="00E06635" w:rsidRDefault="002D29FC">
      <w:pPr>
        <w:spacing w:before="156" w:line="384" w:lineRule="auto"/>
        <w:ind w:left="140" w:right="5807"/>
        <w:rPr>
          <w:rFonts w:ascii="Calibri"/>
          <w:sz w:val="20"/>
        </w:rPr>
      </w:pPr>
      <w:r>
        <w:rPr>
          <w:rFonts w:ascii="Calibri"/>
          <w:sz w:val="20"/>
        </w:rPr>
        <w:t>See previous editions for sources of information.</w:t>
      </w:r>
    </w:p>
    <w:p w:rsidR="00E06635" w:rsidRDefault="002D29FC" w:rsidP="00E06635">
      <w:pPr>
        <w:pStyle w:val="Heading3"/>
      </w:pPr>
      <w:r>
        <w:rPr>
          <w:rFonts w:ascii="Calibri"/>
          <w:sz w:val="20"/>
        </w:rPr>
        <w:t xml:space="preserve"> </w:t>
      </w:r>
      <w:r>
        <w:t>Supportin</w:t>
      </w:r>
      <w:r w:rsidR="00E06635">
        <w:t>g direct contact after adoption</w:t>
      </w:r>
    </w:p>
    <w:p w:rsidR="00E06635" w:rsidRDefault="002D29FC">
      <w:pPr>
        <w:spacing w:before="156" w:line="384" w:lineRule="auto"/>
        <w:ind w:left="140" w:right="5807"/>
        <w:rPr>
          <w:rFonts w:ascii="Calibri"/>
          <w:sz w:val="20"/>
        </w:rPr>
      </w:pPr>
      <w:r>
        <w:rPr>
          <w:rFonts w:ascii="Calibri"/>
          <w:sz w:val="20"/>
        </w:rPr>
        <w:t xml:space="preserve">See previous editions for sources of information. </w:t>
      </w:r>
    </w:p>
    <w:p w:rsidR="006A18FD" w:rsidRDefault="00E06635" w:rsidP="00E06635">
      <w:pPr>
        <w:pStyle w:val="Heading3"/>
      </w:pPr>
      <w:r>
        <w:rPr>
          <w:rFonts w:ascii="Calibri"/>
          <w:sz w:val="20"/>
        </w:rPr>
        <w:t>P</w:t>
      </w:r>
      <w:r w:rsidR="002D29FC">
        <w:t>ost-adoption support for adoptive</w:t>
      </w:r>
      <w:r w:rsidR="002D29FC">
        <w:rPr>
          <w:spacing w:val="-20"/>
        </w:rPr>
        <w:t xml:space="preserve"> </w:t>
      </w:r>
      <w:r w:rsidR="002D29FC">
        <w:t>parents</w:t>
      </w:r>
    </w:p>
    <w:p w:rsidR="006A18FD" w:rsidRDefault="002D29FC">
      <w:pPr>
        <w:spacing w:before="1" w:line="264" w:lineRule="auto"/>
        <w:ind w:left="140" w:right="171"/>
        <w:rPr>
          <w:rFonts w:ascii="Calibri"/>
          <w:sz w:val="20"/>
        </w:rPr>
      </w:pPr>
      <w:r>
        <w:rPr>
          <w:rFonts w:ascii="Calibri"/>
          <w:sz w:val="20"/>
        </w:rPr>
        <w:t>A legal framework for the provision of adoption support is set out in the Adoption and Children Act 2002 and the Statutory Guidance on Adoption 2013 (Department of Health, 2013; Bonin et al., 2013).</w:t>
      </w:r>
      <w:r>
        <w:rPr>
          <w:rFonts w:ascii="Calibri"/>
          <w:position w:val="7"/>
          <w:sz w:val="13"/>
        </w:rPr>
        <w:t xml:space="preserve">1,2 </w:t>
      </w:r>
      <w:r>
        <w:rPr>
          <w:rFonts w:ascii="Calibri"/>
          <w:sz w:val="20"/>
        </w:rPr>
        <w:t>Families have a right to an assessment of their support needs, and may be entitled to (means-tested) financial support, access to support groups, support for contact with birth relatives, and therapeutic services that support the relationship between children and their adoptive parents.</w:t>
      </w:r>
    </w:p>
    <w:p w:rsidR="006A18FD" w:rsidRDefault="002D29FC">
      <w:pPr>
        <w:spacing w:line="264" w:lineRule="auto"/>
        <w:ind w:left="140" w:right="220"/>
        <w:rPr>
          <w:rFonts w:ascii="Calibri" w:hAnsi="Calibri"/>
          <w:sz w:val="20"/>
        </w:rPr>
      </w:pPr>
      <w:r>
        <w:rPr>
          <w:rFonts w:ascii="Calibri" w:hAnsi="Calibri"/>
          <w:sz w:val="20"/>
        </w:rPr>
        <w:t>This includes training to meet the child’s needs, respite care and assistance in cases of disruption. See previous editions for sources of information relating to post-adoption support.</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9"/>
        <w:rPr>
          <w:rFonts w:ascii="Calibri"/>
          <w:sz w:val="25"/>
        </w:rPr>
      </w:pPr>
    </w:p>
    <w:p w:rsidR="006A18FD" w:rsidRDefault="002D29FC">
      <w:pPr>
        <w:ind w:left="423" w:hanging="284"/>
        <w:rPr>
          <w:rFonts w:ascii="Calibri"/>
          <w:sz w:val="16"/>
        </w:rPr>
      </w:pPr>
      <w:r>
        <w:rPr>
          <w:rFonts w:ascii="Calibri"/>
          <w:position w:val="5"/>
          <w:sz w:val="10"/>
        </w:rPr>
        <w:t xml:space="preserve">1 </w:t>
      </w:r>
      <w:r>
        <w:rPr>
          <w:rFonts w:ascii="Calibri"/>
          <w:sz w:val="16"/>
        </w:rPr>
        <w:t xml:space="preserve">Department of Education (2013) Statutory guidance on adoption, For local authorities, voluntary adoption agencies and adoption support agencies, </w:t>
      </w:r>
      <w:hyperlink r:id="rId237">
        <w:r>
          <w:rPr>
            <w:rFonts w:ascii="Calibri"/>
            <w:sz w:val="16"/>
            <w:u w:val="single"/>
          </w:rPr>
          <w:t>https://www.gov.uk/government/uploads/system/uploads/attachment_data/file/270100/adoption_statutory_guidance_2013.pdf</w:t>
        </w:r>
        <w:r>
          <w:rPr>
            <w:rFonts w:ascii="Calibri"/>
            <w:sz w:val="16"/>
          </w:rPr>
          <w:t xml:space="preserve">  </w:t>
        </w:r>
      </w:hyperlink>
      <w:r>
        <w:rPr>
          <w:rFonts w:ascii="Calibri"/>
          <w:sz w:val="16"/>
        </w:rPr>
        <w:t>[accessed 30</w:t>
      </w:r>
    </w:p>
    <w:p w:rsidR="006A18FD" w:rsidRDefault="002D29FC">
      <w:pPr>
        <w:spacing w:before="1" w:line="195" w:lineRule="exact"/>
        <w:ind w:left="423"/>
        <w:rPr>
          <w:rFonts w:ascii="Calibri"/>
          <w:sz w:val="16"/>
        </w:rPr>
      </w:pPr>
      <w:r>
        <w:rPr>
          <w:rFonts w:ascii="Calibri"/>
          <w:sz w:val="16"/>
        </w:rPr>
        <w:t>November 2016].</w:t>
      </w:r>
    </w:p>
    <w:p w:rsidR="006A18FD" w:rsidRDefault="002D29FC">
      <w:pPr>
        <w:ind w:left="423" w:right="159" w:hanging="284"/>
        <w:rPr>
          <w:rFonts w:ascii="Calibri"/>
          <w:sz w:val="16"/>
        </w:rPr>
      </w:pPr>
      <w:r>
        <w:rPr>
          <w:rFonts w:ascii="Calibri"/>
          <w:position w:val="5"/>
          <w:sz w:val="10"/>
        </w:rPr>
        <w:t xml:space="preserve">2 </w:t>
      </w:r>
      <w:r>
        <w:rPr>
          <w:rFonts w:ascii="Calibri"/>
          <w:sz w:val="16"/>
        </w:rPr>
        <w:t xml:space="preserve">Bonin, E., Beecham, J., Dance, C. &amp; Farmer, E. (2013) Support for adoption: the first six months, </w:t>
      </w:r>
      <w:r>
        <w:rPr>
          <w:rFonts w:ascii="Calibri"/>
          <w:i/>
          <w:sz w:val="16"/>
        </w:rPr>
        <w:t xml:space="preserve">British Journal of Social Workers, </w:t>
      </w:r>
      <w:hyperlink r:id="rId238">
        <w:r>
          <w:rPr>
            <w:rFonts w:ascii="Calibri"/>
            <w:sz w:val="16"/>
            <w:u w:val="single"/>
          </w:rPr>
          <w:t>www.basw.co.uk/social-</w:t>
        </w:r>
      </w:hyperlink>
      <w:r>
        <w:rPr>
          <w:rFonts w:ascii="Calibri"/>
          <w:sz w:val="16"/>
        </w:rPr>
        <w:t xml:space="preserve"> </w:t>
      </w:r>
      <w:hyperlink r:id="rId239">
        <w:r>
          <w:rPr>
            <w:rFonts w:ascii="Calibri"/>
            <w:sz w:val="16"/>
            <w:u w:val="single"/>
          </w:rPr>
          <w:t>work-careers/</w:t>
        </w:r>
      </w:hyperlink>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8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90" name="Line 14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CF317" id="Group 14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Dhr0uzgAIAAIEF&#10;AAAOAAAAAAAAAAAAAAAAAC4CAABkcnMvZTJvRG9jLnhtbFBLAQItABQABgAIAAAAIQAtd+Rc2gAA&#10;AAQBAAAPAAAAAAAAAAAAAAAAANoEAABkcnMvZG93bnJldi54bWxQSwUGAAAAAAQABADzAAAA4QUA&#10;AAAA&#10;">
                <v:line id="Line 14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w10:anchorlock/>
              </v:group>
            </w:pict>
          </mc:Fallback>
        </mc:AlternateContent>
      </w:r>
    </w:p>
    <w:p w:rsidR="006A18FD" w:rsidRDefault="00E06635" w:rsidP="00E06635">
      <w:pPr>
        <w:pStyle w:val="Heading2"/>
      </w:pPr>
      <w:r>
        <w:t xml:space="preserve">6.7 </w:t>
      </w:r>
      <w:r w:rsidR="002D29FC">
        <w:t>Parent training interventions for parents of disabled children with sleep or behavioural</w:t>
      </w:r>
      <w:r w:rsidR="002D29FC">
        <w:rPr>
          <w:spacing w:val="-11"/>
        </w:rPr>
        <w:t xml:space="preserve"> </w:t>
      </w:r>
      <w:r w:rsidR="002D29FC">
        <w:t>problems</w:t>
      </w:r>
    </w:p>
    <w:p w:rsidR="006A18FD" w:rsidRDefault="002D29FC">
      <w:pPr>
        <w:spacing w:before="123" w:line="276" w:lineRule="auto"/>
        <w:ind w:left="152" w:right="183"/>
        <w:rPr>
          <w:rFonts w:ascii="Calibri"/>
          <w:sz w:val="19"/>
        </w:rPr>
      </w:pPr>
      <w:r>
        <w:rPr>
          <w:rFonts w:ascii="Calibri"/>
          <w:sz w:val="19"/>
        </w:rPr>
        <w:t>This table draws on work carried out by Beresford and colleagues (2012)</w:t>
      </w:r>
      <w:r>
        <w:rPr>
          <w:rFonts w:ascii="Calibri"/>
          <w:position w:val="6"/>
          <w:sz w:val="12"/>
        </w:rPr>
        <w:t xml:space="preserve">1 </w:t>
      </w:r>
      <w:r>
        <w:rPr>
          <w:rFonts w:ascii="Calibri"/>
          <w:sz w:val="19"/>
        </w:rPr>
        <w:t>and provides the costs of five different parent training interventions for parents of disabled children with sleep or behavioural problems. Costs have been updated using current salaries and overhead information. The cost for each programme is an average cost.</w:t>
      </w:r>
    </w:p>
    <w:p w:rsidR="006A18FD" w:rsidRDefault="006A18FD">
      <w:pPr>
        <w:spacing w:before="2"/>
        <w:rPr>
          <w:rFonts w:ascii="Calibri"/>
          <w:sz w:val="16"/>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2660"/>
        <w:gridCol w:w="2660"/>
        <w:gridCol w:w="2064"/>
      </w:tblGrid>
      <w:tr w:rsidR="006A18FD" w:rsidTr="005B5AB5">
        <w:trPr>
          <w:trHeight w:val="1040"/>
          <w:tblHeader/>
        </w:trPr>
        <w:tc>
          <w:tcPr>
            <w:tcW w:w="2660" w:type="dxa"/>
          </w:tcPr>
          <w:p w:rsidR="006A18FD" w:rsidRDefault="002D29FC">
            <w:pPr>
              <w:spacing w:before="1"/>
              <w:ind w:left="285"/>
              <w:rPr>
                <w:rFonts w:ascii="Calibri"/>
                <w:b/>
                <w:sz w:val="19"/>
              </w:rPr>
            </w:pPr>
            <w:r>
              <w:rPr>
                <w:rFonts w:ascii="Calibri"/>
                <w:b/>
                <w:sz w:val="19"/>
              </w:rPr>
              <w:t>Description of programme</w:t>
            </w:r>
          </w:p>
        </w:tc>
        <w:tc>
          <w:tcPr>
            <w:tcW w:w="2660" w:type="dxa"/>
          </w:tcPr>
          <w:p w:rsidR="006A18FD" w:rsidRDefault="002D29FC">
            <w:pPr>
              <w:spacing w:before="1"/>
              <w:ind w:left="213" w:right="215" w:firstLine="2"/>
              <w:jc w:val="center"/>
              <w:rPr>
                <w:rFonts w:ascii="Calibri"/>
                <w:b/>
                <w:sz w:val="19"/>
              </w:rPr>
            </w:pPr>
            <w:r>
              <w:rPr>
                <w:rFonts w:ascii="Calibri"/>
                <w:b/>
                <w:sz w:val="19"/>
              </w:rPr>
              <w:t>Staff (Agenda for Change band/local authority band if provided) FTE unless otherwise noted</w:t>
            </w:r>
          </w:p>
        </w:tc>
        <w:tc>
          <w:tcPr>
            <w:tcW w:w="2660" w:type="dxa"/>
          </w:tcPr>
          <w:p w:rsidR="006A18FD" w:rsidRDefault="002D29FC">
            <w:pPr>
              <w:spacing w:before="1"/>
              <w:ind w:left="355" w:right="358"/>
              <w:jc w:val="center"/>
              <w:rPr>
                <w:rFonts w:ascii="Calibri"/>
                <w:b/>
                <w:sz w:val="19"/>
              </w:rPr>
            </w:pPr>
            <w:r>
              <w:rPr>
                <w:rFonts w:ascii="Calibri"/>
                <w:b/>
                <w:sz w:val="19"/>
              </w:rPr>
              <w:t>Staff sessions and hours (including preparation, delivery, debrief)</w:t>
            </w:r>
          </w:p>
        </w:tc>
        <w:tc>
          <w:tcPr>
            <w:tcW w:w="2064" w:type="dxa"/>
          </w:tcPr>
          <w:p w:rsidR="006A18FD" w:rsidRDefault="002D29FC">
            <w:pPr>
              <w:spacing w:before="1"/>
              <w:ind w:left="153" w:right="133" w:firstLine="213"/>
              <w:rPr>
                <w:rFonts w:ascii="Calibri"/>
                <w:b/>
                <w:sz w:val="19"/>
              </w:rPr>
            </w:pPr>
            <w:r>
              <w:rPr>
                <w:rFonts w:ascii="Calibri"/>
                <w:b/>
                <w:sz w:val="19"/>
              </w:rPr>
              <w:t>Average cost per programme (including programme and staff)</w:t>
            </w:r>
          </w:p>
        </w:tc>
      </w:tr>
      <w:tr w:rsidR="006A18FD">
        <w:trPr>
          <w:trHeight w:val="240"/>
        </w:trPr>
        <w:tc>
          <w:tcPr>
            <w:tcW w:w="2660" w:type="dxa"/>
            <w:tcBorders>
              <w:bottom w:val="nil"/>
            </w:tcBorders>
          </w:tcPr>
          <w:p w:rsidR="006A18FD" w:rsidRDefault="002D29FC">
            <w:pPr>
              <w:spacing w:before="1" w:line="229" w:lineRule="exact"/>
              <w:ind w:left="105"/>
              <w:rPr>
                <w:rFonts w:ascii="Calibri"/>
                <w:sz w:val="19"/>
              </w:rPr>
            </w:pPr>
            <w:r>
              <w:rPr>
                <w:rFonts w:ascii="Calibri"/>
                <w:sz w:val="19"/>
              </w:rPr>
              <w:t xml:space="preserve">The </w:t>
            </w:r>
            <w:r>
              <w:rPr>
                <w:rFonts w:ascii="Calibri"/>
                <w:b/>
                <w:sz w:val="19"/>
              </w:rPr>
              <w:t xml:space="preserve">Ascend Programme </w:t>
            </w:r>
            <w:r>
              <w:rPr>
                <w:rFonts w:ascii="Calibri"/>
                <w:sz w:val="19"/>
              </w:rPr>
              <w:t>is a</w:t>
            </w:r>
          </w:p>
        </w:tc>
        <w:tc>
          <w:tcPr>
            <w:tcW w:w="2660" w:type="dxa"/>
            <w:tcBorders>
              <w:bottom w:val="nil"/>
            </w:tcBorders>
          </w:tcPr>
          <w:p w:rsidR="006A18FD" w:rsidRDefault="002D29FC">
            <w:pPr>
              <w:spacing w:before="1" w:line="229" w:lineRule="exact"/>
              <w:ind w:left="103"/>
              <w:rPr>
                <w:rFonts w:ascii="Calibri"/>
                <w:sz w:val="19"/>
              </w:rPr>
            </w:pPr>
            <w:r>
              <w:rPr>
                <w:rFonts w:ascii="Calibri"/>
                <w:sz w:val="19"/>
              </w:rPr>
              <w:t>Clinical psychologist (7),</w:t>
            </w:r>
          </w:p>
        </w:tc>
        <w:tc>
          <w:tcPr>
            <w:tcW w:w="2660" w:type="dxa"/>
            <w:tcBorders>
              <w:bottom w:val="nil"/>
            </w:tcBorders>
          </w:tcPr>
          <w:p w:rsidR="006A18FD" w:rsidRDefault="002D29FC">
            <w:pPr>
              <w:spacing w:before="1" w:line="229" w:lineRule="exact"/>
              <w:ind w:left="102"/>
              <w:rPr>
                <w:rFonts w:ascii="Calibri"/>
                <w:sz w:val="19"/>
              </w:rPr>
            </w:pPr>
            <w:r>
              <w:rPr>
                <w:rFonts w:ascii="Calibri"/>
                <w:sz w:val="19"/>
              </w:rPr>
              <w:t>Delivered in 10 weekly sessions</w:t>
            </w:r>
          </w:p>
        </w:tc>
        <w:tc>
          <w:tcPr>
            <w:tcW w:w="2064" w:type="dxa"/>
            <w:tcBorders>
              <w:bottom w:val="nil"/>
            </w:tcBorders>
          </w:tcPr>
          <w:p w:rsidR="006A18FD" w:rsidRDefault="002D29FC">
            <w:pPr>
              <w:spacing w:before="1" w:line="229" w:lineRule="exact"/>
              <w:ind w:left="359" w:right="360"/>
              <w:jc w:val="center"/>
              <w:rPr>
                <w:rFonts w:ascii="Calibri"/>
                <w:b/>
                <w:sz w:val="19"/>
              </w:rPr>
            </w:pPr>
            <w:r>
              <w:rPr>
                <w:rFonts w:ascii="Calibri"/>
                <w:b/>
                <w:sz w:val="19"/>
              </w:rPr>
              <w:t>Staff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group-delivered parent-</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learning disability nurse (7),</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of 2-2.5 hours plus final follow-</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£7,527</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training programme for</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S&amp;L therapist (5), consultant</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up session. In total 46.5 hours</w:t>
            </w:r>
          </w:p>
        </w:tc>
        <w:tc>
          <w:tcPr>
            <w:tcW w:w="2064" w:type="dxa"/>
            <w:tcBorders>
              <w:top w:val="nil"/>
              <w:bottom w:val="nil"/>
            </w:tcBorders>
          </w:tcPr>
          <w:p w:rsidR="006A18FD" w:rsidRDefault="002D29FC">
            <w:pPr>
              <w:spacing w:line="213" w:lineRule="exact"/>
              <w:ind w:left="359" w:right="361"/>
              <w:jc w:val="center"/>
              <w:rPr>
                <w:rFonts w:ascii="Calibri"/>
                <w:b/>
                <w:sz w:val="19"/>
              </w:rPr>
            </w:pPr>
            <w:r>
              <w:rPr>
                <w:rFonts w:ascii="Calibri"/>
                <w:b/>
                <w:sz w:val="19"/>
              </w:rPr>
              <w:t>Programme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parents of children with</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clinical psychologist (8D),</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were delivered by staff across 4</w:t>
            </w:r>
          </w:p>
        </w:tc>
        <w:tc>
          <w:tcPr>
            <w:tcW w:w="2064" w:type="dxa"/>
            <w:tcBorders>
              <w:top w:val="nil"/>
              <w:bottom w:val="nil"/>
            </w:tcBorders>
          </w:tcPr>
          <w:p w:rsidR="006A18FD" w:rsidRDefault="002D29FC">
            <w:pPr>
              <w:spacing w:line="212" w:lineRule="exact"/>
              <w:ind w:left="359" w:right="361"/>
              <w:jc w:val="center"/>
              <w:rPr>
                <w:rFonts w:ascii="Calibri" w:hAnsi="Calibri"/>
                <w:sz w:val="19"/>
              </w:rPr>
            </w:pPr>
            <w:r>
              <w:rPr>
                <w:rFonts w:ascii="Calibri" w:hAnsi="Calibri"/>
                <w:sz w:val="19"/>
              </w:rPr>
              <w:t>£174</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Autistic Spectrum Conditions</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consultant psychiatrist (8DD),</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programmes.</w:t>
            </w:r>
          </w:p>
        </w:tc>
        <w:tc>
          <w:tcPr>
            <w:tcW w:w="2064" w:type="dxa"/>
            <w:tcBorders>
              <w:top w:val="nil"/>
              <w:bottom w:val="nil"/>
            </w:tcBorders>
          </w:tcPr>
          <w:p w:rsidR="006A18FD" w:rsidRDefault="002D29FC">
            <w:pPr>
              <w:spacing w:line="212" w:lineRule="exact"/>
              <w:ind w:left="359" w:right="360"/>
              <w:jc w:val="center"/>
              <w:rPr>
                <w:rFonts w:ascii="Calibri"/>
                <w:b/>
                <w:sz w:val="19"/>
              </w:rPr>
            </w:pPr>
            <w:r>
              <w:rPr>
                <w:rFonts w:ascii="Calibri"/>
                <w:b/>
                <w:sz w:val="19"/>
              </w:rPr>
              <w:t>Total</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(ASC). Up to 20 participants per</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learning disability nurse (6),</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£7,701</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programme.</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CAMHS therapist (6), social</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worker assistant, learning</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disability nurse (7), clinical</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00"/>
        </w:trPr>
        <w:tc>
          <w:tcPr>
            <w:tcW w:w="2660" w:type="dxa"/>
            <w:tcBorders>
              <w:top w:val="nil"/>
            </w:tcBorders>
          </w:tcPr>
          <w:p w:rsidR="006A18FD" w:rsidRDefault="006A18FD">
            <w:pPr>
              <w:rPr>
                <w:rFonts w:ascii="Times New Roman"/>
                <w:sz w:val="14"/>
              </w:rPr>
            </w:pPr>
          </w:p>
        </w:tc>
        <w:tc>
          <w:tcPr>
            <w:tcW w:w="2660" w:type="dxa"/>
            <w:tcBorders>
              <w:top w:val="nil"/>
            </w:tcBorders>
          </w:tcPr>
          <w:p w:rsidR="006A18FD" w:rsidRDefault="002D29FC">
            <w:pPr>
              <w:spacing w:line="193" w:lineRule="exact"/>
              <w:ind w:left="103"/>
              <w:rPr>
                <w:rFonts w:ascii="Calibri"/>
                <w:sz w:val="19"/>
              </w:rPr>
            </w:pPr>
            <w:r>
              <w:rPr>
                <w:rFonts w:ascii="Calibri"/>
                <w:sz w:val="19"/>
              </w:rPr>
              <w:t>psychologist (6)</w:t>
            </w:r>
          </w:p>
        </w:tc>
        <w:tc>
          <w:tcPr>
            <w:tcW w:w="2660" w:type="dxa"/>
            <w:tcBorders>
              <w:top w:val="nil"/>
            </w:tcBorders>
          </w:tcPr>
          <w:p w:rsidR="006A18FD" w:rsidRDefault="006A18FD">
            <w:pPr>
              <w:rPr>
                <w:rFonts w:ascii="Times New Roman"/>
                <w:sz w:val="14"/>
              </w:rPr>
            </w:pPr>
          </w:p>
        </w:tc>
        <w:tc>
          <w:tcPr>
            <w:tcW w:w="2064" w:type="dxa"/>
            <w:tcBorders>
              <w:top w:val="nil"/>
            </w:tcBorders>
          </w:tcPr>
          <w:p w:rsidR="006A18FD" w:rsidRDefault="006A18FD">
            <w:pPr>
              <w:rPr>
                <w:rFonts w:ascii="Times New Roman"/>
                <w:sz w:val="14"/>
              </w:rPr>
            </w:pPr>
          </w:p>
        </w:tc>
      </w:tr>
      <w:tr w:rsidR="006A18FD">
        <w:trPr>
          <w:trHeight w:val="240"/>
        </w:trPr>
        <w:tc>
          <w:tcPr>
            <w:tcW w:w="2660" w:type="dxa"/>
            <w:tcBorders>
              <w:bottom w:val="nil"/>
            </w:tcBorders>
          </w:tcPr>
          <w:p w:rsidR="006A18FD" w:rsidRDefault="002D29FC">
            <w:pPr>
              <w:spacing w:before="1" w:line="230" w:lineRule="exact"/>
              <w:ind w:left="105"/>
              <w:rPr>
                <w:rFonts w:ascii="Calibri"/>
                <w:sz w:val="19"/>
              </w:rPr>
            </w:pPr>
            <w:r>
              <w:rPr>
                <w:rFonts w:ascii="Calibri"/>
                <w:sz w:val="19"/>
              </w:rPr>
              <w:t xml:space="preserve">The </w:t>
            </w:r>
            <w:r>
              <w:rPr>
                <w:rFonts w:ascii="Calibri"/>
                <w:b/>
                <w:sz w:val="19"/>
              </w:rPr>
              <w:t xml:space="preserve">Cygnet programme </w:t>
            </w:r>
            <w:r>
              <w:rPr>
                <w:rFonts w:ascii="Calibri"/>
                <w:sz w:val="19"/>
              </w:rPr>
              <w:t>is a</w:t>
            </w:r>
          </w:p>
        </w:tc>
        <w:tc>
          <w:tcPr>
            <w:tcW w:w="2660" w:type="dxa"/>
            <w:tcBorders>
              <w:bottom w:val="nil"/>
            </w:tcBorders>
          </w:tcPr>
          <w:p w:rsidR="006A18FD" w:rsidRDefault="002D29FC">
            <w:pPr>
              <w:spacing w:before="1" w:line="230" w:lineRule="exact"/>
              <w:ind w:left="103"/>
              <w:rPr>
                <w:rFonts w:ascii="Calibri"/>
                <w:sz w:val="19"/>
              </w:rPr>
            </w:pPr>
            <w:r>
              <w:rPr>
                <w:rFonts w:ascii="Calibri"/>
                <w:sz w:val="19"/>
              </w:rPr>
              <w:t>Cygnet co-ordinator Autistic</w:t>
            </w:r>
          </w:p>
        </w:tc>
        <w:tc>
          <w:tcPr>
            <w:tcW w:w="2660" w:type="dxa"/>
            <w:tcBorders>
              <w:bottom w:val="nil"/>
            </w:tcBorders>
          </w:tcPr>
          <w:p w:rsidR="006A18FD" w:rsidRDefault="002D29FC">
            <w:pPr>
              <w:spacing w:before="1" w:line="230" w:lineRule="exact"/>
              <w:ind w:left="102"/>
              <w:rPr>
                <w:rFonts w:ascii="Calibri"/>
                <w:sz w:val="19"/>
              </w:rPr>
            </w:pPr>
            <w:r>
              <w:rPr>
                <w:rFonts w:ascii="Calibri"/>
                <w:sz w:val="19"/>
              </w:rPr>
              <w:t>Delivered in CAMHS and</w:t>
            </w:r>
          </w:p>
        </w:tc>
        <w:tc>
          <w:tcPr>
            <w:tcW w:w="2064" w:type="dxa"/>
            <w:tcBorders>
              <w:bottom w:val="nil"/>
            </w:tcBorders>
          </w:tcPr>
          <w:p w:rsidR="006A18FD" w:rsidRDefault="002D29FC">
            <w:pPr>
              <w:spacing w:before="1" w:line="230" w:lineRule="exact"/>
              <w:ind w:left="359" w:right="360"/>
              <w:jc w:val="center"/>
              <w:rPr>
                <w:rFonts w:ascii="Calibri"/>
                <w:b/>
                <w:sz w:val="19"/>
              </w:rPr>
            </w:pPr>
            <w:r>
              <w:rPr>
                <w:rFonts w:ascii="Calibri"/>
                <w:b/>
                <w:sz w:val="19"/>
              </w:rPr>
              <w:t>Staff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group-delivered parent-</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Support Group co-ordinator,</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voluntary sector community</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£4,027</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training programme for</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child psychologist (8B),</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facilities in 6-weekly 2.5 hour</w:t>
            </w:r>
          </w:p>
        </w:tc>
        <w:tc>
          <w:tcPr>
            <w:tcW w:w="2064" w:type="dxa"/>
            <w:tcBorders>
              <w:top w:val="nil"/>
              <w:bottom w:val="nil"/>
            </w:tcBorders>
          </w:tcPr>
          <w:p w:rsidR="006A18FD" w:rsidRDefault="002D29FC">
            <w:pPr>
              <w:spacing w:line="212" w:lineRule="exact"/>
              <w:ind w:left="359" w:right="361"/>
              <w:jc w:val="center"/>
              <w:rPr>
                <w:rFonts w:ascii="Calibri"/>
                <w:b/>
                <w:sz w:val="19"/>
              </w:rPr>
            </w:pPr>
            <w:r>
              <w:rPr>
                <w:rFonts w:ascii="Calibri"/>
                <w:b/>
                <w:sz w:val="19"/>
              </w:rPr>
              <w:t>Programme cost</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parents of children with</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consultant clinical psychologist</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sessions. There is a reunion</w:t>
            </w:r>
          </w:p>
        </w:tc>
        <w:tc>
          <w:tcPr>
            <w:tcW w:w="2064" w:type="dxa"/>
            <w:tcBorders>
              <w:top w:val="nil"/>
              <w:bottom w:val="nil"/>
            </w:tcBorders>
          </w:tcPr>
          <w:p w:rsidR="006A18FD" w:rsidRDefault="002D29FC">
            <w:pPr>
              <w:spacing w:line="213" w:lineRule="exact"/>
              <w:ind w:left="359" w:right="361"/>
              <w:jc w:val="center"/>
              <w:rPr>
                <w:rFonts w:ascii="Calibri" w:hAnsi="Calibri"/>
                <w:sz w:val="19"/>
              </w:rPr>
            </w:pPr>
            <w:r>
              <w:rPr>
                <w:rFonts w:ascii="Calibri" w:hAnsi="Calibri"/>
                <w:sz w:val="19"/>
              </w:rPr>
              <w:t>£193</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Autistic Spectrum Conditions,</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(8D), clinical psychologist (7),</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session at three months. In</w:t>
            </w:r>
          </w:p>
        </w:tc>
        <w:tc>
          <w:tcPr>
            <w:tcW w:w="2064" w:type="dxa"/>
            <w:tcBorders>
              <w:top w:val="nil"/>
              <w:bottom w:val="nil"/>
            </w:tcBorders>
          </w:tcPr>
          <w:p w:rsidR="006A18FD" w:rsidRDefault="002D29FC">
            <w:pPr>
              <w:spacing w:line="212" w:lineRule="exact"/>
              <w:ind w:left="359" w:right="360"/>
              <w:jc w:val="center"/>
              <w:rPr>
                <w:rFonts w:ascii="Calibri"/>
                <w:b/>
                <w:sz w:val="19"/>
              </w:rPr>
            </w:pPr>
            <w:r>
              <w:rPr>
                <w:rFonts w:ascii="Calibri"/>
                <w:b/>
                <w:sz w:val="19"/>
              </w:rPr>
              <w:t>Total</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age 7 to 18.</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social worker, teacher,</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total 51.5 hours were delivered</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£4,221</w:t>
            </w: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administrator (level 3), senior</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by staff across 6 programmes.</w:t>
            </w:r>
          </w:p>
        </w:tc>
        <w:tc>
          <w:tcPr>
            <w:tcW w:w="2064" w:type="dxa"/>
            <w:tcBorders>
              <w:top w:val="nil"/>
              <w:bottom w:val="nil"/>
            </w:tcBorders>
          </w:tcPr>
          <w:p w:rsidR="006A18FD" w:rsidRDefault="006A18FD">
            <w:pPr>
              <w:rPr>
                <w:rFonts w:ascii="Times New Roman"/>
                <w:sz w:val="16"/>
              </w:rPr>
            </w:pP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CAMHS practitioner (7), 3</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STARS workers and a student</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00"/>
        </w:trPr>
        <w:tc>
          <w:tcPr>
            <w:tcW w:w="2660" w:type="dxa"/>
            <w:tcBorders>
              <w:top w:val="nil"/>
            </w:tcBorders>
          </w:tcPr>
          <w:p w:rsidR="006A18FD" w:rsidRDefault="006A18FD">
            <w:pPr>
              <w:rPr>
                <w:rFonts w:ascii="Times New Roman"/>
                <w:sz w:val="14"/>
              </w:rPr>
            </w:pPr>
          </w:p>
        </w:tc>
        <w:tc>
          <w:tcPr>
            <w:tcW w:w="2660" w:type="dxa"/>
            <w:tcBorders>
              <w:top w:val="nil"/>
            </w:tcBorders>
          </w:tcPr>
          <w:p w:rsidR="006A18FD" w:rsidRDefault="002D29FC">
            <w:pPr>
              <w:spacing w:line="194" w:lineRule="exact"/>
              <w:ind w:left="103"/>
              <w:rPr>
                <w:rFonts w:ascii="Calibri"/>
                <w:sz w:val="19"/>
              </w:rPr>
            </w:pPr>
            <w:r>
              <w:rPr>
                <w:rFonts w:ascii="Calibri"/>
                <w:sz w:val="19"/>
              </w:rPr>
              <w:t>nurse.</w:t>
            </w:r>
          </w:p>
        </w:tc>
        <w:tc>
          <w:tcPr>
            <w:tcW w:w="2660" w:type="dxa"/>
            <w:tcBorders>
              <w:top w:val="nil"/>
            </w:tcBorders>
          </w:tcPr>
          <w:p w:rsidR="006A18FD" w:rsidRDefault="006A18FD">
            <w:pPr>
              <w:rPr>
                <w:rFonts w:ascii="Times New Roman"/>
                <w:sz w:val="14"/>
              </w:rPr>
            </w:pPr>
          </w:p>
        </w:tc>
        <w:tc>
          <w:tcPr>
            <w:tcW w:w="2064" w:type="dxa"/>
            <w:tcBorders>
              <w:top w:val="nil"/>
            </w:tcBorders>
          </w:tcPr>
          <w:p w:rsidR="006A18FD" w:rsidRDefault="006A18FD">
            <w:pPr>
              <w:rPr>
                <w:rFonts w:ascii="Times New Roman"/>
                <w:sz w:val="14"/>
              </w:rPr>
            </w:pPr>
          </w:p>
        </w:tc>
      </w:tr>
      <w:tr w:rsidR="006A18FD">
        <w:trPr>
          <w:trHeight w:val="240"/>
        </w:trPr>
        <w:tc>
          <w:tcPr>
            <w:tcW w:w="2660" w:type="dxa"/>
            <w:tcBorders>
              <w:bottom w:val="nil"/>
            </w:tcBorders>
          </w:tcPr>
          <w:p w:rsidR="006A18FD" w:rsidRDefault="002D29FC">
            <w:pPr>
              <w:spacing w:before="1" w:line="229" w:lineRule="exact"/>
              <w:ind w:left="105"/>
              <w:rPr>
                <w:rFonts w:ascii="Calibri"/>
                <w:b/>
                <w:sz w:val="19"/>
              </w:rPr>
            </w:pPr>
            <w:r>
              <w:rPr>
                <w:rFonts w:ascii="Calibri"/>
                <w:sz w:val="19"/>
              </w:rPr>
              <w:t xml:space="preserve">The </w:t>
            </w:r>
            <w:r>
              <w:rPr>
                <w:rFonts w:ascii="Calibri"/>
                <w:b/>
                <w:sz w:val="19"/>
              </w:rPr>
              <w:t>Confident Parenting</w:t>
            </w:r>
          </w:p>
        </w:tc>
        <w:tc>
          <w:tcPr>
            <w:tcW w:w="2660" w:type="dxa"/>
            <w:tcBorders>
              <w:bottom w:val="nil"/>
            </w:tcBorders>
          </w:tcPr>
          <w:p w:rsidR="006A18FD" w:rsidRDefault="002D29FC">
            <w:pPr>
              <w:spacing w:before="1" w:line="229" w:lineRule="exact"/>
              <w:ind w:left="103"/>
              <w:rPr>
                <w:rFonts w:ascii="Calibri"/>
                <w:sz w:val="19"/>
              </w:rPr>
            </w:pPr>
            <w:r>
              <w:rPr>
                <w:rFonts w:ascii="Calibri"/>
                <w:sz w:val="19"/>
              </w:rPr>
              <w:t>Consultant clinical psychologist</w:t>
            </w:r>
          </w:p>
        </w:tc>
        <w:tc>
          <w:tcPr>
            <w:tcW w:w="2660" w:type="dxa"/>
            <w:tcBorders>
              <w:bottom w:val="nil"/>
            </w:tcBorders>
          </w:tcPr>
          <w:p w:rsidR="006A18FD" w:rsidRDefault="002D29FC">
            <w:pPr>
              <w:spacing w:before="1" w:line="229" w:lineRule="exact"/>
              <w:ind w:left="102"/>
              <w:rPr>
                <w:rFonts w:ascii="Calibri"/>
                <w:sz w:val="19"/>
              </w:rPr>
            </w:pPr>
            <w:r>
              <w:rPr>
                <w:rFonts w:ascii="Calibri"/>
                <w:sz w:val="19"/>
              </w:rPr>
              <w:t>The programme has 6-weekly</w:t>
            </w:r>
          </w:p>
        </w:tc>
        <w:tc>
          <w:tcPr>
            <w:tcW w:w="2064" w:type="dxa"/>
            <w:tcBorders>
              <w:bottom w:val="nil"/>
            </w:tcBorders>
          </w:tcPr>
          <w:p w:rsidR="006A18FD" w:rsidRDefault="002D29FC">
            <w:pPr>
              <w:spacing w:before="1" w:line="229" w:lineRule="exact"/>
              <w:ind w:left="359" w:right="360"/>
              <w:jc w:val="center"/>
              <w:rPr>
                <w:rFonts w:ascii="Calibri"/>
                <w:b/>
                <w:sz w:val="19"/>
              </w:rPr>
            </w:pPr>
            <w:r>
              <w:rPr>
                <w:rFonts w:ascii="Calibri"/>
                <w:b/>
                <w:sz w:val="19"/>
              </w:rPr>
              <w:t>Staff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b/>
                <w:sz w:val="19"/>
              </w:rPr>
              <w:t xml:space="preserve">Programme </w:t>
            </w:r>
            <w:r>
              <w:rPr>
                <w:rFonts w:ascii="Calibri"/>
                <w:sz w:val="19"/>
              </w:rPr>
              <w:t>is a 6-week, group-</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(8C), 2 clinical psychologists (7</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sessions of 2 hours (+1 optional</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£3,658</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delivered parent-training</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and 5), head teacher, assistant</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follow-up). In total 69 sessions</w:t>
            </w:r>
          </w:p>
        </w:tc>
        <w:tc>
          <w:tcPr>
            <w:tcW w:w="2064" w:type="dxa"/>
            <w:tcBorders>
              <w:top w:val="nil"/>
              <w:bottom w:val="nil"/>
            </w:tcBorders>
          </w:tcPr>
          <w:p w:rsidR="006A18FD" w:rsidRDefault="002D29FC">
            <w:pPr>
              <w:spacing w:line="213" w:lineRule="exact"/>
              <w:ind w:left="359" w:right="361"/>
              <w:jc w:val="center"/>
              <w:rPr>
                <w:rFonts w:ascii="Calibri"/>
                <w:b/>
                <w:sz w:val="19"/>
              </w:rPr>
            </w:pPr>
            <w:r>
              <w:rPr>
                <w:rFonts w:ascii="Calibri"/>
                <w:b/>
                <w:sz w:val="19"/>
              </w:rPr>
              <w:t>Programme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programme for parents of</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psychologist (6) and teacher.</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(15 hours) were delivered by</w:t>
            </w:r>
          </w:p>
        </w:tc>
        <w:tc>
          <w:tcPr>
            <w:tcW w:w="2064" w:type="dxa"/>
            <w:tcBorders>
              <w:top w:val="nil"/>
              <w:bottom w:val="nil"/>
            </w:tcBorders>
          </w:tcPr>
          <w:p w:rsidR="006A18FD" w:rsidRDefault="002D29FC">
            <w:pPr>
              <w:spacing w:line="212" w:lineRule="exact"/>
              <w:ind w:left="359" w:right="361"/>
              <w:jc w:val="center"/>
              <w:rPr>
                <w:rFonts w:ascii="Calibri" w:hAnsi="Calibri"/>
                <w:sz w:val="19"/>
              </w:rPr>
            </w:pPr>
            <w:r>
              <w:rPr>
                <w:rFonts w:ascii="Calibri" w:hAnsi="Calibri"/>
                <w:sz w:val="19"/>
              </w:rPr>
              <w:t>£256</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disabled children (aged 7 to 18</w:t>
            </w:r>
          </w:p>
        </w:tc>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staff across 4 programmes. An</w:t>
            </w:r>
          </w:p>
        </w:tc>
        <w:tc>
          <w:tcPr>
            <w:tcW w:w="2064" w:type="dxa"/>
            <w:tcBorders>
              <w:top w:val="nil"/>
              <w:bottom w:val="nil"/>
            </w:tcBorders>
          </w:tcPr>
          <w:p w:rsidR="006A18FD" w:rsidRDefault="002D29FC">
            <w:pPr>
              <w:spacing w:line="212" w:lineRule="exact"/>
              <w:ind w:left="359" w:right="360"/>
              <w:jc w:val="center"/>
              <w:rPr>
                <w:rFonts w:ascii="Calibri"/>
                <w:b/>
                <w:sz w:val="19"/>
              </w:rPr>
            </w:pPr>
            <w:r>
              <w:rPr>
                <w:rFonts w:ascii="Calibri"/>
                <w:b/>
                <w:sz w:val="19"/>
              </w:rPr>
              <w:t>Total cost</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years). A maximum of 12</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There are typically 3 members</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additional 40 hours was</w:t>
            </w:r>
          </w:p>
        </w:tc>
        <w:tc>
          <w:tcPr>
            <w:tcW w:w="2064" w:type="dxa"/>
            <w:tcBorders>
              <w:top w:val="nil"/>
              <w:bottom w:val="nil"/>
            </w:tcBorders>
          </w:tcPr>
          <w:p w:rsidR="006A18FD" w:rsidRDefault="002D29FC">
            <w:pPr>
              <w:spacing w:line="213" w:lineRule="exact"/>
              <w:ind w:left="359" w:right="359"/>
              <w:jc w:val="center"/>
              <w:rPr>
                <w:rFonts w:ascii="Calibri" w:hAnsi="Calibri"/>
                <w:sz w:val="19"/>
              </w:rPr>
            </w:pPr>
            <w:r>
              <w:rPr>
                <w:rFonts w:ascii="Calibri" w:hAnsi="Calibri"/>
                <w:sz w:val="19"/>
              </w:rPr>
              <w:t>£3,914</w:t>
            </w:r>
          </w:p>
        </w:tc>
      </w:tr>
      <w:tr w:rsidR="006A18FD">
        <w:trPr>
          <w:trHeight w:val="420"/>
        </w:trPr>
        <w:tc>
          <w:tcPr>
            <w:tcW w:w="2660" w:type="dxa"/>
            <w:tcBorders>
              <w:top w:val="nil"/>
            </w:tcBorders>
          </w:tcPr>
          <w:p w:rsidR="006A18FD" w:rsidRDefault="002D29FC">
            <w:pPr>
              <w:spacing w:line="215" w:lineRule="exact"/>
              <w:ind w:left="105"/>
              <w:rPr>
                <w:rFonts w:ascii="Calibri"/>
                <w:sz w:val="19"/>
              </w:rPr>
            </w:pPr>
            <w:r>
              <w:rPr>
                <w:rFonts w:ascii="Calibri"/>
                <w:sz w:val="19"/>
              </w:rPr>
              <w:t>participants is recommended.</w:t>
            </w:r>
          </w:p>
        </w:tc>
        <w:tc>
          <w:tcPr>
            <w:tcW w:w="2660" w:type="dxa"/>
            <w:tcBorders>
              <w:top w:val="nil"/>
            </w:tcBorders>
          </w:tcPr>
          <w:p w:rsidR="006A18FD" w:rsidRDefault="002D29FC">
            <w:pPr>
              <w:spacing w:line="215" w:lineRule="exact"/>
              <w:ind w:left="103"/>
              <w:rPr>
                <w:rFonts w:ascii="Calibri"/>
                <w:sz w:val="19"/>
              </w:rPr>
            </w:pPr>
            <w:r>
              <w:rPr>
                <w:rFonts w:ascii="Calibri"/>
                <w:sz w:val="19"/>
              </w:rPr>
              <w:t>of staff at each session.</w:t>
            </w:r>
          </w:p>
        </w:tc>
        <w:tc>
          <w:tcPr>
            <w:tcW w:w="2660" w:type="dxa"/>
            <w:tcBorders>
              <w:top w:val="nil"/>
            </w:tcBorders>
          </w:tcPr>
          <w:p w:rsidR="006A18FD" w:rsidRDefault="002D29FC">
            <w:pPr>
              <w:spacing w:line="215" w:lineRule="exact"/>
              <w:ind w:left="102"/>
              <w:rPr>
                <w:rFonts w:ascii="Calibri"/>
                <w:sz w:val="19"/>
              </w:rPr>
            </w:pPr>
            <w:r>
              <w:rPr>
                <w:rFonts w:ascii="Calibri"/>
                <w:sz w:val="19"/>
              </w:rPr>
              <w:t>required to set up the groups.</w:t>
            </w:r>
          </w:p>
        </w:tc>
        <w:tc>
          <w:tcPr>
            <w:tcW w:w="2064" w:type="dxa"/>
            <w:tcBorders>
              <w:top w:val="nil"/>
            </w:tcBorders>
          </w:tcPr>
          <w:p w:rsidR="006A18FD" w:rsidRDefault="006A18FD">
            <w:pPr>
              <w:rPr>
                <w:rFonts w:ascii="Times New Roman"/>
                <w:sz w:val="18"/>
              </w:rPr>
            </w:pPr>
          </w:p>
        </w:tc>
      </w:tr>
      <w:tr w:rsidR="006A18FD">
        <w:trPr>
          <w:trHeight w:val="240"/>
        </w:trPr>
        <w:tc>
          <w:tcPr>
            <w:tcW w:w="2660" w:type="dxa"/>
            <w:tcBorders>
              <w:bottom w:val="nil"/>
            </w:tcBorders>
          </w:tcPr>
          <w:p w:rsidR="006A18FD" w:rsidRDefault="002D29FC">
            <w:pPr>
              <w:spacing w:before="1" w:line="229" w:lineRule="exact"/>
              <w:ind w:left="105"/>
              <w:rPr>
                <w:rFonts w:ascii="Calibri"/>
                <w:sz w:val="19"/>
              </w:rPr>
            </w:pPr>
            <w:r>
              <w:rPr>
                <w:rFonts w:ascii="Calibri"/>
                <w:b/>
                <w:sz w:val="19"/>
              </w:rPr>
              <w:t xml:space="preserve">Riding the Rapids </w:t>
            </w:r>
            <w:r>
              <w:rPr>
                <w:rFonts w:ascii="Calibri"/>
                <w:sz w:val="19"/>
              </w:rPr>
              <w:t>is a group-</w:t>
            </w:r>
          </w:p>
        </w:tc>
        <w:tc>
          <w:tcPr>
            <w:tcW w:w="2660" w:type="dxa"/>
            <w:tcBorders>
              <w:bottom w:val="nil"/>
            </w:tcBorders>
          </w:tcPr>
          <w:p w:rsidR="006A18FD" w:rsidRDefault="002D29FC">
            <w:pPr>
              <w:spacing w:before="1" w:line="229" w:lineRule="exact"/>
              <w:ind w:left="103"/>
              <w:rPr>
                <w:rFonts w:ascii="Calibri"/>
                <w:sz w:val="19"/>
              </w:rPr>
            </w:pPr>
            <w:r>
              <w:rPr>
                <w:rFonts w:ascii="Calibri"/>
                <w:sz w:val="19"/>
              </w:rPr>
              <w:t>Clinical psychologist (8b),</w:t>
            </w:r>
          </w:p>
        </w:tc>
        <w:tc>
          <w:tcPr>
            <w:tcW w:w="2660" w:type="dxa"/>
            <w:tcBorders>
              <w:bottom w:val="nil"/>
            </w:tcBorders>
          </w:tcPr>
          <w:p w:rsidR="006A18FD" w:rsidRDefault="002D29FC">
            <w:pPr>
              <w:spacing w:before="1" w:line="229" w:lineRule="exact"/>
              <w:ind w:left="102"/>
              <w:rPr>
                <w:rFonts w:ascii="Calibri"/>
                <w:sz w:val="19"/>
              </w:rPr>
            </w:pPr>
            <w:r>
              <w:rPr>
                <w:rFonts w:ascii="Calibri"/>
                <w:sz w:val="19"/>
              </w:rPr>
              <w:t>The programme is delivered in</w:t>
            </w:r>
          </w:p>
        </w:tc>
        <w:tc>
          <w:tcPr>
            <w:tcW w:w="2064" w:type="dxa"/>
            <w:tcBorders>
              <w:bottom w:val="nil"/>
            </w:tcBorders>
          </w:tcPr>
          <w:p w:rsidR="006A18FD" w:rsidRDefault="002D29FC">
            <w:pPr>
              <w:spacing w:before="1" w:line="229" w:lineRule="exact"/>
              <w:ind w:left="359" w:right="360"/>
              <w:jc w:val="center"/>
              <w:rPr>
                <w:rFonts w:ascii="Calibri"/>
                <w:b/>
                <w:sz w:val="19"/>
              </w:rPr>
            </w:pPr>
            <w:r>
              <w:rPr>
                <w:rFonts w:ascii="Calibri"/>
                <w:b/>
                <w:sz w:val="19"/>
              </w:rPr>
              <w:t>Staff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delivered parent-training</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teaching assistant (TA4), S&amp;L</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10-weekly sessions of 2 hours.</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£3,265</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programme for parents of</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therapist, clinical psychologist,</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In total 33.5 hours were</w:t>
            </w:r>
          </w:p>
        </w:tc>
        <w:tc>
          <w:tcPr>
            <w:tcW w:w="2064" w:type="dxa"/>
            <w:tcBorders>
              <w:top w:val="nil"/>
              <w:bottom w:val="nil"/>
            </w:tcBorders>
          </w:tcPr>
          <w:p w:rsidR="006A18FD" w:rsidRDefault="002D29FC">
            <w:pPr>
              <w:spacing w:line="213" w:lineRule="exact"/>
              <w:ind w:left="359" w:right="361"/>
              <w:jc w:val="center"/>
              <w:rPr>
                <w:rFonts w:ascii="Calibri"/>
                <w:b/>
                <w:sz w:val="19"/>
              </w:rPr>
            </w:pPr>
            <w:r>
              <w:rPr>
                <w:rFonts w:ascii="Calibri"/>
                <w:b/>
                <w:sz w:val="19"/>
              </w:rPr>
              <w:t>Programme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children with Autistic Spectrum</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senior nurse, deputy head,</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delivered across 7</w:t>
            </w:r>
          </w:p>
        </w:tc>
        <w:tc>
          <w:tcPr>
            <w:tcW w:w="2064" w:type="dxa"/>
            <w:tcBorders>
              <w:top w:val="nil"/>
              <w:bottom w:val="nil"/>
            </w:tcBorders>
          </w:tcPr>
          <w:p w:rsidR="006A18FD" w:rsidRDefault="002D29FC">
            <w:pPr>
              <w:spacing w:line="212" w:lineRule="exact"/>
              <w:ind w:left="359" w:right="361"/>
              <w:jc w:val="center"/>
              <w:rPr>
                <w:rFonts w:ascii="Calibri" w:hAnsi="Calibri"/>
                <w:sz w:val="19"/>
              </w:rPr>
            </w:pPr>
            <w:r>
              <w:rPr>
                <w:rFonts w:ascii="Calibri" w:hAnsi="Calibri"/>
                <w:sz w:val="19"/>
              </w:rPr>
              <w:t>£288</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Conditions and other</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community nurse (7), parent</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programmes.</w:t>
            </w:r>
          </w:p>
        </w:tc>
        <w:tc>
          <w:tcPr>
            <w:tcW w:w="2064" w:type="dxa"/>
            <w:tcBorders>
              <w:top w:val="nil"/>
              <w:bottom w:val="nil"/>
            </w:tcBorders>
          </w:tcPr>
          <w:p w:rsidR="006A18FD" w:rsidRDefault="002D29FC">
            <w:pPr>
              <w:spacing w:line="212" w:lineRule="exact"/>
              <w:ind w:left="359" w:right="359"/>
              <w:jc w:val="center"/>
              <w:rPr>
                <w:rFonts w:ascii="Calibri"/>
                <w:b/>
                <w:sz w:val="19"/>
              </w:rPr>
            </w:pPr>
            <w:r>
              <w:rPr>
                <w:rFonts w:ascii="Calibri"/>
                <w:b/>
                <w:sz w:val="19"/>
              </w:rPr>
              <w:t>Total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disabilities (aged 4-10).</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facilitator, 2 clinical</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£3,553</w:t>
            </w: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psychologists, assistant</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20"/>
        </w:trPr>
        <w:tc>
          <w:tcPr>
            <w:tcW w:w="2660" w:type="dxa"/>
            <w:tcBorders>
              <w:top w:val="nil"/>
              <w:bottom w:val="nil"/>
            </w:tcBorders>
          </w:tcPr>
          <w:p w:rsidR="006A18FD" w:rsidRDefault="006A18FD">
            <w:pPr>
              <w:rPr>
                <w:rFonts w:ascii="Times New Roman"/>
                <w:sz w:val="16"/>
              </w:rPr>
            </w:pP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psychologist and a community</w:t>
            </w:r>
          </w:p>
        </w:tc>
        <w:tc>
          <w:tcPr>
            <w:tcW w:w="2660" w:type="dxa"/>
            <w:tcBorders>
              <w:top w:val="nil"/>
              <w:bottom w:val="nil"/>
            </w:tcBorders>
          </w:tcPr>
          <w:p w:rsidR="006A18FD" w:rsidRDefault="006A18FD">
            <w:pPr>
              <w:rPr>
                <w:rFonts w:ascii="Times New Roman"/>
                <w:sz w:val="16"/>
              </w:rPr>
            </w:pPr>
          </w:p>
        </w:tc>
        <w:tc>
          <w:tcPr>
            <w:tcW w:w="2064" w:type="dxa"/>
            <w:tcBorders>
              <w:top w:val="nil"/>
              <w:bottom w:val="nil"/>
            </w:tcBorders>
          </w:tcPr>
          <w:p w:rsidR="006A18FD" w:rsidRDefault="006A18FD">
            <w:pPr>
              <w:rPr>
                <w:rFonts w:ascii="Times New Roman"/>
                <w:sz w:val="16"/>
              </w:rPr>
            </w:pPr>
          </w:p>
        </w:tc>
      </w:tr>
      <w:tr w:rsidR="006A18FD">
        <w:trPr>
          <w:trHeight w:val="200"/>
        </w:trPr>
        <w:tc>
          <w:tcPr>
            <w:tcW w:w="2660" w:type="dxa"/>
            <w:tcBorders>
              <w:top w:val="nil"/>
            </w:tcBorders>
          </w:tcPr>
          <w:p w:rsidR="006A18FD" w:rsidRDefault="006A18FD">
            <w:pPr>
              <w:rPr>
                <w:rFonts w:ascii="Times New Roman"/>
                <w:sz w:val="14"/>
              </w:rPr>
            </w:pPr>
          </w:p>
        </w:tc>
        <w:tc>
          <w:tcPr>
            <w:tcW w:w="2660" w:type="dxa"/>
            <w:tcBorders>
              <w:top w:val="nil"/>
            </w:tcBorders>
          </w:tcPr>
          <w:p w:rsidR="006A18FD" w:rsidRDefault="002D29FC">
            <w:pPr>
              <w:spacing w:line="194" w:lineRule="exact"/>
              <w:ind w:left="103"/>
              <w:rPr>
                <w:rFonts w:ascii="Calibri"/>
                <w:sz w:val="19"/>
              </w:rPr>
            </w:pPr>
            <w:r>
              <w:rPr>
                <w:rFonts w:ascii="Calibri"/>
                <w:sz w:val="19"/>
              </w:rPr>
              <w:t>nurse.</w:t>
            </w:r>
          </w:p>
        </w:tc>
        <w:tc>
          <w:tcPr>
            <w:tcW w:w="2660" w:type="dxa"/>
            <w:tcBorders>
              <w:top w:val="nil"/>
            </w:tcBorders>
          </w:tcPr>
          <w:p w:rsidR="006A18FD" w:rsidRDefault="006A18FD">
            <w:pPr>
              <w:rPr>
                <w:rFonts w:ascii="Times New Roman"/>
                <w:sz w:val="14"/>
              </w:rPr>
            </w:pPr>
          </w:p>
        </w:tc>
        <w:tc>
          <w:tcPr>
            <w:tcW w:w="2064" w:type="dxa"/>
            <w:tcBorders>
              <w:top w:val="nil"/>
            </w:tcBorders>
          </w:tcPr>
          <w:p w:rsidR="006A18FD" w:rsidRDefault="006A18FD">
            <w:pPr>
              <w:rPr>
                <w:rFonts w:ascii="Times New Roman"/>
                <w:sz w:val="14"/>
              </w:rPr>
            </w:pPr>
          </w:p>
        </w:tc>
      </w:tr>
      <w:tr w:rsidR="006A18FD">
        <w:trPr>
          <w:trHeight w:val="240"/>
        </w:trPr>
        <w:tc>
          <w:tcPr>
            <w:tcW w:w="2660" w:type="dxa"/>
            <w:tcBorders>
              <w:bottom w:val="nil"/>
            </w:tcBorders>
          </w:tcPr>
          <w:p w:rsidR="006A18FD" w:rsidRDefault="002D29FC">
            <w:pPr>
              <w:spacing w:before="1" w:line="229" w:lineRule="exact"/>
              <w:ind w:left="105"/>
              <w:rPr>
                <w:rFonts w:ascii="Calibri"/>
                <w:b/>
                <w:sz w:val="19"/>
              </w:rPr>
            </w:pPr>
            <w:r>
              <w:rPr>
                <w:rFonts w:ascii="Calibri"/>
                <w:sz w:val="19"/>
              </w:rPr>
              <w:t xml:space="preserve">The </w:t>
            </w:r>
            <w:r>
              <w:rPr>
                <w:rFonts w:ascii="Calibri"/>
                <w:b/>
                <w:sz w:val="19"/>
              </w:rPr>
              <w:t>Promoting Better Sleep</w:t>
            </w:r>
          </w:p>
        </w:tc>
        <w:tc>
          <w:tcPr>
            <w:tcW w:w="2660" w:type="dxa"/>
            <w:tcBorders>
              <w:bottom w:val="nil"/>
            </w:tcBorders>
          </w:tcPr>
          <w:p w:rsidR="006A18FD" w:rsidRDefault="002D29FC">
            <w:pPr>
              <w:spacing w:before="1" w:line="229" w:lineRule="exact"/>
              <w:ind w:left="103"/>
              <w:rPr>
                <w:rFonts w:ascii="Calibri"/>
                <w:sz w:val="19"/>
              </w:rPr>
            </w:pPr>
            <w:r>
              <w:rPr>
                <w:rFonts w:ascii="Calibri"/>
                <w:sz w:val="19"/>
              </w:rPr>
              <w:t>C &amp; A learning disabilities team</w:t>
            </w:r>
          </w:p>
        </w:tc>
        <w:tc>
          <w:tcPr>
            <w:tcW w:w="2660" w:type="dxa"/>
            <w:tcBorders>
              <w:bottom w:val="nil"/>
            </w:tcBorders>
          </w:tcPr>
          <w:p w:rsidR="006A18FD" w:rsidRDefault="002D29FC">
            <w:pPr>
              <w:spacing w:before="1" w:line="229" w:lineRule="exact"/>
              <w:ind w:left="102"/>
              <w:rPr>
                <w:rFonts w:ascii="Calibri"/>
                <w:sz w:val="19"/>
              </w:rPr>
            </w:pPr>
            <w:r>
              <w:rPr>
                <w:rFonts w:ascii="Calibri"/>
                <w:sz w:val="19"/>
              </w:rPr>
              <w:t>A manual-based programme in</w:t>
            </w:r>
          </w:p>
        </w:tc>
        <w:tc>
          <w:tcPr>
            <w:tcW w:w="2064" w:type="dxa"/>
            <w:tcBorders>
              <w:bottom w:val="nil"/>
            </w:tcBorders>
          </w:tcPr>
          <w:p w:rsidR="006A18FD" w:rsidRDefault="002D29FC">
            <w:pPr>
              <w:spacing w:before="1" w:line="229" w:lineRule="exact"/>
              <w:ind w:left="359" w:right="360"/>
              <w:jc w:val="center"/>
              <w:rPr>
                <w:rFonts w:ascii="Calibri"/>
                <w:b/>
                <w:sz w:val="19"/>
              </w:rPr>
            </w:pPr>
            <w:r>
              <w:rPr>
                <w:rFonts w:ascii="Calibri"/>
                <w:b/>
                <w:sz w:val="19"/>
              </w:rPr>
              <w:t>Staff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b/>
                <w:sz w:val="19"/>
              </w:rPr>
              <w:t xml:space="preserve">Programme </w:t>
            </w:r>
            <w:r>
              <w:rPr>
                <w:rFonts w:ascii="Calibri"/>
                <w:sz w:val="19"/>
              </w:rPr>
              <w:t>is a group-</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co-ordinator (7), community</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4-weekly sessions of 3 hours</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£1,839</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delivered intervention for</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learning disability nurse (6),</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over 5-6 weeks. In total 32</w:t>
            </w:r>
          </w:p>
        </w:tc>
        <w:tc>
          <w:tcPr>
            <w:tcW w:w="2064" w:type="dxa"/>
            <w:tcBorders>
              <w:top w:val="nil"/>
              <w:bottom w:val="nil"/>
            </w:tcBorders>
          </w:tcPr>
          <w:p w:rsidR="006A18FD" w:rsidRDefault="002D29FC">
            <w:pPr>
              <w:spacing w:line="212" w:lineRule="exact"/>
              <w:ind w:left="359" w:right="361"/>
              <w:jc w:val="center"/>
              <w:rPr>
                <w:rFonts w:ascii="Calibri"/>
                <w:b/>
                <w:sz w:val="19"/>
              </w:rPr>
            </w:pPr>
            <w:r>
              <w:rPr>
                <w:rFonts w:ascii="Calibri"/>
                <w:b/>
                <w:sz w:val="19"/>
              </w:rPr>
              <w:t>Programme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parents of children with</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consultant clinical psychologist</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sessions (16.5 hours) were</w:t>
            </w:r>
          </w:p>
        </w:tc>
        <w:tc>
          <w:tcPr>
            <w:tcW w:w="2064" w:type="dxa"/>
            <w:tcBorders>
              <w:top w:val="nil"/>
              <w:bottom w:val="nil"/>
            </w:tcBorders>
          </w:tcPr>
          <w:p w:rsidR="006A18FD" w:rsidRDefault="002D29FC">
            <w:pPr>
              <w:spacing w:line="212" w:lineRule="exact"/>
              <w:ind w:left="359" w:right="361"/>
              <w:jc w:val="center"/>
              <w:rPr>
                <w:rFonts w:ascii="Calibri" w:hAnsi="Calibri"/>
                <w:sz w:val="19"/>
              </w:rPr>
            </w:pPr>
            <w:r>
              <w:rPr>
                <w:rFonts w:ascii="Calibri" w:hAnsi="Calibri"/>
                <w:sz w:val="19"/>
              </w:rPr>
              <w:t>£125</w:t>
            </w:r>
          </w:p>
        </w:tc>
      </w:tr>
      <w:tr w:rsidR="006A18FD">
        <w:trPr>
          <w:trHeight w:val="220"/>
        </w:trPr>
        <w:tc>
          <w:tcPr>
            <w:tcW w:w="2660" w:type="dxa"/>
            <w:tcBorders>
              <w:top w:val="nil"/>
              <w:bottom w:val="nil"/>
            </w:tcBorders>
          </w:tcPr>
          <w:p w:rsidR="006A18FD" w:rsidRDefault="002D29FC">
            <w:pPr>
              <w:spacing w:line="213" w:lineRule="exact"/>
              <w:ind w:left="105"/>
              <w:rPr>
                <w:rFonts w:ascii="Calibri"/>
                <w:sz w:val="19"/>
              </w:rPr>
            </w:pPr>
            <w:r>
              <w:rPr>
                <w:rFonts w:ascii="Calibri"/>
                <w:sz w:val="19"/>
              </w:rPr>
              <w:t>Autistic Spectrum Disorder</w:t>
            </w:r>
          </w:p>
        </w:tc>
        <w:tc>
          <w:tcPr>
            <w:tcW w:w="2660" w:type="dxa"/>
            <w:tcBorders>
              <w:top w:val="nil"/>
              <w:bottom w:val="nil"/>
            </w:tcBorders>
          </w:tcPr>
          <w:p w:rsidR="006A18FD" w:rsidRDefault="002D29FC">
            <w:pPr>
              <w:spacing w:line="213" w:lineRule="exact"/>
              <w:ind w:left="103"/>
              <w:rPr>
                <w:rFonts w:ascii="Calibri"/>
                <w:sz w:val="19"/>
              </w:rPr>
            </w:pPr>
            <w:r>
              <w:rPr>
                <w:rFonts w:ascii="Calibri"/>
                <w:sz w:val="19"/>
              </w:rPr>
              <w:t>(8D), autistic spectrum link</w:t>
            </w:r>
          </w:p>
        </w:tc>
        <w:tc>
          <w:tcPr>
            <w:tcW w:w="2660" w:type="dxa"/>
            <w:tcBorders>
              <w:top w:val="nil"/>
              <w:bottom w:val="nil"/>
            </w:tcBorders>
          </w:tcPr>
          <w:p w:rsidR="006A18FD" w:rsidRDefault="002D29FC">
            <w:pPr>
              <w:spacing w:line="213" w:lineRule="exact"/>
              <w:ind w:left="102"/>
              <w:rPr>
                <w:rFonts w:ascii="Calibri"/>
                <w:sz w:val="19"/>
              </w:rPr>
            </w:pPr>
            <w:r>
              <w:rPr>
                <w:rFonts w:ascii="Calibri"/>
                <w:sz w:val="19"/>
              </w:rPr>
              <w:t>delivered across 4</w:t>
            </w:r>
          </w:p>
        </w:tc>
        <w:tc>
          <w:tcPr>
            <w:tcW w:w="2064" w:type="dxa"/>
            <w:tcBorders>
              <w:top w:val="nil"/>
              <w:bottom w:val="nil"/>
            </w:tcBorders>
          </w:tcPr>
          <w:p w:rsidR="006A18FD" w:rsidRDefault="002D29FC">
            <w:pPr>
              <w:spacing w:line="213" w:lineRule="exact"/>
              <w:ind w:left="359" w:right="359"/>
              <w:jc w:val="center"/>
              <w:rPr>
                <w:rFonts w:ascii="Calibri"/>
                <w:b/>
                <w:sz w:val="19"/>
              </w:rPr>
            </w:pPr>
            <w:r>
              <w:rPr>
                <w:rFonts w:ascii="Calibri"/>
                <w:b/>
                <w:sz w:val="19"/>
              </w:rPr>
              <w:t>Total cost</w:t>
            </w:r>
          </w:p>
        </w:tc>
      </w:tr>
      <w:tr w:rsidR="006A18FD">
        <w:trPr>
          <w:trHeight w:val="220"/>
        </w:trPr>
        <w:tc>
          <w:tcPr>
            <w:tcW w:w="2660" w:type="dxa"/>
            <w:tcBorders>
              <w:top w:val="nil"/>
              <w:bottom w:val="nil"/>
            </w:tcBorders>
          </w:tcPr>
          <w:p w:rsidR="006A18FD" w:rsidRDefault="002D29FC">
            <w:pPr>
              <w:spacing w:line="212" w:lineRule="exact"/>
              <w:ind w:left="105"/>
              <w:rPr>
                <w:rFonts w:ascii="Calibri"/>
                <w:sz w:val="19"/>
              </w:rPr>
            </w:pPr>
            <w:r>
              <w:rPr>
                <w:rFonts w:ascii="Calibri"/>
                <w:sz w:val="19"/>
              </w:rPr>
              <w:t>and/or learning and/or sensory</w:t>
            </w:r>
          </w:p>
        </w:tc>
        <w:tc>
          <w:tcPr>
            <w:tcW w:w="2660" w:type="dxa"/>
            <w:tcBorders>
              <w:top w:val="nil"/>
              <w:bottom w:val="nil"/>
            </w:tcBorders>
          </w:tcPr>
          <w:p w:rsidR="006A18FD" w:rsidRDefault="002D29FC">
            <w:pPr>
              <w:spacing w:line="212" w:lineRule="exact"/>
              <w:ind w:left="103"/>
              <w:rPr>
                <w:rFonts w:ascii="Calibri"/>
                <w:sz w:val="19"/>
              </w:rPr>
            </w:pPr>
            <w:r>
              <w:rPr>
                <w:rFonts w:ascii="Calibri"/>
                <w:sz w:val="19"/>
              </w:rPr>
              <w:t>nurse (4). (Typically 2 members</w:t>
            </w:r>
          </w:p>
        </w:tc>
        <w:tc>
          <w:tcPr>
            <w:tcW w:w="2660" w:type="dxa"/>
            <w:tcBorders>
              <w:top w:val="nil"/>
              <w:bottom w:val="nil"/>
            </w:tcBorders>
          </w:tcPr>
          <w:p w:rsidR="006A18FD" w:rsidRDefault="002D29FC">
            <w:pPr>
              <w:spacing w:line="212" w:lineRule="exact"/>
              <w:ind w:left="102"/>
              <w:rPr>
                <w:rFonts w:ascii="Calibri"/>
                <w:sz w:val="19"/>
              </w:rPr>
            </w:pPr>
            <w:r>
              <w:rPr>
                <w:rFonts w:ascii="Calibri"/>
                <w:sz w:val="19"/>
              </w:rPr>
              <w:t>programmes.</w:t>
            </w:r>
          </w:p>
        </w:tc>
        <w:tc>
          <w:tcPr>
            <w:tcW w:w="2064" w:type="dxa"/>
            <w:tcBorders>
              <w:top w:val="nil"/>
              <w:bottom w:val="nil"/>
            </w:tcBorders>
          </w:tcPr>
          <w:p w:rsidR="006A18FD" w:rsidRDefault="002D29FC">
            <w:pPr>
              <w:spacing w:line="212" w:lineRule="exact"/>
              <w:ind w:left="359" w:right="359"/>
              <w:jc w:val="center"/>
              <w:rPr>
                <w:rFonts w:ascii="Calibri" w:hAnsi="Calibri"/>
                <w:sz w:val="19"/>
              </w:rPr>
            </w:pPr>
            <w:r>
              <w:rPr>
                <w:rFonts w:ascii="Calibri" w:hAnsi="Calibri"/>
                <w:sz w:val="19"/>
              </w:rPr>
              <w:t>£1,964</w:t>
            </w:r>
          </w:p>
        </w:tc>
      </w:tr>
      <w:tr w:rsidR="006A18FD">
        <w:trPr>
          <w:trHeight w:val="200"/>
        </w:trPr>
        <w:tc>
          <w:tcPr>
            <w:tcW w:w="2660" w:type="dxa"/>
            <w:tcBorders>
              <w:top w:val="nil"/>
            </w:tcBorders>
          </w:tcPr>
          <w:p w:rsidR="006A18FD" w:rsidRDefault="002D29FC">
            <w:pPr>
              <w:spacing w:line="195" w:lineRule="exact"/>
              <w:ind w:left="105"/>
              <w:rPr>
                <w:rFonts w:ascii="Calibri"/>
                <w:sz w:val="19"/>
              </w:rPr>
            </w:pPr>
            <w:r>
              <w:rPr>
                <w:rFonts w:ascii="Calibri"/>
                <w:sz w:val="19"/>
              </w:rPr>
              <w:t>disabilities.</w:t>
            </w:r>
          </w:p>
        </w:tc>
        <w:tc>
          <w:tcPr>
            <w:tcW w:w="2660" w:type="dxa"/>
            <w:tcBorders>
              <w:top w:val="nil"/>
            </w:tcBorders>
          </w:tcPr>
          <w:p w:rsidR="006A18FD" w:rsidRDefault="002D29FC">
            <w:pPr>
              <w:spacing w:line="195" w:lineRule="exact"/>
              <w:ind w:left="103"/>
              <w:rPr>
                <w:rFonts w:ascii="Calibri"/>
                <w:sz w:val="19"/>
              </w:rPr>
            </w:pPr>
            <w:r>
              <w:rPr>
                <w:rFonts w:ascii="Calibri"/>
                <w:sz w:val="19"/>
              </w:rPr>
              <w:t>of staff attend each session)</w:t>
            </w:r>
          </w:p>
        </w:tc>
        <w:tc>
          <w:tcPr>
            <w:tcW w:w="2660" w:type="dxa"/>
            <w:tcBorders>
              <w:top w:val="nil"/>
            </w:tcBorders>
          </w:tcPr>
          <w:p w:rsidR="006A18FD" w:rsidRDefault="006A18FD">
            <w:pPr>
              <w:rPr>
                <w:rFonts w:ascii="Times New Roman"/>
                <w:sz w:val="14"/>
              </w:rPr>
            </w:pPr>
          </w:p>
        </w:tc>
        <w:tc>
          <w:tcPr>
            <w:tcW w:w="2064" w:type="dxa"/>
            <w:tcBorders>
              <w:top w:val="nil"/>
            </w:tcBorders>
          </w:tcPr>
          <w:p w:rsidR="006A18FD" w:rsidRDefault="006A18FD">
            <w:pPr>
              <w:rPr>
                <w:rFonts w:ascii="Times New Roman"/>
                <w:sz w:val="14"/>
              </w:rPr>
            </w:pP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9"/>
        <w:rPr>
          <w:rFonts w:ascii="Calibri"/>
          <w:sz w:val="17"/>
        </w:rPr>
      </w:pPr>
    </w:p>
    <w:p w:rsidR="006A18FD" w:rsidRDefault="002D29FC">
      <w:pPr>
        <w:ind w:left="436" w:right="195" w:hanging="284"/>
        <w:rPr>
          <w:rFonts w:ascii="Calibri"/>
          <w:sz w:val="16"/>
        </w:rPr>
      </w:pPr>
      <w:r>
        <w:rPr>
          <w:rFonts w:ascii="Calibri"/>
          <w:position w:val="5"/>
          <w:sz w:val="10"/>
        </w:rPr>
        <w:t xml:space="preserve">1 </w:t>
      </w:r>
      <w:r>
        <w:rPr>
          <w:rFonts w:ascii="Calibri"/>
          <w:sz w:val="16"/>
        </w:rPr>
        <w:t xml:space="preserve">Beresford, B., Stuttard, L., Clarke, S., Maddison, J. &amp; Beecham, J. (2012) </w:t>
      </w:r>
      <w:r>
        <w:rPr>
          <w:rFonts w:ascii="Calibri"/>
          <w:i/>
          <w:sz w:val="16"/>
        </w:rPr>
        <w:t>Managing behaviour and sleep problems in disabled children: an investigation into the effectiveness and costs of parent-training interventions</w:t>
      </w:r>
      <w:r>
        <w:rPr>
          <w:rFonts w:ascii="Calibri"/>
          <w:sz w:val="16"/>
        </w:rPr>
        <w:t>, Research Report DFE-RR204a, Department for Education, London.</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8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88" name="Line 14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A69287" id="Group 14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CxB+Sx/AgAAgQUA&#10;AA4AAAAAAAAAAAAAAAAALgIAAGRycy9lMm9Eb2MueG1sUEsBAi0AFAAGAAgAAAAhAC135FzaAAAA&#10;BAEAAA8AAAAAAAAAAAAAAAAA2QQAAGRycy9kb3ducmV2LnhtbFBLBQYAAAAABAAEAPMAAADgBQAA&#10;AAA=&#10;">
                <v:line id="Line 14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w10:anchorlock/>
              </v:group>
            </w:pict>
          </mc:Fallback>
        </mc:AlternateContent>
      </w:r>
    </w:p>
    <w:p w:rsidR="006A18FD" w:rsidRDefault="00E06635" w:rsidP="00E06635">
      <w:pPr>
        <w:pStyle w:val="Heading2"/>
      </w:pPr>
      <w:r>
        <w:t xml:space="preserve">6.8 </w:t>
      </w:r>
      <w:r w:rsidR="002D29FC">
        <w:t>Early Years Teacher Classroom Management</w:t>
      </w:r>
      <w:r w:rsidR="002D29FC">
        <w:rPr>
          <w:spacing w:val="-22"/>
        </w:rPr>
        <w:t xml:space="preserve"> </w:t>
      </w:r>
      <w:r w:rsidR="002D29FC">
        <w:t>Programme</w:t>
      </w:r>
    </w:p>
    <w:p w:rsidR="006A18FD" w:rsidRDefault="002D29FC">
      <w:pPr>
        <w:spacing w:before="172" w:line="276" w:lineRule="auto"/>
        <w:ind w:left="140" w:right="217"/>
        <w:rPr>
          <w:rFonts w:ascii="Calibri" w:hAnsi="Calibri"/>
          <w:sz w:val="13"/>
        </w:rPr>
      </w:pPr>
      <w:r>
        <w:rPr>
          <w:rFonts w:ascii="Calibri" w:hAnsi="Calibri"/>
          <w:i/>
          <w:sz w:val="20"/>
        </w:rPr>
        <w:t xml:space="preserve">The Teacher Classroom Management programme </w:t>
      </w:r>
      <w:r>
        <w:rPr>
          <w:rFonts w:ascii="Calibri" w:hAnsi="Calibri"/>
          <w:sz w:val="20"/>
        </w:rPr>
        <w:t xml:space="preserve">is a prevention programme to strengthen teacher classroom management strategies, and promote children’s prosocial behaviour and school readiness (reading skills). The programme is intended for group leaders who plan to work with groups of teachers to promote these skills. It is divided into six full-day workshops, with enough time between each workshop for teachers to practice the new skills. </w:t>
      </w:r>
      <w:r>
        <w:rPr>
          <w:rFonts w:ascii="Calibri" w:hAnsi="Calibri"/>
          <w:i/>
          <w:sz w:val="20"/>
        </w:rPr>
        <w:t xml:space="preserve">The Teacher Classroom Management Programme </w:t>
      </w:r>
      <w:r>
        <w:rPr>
          <w:rFonts w:ascii="Calibri" w:hAnsi="Calibri"/>
          <w:sz w:val="20"/>
        </w:rPr>
        <w:t xml:space="preserve">is useful for teachers, teacher aides, school psychologists and school counsellors </w:t>
      </w:r>
      <w:hyperlink r:id="rId240">
        <w:r>
          <w:rPr>
            <w:rFonts w:ascii="Calibri" w:hAnsi="Calibri"/>
            <w:sz w:val="20"/>
            <w:u w:val="single"/>
          </w:rPr>
          <w:t>http://incredibleyears.com/programs/teacher/classroom-mgt-curriculum/</w:t>
        </w:r>
        <w:r>
          <w:rPr>
            <w:rFonts w:ascii="Calibri" w:hAnsi="Calibri"/>
            <w:sz w:val="20"/>
          </w:rPr>
          <w:t xml:space="preserve">. </w:t>
        </w:r>
      </w:hyperlink>
      <w:r>
        <w:rPr>
          <w:rFonts w:ascii="Calibri" w:hAnsi="Calibri"/>
          <w:sz w:val="20"/>
        </w:rPr>
        <w:t>See also Ford et al. (2012) for details on the cost-effectiveness of the programme.</w:t>
      </w:r>
      <w:r>
        <w:rPr>
          <w:rFonts w:ascii="Calibri" w:hAnsi="Calibri"/>
          <w:position w:val="7"/>
          <w:sz w:val="13"/>
        </w:rPr>
        <w:t>1</w:t>
      </w:r>
    </w:p>
    <w:p w:rsidR="006A18FD" w:rsidRDefault="002D29FC">
      <w:pPr>
        <w:spacing w:before="119" w:line="276" w:lineRule="auto"/>
        <w:ind w:left="140" w:right="179"/>
        <w:rPr>
          <w:rFonts w:ascii="Calibri" w:hAnsi="Calibri"/>
          <w:sz w:val="20"/>
        </w:rPr>
      </w:pPr>
      <w:r>
        <w:rPr>
          <w:rFonts w:ascii="Calibri" w:hAnsi="Calibri"/>
          <w:sz w:val="20"/>
        </w:rPr>
        <w:t>The following table provides the costs for two group leaders to deliver six full-day day workshops to ten teachers. Excluded from this table are the costs of ongoing consultation by telephone or in person for new group leaders. The consultation fee is £120 per hour (2014 costs). Although not obligatory, group leaders are encouraged to apply for certification/accreditation (£270, 2014 costs). Where costs on the Incredible Years website have been provided in dollars, they have been converted at a rate of $1=£0.60 (2 June 2014). Based on 2013/2014 costs and uprated using the appropriate</w:t>
      </w:r>
      <w:r>
        <w:rPr>
          <w:rFonts w:ascii="Calibri" w:hAnsi="Calibri"/>
          <w:spacing w:val="-8"/>
          <w:sz w:val="20"/>
        </w:rPr>
        <w:t xml:space="preserve"> </w:t>
      </w:r>
      <w:r>
        <w:rPr>
          <w:rFonts w:ascii="Calibri" w:hAnsi="Calibri"/>
          <w:sz w:val="20"/>
        </w:rPr>
        <w:t>inflators.</w:t>
      </w:r>
    </w:p>
    <w:p w:rsidR="006A18FD" w:rsidRDefault="006A18FD">
      <w:pPr>
        <w:spacing w:before="8"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1702"/>
        <w:gridCol w:w="5418"/>
      </w:tblGrid>
      <w:tr w:rsidR="006A18FD" w:rsidTr="005B5AB5">
        <w:trPr>
          <w:trHeight w:val="480"/>
          <w:tblHeader/>
        </w:trPr>
        <w:tc>
          <w:tcPr>
            <w:tcW w:w="2376" w:type="dxa"/>
          </w:tcPr>
          <w:p w:rsidR="006A18FD" w:rsidRDefault="002D29FC">
            <w:pPr>
              <w:spacing w:before="121"/>
              <w:ind w:left="103"/>
              <w:rPr>
                <w:rFonts w:ascii="Calibri"/>
                <w:b/>
                <w:sz w:val="20"/>
              </w:rPr>
            </w:pPr>
            <w:r>
              <w:rPr>
                <w:rFonts w:ascii="Calibri"/>
                <w:b/>
                <w:sz w:val="20"/>
              </w:rPr>
              <w:t>Costs and unit estimation</w:t>
            </w:r>
          </w:p>
        </w:tc>
        <w:tc>
          <w:tcPr>
            <w:tcW w:w="1702" w:type="dxa"/>
          </w:tcPr>
          <w:p w:rsidR="006A18FD" w:rsidRDefault="002D29FC">
            <w:pPr>
              <w:spacing w:before="121"/>
              <w:ind w:left="103"/>
              <w:rPr>
                <w:rFonts w:ascii="Calibri"/>
                <w:b/>
                <w:sz w:val="20"/>
              </w:rPr>
            </w:pPr>
            <w:r>
              <w:rPr>
                <w:rFonts w:ascii="Calibri"/>
                <w:b/>
                <w:sz w:val="20"/>
              </w:rPr>
              <w:t>2018/2019 value</w:t>
            </w:r>
          </w:p>
        </w:tc>
        <w:tc>
          <w:tcPr>
            <w:tcW w:w="5418" w:type="dxa"/>
          </w:tcPr>
          <w:p w:rsidR="006A18FD" w:rsidRDefault="002D29FC">
            <w:pPr>
              <w:spacing w:before="121"/>
              <w:ind w:left="102"/>
              <w:rPr>
                <w:rFonts w:ascii="Calibri"/>
                <w:b/>
                <w:sz w:val="20"/>
              </w:rPr>
            </w:pPr>
            <w:r>
              <w:rPr>
                <w:rFonts w:ascii="Calibri"/>
                <w:b/>
                <w:sz w:val="20"/>
              </w:rPr>
              <w:t>Notes</w:t>
            </w:r>
          </w:p>
        </w:tc>
      </w:tr>
      <w:tr w:rsidR="006A18FD">
        <w:trPr>
          <w:trHeight w:val="480"/>
        </w:trPr>
        <w:tc>
          <w:tcPr>
            <w:tcW w:w="2376" w:type="dxa"/>
          </w:tcPr>
          <w:p w:rsidR="006A18FD" w:rsidRDefault="002D29FC">
            <w:pPr>
              <w:spacing w:before="121"/>
              <w:ind w:left="103"/>
              <w:rPr>
                <w:rFonts w:ascii="Calibri"/>
                <w:b/>
                <w:sz w:val="20"/>
              </w:rPr>
            </w:pPr>
            <w:r>
              <w:rPr>
                <w:rFonts w:ascii="Calibri"/>
                <w:b/>
                <w:sz w:val="20"/>
              </w:rPr>
              <w:t>Start-up costs</w:t>
            </w:r>
          </w:p>
        </w:tc>
        <w:tc>
          <w:tcPr>
            <w:tcW w:w="1702" w:type="dxa"/>
          </w:tcPr>
          <w:p w:rsidR="006A18FD" w:rsidRDefault="006A18FD">
            <w:pPr>
              <w:rPr>
                <w:rFonts w:ascii="Times New Roman"/>
                <w:sz w:val="18"/>
              </w:rPr>
            </w:pPr>
          </w:p>
        </w:tc>
        <w:tc>
          <w:tcPr>
            <w:tcW w:w="5418" w:type="dxa"/>
          </w:tcPr>
          <w:p w:rsidR="006A18FD" w:rsidRDefault="006A18FD">
            <w:pPr>
              <w:rPr>
                <w:rFonts w:ascii="Times New Roman"/>
                <w:sz w:val="18"/>
              </w:rPr>
            </w:pPr>
          </w:p>
        </w:tc>
      </w:tr>
      <w:tr w:rsidR="006A18FD">
        <w:trPr>
          <w:trHeight w:val="1200"/>
        </w:trPr>
        <w:tc>
          <w:tcPr>
            <w:tcW w:w="2376" w:type="dxa"/>
          </w:tcPr>
          <w:p w:rsidR="006A18FD" w:rsidRDefault="002D29FC">
            <w:pPr>
              <w:spacing w:before="1"/>
              <w:ind w:left="103"/>
              <w:rPr>
                <w:rFonts w:ascii="Calibri"/>
                <w:sz w:val="20"/>
              </w:rPr>
            </w:pPr>
            <w:r>
              <w:rPr>
                <w:rFonts w:ascii="Calibri"/>
                <w:sz w:val="20"/>
              </w:rPr>
              <w:t>Group leader training</w:t>
            </w:r>
          </w:p>
        </w:tc>
        <w:tc>
          <w:tcPr>
            <w:tcW w:w="1702" w:type="dxa"/>
          </w:tcPr>
          <w:p w:rsidR="006A18FD" w:rsidRDefault="002D29FC">
            <w:pPr>
              <w:spacing w:before="1"/>
              <w:ind w:left="103"/>
              <w:rPr>
                <w:rFonts w:ascii="Calibri" w:hAnsi="Calibri"/>
                <w:sz w:val="20"/>
              </w:rPr>
            </w:pPr>
            <w:r>
              <w:rPr>
                <w:rFonts w:ascii="Calibri" w:hAnsi="Calibri"/>
                <w:sz w:val="20"/>
              </w:rPr>
              <w:t>£1,638 per year</w:t>
            </w:r>
          </w:p>
        </w:tc>
        <w:tc>
          <w:tcPr>
            <w:tcW w:w="5418" w:type="dxa"/>
          </w:tcPr>
          <w:p w:rsidR="006A18FD" w:rsidRDefault="002D29FC">
            <w:pPr>
              <w:spacing w:before="1"/>
              <w:ind w:left="102" w:right="153"/>
              <w:rPr>
                <w:rFonts w:ascii="Calibri" w:hAnsi="Calibri"/>
                <w:sz w:val="20"/>
              </w:rPr>
            </w:pPr>
            <w:r>
              <w:rPr>
                <w:rFonts w:ascii="Calibri" w:hAnsi="Calibri"/>
                <w:sz w:val="20"/>
              </w:rPr>
              <w:t>Based on the cost of £273 per person per day for a training course requiring three days. Training delivered by an Incredible Years certified trainer or mentor. (Costs exclude airfare from the USA and accommodation, which will vary and might be</w:t>
            </w:r>
          </w:p>
          <w:p w:rsidR="006A18FD" w:rsidRDefault="002D29FC">
            <w:pPr>
              <w:spacing w:line="221" w:lineRule="exact"/>
              <w:ind w:left="102"/>
              <w:rPr>
                <w:rFonts w:ascii="Calibri"/>
                <w:sz w:val="20"/>
              </w:rPr>
            </w:pPr>
            <w:r>
              <w:rPr>
                <w:rFonts w:ascii="Calibri"/>
                <w:sz w:val="20"/>
              </w:rPr>
              <w:t>shared with other programmes.)</w:t>
            </w:r>
          </w:p>
        </w:tc>
      </w:tr>
      <w:tr w:rsidR="006A18FD">
        <w:trPr>
          <w:trHeight w:val="960"/>
        </w:trPr>
        <w:tc>
          <w:tcPr>
            <w:tcW w:w="2376" w:type="dxa"/>
          </w:tcPr>
          <w:p w:rsidR="006A18FD" w:rsidRDefault="002D29FC">
            <w:pPr>
              <w:spacing w:before="1"/>
              <w:ind w:left="103"/>
              <w:rPr>
                <w:rFonts w:ascii="Calibri"/>
                <w:sz w:val="20"/>
              </w:rPr>
            </w:pPr>
            <w:r>
              <w:rPr>
                <w:rFonts w:ascii="Calibri"/>
                <w:sz w:val="20"/>
              </w:rPr>
              <w:t>Materials</w:t>
            </w:r>
          </w:p>
        </w:tc>
        <w:tc>
          <w:tcPr>
            <w:tcW w:w="1702" w:type="dxa"/>
          </w:tcPr>
          <w:p w:rsidR="006A18FD" w:rsidRDefault="002D29FC">
            <w:pPr>
              <w:spacing w:before="1"/>
              <w:ind w:left="103"/>
              <w:rPr>
                <w:rFonts w:ascii="Calibri" w:hAnsi="Calibri"/>
                <w:sz w:val="20"/>
              </w:rPr>
            </w:pPr>
            <w:r>
              <w:rPr>
                <w:rFonts w:ascii="Calibri" w:hAnsi="Calibri"/>
                <w:sz w:val="20"/>
              </w:rPr>
              <w:t>£1,614 per year</w:t>
            </w:r>
          </w:p>
        </w:tc>
        <w:tc>
          <w:tcPr>
            <w:tcW w:w="5418" w:type="dxa"/>
          </w:tcPr>
          <w:p w:rsidR="006A18FD" w:rsidRDefault="002D29FC">
            <w:pPr>
              <w:spacing w:before="1"/>
              <w:ind w:left="102" w:right="249"/>
              <w:rPr>
                <w:rFonts w:ascii="Calibri"/>
                <w:sz w:val="20"/>
              </w:rPr>
            </w:pPr>
            <w:r>
              <w:rPr>
                <w:rFonts w:ascii="Calibri"/>
                <w:sz w:val="20"/>
              </w:rPr>
              <w:t>This includes Incredible Years materials such as manuals, assorted books, tool box, wheel of fortune, puppets etc. Costs for video cameras should be included if sessions are to be</w:t>
            </w:r>
          </w:p>
          <w:p w:rsidR="006A18FD" w:rsidRDefault="002D29FC">
            <w:pPr>
              <w:spacing w:line="223" w:lineRule="exact"/>
              <w:ind w:left="102"/>
              <w:rPr>
                <w:rFonts w:ascii="Calibri"/>
                <w:sz w:val="20"/>
              </w:rPr>
            </w:pPr>
            <w:r>
              <w:rPr>
                <w:rFonts w:ascii="Calibri"/>
                <w:sz w:val="20"/>
              </w:rPr>
              <w:t>filmed.</w:t>
            </w:r>
          </w:p>
        </w:tc>
      </w:tr>
      <w:tr w:rsidR="006A18FD">
        <w:trPr>
          <w:trHeight w:val="280"/>
        </w:trPr>
        <w:tc>
          <w:tcPr>
            <w:tcW w:w="2376" w:type="dxa"/>
          </w:tcPr>
          <w:p w:rsidR="006A18FD" w:rsidRDefault="002D29FC">
            <w:pPr>
              <w:spacing w:line="243" w:lineRule="exact"/>
              <w:ind w:left="103"/>
              <w:rPr>
                <w:rFonts w:ascii="Calibri"/>
                <w:b/>
                <w:sz w:val="20"/>
              </w:rPr>
            </w:pPr>
            <w:r>
              <w:rPr>
                <w:rFonts w:ascii="Calibri"/>
                <w:b/>
                <w:sz w:val="20"/>
              </w:rPr>
              <w:t>Group leaders</w:t>
            </w:r>
          </w:p>
        </w:tc>
        <w:tc>
          <w:tcPr>
            <w:tcW w:w="1702" w:type="dxa"/>
          </w:tcPr>
          <w:p w:rsidR="006A18FD" w:rsidRDefault="006A18FD">
            <w:pPr>
              <w:rPr>
                <w:rFonts w:ascii="Times New Roman"/>
                <w:sz w:val="18"/>
              </w:rPr>
            </w:pPr>
          </w:p>
        </w:tc>
        <w:tc>
          <w:tcPr>
            <w:tcW w:w="5418" w:type="dxa"/>
          </w:tcPr>
          <w:p w:rsidR="006A18FD" w:rsidRDefault="006A18FD">
            <w:pPr>
              <w:rPr>
                <w:rFonts w:ascii="Times New Roman"/>
                <w:sz w:val="18"/>
              </w:rPr>
            </w:pPr>
          </w:p>
        </w:tc>
      </w:tr>
      <w:tr w:rsidR="006A18FD">
        <w:trPr>
          <w:trHeight w:val="480"/>
        </w:trPr>
        <w:tc>
          <w:tcPr>
            <w:tcW w:w="2376" w:type="dxa"/>
          </w:tcPr>
          <w:p w:rsidR="006A18FD" w:rsidRDefault="002D29FC">
            <w:pPr>
              <w:spacing w:before="1"/>
              <w:ind w:left="103"/>
              <w:rPr>
                <w:rFonts w:ascii="Calibri"/>
                <w:sz w:val="20"/>
              </w:rPr>
            </w:pPr>
            <w:r>
              <w:rPr>
                <w:rFonts w:ascii="Calibri"/>
                <w:sz w:val="20"/>
              </w:rPr>
              <w:t>Course planning</w:t>
            </w:r>
          </w:p>
        </w:tc>
        <w:tc>
          <w:tcPr>
            <w:tcW w:w="1702" w:type="dxa"/>
          </w:tcPr>
          <w:p w:rsidR="006A18FD" w:rsidRDefault="002D29FC">
            <w:pPr>
              <w:spacing w:before="1"/>
              <w:ind w:left="103"/>
              <w:rPr>
                <w:rFonts w:ascii="Calibri" w:hAnsi="Calibri"/>
                <w:sz w:val="20"/>
              </w:rPr>
            </w:pPr>
            <w:r>
              <w:rPr>
                <w:rFonts w:ascii="Calibri" w:hAnsi="Calibri"/>
                <w:sz w:val="20"/>
              </w:rPr>
              <w:t>£15,019 per year</w:t>
            </w:r>
          </w:p>
        </w:tc>
        <w:tc>
          <w:tcPr>
            <w:tcW w:w="5418" w:type="dxa"/>
          </w:tcPr>
          <w:p w:rsidR="006A18FD" w:rsidRDefault="002D29FC">
            <w:pPr>
              <w:spacing w:before="1" w:line="243" w:lineRule="exact"/>
              <w:ind w:left="102"/>
              <w:rPr>
                <w:rFonts w:ascii="Calibri" w:hAnsi="Calibri"/>
                <w:sz w:val="20"/>
              </w:rPr>
            </w:pPr>
            <w:r>
              <w:rPr>
                <w:rFonts w:ascii="Calibri" w:hAnsi="Calibri"/>
                <w:sz w:val="20"/>
              </w:rPr>
              <w:t>Based on the cost of £627 per day (includes salaries and</w:t>
            </w:r>
          </w:p>
          <w:p w:rsidR="006A18FD" w:rsidRDefault="002D29FC">
            <w:pPr>
              <w:spacing w:line="222" w:lineRule="exact"/>
              <w:ind w:left="102"/>
              <w:rPr>
                <w:rFonts w:ascii="Calibri"/>
                <w:sz w:val="20"/>
              </w:rPr>
            </w:pPr>
            <w:r>
              <w:rPr>
                <w:rFonts w:ascii="Calibri"/>
                <w:sz w:val="20"/>
              </w:rPr>
              <w:t>overheads) for two group leaders for six days.</w:t>
            </w:r>
          </w:p>
        </w:tc>
      </w:tr>
      <w:tr w:rsidR="006A18FD">
        <w:trPr>
          <w:trHeight w:val="480"/>
        </w:trPr>
        <w:tc>
          <w:tcPr>
            <w:tcW w:w="2376" w:type="dxa"/>
          </w:tcPr>
          <w:p w:rsidR="006A18FD" w:rsidRDefault="002D29FC">
            <w:pPr>
              <w:spacing w:before="1" w:line="240" w:lineRule="atLeast"/>
              <w:ind w:left="103" w:right="653"/>
              <w:rPr>
                <w:rFonts w:ascii="Calibri"/>
                <w:b/>
                <w:sz w:val="20"/>
              </w:rPr>
            </w:pPr>
            <w:r>
              <w:rPr>
                <w:rFonts w:ascii="Calibri"/>
                <w:b/>
                <w:sz w:val="20"/>
              </w:rPr>
              <w:t>Teachers attending programme</w:t>
            </w:r>
          </w:p>
        </w:tc>
        <w:tc>
          <w:tcPr>
            <w:tcW w:w="1702" w:type="dxa"/>
          </w:tcPr>
          <w:p w:rsidR="006A18FD" w:rsidRDefault="006A18FD">
            <w:pPr>
              <w:rPr>
                <w:rFonts w:ascii="Times New Roman"/>
                <w:sz w:val="18"/>
              </w:rPr>
            </w:pPr>
          </w:p>
        </w:tc>
        <w:tc>
          <w:tcPr>
            <w:tcW w:w="5418" w:type="dxa"/>
          </w:tcPr>
          <w:p w:rsidR="006A18FD" w:rsidRDefault="006A18FD">
            <w:pPr>
              <w:rPr>
                <w:rFonts w:ascii="Times New Roman"/>
                <w:sz w:val="18"/>
              </w:rPr>
            </w:pPr>
          </w:p>
        </w:tc>
      </w:tr>
      <w:tr w:rsidR="006A18FD">
        <w:trPr>
          <w:trHeight w:val="479"/>
        </w:trPr>
        <w:tc>
          <w:tcPr>
            <w:tcW w:w="2376" w:type="dxa"/>
          </w:tcPr>
          <w:p w:rsidR="006A18FD" w:rsidRDefault="002D29FC">
            <w:pPr>
              <w:ind w:left="103"/>
              <w:rPr>
                <w:rFonts w:ascii="Calibri"/>
                <w:sz w:val="20"/>
              </w:rPr>
            </w:pPr>
            <w:r>
              <w:rPr>
                <w:rFonts w:ascii="Calibri"/>
                <w:sz w:val="20"/>
              </w:rPr>
              <w:t>Supply cover</w:t>
            </w:r>
          </w:p>
        </w:tc>
        <w:tc>
          <w:tcPr>
            <w:tcW w:w="1702" w:type="dxa"/>
          </w:tcPr>
          <w:p w:rsidR="006A18FD" w:rsidRDefault="002D29FC">
            <w:pPr>
              <w:ind w:left="103"/>
              <w:rPr>
                <w:rFonts w:ascii="Calibri" w:hAnsi="Calibri"/>
                <w:sz w:val="20"/>
              </w:rPr>
            </w:pPr>
            <w:r>
              <w:rPr>
                <w:rFonts w:ascii="Calibri" w:hAnsi="Calibri"/>
                <w:sz w:val="20"/>
              </w:rPr>
              <w:t>£10,923 per year</w:t>
            </w:r>
          </w:p>
        </w:tc>
        <w:tc>
          <w:tcPr>
            <w:tcW w:w="5418" w:type="dxa"/>
          </w:tcPr>
          <w:p w:rsidR="006A18FD" w:rsidRDefault="002D29FC">
            <w:pPr>
              <w:spacing w:line="243" w:lineRule="exact"/>
              <w:ind w:left="102"/>
              <w:rPr>
                <w:rFonts w:ascii="Calibri"/>
                <w:sz w:val="20"/>
              </w:rPr>
            </w:pPr>
            <w:r>
              <w:rPr>
                <w:rFonts w:ascii="Calibri"/>
                <w:sz w:val="20"/>
              </w:rPr>
              <w:t>Supply cover provided for the 10 teachers attending the course</w:t>
            </w:r>
          </w:p>
          <w:p w:rsidR="006A18FD" w:rsidRDefault="002D29FC">
            <w:pPr>
              <w:spacing w:line="222" w:lineRule="exact"/>
              <w:ind w:left="102"/>
              <w:rPr>
                <w:rFonts w:ascii="Calibri" w:hAnsi="Calibri"/>
                <w:sz w:val="20"/>
              </w:rPr>
            </w:pPr>
            <w:r>
              <w:rPr>
                <w:rFonts w:ascii="Calibri" w:hAnsi="Calibri"/>
                <w:sz w:val="20"/>
              </w:rPr>
              <w:t>at £182 per day for 6 days.</w:t>
            </w:r>
          </w:p>
        </w:tc>
      </w:tr>
      <w:tr w:rsidR="006A18FD">
        <w:trPr>
          <w:trHeight w:val="480"/>
        </w:trPr>
        <w:tc>
          <w:tcPr>
            <w:tcW w:w="2376" w:type="dxa"/>
          </w:tcPr>
          <w:p w:rsidR="006A18FD" w:rsidRDefault="002D29FC">
            <w:pPr>
              <w:spacing w:before="1" w:line="240" w:lineRule="atLeast"/>
              <w:ind w:left="103" w:right="914"/>
              <w:rPr>
                <w:rFonts w:ascii="Calibri"/>
                <w:b/>
                <w:sz w:val="20"/>
              </w:rPr>
            </w:pPr>
            <w:r>
              <w:rPr>
                <w:rFonts w:ascii="Calibri"/>
                <w:b/>
                <w:sz w:val="20"/>
              </w:rPr>
              <w:t>Incredible Years professional</w:t>
            </w:r>
          </w:p>
        </w:tc>
        <w:tc>
          <w:tcPr>
            <w:tcW w:w="1702" w:type="dxa"/>
          </w:tcPr>
          <w:p w:rsidR="006A18FD" w:rsidRDefault="006A18FD">
            <w:pPr>
              <w:rPr>
                <w:rFonts w:ascii="Times New Roman"/>
                <w:sz w:val="18"/>
              </w:rPr>
            </w:pPr>
          </w:p>
        </w:tc>
        <w:tc>
          <w:tcPr>
            <w:tcW w:w="5418" w:type="dxa"/>
          </w:tcPr>
          <w:p w:rsidR="006A18FD" w:rsidRDefault="006A18FD">
            <w:pPr>
              <w:rPr>
                <w:rFonts w:ascii="Times New Roman"/>
                <w:sz w:val="18"/>
              </w:rPr>
            </w:pPr>
          </w:p>
        </w:tc>
      </w:tr>
      <w:tr w:rsidR="006A18FD">
        <w:trPr>
          <w:trHeight w:val="479"/>
        </w:trPr>
        <w:tc>
          <w:tcPr>
            <w:tcW w:w="2376" w:type="dxa"/>
          </w:tcPr>
          <w:p w:rsidR="006A18FD" w:rsidRDefault="002D29FC">
            <w:pPr>
              <w:ind w:left="103"/>
              <w:rPr>
                <w:rFonts w:ascii="Calibri"/>
                <w:sz w:val="20"/>
              </w:rPr>
            </w:pPr>
            <w:r>
              <w:rPr>
                <w:rFonts w:ascii="Calibri"/>
                <w:sz w:val="20"/>
              </w:rPr>
              <w:t>Supervision</w:t>
            </w:r>
          </w:p>
        </w:tc>
        <w:tc>
          <w:tcPr>
            <w:tcW w:w="1702" w:type="dxa"/>
          </w:tcPr>
          <w:p w:rsidR="006A18FD" w:rsidRDefault="002D29FC">
            <w:pPr>
              <w:ind w:left="103"/>
              <w:rPr>
                <w:rFonts w:ascii="Calibri" w:hAnsi="Calibri"/>
                <w:sz w:val="20"/>
              </w:rPr>
            </w:pPr>
            <w:r>
              <w:rPr>
                <w:rFonts w:ascii="Calibri" w:hAnsi="Calibri"/>
                <w:sz w:val="20"/>
              </w:rPr>
              <w:t>£1,775 per year</w:t>
            </w:r>
          </w:p>
        </w:tc>
        <w:tc>
          <w:tcPr>
            <w:tcW w:w="5418" w:type="dxa"/>
          </w:tcPr>
          <w:p w:rsidR="006A18FD" w:rsidRDefault="002D29FC">
            <w:pPr>
              <w:ind w:left="102"/>
              <w:rPr>
                <w:rFonts w:ascii="Calibri"/>
                <w:sz w:val="20"/>
              </w:rPr>
            </w:pPr>
            <w:r>
              <w:rPr>
                <w:rFonts w:ascii="Calibri"/>
                <w:sz w:val="20"/>
              </w:rPr>
              <w:t>Supervision provided by an Incredible Years professional for the</w:t>
            </w:r>
          </w:p>
          <w:p w:rsidR="006A18FD" w:rsidRDefault="002D29FC">
            <w:pPr>
              <w:spacing w:line="223" w:lineRule="exact"/>
              <w:ind w:left="102"/>
              <w:rPr>
                <w:rFonts w:ascii="Calibri" w:hAnsi="Calibri"/>
                <w:sz w:val="20"/>
              </w:rPr>
            </w:pPr>
            <w:r>
              <w:rPr>
                <w:rFonts w:ascii="Calibri" w:hAnsi="Calibri"/>
                <w:sz w:val="20"/>
              </w:rPr>
              <w:t>6 sessions. Based on a cost of £296 per session</w:t>
            </w:r>
          </w:p>
        </w:tc>
      </w:tr>
      <w:tr w:rsidR="006A18FD">
        <w:trPr>
          <w:trHeight w:val="280"/>
        </w:trPr>
        <w:tc>
          <w:tcPr>
            <w:tcW w:w="2376" w:type="dxa"/>
          </w:tcPr>
          <w:p w:rsidR="006A18FD" w:rsidRDefault="002D29FC">
            <w:pPr>
              <w:spacing w:before="2"/>
              <w:ind w:left="103"/>
              <w:rPr>
                <w:rFonts w:ascii="Calibri"/>
                <w:sz w:val="20"/>
              </w:rPr>
            </w:pPr>
            <w:r>
              <w:rPr>
                <w:rFonts w:ascii="Calibri"/>
                <w:sz w:val="20"/>
              </w:rPr>
              <w:t>Venue</w:t>
            </w:r>
          </w:p>
        </w:tc>
        <w:tc>
          <w:tcPr>
            <w:tcW w:w="1702" w:type="dxa"/>
          </w:tcPr>
          <w:p w:rsidR="006A18FD" w:rsidRDefault="006A18FD">
            <w:pPr>
              <w:rPr>
                <w:rFonts w:ascii="Times New Roman"/>
                <w:sz w:val="18"/>
              </w:rPr>
            </w:pPr>
          </w:p>
        </w:tc>
        <w:tc>
          <w:tcPr>
            <w:tcW w:w="5418" w:type="dxa"/>
          </w:tcPr>
          <w:p w:rsidR="006A18FD" w:rsidRDefault="002D29FC">
            <w:pPr>
              <w:spacing w:before="2"/>
              <w:ind w:left="102"/>
              <w:rPr>
                <w:rFonts w:ascii="Calibri"/>
                <w:sz w:val="20"/>
              </w:rPr>
            </w:pPr>
            <w:r>
              <w:rPr>
                <w:rFonts w:ascii="Calibri"/>
                <w:sz w:val="20"/>
              </w:rPr>
              <w:t>Cost for venue is not known.</w:t>
            </w:r>
          </w:p>
        </w:tc>
      </w:tr>
      <w:tr w:rsidR="006A18FD">
        <w:trPr>
          <w:trHeight w:val="280"/>
        </w:trPr>
        <w:tc>
          <w:tcPr>
            <w:tcW w:w="2376" w:type="dxa"/>
          </w:tcPr>
          <w:p w:rsidR="006A18FD" w:rsidRDefault="002D29FC">
            <w:pPr>
              <w:spacing w:before="1"/>
              <w:ind w:left="103"/>
              <w:rPr>
                <w:rFonts w:ascii="Calibri"/>
                <w:sz w:val="20"/>
              </w:rPr>
            </w:pPr>
            <w:r>
              <w:rPr>
                <w:rFonts w:ascii="Calibri"/>
                <w:sz w:val="20"/>
              </w:rPr>
              <w:t>Course materials</w:t>
            </w:r>
          </w:p>
        </w:tc>
        <w:tc>
          <w:tcPr>
            <w:tcW w:w="1702" w:type="dxa"/>
          </w:tcPr>
          <w:p w:rsidR="006A18FD" w:rsidRDefault="002D29FC">
            <w:pPr>
              <w:spacing w:before="1"/>
              <w:ind w:left="103"/>
              <w:rPr>
                <w:rFonts w:ascii="Calibri" w:hAnsi="Calibri"/>
                <w:sz w:val="20"/>
              </w:rPr>
            </w:pPr>
            <w:r>
              <w:rPr>
                <w:rFonts w:ascii="Calibri" w:hAnsi="Calibri"/>
                <w:sz w:val="20"/>
              </w:rPr>
              <w:t>£398 per year</w:t>
            </w:r>
          </w:p>
        </w:tc>
        <w:tc>
          <w:tcPr>
            <w:tcW w:w="5418" w:type="dxa"/>
          </w:tcPr>
          <w:p w:rsidR="006A18FD" w:rsidRDefault="002D29FC">
            <w:pPr>
              <w:spacing w:before="1"/>
              <w:ind w:left="102"/>
              <w:rPr>
                <w:rFonts w:ascii="Calibri" w:hAnsi="Calibri"/>
                <w:sz w:val="20"/>
              </w:rPr>
            </w:pPr>
            <w:r>
              <w:rPr>
                <w:rFonts w:ascii="Calibri" w:hAnsi="Calibri"/>
                <w:sz w:val="20"/>
              </w:rPr>
              <w:t>Books and handouts at £40 per teacher for 10 teachers</w:t>
            </w:r>
          </w:p>
        </w:tc>
      </w:tr>
      <w:tr w:rsidR="006A18FD">
        <w:trPr>
          <w:trHeight w:val="560"/>
        </w:trPr>
        <w:tc>
          <w:tcPr>
            <w:tcW w:w="2376" w:type="dxa"/>
          </w:tcPr>
          <w:p w:rsidR="006A18FD" w:rsidRDefault="002D29FC">
            <w:pPr>
              <w:spacing w:before="1"/>
              <w:ind w:left="103"/>
              <w:rPr>
                <w:rFonts w:ascii="Calibri"/>
                <w:sz w:val="20"/>
              </w:rPr>
            </w:pPr>
            <w:r>
              <w:rPr>
                <w:rFonts w:ascii="Calibri"/>
                <w:sz w:val="20"/>
              </w:rPr>
              <w:t>Miscellaneous costs</w:t>
            </w:r>
          </w:p>
        </w:tc>
        <w:tc>
          <w:tcPr>
            <w:tcW w:w="1702" w:type="dxa"/>
          </w:tcPr>
          <w:p w:rsidR="006A18FD" w:rsidRDefault="002D29FC">
            <w:pPr>
              <w:spacing w:before="1"/>
              <w:ind w:left="103"/>
              <w:rPr>
                <w:rFonts w:ascii="Calibri" w:hAnsi="Calibri"/>
                <w:sz w:val="20"/>
              </w:rPr>
            </w:pPr>
            <w:r>
              <w:rPr>
                <w:rFonts w:ascii="Calibri" w:hAnsi="Calibri"/>
                <w:sz w:val="20"/>
              </w:rPr>
              <w:t>£54 per annum</w:t>
            </w:r>
          </w:p>
          <w:p w:rsidR="006A18FD" w:rsidRDefault="002D29FC">
            <w:pPr>
              <w:spacing w:before="38"/>
              <w:ind w:left="103"/>
              <w:rPr>
                <w:rFonts w:ascii="Calibri" w:hAnsi="Calibri"/>
                <w:sz w:val="20"/>
              </w:rPr>
            </w:pPr>
            <w:r>
              <w:rPr>
                <w:rFonts w:ascii="Calibri" w:hAnsi="Calibri"/>
                <w:sz w:val="20"/>
              </w:rPr>
              <w:t>£405 per annum</w:t>
            </w:r>
          </w:p>
        </w:tc>
        <w:tc>
          <w:tcPr>
            <w:tcW w:w="5418" w:type="dxa"/>
          </w:tcPr>
          <w:p w:rsidR="006A18FD" w:rsidRDefault="002D29FC">
            <w:pPr>
              <w:spacing w:before="1"/>
              <w:ind w:left="102"/>
              <w:rPr>
                <w:rFonts w:ascii="Calibri"/>
                <w:sz w:val="20"/>
              </w:rPr>
            </w:pPr>
            <w:r>
              <w:rPr>
                <w:rFonts w:ascii="Calibri"/>
                <w:sz w:val="20"/>
              </w:rPr>
              <w:t>Incentives and materials</w:t>
            </w:r>
          </w:p>
          <w:p w:rsidR="006A18FD" w:rsidRDefault="002D29FC">
            <w:pPr>
              <w:spacing w:before="38"/>
              <w:ind w:left="102"/>
              <w:rPr>
                <w:rFonts w:ascii="Calibri" w:hAnsi="Calibri"/>
                <w:sz w:val="20"/>
              </w:rPr>
            </w:pPr>
            <w:r>
              <w:rPr>
                <w:rFonts w:ascii="Calibri" w:hAnsi="Calibri"/>
                <w:sz w:val="20"/>
              </w:rPr>
              <w:t>Lunch and refreshments are based on a cost of £68 per session.</w:t>
            </w:r>
          </w:p>
        </w:tc>
      </w:tr>
      <w:tr w:rsidR="006A18FD">
        <w:trPr>
          <w:trHeight w:val="280"/>
        </w:trPr>
        <w:tc>
          <w:tcPr>
            <w:tcW w:w="2376" w:type="dxa"/>
          </w:tcPr>
          <w:p w:rsidR="006A18FD" w:rsidRDefault="002D29FC">
            <w:pPr>
              <w:spacing w:before="1"/>
              <w:ind w:left="103"/>
              <w:rPr>
                <w:rFonts w:ascii="Calibri"/>
                <w:sz w:val="20"/>
              </w:rPr>
            </w:pPr>
            <w:r>
              <w:rPr>
                <w:rFonts w:ascii="Calibri"/>
                <w:sz w:val="20"/>
              </w:rPr>
              <w:t>Certification/accreditation</w:t>
            </w:r>
          </w:p>
        </w:tc>
        <w:tc>
          <w:tcPr>
            <w:tcW w:w="1702" w:type="dxa"/>
          </w:tcPr>
          <w:p w:rsidR="006A18FD" w:rsidRDefault="002D29FC">
            <w:pPr>
              <w:spacing w:before="1"/>
              <w:ind w:left="103"/>
              <w:rPr>
                <w:rFonts w:ascii="Calibri" w:hAnsi="Calibri"/>
                <w:sz w:val="20"/>
              </w:rPr>
            </w:pPr>
            <w:r>
              <w:rPr>
                <w:rFonts w:ascii="Calibri" w:hAnsi="Calibri"/>
                <w:sz w:val="20"/>
              </w:rPr>
              <w:t>£292 per annum</w:t>
            </w:r>
          </w:p>
        </w:tc>
        <w:tc>
          <w:tcPr>
            <w:tcW w:w="5418" w:type="dxa"/>
          </w:tcPr>
          <w:p w:rsidR="006A18FD" w:rsidRDefault="002D29FC">
            <w:pPr>
              <w:spacing w:before="1"/>
              <w:ind w:left="102"/>
              <w:rPr>
                <w:rFonts w:ascii="Calibri"/>
                <w:sz w:val="20"/>
              </w:rPr>
            </w:pPr>
            <w:r>
              <w:rPr>
                <w:rFonts w:ascii="Calibri"/>
                <w:sz w:val="20"/>
              </w:rPr>
              <w:t>This promotes fidelity to the programme</w:t>
            </w:r>
          </w:p>
        </w:tc>
      </w:tr>
      <w:tr w:rsidR="006A18FD">
        <w:trPr>
          <w:trHeight w:val="280"/>
        </w:trPr>
        <w:tc>
          <w:tcPr>
            <w:tcW w:w="9496" w:type="dxa"/>
            <w:gridSpan w:val="3"/>
          </w:tcPr>
          <w:p w:rsidR="006A18FD" w:rsidRDefault="002D29FC">
            <w:pPr>
              <w:spacing w:before="1"/>
              <w:ind w:left="103"/>
              <w:rPr>
                <w:rFonts w:ascii="Calibri"/>
                <w:b/>
                <w:sz w:val="20"/>
              </w:rPr>
            </w:pPr>
            <w:r>
              <w:rPr>
                <w:rFonts w:ascii="Calibri"/>
                <w:b/>
                <w:sz w:val="20"/>
              </w:rPr>
              <w:t>Unit Costs for 2018/2019</w:t>
            </w:r>
          </w:p>
        </w:tc>
      </w:tr>
      <w:tr w:rsidR="006A18FD">
        <w:trPr>
          <w:trHeight w:val="280"/>
        </w:trPr>
        <w:tc>
          <w:tcPr>
            <w:tcW w:w="9496" w:type="dxa"/>
            <w:gridSpan w:val="3"/>
          </w:tcPr>
          <w:p w:rsidR="006A18FD" w:rsidRDefault="002D29FC">
            <w:pPr>
              <w:spacing w:before="1"/>
              <w:ind w:left="103"/>
              <w:rPr>
                <w:rFonts w:ascii="Calibri" w:hAnsi="Calibri"/>
                <w:sz w:val="20"/>
              </w:rPr>
            </w:pPr>
            <w:r>
              <w:rPr>
                <w:rFonts w:ascii="Calibri" w:hAnsi="Calibri"/>
                <w:sz w:val="20"/>
              </w:rPr>
              <w:t>Start-up costs £3,212 (excluding airfare and accommodation for Incredible Years trainer).</w:t>
            </w:r>
          </w:p>
        </w:tc>
      </w:tr>
      <w:tr w:rsidR="006A18FD">
        <w:trPr>
          <w:trHeight w:val="280"/>
        </w:trPr>
        <w:tc>
          <w:tcPr>
            <w:tcW w:w="9496" w:type="dxa"/>
            <w:gridSpan w:val="3"/>
          </w:tcPr>
          <w:p w:rsidR="006A18FD" w:rsidRDefault="002D29FC">
            <w:pPr>
              <w:spacing w:before="1"/>
              <w:ind w:left="103"/>
              <w:rPr>
                <w:rFonts w:ascii="Calibri" w:hAnsi="Calibri"/>
                <w:sz w:val="20"/>
              </w:rPr>
            </w:pPr>
            <w:r>
              <w:rPr>
                <w:rFonts w:ascii="Calibri" w:hAnsi="Calibri"/>
                <w:sz w:val="20"/>
              </w:rPr>
              <w:t>Cost per programme for 10 teachers excluding start-up costs £28,886.</w:t>
            </w:r>
          </w:p>
        </w:tc>
      </w:tr>
      <w:tr w:rsidR="006A18FD">
        <w:trPr>
          <w:trHeight w:val="280"/>
        </w:trPr>
        <w:tc>
          <w:tcPr>
            <w:tcW w:w="9496" w:type="dxa"/>
            <w:gridSpan w:val="3"/>
          </w:tcPr>
          <w:p w:rsidR="006A18FD" w:rsidRDefault="002D29FC">
            <w:pPr>
              <w:spacing w:before="1"/>
              <w:ind w:left="103"/>
              <w:rPr>
                <w:rFonts w:ascii="Calibri" w:hAnsi="Calibri"/>
                <w:sz w:val="20"/>
              </w:rPr>
            </w:pPr>
            <w:r>
              <w:rPr>
                <w:rFonts w:ascii="Calibri" w:hAnsi="Calibri"/>
                <w:sz w:val="20"/>
              </w:rPr>
              <w:t>Cost per teacher excluding start-up costs £2,885.</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9"/>
        <w:rPr>
          <w:rFonts w:ascii="Calibri"/>
          <w:sz w:val="23"/>
        </w:rPr>
      </w:pPr>
    </w:p>
    <w:p w:rsidR="006A18FD" w:rsidRDefault="002D29FC">
      <w:pPr>
        <w:ind w:left="423" w:right="787" w:hanging="284"/>
        <w:rPr>
          <w:rFonts w:ascii="Calibri"/>
          <w:sz w:val="16"/>
        </w:rPr>
      </w:pPr>
      <w:r>
        <w:rPr>
          <w:rFonts w:ascii="Calibri"/>
          <w:position w:val="5"/>
          <w:sz w:val="10"/>
        </w:rPr>
        <w:t xml:space="preserve">1 </w:t>
      </w:r>
      <w:r>
        <w:rPr>
          <w:rFonts w:ascii="Calibri"/>
          <w:sz w:val="16"/>
        </w:rPr>
        <w:t xml:space="preserve">Ford, T., Edwards, V. Sharkey, S., Ukoumunne, O., Byford, S. Norwich, B. &amp; Logan, S. (2012) Supporting teachers and children in schools: the effectiveness and cost-effectiveness of the incredible years teacher classroom management programme in primary school children: a cluster randomised controlled trial, with parallel economic and process evaluations, </w:t>
      </w:r>
      <w:r>
        <w:rPr>
          <w:rFonts w:ascii="Calibri"/>
          <w:i/>
          <w:sz w:val="16"/>
        </w:rPr>
        <w:t>BMC Public Health</w:t>
      </w:r>
      <w:r>
        <w:rPr>
          <w:rFonts w:ascii="Calibri"/>
          <w:sz w:val="16"/>
        </w:rPr>
        <w:t>, 12, 719, doi:10.1186/1471-2458-12-719.</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8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86" name="Line 14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FE1A6" id="Group 14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Lw+V2n4CAACBBQAA&#10;DgAAAAAAAAAAAAAAAAAuAgAAZHJzL2Uyb0RvYy54bWxQSwECLQAUAAYACAAAACEALXfkXNoAAAAE&#10;AQAADwAAAAAAAAAAAAAAAADYBAAAZHJzL2Rvd25yZXYueG1sUEsFBgAAAAAEAAQA8wAAAN8FAAAA&#10;AA==&#10;">
                <v:line id="Line 14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w10:anchorlock/>
              </v:group>
            </w:pict>
          </mc:Fallback>
        </mc:AlternateContent>
      </w:r>
    </w:p>
    <w:p w:rsidR="006A18FD" w:rsidRDefault="00E06635" w:rsidP="00E06635">
      <w:pPr>
        <w:pStyle w:val="Heading2"/>
      </w:pPr>
      <w:r>
        <w:t xml:space="preserve">6.9 </w:t>
      </w:r>
      <w:r w:rsidR="002D29FC">
        <w:t>Advocacy for children with additional/multiple</w:t>
      </w:r>
      <w:r w:rsidR="002D29FC">
        <w:rPr>
          <w:spacing w:val="-28"/>
        </w:rPr>
        <w:t xml:space="preserve"> </w:t>
      </w:r>
      <w:r w:rsidR="002D29FC">
        <w:t>needs</w:t>
      </w:r>
    </w:p>
    <w:p w:rsidR="006A18FD" w:rsidRDefault="002D29FC">
      <w:pPr>
        <w:spacing w:before="170" w:line="276" w:lineRule="auto"/>
        <w:ind w:left="152" w:right="290"/>
        <w:rPr>
          <w:rFonts w:ascii="Calibri" w:hAnsi="Calibri"/>
          <w:sz w:val="18"/>
        </w:rPr>
      </w:pPr>
      <w:r>
        <w:rPr>
          <w:rFonts w:ascii="Calibri" w:hAnsi="Calibri"/>
          <w:sz w:val="18"/>
        </w:rPr>
        <w:t>The Children’s Act 2004 makes it clear that where young people have difficulty in expressing their wishes and feelings about any decisions made about them, or wish to make a complaint, consideration must be given to securing the support of an advocate. This can result in a variety of benefits for both the child and the local authority; enhanced self-esteem and a better understanding of processes leading to more informed choices and improved care packages as well as improved transition from child to adult services.</w:t>
      </w:r>
    </w:p>
    <w:p w:rsidR="006A18FD" w:rsidRDefault="002D29FC">
      <w:pPr>
        <w:spacing w:before="119" w:line="276" w:lineRule="auto"/>
        <w:ind w:left="152" w:right="167"/>
        <w:rPr>
          <w:rFonts w:ascii="Calibri" w:hAnsi="Calibri"/>
          <w:sz w:val="18"/>
        </w:rPr>
      </w:pPr>
      <w:r>
        <w:rPr>
          <w:rFonts w:ascii="Calibri" w:hAnsi="Calibri"/>
          <w:sz w:val="18"/>
        </w:rPr>
        <w:t>This service is targeted at young people who are aged between ten and twenty-one and who have additional/multiple needs, are in need of immediate care and protection, looked after, or a care-leaver. It is considered to be a ‘typical’ service model. The costs below have been compiled in collaboration with a national children’s charity. All costs have been uprated from 2016/2017 to 2018/2019 levels using the PSS inflators.</w:t>
      </w:r>
    </w:p>
    <w:p w:rsidR="006A18FD" w:rsidRDefault="006A18FD">
      <w:pPr>
        <w:spacing w:before="10"/>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1462"/>
        <w:gridCol w:w="6229"/>
      </w:tblGrid>
      <w:tr w:rsidR="006A18FD" w:rsidTr="005B5AB5">
        <w:trPr>
          <w:trHeight w:val="440"/>
          <w:tblHeader/>
        </w:trPr>
        <w:tc>
          <w:tcPr>
            <w:tcW w:w="2343" w:type="dxa"/>
          </w:tcPr>
          <w:p w:rsidR="006A18FD" w:rsidRDefault="002D29FC">
            <w:pPr>
              <w:spacing w:before="1"/>
              <w:ind w:left="105"/>
              <w:rPr>
                <w:rFonts w:ascii="Calibri"/>
                <w:b/>
                <w:sz w:val="18"/>
              </w:rPr>
            </w:pPr>
            <w:r>
              <w:rPr>
                <w:rFonts w:ascii="Calibri"/>
                <w:b/>
                <w:sz w:val="18"/>
              </w:rPr>
              <w:t>Costs and unit estimation</w:t>
            </w:r>
          </w:p>
        </w:tc>
        <w:tc>
          <w:tcPr>
            <w:tcW w:w="1462" w:type="dxa"/>
          </w:tcPr>
          <w:p w:rsidR="006A18FD" w:rsidRDefault="002D29FC">
            <w:pPr>
              <w:spacing w:before="1"/>
              <w:ind w:left="102"/>
              <w:rPr>
                <w:rFonts w:ascii="Calibri"/>
                <w:b/>
                <w:sz w:val="18"/>
              </w:rPr>
            </w:pPr>
            <w:r>
              <w:rPr>
                <w:rFonts w:ascii="Calibri"/>
                <w:b/>
                <w:sz w:val="18"/>
              </w:rPr>
              <w:t>2018/2019</w:t>
            </w:r>
          </w:p>
          <w:p w:rsidR="006A18FD" w:rsidRDefault="002D29FC">
            <w:pPr>
              <w:spacing w:before="1" w:line="199" w:lineRule="exact"/>
              <w:ind w:left="102"/>
              <w:rPr>
                <w:rFonts w:ascii="Calibri"/>
                <w:b/>
                <w:sz w:val="18"/>
              </w:rPr>
            </w:pPr>
            <w:r>
              <w:rPr>
                <w:rFonts w:ascii="Calibri"/>
                <w:b/>
                <w:sz w:val="18"/>
              </w:rPr>
              <w:t>value</w:t>
            </w:r>
          </w:p>
        </w:tc>
        <w:tc>
          <w:tcPr>
            <w:tcW w:w="6229" w:type="dxa"/>
          </w:tcPr>
          <w:p w:rsidR="006A18FD" w:rsidRDefault="002D29FC">
            <w:pPr>
              <w:spacing w:before="1"/>
              <w:ind w:left="105"/>
              <w:rPr>
                <w:rFonts w:ascii="Calibri"/>
                <w:b/>
                <w:sz w:val="18"/>
              </w:rPr>
            </w:pPr>
            <w:r>
              <w:rPr>
                <w:rFonts w:ascii="Calibri"/>
                <w:b/>
                <w:sz w:val="18"/>
              </w:rPr>
              <w:t>Notes (for further clarification see Commentary)</w:t>
            </w:r>
          </w:p>
        </w:tc>
      </w:tr>
      <w:tr w:rsidR="006A18FD">
        <w:trPr>
          <w:trHeight w:val="860"/>
        </w:trPr>
        <w:tc>
          <w:tcPr>
            <w:tcW w:w="2343" w:type="dxa"/>
          </w:tcPr>
          <w:p w:rsidR="006A18FD" w:rsidRDefault="002D29FC">
            <w:pPr>
              <w:spacing w:line="219" w:lineRule="exact"/>
              <w:ind w:left="105"/>
              <w:rPr>
                <w:rFonts w:ascii="Calibri"/>
                <w:sz w:val="18"/>
              </w:rPr>
            </w:pPr>
            <w:r>
              <w:rPr>
                <w:rFonts w:ascii="Calibri"/>
                <w:sz w:val="18"/>
              </w:rPr>
              <w:t>A.Wages/salary</w:t>
            </w:r>
          </w:p>
        </w:tc>
        <w:tc>
          <w:tcPr>
            <w:tcW w:w="1462" w:type="dxa"/>
          </w:tcPr>
          <w:p w:rsidR="006A18FD" w:rsidRDefault="002D29FC">
            <w:pPr>
              <w:spacing w:line="219" w:lineRule="exact"/>
              <w:ind w:left="102"/>
              <w:rPr>
                <w:rFonts w:ascii="Calibri" w:hAnsi="Calibri"/>
                <w:sz w:val="18"/>
              </w:rPr>
            </w:pPr>
            <w:r>
              <w:rPr>
                <w:rFonts w:ascii="Calibri" w:hAnsi="Calibri"/>
                <w:sz w:val="18"/>
              </w:rPr>
              <w:t>£91,864 per year</w:t>
            </w:r>
          </w:p>
        </w:tc>
        <w:tc>
          <w:tcPr>
            <w:tcW w:w="6229" w:type="dxa"/>
          </w:tcPr>
          <w:p w:rsidR="006A18FD" w:rsidRDefault="002D29FC">
            <w:pPr>
              <w:ind w:left="105"/>
              <w:rPr>
                <w:rFonts w:ascii="Calibri"/>
                <w:sz w:val="18"/>
              </w:rPr>
            </w:pPr>
            <w:r>
              <w:rPr>
                <w:rFonts w:ascii="Calibri"/>
                <w:sz w:val="18"/>
              </w:rPr>
              <w:t>The service comprises two senior advocates (one whom specialises in disability) working 30 hours per week, an advocate working 21 hours per week and a trainee advocate working 30 hours a week. There is also a sessional advocate who works</w:t>
            </w:r>
          </w:p>
          <w:p w:rsidR="006A18FD" w:rsidRDefault="002D29FC">
            <w:pPr>
              <w:spacing w:before="3" w:line="199" w:lineRule="exact"/>
              <w:ind w:left="105"/>
              <w:rPr>
                <w:rFonts w:ascii="Calibri"/>
                <w:sz w:val="18"/>
              </w:rPr>
            </w:pPr>
            <w:r>
              <w:rPr>
                <w:rFonts w:ascii="Calibri"/>
                <w:sz w:val="18"/>
              </w:rPr>
              <w:t>12 additional hours per week.</w:t>
            </w:r>
          </w:p>
        </w:tc>
      </w:tr>
      <w:tr w:rsidR="006A18FD">
        <w:trPr>
          <w:trHeight w:val="420"/>
        </w:trPr>
        <w:tc>
          <w:tcPr>
            <w:tcW w:w="2343" w:type="dxa"/>
          </w:tcPr>
          <w:p w:rsidR="006A18FD" w:rsidRDefault="002D29FC">
            <w:pPr>
              <w:spacing w:before="1"/>
              <w:ind w:left="105"/>
              <w:rPr>
                <w:rFonts w:ascii="Calibri"/>
                <w:sz w:val="18"/>
              </w:rPr>
            </w:pPr>
            <w:r>
              <w:rPr>
                <w:rFonts w:ascii="Calibri"/>
                <w:sz w:val="18"/>
              </w:rPr>
              <w:t>B. Salary oncosts</w:t>
            </w:r>
          </w:p>
        </w:tc>
        <w:tc>
          <w:tcPr>
            <w:tcW w:w="1462" w:type="dxa"/>
          </w:tcPr>
          <w:p w:rsidR="006A18FD" w:rsidRDefault="002D29FC">
            <w:pPr>
              <w:spacing w:before="1"/>
              <w:ind w:left="102"/>
              <w:rPr>
                <w:rFonts w:ascii="Calibri" w:hAnsi="Calibri"/>
                <w:sz w:val="18"/>
              </w:rPr>
            </w:pPr>
            <w:r>
              <w:rPr>
                <w:rFonts w:ascii="Calibri" w:hAnsi="Calibri"/>
                <w:sz w:val="18"/>
              </w:rPr>
              <w:t>£19,496 per year</w:t>
            </w:r>
          </w:p>
        </w:tc>
        <w:tc>
          <w:tcPr>
            <w:tcW w:w="6229" w:type="dxa"/>
          </w:tcPr>
          <w:p w:rsidR="006A18FD" w:rsidRDefault="002D29FC">
            <w:pPr>
              <w:spacing w:before="1" w:line="219" w:lineRule="exact"/>
              <w:ind w:left="105"/>
              <w:rPr>
                <w:rFonts w:ascii="Calibri" w:hAnsi="Calibri"/>
                <w:sz w:val="18"/>
              </w:rPr>
            </w:pPr>
            <w:r>
              <w:rPr>
                <w:rFonts w:ascii="Calibri" w:hAnsi="Calibri"/>
                <w:sz w:val="18"/>
              </w:rPr>
              <w:t>Employer’s national insurance is included plus 13.75 per cent of salary for</w:t>
            </w:r>
          </w:p>
          <w:p w:rsidR="006A18FD" w:rsidRDefault="002D29FC">
            <w:pPr>
              <w:spacing w:line="199" w:lineRule="exact"/>
              <w:ind w:left="105"/>
              <w:rPr>
                <w:rFonts w:ascii="Calibri" w:hAnsi="Calibri"/>
                <w:sz w:val="18"/>
              </w:rPr>
            </w:pPr>
            <w:r>
              <w:rPr>
                <w:rFonts w:ascii="Calibri" w:hAnsi="Calibri"/>
                <w:sz w:val="18"/>
              </w:rPr>
              <w:t>employer’s contribution to superannuation.</w:t>
            </w:r>
          </w:p>
        </w:tc>
      </w:tr>
      <w:tr w:rsidR="006A18FD">
        <w:trPr>
          <w:trHeight w:val="1520"/>
        </w:trPr>
        <w:tc>
          <w:tcPr>
            <w:tcW w:w="2343" w:type="dxa"/>
          </w:tcPr>
          <w:p w:rsidR="006A18FD" w:rsidRDefault="002D29FC">
            <w:pPr>
              <w:spacing w:before="1"/>
              <w:ind w:left="105" w:right="82"/>
              <w:rPr>
                <w:rFonts w:ascii="Calibri"/>
                <w:sz w:val="18"/>
              </w:rPr>
            </w:pPr>
            <w:r>
              <w:rPr>
                <w:rFonts w:ascii="Calibri"/>
                <w:sz w:val="18"/>
              </w:rPr>
              <w:t>C. Overheads* Management/administration</w:t>
            </w:r>
          </w:p>
          <w:p w:rsidR="006A18FD" w:rsidRDefault="006A18FD">
            <w:pPr>
              <w:rPr>
                <w:rFonts w:ascii="Calibri"/>
                <w:sz w:val="18"/>
              </w:rPr>
            </w:pPr>
          </w:p>
          <w:p w:rsidR="006A18FD" w:rsidRDefault="006A18FD">
            <w:pPr>
              <w:spacing w:before="10"/>
              <w:rPr>
                <w:rFonts w:ascii="Calibri"/>
                <w:sz w:val="17"/>
              </w:rPr>
            </w:pPr>
          </w:p>
          <w:p w:rsidR="006A18FD" w:rsidRDefault="002D29FC">
            <w:pPr>
              <w:ind w:left="105" w:right="437"/>
              <w:rPr>
                <w:rFonts w:ascii="Calibri"/>
                <w:sz w:val="18"/>
              </w:rPr>
            </w:pPr>
            <w:r>
              <w:rPr>
                <w:rFonts w:ascii="Calibri"/>
                <w:sz w:val="18"/>
              </w:rPr>
              <w:t>Direct overheads Indirect overheads</w:t>
            </w:r>
          </w:p>
        </w:tc>
        <w:tc>
          <w:tcPr>
            <w:tcW w:w="1462" w:type="dxa"/>
          </w:tcPr>
          <w:p w:rsidR="006A18FD" w:rsidRDefault="006A18FD">
            <w:pPr>
              <w:spacing w:before="2"/>
              <w:rPr>
                <w:rFonts w:ascii="Calibri"/>
                <w:sz w:val="18"/>
              </w:rPr>
            </w:pPr>
          </w:p>
          <w:p w:rsidR="006A18FD" w:rsidRDefault="002D29FC">
            <w:pPr>
              <w:ind w:left="102"/>
              <w:rPr>
                <w:rFonts w:ascii="Calibri" w:hAnsi="Calibri"/>
                <w:sz w:val="18"/>
              </w:rPr>
            </w:pPr>
            <w:r>
              <w:rPr>
                <w:rFonts w:ascii="Calibri" w:hAnsi="Calibri"/>
                <w:sz w:val="18"/>
              </w:rPr>
              <w:t>£36,275 per year</w:t>
            </w:r>
          </w:p>
          <w:p w:rsidR="006A18FD" w:rsidRDefault="006A18FD">
            <w:pPr>
              <w:rPr>
                <w:rFonts w:ascii="Calibri"/>
                <w:sz w:val="18"/>
              </w:rPr>
            </w:pPr>
          </w:p>
          <w:p w:rsidR="006A18FD" w:rsidRDefault="006A18FD">
            <w:pPr>
              <w:spacing w:before="10"/>
              <w:rPr>
                <w:rFonts w:ascii="Calibri"/>
                <w:sz w:val="17"/>
              </w:rPr>
            </w:pPr>
          </w:p>
          <w:p w:rsidR="006A18FD" w:rsidRDefault="002D29FC">
            <w:pPr>
              <w:ind w:left="102"/>
              <w:rPr>
                <w:rFonts w:ascii="Calibri" w:hAnsi="Calibri"/>
                <w:sz w:val="18"/>
              </w:rPr>
            </w:pPr>
            <w:r>
              <w:rPr>
                <w:rFonts w:ascii="Calibri" w:hAnsi="Calibri"/>
                <w:sz w:val="18"/>
              </w:rPr>
              <w:t>£3,807 per year</w:t>
            </w:r>
          </w:p>
          <w:p w:rsidR="006A18FD" w:rsidRDefault="002D29FC">
            <w:pPr>
              <w:ind w:left="102"/>
              <w:rPr>
                <w:rFonts w:ascii="Calibri" w:hAnsi="Calibri"/>
                <w:sz w:val="18"/>
              </w:rPr>
            </w:pPr>
            <w:r>
              <w:rPr>
                <w:rFonts w:ascii="Calibri" w:hAnsi="Calibri"/>
                <w:sz w:val="18"/>
              </w:rPr>
              <w:t>£18,125 per year</w:t>
            </w:r>
          </w:p>
        </w:tc>
        <w:tc>
          <w:tcPr>
            <w:tcW w:w="6229" w:type="dxa"/>
          </w:tcPr>
          <w:p w:rsidR="006A18FD" w:rsidRDefault="006A18FD">
            <w:pPr>
              <w:spacing w:before="2"/>
              <w:rPr>
                <w:rFonts w:ascii="Calibri"/>
                <w:sz w:val="18"/>
              </w:rPr>
            </w:pPr>
          </w:p>
          <w:p w:rsidR="006A18FD" w:rsidRDefault="002D29FC">
            <w:pPr>
              <w:ind w:left="105" w:right="579"/>
              <w:rPr>
                <w:rFonts w:ascii="Calibri"/>
                <w:sz w:val="18"/>
              </w:rPr>
            </w:pPr>
            <w:r>
              <w:rPr>
                <w:rFonts w:ascii="Calibri"/>
                <w:sz w:val="18"/>
              </w:rPr>
              <w:t>This includes a services manager (21 hours per week) and an administrative assistant (18 hours per week).</w:t>
            </w:r>
          </w:p>
          <w:p w:rsidR="006A18FD" w:rsidRDefault="006A18FD">
            <w:pPr>
              <w:spacing w:before="11"/>
              <w:rPr>
                <w:rFonts w:ascii="Calibri"/>
                <w:sz w:val="17"/>
              </w:rPr>
            </w:pPr>
          </w:p>
          <w:p w:rsidR="006A18FD" w:rsidRDefault="002D29FC">
            <w:pPr>
              <w:ind w:left="105"/>
              <w:rPr>
                <w:rFonts w:ascii="Calibri"/>
                <w:sz w:val="18"/>
              </w:rPr>
            </w:pPr>
            <w:r>
              <w:rPr>
                <w:rFonts w:ascii="Calibri"/>
                <w:sz w:val="18"/>
              </w:rPr>
              <w:t>This includes rent, utilities, venue hire</w:t>
            </w:r>
          </w:p>
          <w:p w:rsidR="006A18FD" w:rsidRDefault="002D29FC">
            <w:pPr>
              <w:spacing w:line="219" w:lineRule="exact"/>
              <w:ind w:left="105"/>
              <w:rPr>
                <w:rFonts w:ascii="Calibri"/>
                <w:sz w:val="18"/>
              </w:rPr>
            </w:pPr>
            <w:r>
              <w:rPr>
                <w:rFonts w:ascii="Calibri"/>
                <w:sz w:val="18"/>
              </w:rPr>
              <w:t>Indirect overheads form 16 per cent of salary plus oncosts. This includes the</w:t>
            </w:r>
          </w:p>
          <w:p w:rsidR="006A18FD" w:rsidRDefault="002D29FC">
            <w:pPr>
              <w:spacing w:line="199" w:lineRule="exact"/>
              <w:ind w:left="105"/>
              <w:rPr>
                <w:rFonts w:ascii="Calibri"/>
                <w:sz w:val="18"/>
              </w:rPr>
            </w:pPr>
            <w:r>
              <w:rPr>
                <w:rFonts w:ascii="Calibri"/>
                <w:sz w:val="18"/>
              </w:rPr>
              <w:t>finance, central management and human resources function.</w:t>
            </w:r>
          </w:p>
        </w:tc>
      </w:tr>
      <w:tr w:rsidR="006A18FD">
        <w:trPr>
          <w:trHeight w:val="440"/>
        </w:trPr>
        <w:tc>
          <w:tcPr>
            <w:tcW w:w="2343" w:type="dxa"/>
          </w:tcPr>
          <w:p w:rsidR="006A18FD" w:rsidRDefault="002D29FC">
            <w:pPr>
              <w:spacing w:before="1"/>
              <w:ind w:left="105"/>
              <w:rPr>
                <w:rFonts w:ascii="Calibri"/>
                <w:sz w:val="18"/>
              </w:rPr>
            </w:pPr>
            <w:r>
              <w:rPr>
                <w:rFonts w:ascii="Calibri"/>
                <w:sz w:val="18"/>
              </w:rPr>
              <w:t>D. Qualifications</w:t>
            </w:r>
          </w:p>
        </w:tc>
        <w:tc>
          <w:tcPr>
            <w:tcW w:w="1462" w:type="dxa"/>
          </w:tcPr>
          <w:p w:rsidR="006A18FD" w:rsidRDefault="002D29FC">
            <w:pPr>
              <w:spacing w:before="1" w:line="220" w:lineRule="atLeast"/>
              <w:ind w:left="102" w:right="682"/>
              <w:rPr>
                <w:rFonts w:ascii="Calibri"/>
                <w:sz w:val="18"/>
              </w:rPr>
            </w:pPr>
            <w:r>
              <w:rPr>
                <w:rFonts w:ascii="Calibri"/>
                <w:sz w:val="18"/>
              </w:rPr>
              <w:t>No costs available</w:t>
            </w:r>
          </w:p>
        </w:tc>
        <w:tc>
          <w:tcPr>
            <w:tcW w:w="6229" w:type="dxa"/>
          </w:tcPr>
          <w:p w:rsidR="006A18FD" w:rsidRDefault="006A18FD">
            <w:pPr>
              <w:rPr>
                <w:rFonts w:ascii="Times New Roman"/>
                <w:sz w:val="18"/>
              </w:rPr>
            </w:pPr>
          </w:p>
        </w:tc>
      </w:tr>
      <w:tr w:rsidR="006A18FD">
        <w:trPr>
          <w:trHeight w:val="860"/>
        </w:trPr>
        <w:tc>
          <w:tcPr>
            <w:tcW w:w="2343" w:type="dxa"/>
          </w:tcPr>
          <w:p w:rsidR="006A18FD" w:rsidRDefault="002D29FC">
            <w:pPr>
              <w:spacing w:line="218" w:lineRule="exact"/>
              <w:ind w:left="105"/>
              <w:rPr>
                <w:rFonts w:ascii="Calibri"/>
                <w:sz w:val="18"/>
              </w:rPr>
            </w:pPr>
            <w:r>
              <w:rPr>
                <w:rFonts w:ascii="Calibri"/>
                <w:sz w:val="18"/>
              </w:rPr>
              <w:t>E. Training</w:t>
            </w:r>
          </w:p>
        </w:tc>
        <w:tc>
          <w:tcPr>
            <w:tcW w:w="1462" w:type="dxa"/>
          </w:tcPr>
          <w:p w:rsidR="006A18FD" w:rsidRDefault="002D29FC">
            <w:pPr>
              <w:spacing w:line="218" w:lineRule="exact"/>
              <w:ind w:left="102"/>
              <w:rPr>
                <w:rFonts w:ascii="Calibri" w:hAnsi="Calibri"/>
                <w:sz w:val="18"/>
              </w:rPr>
            </w:pPr>
            <w:r>
              <w:rPr>
                <w:rFonts w:ascii="Calibri" w:hAnsi="Calibri"/>
                <w:sz w:val="18"/>
              </w:rPr>
              <w:t>£3,695 per year</w:t>
            </w:r>
          </w:p>
        </w:tc>
        <w:tc>
          <w:tcPr>
            <w:tcW w:w="6229" w:type="dxa"/>
          </w:tcPr>
          <w:p w:rsidR="006A18FD" w:rsidRDefault="002D29FC">
            <w:pPr>
              <w:ind w:left="105" w:right="87"/>
              <w:rPr>
                <w:rFonts w:ascii="Calibri" w:hAnsi="Calibri"/>
                <w:sz w:val="18"/>
              </w:rPr>
            </w:pPr>
            <w:r>
              <w:rPr>
                <w:rFonts w:ascii="Calibri" w:hAnsi="Calibri"/>
                <w:sz w:val="18"/>
              </w:rPr>
              <w:t>A standard allowance of £500 per head is provided for training. The majority of training is run in-house via e-learning portals that the national children’s charity have either developed in-house or have made available through partnerships with</w:t>
            </w:r>
          </w:p>
          <w:p w:rsidR="006A18FD" w:rsidRDefault="002D29FC">
            <w:pPr>
              <w:spacing w:before="2" w:line="199" w:lineRule="exact"/>
              <w:ind w:left="105"/>
              <w:rPr>
                <w:rFonts w:ascii="Calibri"/>
                <w:sz w:val="18"/>
              </w:rPr>
            </w:pPr>
            <w:r>
              <w:rPr>
                <w:rFonts w:ascii="Calibri"/>
                <w:sz w:val="18"/>
              </w:rPr>
              <w:t>external suppliers.</w:t>
            </w:r>
          </w:p>
        </w:tc>
      </w:tr>
      <w:tr w:rsidR="006A18FD">
        <w:trPr>
          <w:trHeight w:val="420"/>
        </w:trPr>
        <w:tc>
          <w:tcPr>
            <w:tcW w:w="2343" w:type="dxa"/>
          </w:tcPr>
          <w:p w:rsidR="006A18FD" w:rsidRDefault="002D29FC">
            <w:pPr>
              <w:spacing w:before="1"/>
              <w:ind w:left="105"/>
              <w:rPr>
                <w:rFonts w:ascii="Calibri"/>
                <w:sz w:val="18"/>
              </w:rPr>
            </w:pPr>
            <w:r>
              <w:rPr>
                <w:rFonts w:ascii="Calibri"/>
                <w:sz w:val="18"/>
              </w:rPr>
              <w:t>F. Capital overheads</w:t>
            </w:r>
          </w:p>
        </w:tc>
        <w:tc>
          <w:tcPr>
            <w:tcW w:w="1462" w:type="dxa"/>
          </w:tcPr>
          <w:p w:rsidR="006A18FD" w:rsidRDefault="002D29FC">
            <w:pPr>
              <w:spacing w:before="1"/>
              <w:ind w:left="102"/>
              <w:rPr>
                <w:rFonts w:ascii="Calibri" w:hAnsi="Calibri"/>
                <w:sz w:val="18"/>
              </w:rPr>
            </w:pPr>
            <w:r>
              <w:rPr>
                <w:rFonts w:ascii="Calibri" w:hAnsi="Calibri"/>
                <w:sz w:val="18"/>
              </w:rPr>
              <w:t>£20,883 per year</w:t>
            </w:r>
          </w:p>
        </w:tc>
        <w:tc>
          <w:tcPr>
            <w:tcW w:w="6229" w:type="dxa"/>
          </w:tcPr>
          <w:p w:rsidR="006A18FD" w:rsidRDefault="002D29FC">
            <w:pPr>
              <w:spacing w:before="1" w:line="219" w:lineRule="exact"/>
              <w:ind w:left="105"/>
              <w:rPr>
                <w:rFonts w:ascii="Calibri" w:hAnsi="Calibri"/>
                <w:sz w:val="18"/>
              </w:rPr>
            </w:pPr>
            <w:r>
              <w:rPr>
                <w:rFonts w:ascii="Calibri" w:hAnsi="Calibri"/>
                <w:sz w:val="18"/>
              </w:rPr>
              <w:t>This includes an amount of £2,984 per head for equipment and buildings owned</w:t>
            </w:r>
          </w:p>
          <w:p w:rsidR="006A18FD" w:rsidRDefault="002D29FC">
            <w:pPr>
              <w:spacing w:line="199" w:lineRule="exact"/>
              <w:ind w:left="105"/>
              <w:rPr>
                <w:rFonts w:ascii="Calibri" w:hAnsi="Calibri"/>
                <w:sz w:val="18"/>
              </w:rPr>
            </w:pPr>
            <w:r>
              <w:rPr>
                <w:rFonts w:ascii="Calibri" w:hAnsi="Calibri"/>
                <w:sz w:val="18"/>
              </w:rPr>
              <w:t>by the national children’s charity.</w:t>
            </w:r>
          </w:p>
        </w:tc>
      </w:tr>
      <w:tr w:rsidR="006A18FD">
        <w:trPr>
          <w:trHeight w:val="440"/>
        </w:trPr>
        <w:tc>
          <w:tcPr>
            <w:tcW w:w="2343" w:type="dxa"/>
          </w:tcPr>
          <w:p w:rsidR="006A18FD" w:rsidRDefault="002D29FC">
            <w:pPr>
              <w:spacing w:before="1"/>
              <w:ind w:left="105"/>
              <w:rPr>
                <w:rFonts w:ascii="Calibri"/>
                <w:sz w:val="18"/>
              </w:rPr>
            </w:pPr>
            <w:r>
              <w:rPr>
                <w:rFonts w:ascii="Calibri"/>
                <w:sz w:val="18"/>
              </w:rPr>
              <w:t>G. Travel</w:t>
            </w:r>
          </w:p>
        </w:tc>
        <w:tc>
          <w:tcPr>
            <w:tcW w:w="1462" w:type="dxa"/>
          </w:tcPr>
          <w:p w:rsidR="006A18FD" w:rsidRDefault="002D29FC">
            <w:pPr>
              <w:spacing w:before="1"/>
              <w:ind w:left="143"/>
              <w:rPr>
                <w:rFonts w:ascii="Calibri" w:hAnsi="Calibri"/>
                <w:sz w:val="18"/>
              </w:rPr>
            </w:pPr>
            <w:r>
              <w:rPr>
                <w:rFonts w:ascii="Calibri" w:hAnsi="Calibri"/>
                <w:sz w:val="18"/>
              </w:rPr>
              <w:t>£5,279 per year</w:t>
            </w:r>
          </w:p>
        </w:tc>
        <w:tc>
          <w:tcPr>
            <w:tcW w:w="6229" w:type="dxa"/>
          </w:tcPr>
          <w:p w:rsidR="006A18FD" w:rsidRDefault="002D29FC">
            <w:pPr>
              <w:spacing w:before="1"/>
              <w:ind w:left="105"/>
              <w:rPr>
                <w:rFonts w:ascii="Calibri" w:hAnsi="Calibri"/>
                <w:sz w:val="18"/>
              </w:rPr>
            </w:pPr>
            <w:r>
              <w:rPr>
                <w:rFonts w:ascii="Calibri" w:hAnsi="Calibri"/>
                <w:sz w:val="18"/>
              </w:rPr>
              <w:t>This is as per budget for a ‘typical’ advocacy service.</w:t>
            </w:r>
          </w:p>
        </w:tc>
      </w:tr>
      <w:tr w:rsidR="006A18FD">
        <w:trPr>
          <w:trHeight w:val="860"/>
        </w:trPr>
        <w:tc>
          <w:tcPr>
            <w:tcW w:w="2343" w:type="dxa"/>
          </w:tcPr>
          <w:p w:rsidR="006A18FD" w:rsidRDefault="002D29FC">
            <w:pPr>
              <w:spacing w:line="219" w:lineRule="exact"/>
              <w:ind w:left="105"/>
              <w:rPr>
                <w:rFonts w:ascii="Calibri"/>
                <w:sz w:val="18"/>
              </w:rPr>
            </w:pPr>
            <w:r>
              <w:rPr>
                <w:rFonts w:ascii="Calibri"/>
                <w:sz w:val="18"/>
              </w:rPr>
              <w:t>Working time</w:t>
            </w:r>
          </w:p>
        </w:tc>
        <w:tc>
          <w:tcPr>
            <w:tcW w:w="1462" w:type="dxa"/>
          </w:tcPr>
          <w:p w:rsidR="006A18FD" w:rsidRDefault="002D29FC">
            <w:pPr>
              <w:ind w:left="102" w:right="359"/>
              <w:rPr>
                <w:rFonts w:ascii="Calibri"/>
                <w:sz w:val="18"/>
              </w:rPr>
            </w:pPr>
            <w:r>
              <w:rPr>
                <w:rFonts w:ascii="Calibri"/>
                <w:sz w:val="18"/>
              </w:rPr>
              <w:t>41 weeks per year</w:t>
            </w:r>
          </w:p>
          <w:p w:rsidR="006A18FD" w:rsidRDefault="002D29FC">
            <w:pPr>
              <w:spacing w:before="1" w:line="218" w:lineRule="exact"/>
              <w:ind w:left="102"/>
              <w:rPr>
                <w:rFonts w:ascii="Calibri"/>
                <w:sz w:val="18"/>
              </w:rPr>
            </w:pPr>
            <w:r>
              <w:rPr>
                <w:rFonts w:ascii="Calibri"/>
                <w:sz w:val="18"/>
              </w:rPr>
              <w:t>37.5 hours per</w:t>
            </w:r>
          </w:p>
          <w:p w:rsidR="006A18FD" w:rsidRDefault="002D29FC">
            <w:pPr>
              <w:spacing w:before="1" w:line="199" w:lineRule="exact"/>
              <w:ind w:left="102"/>
              <w:rPr>
                <w:rFonts w:ascii="Calibri"/>
                <w:sz w:val="18"/>
              </w:rPr>
            </w:pPr>
            <w:r>
              <w:rPr>
                <w:rFonts w:ascii="Calibri"/>
                <w:sz w:val="18"/>
              </w:rPr>
              <w:t>week</w:t>
            </w:r>
          </w:p>
        </w:tc>
        <w:tc>
          <w:tcPr>
            <w:tcW w:w="6229" w:type="dxa"/>
          </w:tcPr>
          <w:p w:rsidR="006A18FD" w:rsidRDefault="002D29FC">
            <w:pPr>
              <w:spacing w:line="219" w:lineRule="exact"/>
              <w:ind w:left="105"/>
              <w:rPr>
                <w:rFonts w:ascii="Calibri"/>
                <w:sz w:val="18"/>
              </w:rPr>
            </w:pPr>
            <w:r>
              <w:rPr>
                <w:rFonts w:ascii="Calibri"/>
                <w:sz w:val="18"/>
              </w:rPr>
              <w:t>Unit costs are based on 5043 working hours.</w:t>
            </w:r>
          </w:p>
        </w:tc>
      </w:tr>
      <w:tr w:rsidR="006A18FD">
        <w:trPr>
          <w:trHeight w:val="420"/>
        </w:trPr>
        <w:tc>
          <w:tcPr>
            <w:tcW w:w="2343" w:type="dxa"/>
          </w:tcPr>
          <w:p w:rsidR="006A18FD" w:rsidRDefault="002D29FC">
            <w:pPr>
              <w:spacing w:before="1" w:line="219" w:lineRule="exact"/>
              <w:ind w:left="105"/>
              <w:rPr>
                <w:rFonts w:ascii="Calibri"/>
                <w:sz w:val="18"/>
              </w:rPr>
            </w:pPr>
            <w:r>
              <w:rPr>
                <w:rFonts w:ascii="Calibri"/>
                <w:sz w:val="18"/>
              </w:rPr>
              <w:t>Ratio of direct to indirect</w:t>
            </w:r>
          </w:p>
          <w:p w:rsidR="006A18FD" w:rsidRDefault="002D29FC">
            <w:pPr>
              <w:spacing w:line="199" w:lineRule="exact"/>
              <w:ind w:left="105"/>
              <w:rPr>
                <w:rFonts w:ascii="Calibri"/>
                <w:sz w:val="18"/>
              </w:rPr>
            </w:pPr>
            <w:r>
              <w:rPr>
                <w:rFonts w:ascii="Calibri"/>
                <w:sz w:val="18"/>
              </w:rPr>
              <w:t>time on client-related work</w:t>
            </w:r>
          </w:p>
        </w:tc>
        <w:tc>
          <w:tcPr>
            <w:tcW w:w="1462" w:type="dxa"/>
          </w:tcPr>
          <w:p w:rsidR="006A18FD" w:rsidRDefault="002D29FC">
            <w:pPr>
              <w:spacing w:before="1"/>
              <w:ind w:left="102"/>
              <w:rPr>
                <w:rFonts w:ascii="Calibri"/>
                <w:sz w:val="18"/>
              </w:rPr>
            </w:pPr>
            <w:r>
              <w:rPr>
                <w:rFonts w:ascii="Calibri"/>
                <w:sz w:val="18"/>
              </w:rPr>
              <w:t>1:0.94</w:t>
            </w:r>
          </w:p>
        </w:tc>
        <w:tc>
          <w:tcPr>
            <w:tcW w:w="6229" w:type="dxa"/>
          </w:tcPr>
          <w:p w:rsidR="006A18FD" w:rsidRDefault="002D29FC">
            <w:pPr>
              <w:spacing w:before="1"/>
              <w:ind w:left="105"/>
              <w:rPr>
                <w:rFonts w:ascii="Calibri"/>
                <w:sz w:val="18"/>
              </w:rPr>
            </w:pPr>
            <w:r>
              <w:rPr>
                <w:rFonts w:ascii="Calibri"/>
                <w:sz w:val="18"/>
              </w:rPr>
              <w:t>2600 hours of client related time is assumed each year.</w:t>
            </w:r>
          </w:p>
        </w:tc>
      </w:tr>
      <w:tr w:rsidR="006A18FD">
        <w:trPr>
          <w:trHeight w:val="220"/>
        </w:trPr>
        <w:tc>
          <w:tcPr>
            <w:tcW w:w="2343" w:type="dxa"/>
          </w:tcPr>
          <w:p w:rsidR="006A18FD" w:rsidRDefault="002D29FC">
            <w:pPr>
              <w:spacing w:before="1" w:line="199" w:lineRule="exact"/>
              <w:ind w:left="105"/>
              <w:rPr>
                <w:rFonts w:ascii="Calibri"/>
                <w:sz w:val="18"/>
              </w:rPr>
            </w:pPr>
            <w:r>
              <w:rPr>
                <w:rFonts w:ascii="Calibri"/>
                <w:sz w:val="18"/>
              </w:rPr>
              <w:t>Caseload</w:t>
            </w:r>
          </w:p>
        </w:tc>
        <w:tc>
          <w:tcPr>
            <w:tcW w:w="1462" w:type="dxa"/>
          </w:tcPr>
          <w:p w:rsidR="006A18FD" w:rsidRDefault="002D29FC">
            <w:pPr>
              <w:spacing w:before="1" w:line="199" w:lineRule="exact"/>
              <w:ind w:left="102"/>
              <w:rPr>
                <w:rFonts w:ascii="Calibri"/>
                <w:sz w:val="18"/>
              </w:rPr>
            </w:pPr>
            <w:r>
              <w:rPr>
                <w:rFonts w:ascii="Calibri"/>
                <w:sz w:val="18"/>
              </w:rPr>
              <w:t>20</w:t>
            </w:r>
          </w:p>
        </w:tc>
        <w:tc>
          <w:tcPr>
            <w:tcW w:w="6229" w:type="dxa"/>
          </w:tcPr>
          <w:p w:rsidR="006A18FD" w:rsidRDefault="002D29FC">
            <w:pPr>
              <w:spacing w:before="1" w:line="199" w:lineRule="exact"/>
              <w:ind w:left="105"/>
              <w:rPr>
                <w:rFonts w:ascii="Calibri"/>
                <w:sz w:val="18"/>
              </w:rPr>
            </w:pPr>
            <w:r>
              <w:rPr>
                <w:rFonts w:ascii="Calibri"/>
                <w:sz w:val="18"/>
              </w:rPr>
              <w:t>20 young people per 1 FTE advocate.</w:t>
            </w:r>
          </w:p>
        </w:tc>
      </w:tr>
      <w:tr w:rsidR="006A18FD">
        <w:trPr>
          <w:trHeight w:val="420"/>
        </w:trPr>
        <w:tc>
          <w:tcPr>
            <w:tcW w:w="2343" w:type="dxa"/>
          </w:tcPr>
          <w:p w:rsidR="006A18FD" w:rsidRDefault="002D29FC">
            <w:pPr>
              <w:spacing w:before="1"/>
              <w:ind w:left="105"/>
              <w:rPr>
                <w:rFonts w:ascii="Calibri"/>
                <w:sz w:val="18"/>
              </w:rPr>
            </w:pPr>
            <w:r>
              <w:rPr>
                <w:rFonts w:ascii="Calibri"/>
                <w:sz w:val="18"/>
              </w:rPr>
              <w:t>Time per case</w:t>
            </w:r>
          </w:p>
        </w:tc>
        <w:tc>
          <w:tcPr>
            <w:tcW w:w="1462" w:type="dxa"/>
          </w:tcPr>
          <w:p w:rsidR="006A18FD" w:rsidRDefault="002D29FC">
            <w:pPr>
              <w:spacing w:before="1"/>
              <w:ind w:left="102"/>
              <w:rPr>
                <w:rFonts w:ascii="Calibri"/>
                <w:sz w:val="18"/>
              </w:rPr>
            </w:pPr>
            <w:r>
              <w:rPr>
                <w:rFonts w:ascii="Calibri"/>
                <w:sz w:val="18"/>
              </w:rPr>
              <w:t>10 hours</w:t>
            </w:r>
          </w:p>
        </w:tc>
        <w:tc>
          <w:tcPr>
            <w:tcW w:w="6229" w:type="dxa"/>
          </w:tcPr>
          <w:p w:rsidR="006A18FD" w:rsidRDefault="002D29FC">
            <w:pPr>
              <w:spacing w:before="1" w:line="219" w:lineRule="exact"/>
              <w:ind w:left="105"/>
              <w:rPr>
                <w:rFonts w:ascii="Calibri"/>
                <w:sz w:val="18"/>
              </w:rPr>
            </w:pPr>
            <w:r>
              <w:rPr>
                <w:rFonts w:ascii="Calibri"/>
                <w:sz w:val="18"/>
              </w:rPr>
              <w:t>On average, advocates spend 10 hours per case: 85 per cent of cases require 10</w:t>
            </w:r>
          </w:p>
          <w:p w:rsidR="006A18FD" w:rsidRDefault="002D29FC">
            <w:pPr>
              <w:spacing w:line="199" w:lineRule="exact"/>
              <w:ind w:left="105"/>
              <w:rPr>
                <w:rFonts w:ascii="Calibri"/>
                <w:sz w:val="18"/>
              </w:rPr>
            </w:pPr>
            <w:r>
              <w:rPr>
                <w:rFonts w:ascii="Calibri"/>
                <w:sz w:val="18"/>
              </w:rPr>
              <w:t>hours or less face-to-face time.</w:t>
            </w:r>
          </w:p>
        </w:tc>
      </w:tr>
      <w:tr w:rsidR="006A18FD">
        <w:trPr>
          <w:trHeight w:val="340"/>
        </w:trPr>
        <w:tc>
          <w:tcPr>
            <w:tcW w:w="10034" w:type="dxa"/>
            <w:gridSpan w:val="3"/>
          </w:tcPr>
          <w:p w:rsidR="006A18FD" w:rsidRDefault="002D29FC">
            <w:pPr>
              <w:spacing w:before="2"/>
              <w:ind w:left="105"/>
              <w:rPr>
                <w:rFonts w:ascii="Calibri"/>
                <w:b/>
                <w:sz w:val="18"/>
              </w:rPr>
            </w:pPr>
            <w:r>
              <w:rPr>
                <w:rFonts w:ascii="Calibri"/>
                <w:b/>
                <w:sz w:val="18"/>
              </w:rPr>
              <w:t>Unit costs available 2018/2019</w:t>
            </w:r>
          </w:p>
        </w:tc>
      </w:tr>
      <w:tr w:rsidR="006A18FD">
        <w:trPr>
          <w:trHeight w:val="220"/>
        </w:trPr>
        <w:tc>
          <w:tcPr>
            <w:tcW w:w="10034" w:type="dxa"/>
            <w:gridSpan w:val="3"/>
          </w:tcPr>
          <w:p w:rsidR="006A18FD" w:rsidRDefault="002D29FC">
            <w:pPr>
              <w:spacing w:before="1" w:line="199" w:lineRule="exact"/>
              <w:ind w:left="105"/>
              <w:rPr>
                <w:rFonts w:ascii="Calibri" w:hAnsi="Calibri"/>
                <w:sz w:val="18"/>
              </w:rPr>
            </w:pPr>
            <w:r>
              <w:rPr>
                <w:rFonts w:ascii="Calibri" w:hAnsi="Calibri"/>
                <w:sz w:val="18"/>
              </w:rPr>
              <w:t>Average cost per working hour £40, average cost per client-related hour £77. Average cost per advocacy intervention £767.</w:t>
            </w:r>
          </w:p>
        </w:tc>
      </w:tr>
    </w:tbl>
    <w:p w:rsidR="006A18FD" w:rsidRDefault="002D29FC">
      <w:pPr>
        <w:spacing w:before="119"/>
        <w:ind w:left="152"/>
        <w:rPr>
          <w:rFonts w:ascii="Calibri"/>
          <w:sz w:val="18"/>
        </w:rPr>
      </w:pPr>
      <w:r>
        <w:rPr>
          <w:rFonts w:ascii="Calibri"/>
          <w:sz w:val="18"/>
        </w:rPr>
        <w:t>* as estimated by the provider organisation</w:t>
      </w:r>
    </w:p>
    <w:p w:rsidR="006A18FD" w:rsidRDefault="006A18FD">
      <w:pPr>
        <w:rPr>
          <w:rFonts w:ascii="Calibri"/>
          <w:sz w:val="18"/>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8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84" name="Line 14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571DC8" id="Group 14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DWXk9n4CAACBBQAA&#10;DgAAAAAAAAAAAAAAAAAuAgAAZHJzL2Uyb0RvYy54bWxQSwECLQAUAAYACAAAACEALXfkXNoAAAAE&#10;AQAADwAAAAAAAAAAAAAAAADYBAAAZHJzL2Rvd25yZXYueG1sUEsFBgAAAAAEAAQA8wAAAN8FAAAA&#10;AA==&#10;">
                <v:line id="Line 14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w10:anchorlock/>
              </v:group>
            </w:pict>
          </mc:Fallback>
        </mc:AlternateContent>
      </w:r>
    </w:p>
    <w:p w:rsidR="006A18FD" w:rsidRDefault="00E06635" w:rsidP="00E06635">
      <w:pPr>
        <w:pStyle w:val="Heading2"/>
      </w:pPr>
      <w:r>
        <w:t xml:space="preserve">6.10 </w:t>
      </w:r>
      <w:r w:rsidR="002D29FC">
        <w:t>Counselling for children with mental or emotional</w:t>
      </w:r>
      <w:r w:rsidR="002D29FC">
        <w:rPr>
          <w:spacing w:val="-29"/>
        </w:rPr>
        <w:t xml:space="preserve"> </w:t>
      </w:r>
      <w:r w:rsidR="002D29FC">
        <w:t>difficulties</w:t>
      </w:r>
    </w:p>
    <w:p w:rsidR="006A18FD" w:rsidRDefault="002D29FC">
      <w:pPr>
        <w:spacing w:before="170" w:line="276" w:lineRule="auto"/>
        <w:ind w:left="140" w:right="373"/>
        <w:rPr>
          <w:rFonts w:ascii="Calibri" w:hAnsi="Calibri"/>
          <w:sz w:val="18"/>
        </w:rPr>
      </w:pPr>
      <w:r>
        <w:rPr>
          <w:rFonts w:ascii="Calibri" w:hAnsi="Calibri"/>
          <w:sz w:val="18"/>
        </w:rPr>
        <w:t>Counselling falls under the umbrella term ‘talking therapies’ and allows people to discuss their problems and any difficult feelings they encounter in a safe, confidential environment (</w:t>
      </w:r>
      <w:hyperlink r:id="rId241">
        <w:r>
          <w:rPr>
            <w:rFonts w:ascii="Calibri" w:hAnsi="Calibri"/>
            <w:sz w:val="18"/>
            <w:u w:val="single"/>
          </w:rPr>
          <w:t>https://www.counselling-directory.org.uk/what-is-counselling.html</w:t>
        </w:r>
        <w:r>
          <w:rPr>
            <w:rFonts w:ascii="Calibri" w:hAnsi="Calibri"/>
            <w:sz w:val="18"/>
          </w:rPr>
          <w:t>)</w:t>
        </w:r>
      </w:hyperlink>
      <w:r>
        <w:rPr>
          <w:rFonts w:ascii="Calibri" w:hAnsi="Calibri"/>
          <w:sz w:val="18"/>
        </w:rPr>
        <w:t>. Counselling for</w:t>
      </w:r>
    </w:p>
    <w:p w:rsidR="006A18FD" w:rsidRDefault="002D29FC">
      <w:pPr>
        <w:spacing w:before="1" w:line="276" w:lineRule="auto"/>
        <w:ind w:left="140" w:right="333"/>
        <w:rPr>
          <w:rFonts w:ascii="Calibri" w:hAnsi="Calibri"/>
          <w:sz w:val="18"/>
        </w:rPr>
      </w:pPr>
      <w:r>
        <w:rPr>
          <w:rFonts w:ascii="Calibri" w:hAnsi="Calibri"/>
          <w:sz w:val="18"/>
        </w:rPr>
        <w:t>young people may be provided at the young person’s home, in schools, GP surgeries or other external settings when these are agreed and risk assessed. Although counselling is usually delivered by PW11 and PW111 Counsellors and Psychotherapists, some are delivered by trained volunteers or by more specialised staff when particularly vulnerable groups such as refugees or victims of sexual exploitation/abuse are involved (usually on a sessional basis).</w:t>
      </w:r>
    </w:p>
    <w:p w:rsidR="006A18FD" w:rsidRDefault="002D29FC">
      <w:pPr>
        <w:spacing w:before="118" w:line="276" w:lineRule="auto"/>
        <w:ind w:left="140" w:right="263"/>
        <w:rPr>
          <w:rFonts w:ascii="Calibri" w:hAnsi="Calibri"/>
          <w:sz w:val="18"/>
        </w:rPr>
      </w:pPr>
      <w:r>
        <w:rPr>
          <w:rFonts w:ascii="Calibri" w:hAnsi="Calibri"/>
          <w:sz w:val="18"/>
        </w:rPr>
        <w:t>The information for this schema was provided by a national children’s charity and the costs estimated represent a ‘typical’ service for young people who are identified as having a vulnerability relevant to strategic priorities and assessed as having a mental or emotional health difficulty that could benefit from a counselling intervention. There is significant variability between service models dependent on client and commissioner needs. All costs have been uprated from 2016/2017 to 2018/2019 levels using the PSS inflators.</w:t>
      </w:r>
    </w:p>
    <w:p w:rsidR="006A18FD" w:rsidRDefault="006A18FD">
      <w:pPr>
        <w:spacing w:before="9" w:after="1"/>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1472"/>
        <w:gridCol w:w="6337"/>
      </w:tblGrid>
      <w:tr w:rsidR="006A18FD" w:rsidTr="005B5AB5">
        <w:trPr>
          <w:trHeight w:val="200"/>
          <w:tblHeader/>
        </w:trPr>
        <w:tc>
          <w:tcPr>
            <w:tcW w:w="2225" w:type="dxa"/>
          </w:tcPr>
          <w:p w:rsidR="006A18FD" w:rsidRDefault="002D29FC">
            <w:pPr>
              <w:spacing w:line="188" w:lineRule="exact"/>
              <w:ind w:left="143"/>
              <w:rPr>
                <w:rFonts w:ascii="Calibri"/>
                <w:b/>
                <w:sz w:val="17"/>
              </w:rPr>
            </w:pPr>
            <w:r>
              <w:rPr>
                <w:rFonts w:ascii="Calibri"/>
                <w:b/>
                <w:sz w:val="17"/>
              </w:rPr>
              <w:t>Costs and unit estimation</w:t>
            </w:r>
          </w:p>
        </w:tc>
        <w:tc>
          <w:tcPr>
            <w:tcW w:w="1472" w:type="dxa"/>
          </w:tcPr>
          <w:p w:rsidR="006A18FD" w:rsidRDefault="002D29FC">
            <w:pPr>
              <w:spacing w:line="188" w:lineRule="exact"/>
              <w:ind w:left="103"/>
              <w:rPr>
                <w:rFonts w:ascii="Calibri"/>
                <w:b/>
                <w:sz w:val="17"/>
              </w:rPr>
            </w:pPr>
            <w:r>
              <w:rPr>
                <w:rFonts w:ascii="Calibri"/>
                <w:b/>
                <w:sz w:val="17"/>
              </w:rPr>
              <w:t>2018/2019 value</w:t>
            </w:r>
          </w:p>
        </w:tc>
        <w:tc>
          <w:tcPr>
            <w:tcW w:w="6337" w:type="dxa"/>
          </w:tcPr>
          <w:p w:rsidR="006A18FD" w:rsidRDefault="002D29FC">
            <w:pPr>
              <w:spacing w:line="188" w:lineRule="exact"/>
              <w:ind w:left="103"/>
              <w:rPr>
                <w:rFonts w:ascii="Calibri"/>
                <w:b/>
                <w:sz w:val="17"/>
              </w:rPr>
            </w:pPr>
            <w:r>
              <w:rPr>
                <w:rFonts w:ascii="Calibri"/>
                <w:b/>
                <w:sz w:val="17"/>
              </w:rPr>
              <w:t>Notes (for further clarification see Commentary)</w:t>
            </w:r>
          </w:p>
        </w:tc>
      </w:tr>
      <w:tr w:rsidR="006A18FD">
        <w:trPr>
          <w:trHeight w:val="620"/>
        </w:trPr>
        <w:tc>
          <w:tcPr>
            <w:tcW w:w="2225" w:type="dxa"/>
          </w:tcPr>
          <w:p w:rsidR="006A18FD" w:rsidRDefault="002D29FC">
            <w:pPr>
              <w:spacing w:line="206" w:lineRule="exact"/>
              <w:ind w:left="103"/>
              <w:rPr>
                <w:rFonts w:ascii="Calibri"/>
                <w:sz w:val="17"/>
              </w:rPr>
            </w:pPr>
            <w:r>
              <w:rPr>
                <w:rFonts w:ascii="Calibri"/>
                <w:sz w:val="17"/>
              </w:rPr>
              <w:t>A.Wages/salary</w:t>
            </w:r>
          </w:p>
        </w:tc>
        <w:tc>
          <w:tcPr>
            <w:tcW w:w="1472" w:type="dxa"/>
          </w:tcPr>
          <w:p w:rsidR="006A18FD" w:rsidRDefault="002D29FC">
            <w:pPr>
              <w:spacing w:line="206" w:lineRule="exact"/>
              <w:ind w:left="103"/>
              <w:rPr>
                <w:rFonts w:ascii="Calibri" w:hAnsi="Calibri"/>
                <w:sz w:val="17"/>
              </w:rPr>
            </w:pPr>
            <w:r>
              <w:rPr>
                <w:rFonts w:ascii="Calibri" w:hAnsi="Calibri"/>
                <w:sz w:val="17"/>
              </w:rPr>
              <w:t>£62,818 per year</w:t>
            </w:r>
          </w:p>
        </w:tc>
        <w:tc>
          <w:tcPr>
            <w:tcW w:w="6337" w:type="dxa"/>
          </w:tcPr>
          <w:p w:rsidR="006A18FD" w:rsidRDefault="002D29FC">
            <w:pPr>
              <w:ind w:left="103"/>
              <w:rPr>
                <w:rFonts w:ascii="Calibri" w:hAnsi="Calibri"/>
                <w:sz w:val="17"/>
              </w:rPr>
            </w:pPr>
            <w:r>
              <w:rPr>
                <w:rFonts w:ascii="Calibri" w:hAnsi="Calibri"/>
                <w:sz w:val="17"/>
              </w:rPr>
              <w:t>Salary provided by the national children’s charity for a counselling service. Includes a service co-ordinator (PW111) with some client-facing time, a project worker, and</w:t>
            </w:r>
          </w:p>
          <w:p w:rsidR="006A18FD" w:rsidRDefault="002D29FC">
            <w:pPr>
              <w:spacing w:before="3" w:line="187" w:lineRule="exact"/>
              <w:ind w:left="103"/>
              <w:rPr>
                <w:rFonts w:ascii="Calibri"/>
                <w:sz w:val="17"/>
              </w:rPr>
            </w:pPr>
            <w:r>
              <w:rPr>
                <w:rFonts w:ascii="Calibri"/>
                <w:sz w:val="17"/>
              </w:rPr>
              <w:t>sessional or volunteer staff to deliver required volumes as flexibly as possible.</w:t>
            </w:r>
          </w:p>
        </w:tc>
      </w:tr>
      <w:tr w:rsidR="006A18FD">
        <w:trPr>
          <w:trHeight w:val="400"/>
        </w:trPr>
        <w:tc>
          <w:tcPr>
            <w:tcW w:w="2225" w:type="dxa"/>
          </w:tcPr>
          <w:p w:rsidR="006A18FD" w:rsidRDefault="002D29FC">
            <w:pPr>
              <w:spacing w:line="206" w:lineRule="exact"/>
              <w:ind w:left="103"/>
              <w:rPr>
                <w:rFonts w:ascii="Calibri"/>
                <w:sz w:val="17"/>
              </w:rPr>
            </w:pPr>
            <w:r>
              <w:rPr>
                <w:rFonts w:ascii="Calibri"/>
                <w:sz w:val="17"/>
              </w:rPr>
              <w:t>B. Salary oncosts</w:t>
            </w:r>
          </w:p>
        </w:tc>
        <w:tc>
          <w:tcPr>
            <w:tcW w:w="1472" w:type="dxa"/>
          </w:tcPr>
          <w:p w:rsidR="006A18FD" w:rsidRDefault="002D29FC">
            <w:pPr>
              <w:spacing w:line="206" w:lineRule="exact"/>
              <w:ind w:left="103"/>
              <w:rPr>
                <w:rFonts w:ascii="Calibri" w:hAnsi="Calibri"/>
                <w:sz w:val="17"/>
              </w:rPr>
            </w:pPr>
            <w:r>
              <w:rPr>
                <w:rFonts w:ascii="Calibri" w:hAnsi="Calibri"/>
                <w:sz w:val="17"/>
              </w:rPr>
              <w:t>£14,263 per year</w:t>
            </w:r>
          </w:p>
        </w:tc>
        <w:tc>
          <w:tcPr>
            <w:tcW w:w="6337" w:type="dxa"/>
          </w:tcPr>
          <w:p w:rsidR="006A18FD" w:rsidRDefault="002D29FC">
            <w:pPr>
              <w:spacing w:line="206" w:lineRule="exact"/>
              <w:ind w:left="103"/>
              <w:rPr>
                <w:rFonts w:ascii="Calibri" w:hAnsi="Calibri"/>
                <w:sz w:val="17"/>
              </w:rPr>
            </w:pPr>
            <w:r>
              <w:rPr>
                <w:rFonts w:ascii="Calibri" w:hAnsi="Calibri"/>
                <w:sz w:val="17"/>
              </w:rPr>
              <w:t>Employer’s national insurance is included plus 13.75 per cent of salary for employer’s</w:t>
            </w:r>
          </w:p>
          <w:p w:rsidR="006A18FD" w:rsidRDefault="002D29FC">
            <w:pPr>
              <w:spacing w:before="1" w:line="187" w:lineRule="exact"/>
              <w:ind w:left="103"/>
              <w:rPr>
                <w:rFonts w:ascii="Calibri"/>
                <w:sz w:val="17"/>
              </w:rPr>
            </w:pPr>
            <w:r>
              <w:rPr>
                <w:rFonts w:ascii="Calibri"/>
                <w:sz w:val="17"/>
              </w:rPr>
              <w:t>contribution to superannuation.</w:t>
            </w:r>
          </w:p>
        </w:tc>
      </w:tr>
      <w:tr w:rsidR="006A18FD">
        <w:trPr>
          <w:trHeight w:val="1660"/>
        </w:trPr>
        <w:tc>
          <w:tcPr>
            <w:tcW w:w="2225" w:type="dxa"/>
          </w:tcPr>
          <w:p w:rsidR="006A18FD" w:rsidRDefault="002D29FC">
            <w:pPr>
              <w:ind w:left="103" w:right="84"/>
              <w:rPr>
                <w:rFonts w:ascii="Calibri"/>
                <w:sz w:val="17"/>
              </w:rPr>
            </w:pPr>
            <w:r>
              <w:rPr>
                <w:rFonts w:ascii="Calibri"/>
                <w:sz w:val="17"/>
              </w:rPr>
              <w:t>C. Overheads* Management/administration</w:t>
            </w:r>
          </w:p>
          <w:p w:rsidR="006A18FD" w:rsidRDefault="002D29FC">
            <w:pPr>
              <w:spacing w:before="78" w:line="624" w:lineRule="exact"/>
              <w:ind w:left="103" w:right="799"/>
              <w:rPr>
                <w:rFonts w:ascii="Calibri"/>
                <w:sz w:val="17"/>
              </w:rPr>
            </w:pPr>
            <w:r>
              <w:rPr>
                <w:rFonts w:ascii="Calibri"/>
                <w:sz w:val="17"/>
              </w:rPr>
              <w:t>Direct overheads Indirect overheads</w:t>
            </w:r>
          </w:p>
        </w:tc>
        <w:tc>
          <w:tcPr>
            <w:tcW w:w="1472" w:type="dxa"/>
          </w:tcPr>
          <w:p w:rsidR="006A18FD" w:rsidRDefault="006A18FD">
            <w:pPr>
              <w:rPr>
                <w:rFonts w:ascii="Calibri"/>
                <w:sz w:val="17"/>
              </w:rPr>
            </w:pPr>
          </w:p>
          <w:p w:rsidR="006A18FD" w:rsidRDefault="002D29FC">
            <w:pPr>
              <w:ind w:left="103"/>
              <w:rPr>
                <w:rFonts w:ascii="Calibri" w:hAnsi="Calibri"/>
                <w:sz w:val="17"/>
              </w:rPr>
            </w:pPr>
            <w:r>
              <w:rPr>
                <w:rFonts w:ascii="Calibri" w:hAnsi="Calibri"/>
                <w:sz w:val="17"/>
              </w:rPr>
              <w:t>£21,120 per year</w:t>
            </w:r>
          </w:p>
          <w:p w:rsidR="006A18FD" w:rsidRDefault="006A18FD">
            <w:pPr>
              <w:rPr>
                <w:rFonts w:ascii="Calibri"/>
                <w:sz w:val="16"/>
              </w:rPr>
            </w:pPr>
          </w:p>
          <w:p w:rsidR="006A18FD" w:rsidRDefault="006A18FD">
            <w:pPr>
              <w:spacing w:before="11"/>
              <w:rPr>
                <w:rFonts w:ascii="Calibri"/>
                <w:sz w:val="17"/>
              </w:rPr>
            </w:pPr>
          </w:p>
          <w:p w:rsidR="006A18FD" w:rsidRDefault="002D29FC">
            <w:pPr>
              <w:ind w:left="103"/>
              <w:rPr>
                <w:rFonts w:ascii="Calibri" w:hAnsi="Calibri"/>
                <w:sz w:val="17"/>
              </w:rPr>
            </w:pPr>
            <w:r>
              <w:rPr>
                <w:rFonts w:ascii="Calibri" w:hAnsi="Calibri"/>
                <w:sz w:val="17"/>
              </w:rPr>
              <w:t>£2,538 per year</w:t>
            </w:r>
          </w:p>
          <w:p w:rsidR="006A18FD" w:rsidRDefault="006A18FD">
            <w:pPr>
              <w:rPr>
                <w:rFonts w:ascii="Calibri"/>
                <w:sz w:val="16"/>
              </w:rPr>
            </w:pPr>
          </w:p>
          <w:p w:rsidR="006A18FD" w:rsidRDefault="006A18FD">
            <w:pPr>
              <w:spacing w:before="1"/>
              <w:rPr>
                <w:rFonts w:ascii="Calibri"/>
                <w:sz w:val="18"/>
              </w:rPr>
            </w:pPr>
          </w:p>
          <w:p w:rsidR="006A18FD" w:rsidRDefault="002D29FC">
            <w:pPr>
              <w:spacing w:line="187" w:lineRule="exact"/>
              <w:ind w:left="103"/>
              <w:rPr>
                <w:rFonts w:ascii="Calibri" w:hAnsi="Calibri"/>
                <w:sz w:val="17"/>
              </w:rPr>
            </w:pPr>
            <w:r>
              <w:rPr>
                <w:rFonts w:ascii="Calibri" w:hAnsi="Calibri"/>
                <w:sz w:val="17"/>
              </w:rPr>
              <w:t>£14,803 per year</w:t>
            </w:r>
          </w:p>
        </w:tc>
        <w:tc>
          <w:tcPr>
            <w:tcW w:w="6337" w:type="dxa"/>
          </w:tcPr>
          <w:p w:rsidR="006A18FD" w:rsidRDefault="006A18FD">
            <w:pPr>
              <w:rPr>
                <w:rFonts w:ascii="Calibri"/>
                <w:sz w:val="17"/>
              </w:rPr>
            </w:pPr>
          </w:p>
          <w:p w:rsidR="006A18FD" w:rsidRDefault="002D29FC">
            <w:pPr>
              <w:ind w:left="103" w:right="105"/>
              <w:rPr>
                <w:rFonts w:ascii="Calibri"/>
                <w:sz w:val="17"/>
              </w:rPr>
            </w:pPr>
            <w:r>
              <w:rPr>
                <w:rFonts w:ascii="Calibri"/>
                <w:sz w:val="17"/>
              </w:rPr>
              <w:t>This includes a services manager (PW111) (33% client-facing time) and an administrative assistant (12.5 hours per week).</w:t>
            </w:r>
          </w:p>
          <w:p w:rsidR="006A18FD" w:rsidRDefault="006A18FD">
            <w:pPr>
              <w:rPr>
                <w:rFonts w:ascii="Calibri"/>
                <w:sz w:val="17"/>
              </w:rPr>
            </w:pPr>
          </w:p>
          <w:p w:rsidR="006A18FD" w:rsidRDefault="002D29FC">
            <w:pPr>
              <w:ind w:left="103" w:right="1756"/>
              <w:rPr>
                <w:rFonts w:ascii="Calibri"/>
                <w:sz w:val="17"/>
              </w:rPr>
            </w:pPr>
            <w:r>
              <w:rPr>
                <w:rFonts w:ascii="Calibri"/>
                <w:sz w:val="17"/>
              </w:rPr>
              <w:t>This includes rent, utilities and venue hire specific to the service. Indirect overheads form 16 per cent of salary plus oncosts</w:t>
            </w:r>
            <w:r>
              <w:rPr>
                <w:rFonts w:ascii="Calibri"/>
                <w:color w:val="FF0000"/>
                <w:sz w:val="17"/>
              </w:rPr>
              <w:t>.</w:t>
            </w:r>
          </w:p>
          <w:p w:rsidR="006A18FD" w:rsidRDefault="006A18FD">
            <w:pPr>
              <w:rPr>
                <w:rFonts w:ascii="Calibri"/>
                <w:sz w:val="17"/>
              </w:rPr>
            </w:pPr>
          </w:p>
          <w:p w:rsidR="006A18FD" w:rsidRDefault="002D29FC">
            <w:pPr>
              <w:spacing w:line="187" w:lineRule="exact"/>
              <w:ind w:left="103"/>
              <w:rPr>
                <w:rFonts w:ascii="Calibri"/>
                <w:sz w:val="17"/>
              </w:rPr>
            </w:pPr>
            <w:r>
              <w:rPr>
                <w:rFonts w:ascii="Calibri"/>
                <w:sz w:val="17"/>
              </w:rPr>
              <w:t>This includes the finance, central management and human resources function.</w:t>
            </w:r>
          </w:p>
        </w:tc>
      </w:tr>
      <w:tr w:rsidR="006A18FD">
        <w:trPr>
          <w:trHeight w:val="121"/>
        </w:trPr>
        <w:tc>
          <w:tcPr>
            <w:tcW w:w="2225" w:type="dxa"/>
          </w:tcPr>
          <w:p w:rsidR="006A18FD" w:rsidRDefault="002D29FC">
            <w:pPr>
              <w:spacing w:line="109" w:lineRule="exact"/>
              <w:ind w:left="103"/>
              <w:rPr>
                <w:rFonts w:ascii="Calibri"/>
                <w:sz w:val="17"/>
              </w:rPr>
            </w:pPr>
            <w:r>
              <w:rPr>
                <w:rFonts w:ascii="Calibri"/>
                <w:sz w:val="17"/>
              </w:rPr>
              <w:t>D. Qualifications</w:t>
            </w:r>
          </w:p>
        </w:tc>
        <w:tc>
          <w:tcPr>
            <w:tcW w:w="1472" w:type="dxa"/>
          </w:tcPr>
          <w:p w:rsidR="006A18FD" w:rsidRDefault="002D29FC">
            <w:pPr>
              <w:spacing w:line="109" w:lineRule="exact"/>
              <w:ind w:left="103"/>
              <w:rPr>
                <w:rFonts w:ascii="Calibri"/>
                <w:sz w:val="17"/>
              </w:rPr>
            </w:pPr>
            <w:r>
              <w:rPr>
                <w:rFonts w:ascii="Calibri"/>
                <w:sz w:val="17"/>
              </w:rPr>
              <w:t>No costs available</w:t>
            </w:r>
          </w:p>
        </w:tc>
        <w:tc>
          <w:tcPr>
            <w:tcW w:w="6337" w:type="dxa"/>
          </w:tcPr>
          <w:p w:rsidR="006A18FD" w:rsidRDefault="006A18FD">
            <w:pPr>
              <w:rPr>
                <w:rFonts w:ascii="Times New Roman"/>
                <w:sz w:val="6"/>
              </w:rPr>
            </w:pPr>
          </w:p>
        </w:tc>
      </w:tr>
      <w:tr w:rsidR="006A18FD">
        <w:trPr>
          <w:trHeight w:val="620"/>
        </w:trPr>
        <w:tc>
          <w:tcPr>
            <w:tcW w:w="2225" w:type="dxa"/>
          </w:tcPr>
          <w:p w:rsidR="006A18FD" w:rsidRDefault="002D29FC">
            <w:pPr>
              <w:spacing w:line="206" w:lineRule="exact"/>
              <w:ind w:left="103"/>
              <w:rPr>
                <w:rFonts w:ascii="Calibri"/>
                <w:sz w:val="17"/>
              </w:rPr>
            </w:pPr>
            <w:r>
              <w:rPr>
                <w:rFonts w:ascii="Calibri"/>
                <w:sz w:val="17"/>
              </w:rPr>
              <w:t>E. Training</w:t>
            </w:r>
          </w:p>
        </w:tc>
        <w:tc>
          <w:tcPr>
            <w:tcW w:w="1472" w:type="dxa"/>
          </w:tcPr>
          <w:p w:rsidR="006A18FD" w:rsidRDefault="002D29FC">
            <w:pPr>
              <w:spacing w:line="206" w:lineRule="exact"/>
              <w:ind w:left="103"/>
              <w:rPr>
                <w:rFonts w:ascii="Calibri" w:hAnsi="Calibri"/>
                <w:sz w:val="17"/>
              </w:rPr>
            </w:pPr>
            <w:r>
              <w:rPr>
                <w:rFonts w:ascii="Calibri" w:hAnsi="Calibri"/>
                <w:sz w:val="17"/>
              </w:rPr>
              <w:t>£2,112</w:t>
            </w:r>
          </w:p>
          <w:p w:rsidR="006A18FD" w:rsidRDefault="002D29FC">
            <w:pPr>
              <w:spacing w:line="207" w:lineRule="exact"/>
              <w:ind w:left="141"/>
              <w:rPr>
                <w:rFonts w:ascii="Calibri"/>
                <w:sz w:val="17"/>
              </w:rPr>
            </w:pPr>
            <w:r>
              <w:rPr>
                <w:rFonts w:ascii="Calibri"/>
                <w:sz w:val="17"/>
              </w:rPr>
              <w:t>per year</w:t>
            </w:r>
          </w:p>
        </w:tc>
        <w:tc>
          <w:tcPr>
            <w:tcW w:w="6337" w:type="dxa"/>
          </w:tcPr>
          <w:p w:rsidR="006A18FD" w:rsidRDefault="002D29FC">
            <w:pPr>
              <w:ind w:left="103" w:right="158"/>
              <w:rPr>
                <w:rFonts w:ascii="Calibri" w:hAnsi="Calibri"/>
                <w:sz w:val="17"/>
              </w:rPr>
            </w:pPr>
            <w:r>
              <w:rPr>
                <w:rFonts w:ascii="Calibri" w:hAnsi="Calibri"/>
                <w:sz w:val="17"/>
              </w:rPr>
              <w:t>A standard allowance of £500 per head is provided for training. The majority of training is run in-house via e-learning portals that the national children’s charity have either</w:t>
            </w:r>
          </w:p>
          <w:p w:rsidR="006A18FD" w:rsidRDefault="002D29FC">
            <w:pPr>
              <w:spacing w:before="2" w:line="187" w:lineRule="exact"/>
              <w:ind w:left="103"/>
              <w:rPr>
                <w:rFonts w:ascii="Calibri"/>
                <w:sz w:val="17"/>
              </w:rPr>
            </w:pPr>
            <w:r>
              <w:rPr>
                <w:rFonts w:ascii="Calibri"/>
                <w:sz w:val="17"/>
              </w:rPr>
              <w:t>developed in-house or have available through partnerships with external suppliers.</w:t>
            </w:r>
          </w:p>
        </w:tc>
      </w:tr>
      <w:tr w:rsidR="006A18FD">
        <w:trPr>
          <w:trHeight w:val="400"/>
        </w:trPr>
        <w:tc>
          <w:tcPr>
            <w:tcW w:w="2225" w:type="dxa"/>
          </w:tcPr>
          <w:p w:rsidR="006A18FD" w:rsidRDefault="002D29FC">
            <w:pPr>
              <w:spacing w:before="1"/>
              <w:ind w:left="103"/>
              <w:rPr>
                <w:rFonts w:ascii="Calibri"/>
                <w:sz w:val="17"/>
              </w:rPr>
            </w:pPr>
            <w:r>
              <w:rPr>
                <w:rFonts w:ascii="Calibri"/>
                <w:sz w:val="17"/>
              </w:rPr>
              <w:t>F. Capital overheads</w:t>
            </w:r>
          </w:p>
        </w:tc>
        <w:tc>
          <w:tcPr>
            <w:tcW w:w="1472" w:type="dxa"/>
          </w:tcPr>
          <w:p w:rsidR="006A18FD" w:rsidRDefault="002D29FC">
            <w:pPr>
              <w:spacing w:before="1"/>
              <w:ind w:left="103"/>
              <w:rPr>
                <w:rFonts w:ascii="Calibri" w:hAnsi="Calibri"/>
                <w:sz w:val="17"/>
              </w:rPr>
            </w:pPr>
            <w:r>
              <w:rPr>
                <w:rFonts w:ascii="Calibri" w:hAnsi="Calibri"/>
                <w:sz w:val="17"/>
              </w:rPr>
              <w:t>£11,936 per year</w:t>
            </w:r>
          </w:p>
        </w:tc>
        <w:tc>
          <w:tcPr>
            <w:tcW w:w="6337" w:type="dxa"/>
          </w:tcPr>
          <w:p w:rsidR="006A18FD" w:rsidRDefault="002D29FC">
            <w:pPr>
              <w:spacing w:before="1" w:line="207" w:lineRule="exact"/>
              <w:ind w:left="103"/>
              <w:rPr>
                <w:rFonts w:ascii="Calibri" w:hAnsi="Calibri"/>
                <w:sz w:val="17"/>
              </w:rPr>
            </w:pPr>
            <w:r>
              <w:rPr>
                <w:rFonts w:ascii="Calibri" w:hAnsi="Calibri"/>
                <w:sz w:val="17"/>
              </w:rPr>
              <w:t>A flat amount per head of £2,617 has been applied per staff member for equipment and</w:t>
            </w:r>
          </w:p>
          <w:p w:rsidR="006A18FD" w:rsidRDefault="002D29FC">
            <w:pPr>
              <w:spacing w:line="187" w:lineRule="exact"/>
              <w:ind w:left="103"/>
              <w:rPr>
                <w:rFonts w:ascii="Calibri" w:hAnsi="Calibri"/>
                <w:sz w:val="17"/>
              </w:rPr>
            </w:pPr>
            <w:r>
              <w:rPr>
                <w:rFonts w:ascii="Calibri" w:hAnsi="Calibri"/>
                <w:sz w:val="17"/>
              </w:rPr>
              <w:t>buildings owned by the national children’s society.</w:t>
            </w:r>
          </w:p>
        </w:tc>
      </w:tr>
      <w:tr w:rsidR="006A18FD">
        <w:trPr>
          <w:trHeight w:val="400"/>
        </w:trPr>
        <w:tc>
          <w:tcPr>
            <w:tcW w:w="2225" w:type="dxa"/>
          </w:tcPr>
          <w:p w:rsidR="006A18FD" w:rsidRDefault="002D29FC">
            <w:pPr>
              <w:spacing w:before="1"/>
              <w:ind w:left="103"/>
              <w:rPr>
                <w:rFonts w:ascii="Calibri"/>
                <w:sz w:val="17"/>
              </w:rPr>
            </w:pPr>
            <w:r>
              <w:rPr>
                <w:rFonts w:ascii="Calibri"/>
                <w:sz w:val="17"/>
              </w:rPr>
              <w:t>G. Travel</w:t>
            </w:r>
          </w:p>
        </w:tc>
        <w:tc>
          <w:tcPr>
            <w:tcW w:w="1472" w:type="dxa"/>
          </w:tcPr>
          <w:p w:rsidR="006A18FD" w:rsidRDefault="002D29FC">
            <w:pPr>
              <w:spacing w:before="1"/>
              <w:ind w:left="141"/>
              <w:rPr>
                <w:rFonts w:ascii="Calibri" w:hAnsi="Calibri"/>
                <w:sz w:val="17"/>
              </w:rPr>
            </w:pPr>
            <w:r>
              <w:rPr>
                <w:rFonts w:ascii="Calibri" w:hAnsi="Calibri"/>
                <w:sz w:val="17"/>
              </w:rPr>
              <w:t>£5,543 per year</w:t>
            </w:r>
          </w:p>
        </w:tc>
        <w:tc>
          <w:tcPr>
            <w:tcW w:w="6337" w:type="dxa"/>
          </w:tcPr>
          <w:p w:rsidR="006A18FD" w:rsidRDefault="002D29FC">
            <w:pPr>
              <w:spacing w:before="1" w:line="207" w:lineRule="exact"/>
              <w:ind w:left="103"/>
              <w:rPr>
                <w:rFonts w:ascii="Calibri" w:hAnsi="Calibri"/>
                <w:sz w:val="17"/>
              </w:rPr>
            </w:pPr>
            <w:r>
              <w:rPr>
                <w:rFonts w:ascii="Calibri" w:hAnsi="Calibri"/>
                <w:sz w:val="17"/>
              </w:rPr>
              <w:t>This is as per budget for a ‘typical’ counselling service but will vary between services due</w:t>
            </w:r>
          </w:p>
          <w:p w:rsidR="006A18FD" w:rsidRDefault="002D29FC">
            <w:pPr>
              <w:spacing w:line="189" w:lineRule="exact"/>
              <w:ind w:left="103"/>
              <w:rPr>
                <w:rFonts w:ascii="Calibri"/>
                <w:sz w:val="17"/>
              </w:rPr>
            </w:pPr>
            <w:r>
              <w:rPr>
                <w:rFonts w:ascii="Calibri"/>
                <w:sz w:val="17"/>
              </w:rPr>
              <w:t>to differing locations.</w:t>
            </w:r>
          </w:p>
        </w:tc>
      </w:tr>
      <w:tr w:rsidR="006A18FD">
        <w:trPr>
          <w:trHeight w:val="820"/>
        </w:trPr>
        <w:tc>
          <w:tcPr>
            <w:tcW w:w="2225" w:type="dxa"/>
          </w:tcPr>
          <w:p w:rsidR="006A18FD" w:rsidRDefault="002D29FC">
            <w:pPr>
              <w:spacing w:line="206" w:lineRule="exact"/>
              <w:ind w:left="103"/>
              <w:rPr>
                <w:rFonts w:ascii="Calibri"/>
                <w:sz w:val="17"/>
              </w:rPr>
            </w:pPr>
            <w:r>
              <w:rPr>
                <w:rFonts w:ascii="Calibri"/>
                <w:sz w:val="17"/>
              </w:rPr>
              <w:t>Working time</w:t>
            </w:r>
          </w:p>
        </w:tc>
        <w:tc>
          <w:tcPr>
            <w:tcW w:w="1472" w:type="dxa"/>
          </w:tcPr>
          <w:p w:rsidR="006A18FD" w:rsidRDefault="002D29FC">
            <w:pPr>
              <w:ind w:left="103" w:right="421"/>
              <w:rPr>
                <w:rFonts w:ascii="Calibri"/>
                <w:sz w:val="17"/>
              </w:rPr>
            </w:pPr>
            <w:r>
              <w:rPr>
                <w:rFonts w:ascii="Calibri"/>
                <w:sz w:val="17"/>
              </w:rPr>
              <w:t>41 weeks per year</w:t>
            </w:r>
          </w:p>
          <w:p w:rsidR="006A18FD" w:rsidRDefault="002D29FC">
            <w:pPr>
              <w:spacing w:before="2" w:line="207" w:lineRule="exact"/>
              <w:ind w:left="103"/>
              <w:rPr>
                <w:rFonts w:ascii="Calibri"/>
                <w:sz w:val="17"/>
              </w:rPr>
            </w:pPr>
            <w:r>
              <w:rPr>
                <w:rFonts w:ascii="Calibri"/>
                <w:sz w:val="17"/>
              </w:rPr>
              <w:t>37.5 hours per</w:t>
            </w:r>
          </w:p>
          <w:p w:rsidR="006A18FD" w:rsidRDefault="002D29FC">
            <w:pPr>
              <w:spacing w:line="189" w:lineRule="exact"/>
              <w:ind w:left="103"/>
              <w:rPr>
                <w:rFonts w:ascii="Calibri"/>
                <w:sz w:val="17"/>
              </w:rPr>
            </w:pPr>
            <w:r>
              <w:rPr>
                <w:rFonts w:ascii="Calibri"/>
                <w:sz w:val="17"/>
              </w:rPr>
              <w:t>week</w:t>
            </w:r>
          </w:p>
        </w:tc>
        <w:tc>
          <w:tcPr>
            <w:tcW w:w="6337" w:type="dxa"/>
          </w:tcPr>
          <w:p w:rsidR="006A18FD" w:rsidRDefault="002D29FC">
            <w:pPr>
              <w:spacing w:line="206" w:lineRule="exact"/>
              <w:ind w:left="103"/>
              <w:rPr>
                <w:rFonts w:ascii="Calibri"/>
                <w:sz w:val="17"/>
              </w:rPr>
            </w:pPr>
            <w:r>
              <w:rPr>
                <w:rFonts w:ascii="Calibri"/>
                <w:sz w:val="17"/>
              </w:rPr>
              <w:t>Unit costs are based on 2,850 working hours for the counselling service.</w:t>
            </w:r>
          </w:p>
        </w:tc>
      </w:tr>
      <w:tr w:rsidR="006A18FD">
        <w:trPr>
          <w:trHeight w:val="820"/>
        </w:trPr>
        <w:tc>
          <w:tcPr>
            <w:tcW w:w="2225" w:type="dxa"/>
          </w:tcPr>
          <w:p w:rsidR="006A18FD" w:rsidRDefault="002D29FC">
            <w:pPr>
              <w:ind w:left="103" w:right="205"/>
              <w:rPr>
                <w:rFonts w:ascii="Calibri"/>
                <w:sz w:val="17"/>
              </w:rPr>
            </w:pPr>
            <w:r>
              <w:rPr>
                <w:rFonts w:ascii="Calibri"/>
                <w:sz w:val="17"/>
              </w:rPr>
              <w:t>Ratio of direct to indirect time on client-related work</w:t>
            </w:r>
          </w:p>
        </w:tc>
        <w:tc>
          <w:tcPr>
            <w:tcW w:w="1472" w:type="dxa"/>
          </w:tcPr>
          <w:p w:rsidR="006A18FD" w:rsidRDefault="002D29FC">
            <w:pPr>
              <w:spacing w:line="206" w:lineRule="exact"/>
              <w:ind w:left="103"/>
              <w:rPr>
                <w:rFonts w:ascii="Calibri"/>
                <w:sz w:val="17"/>
              </w:rPr>
            </w:pPr>
            <w:r>
              <w:rPr>
                <w:rFonts w:ascii="Calibri"/>
                <w:sz w:val="17"/>
              </w:rPr>
              <w:t>1:0.98</w:t>
            </w:r>
          </w:p>
        </w:tc>
        <w:tc>
          <w:tcPr>
            <w:tcW w:w="6337" w:type="dxa"/>
          </w:tcPr>
          <w:p w:rsidR="006A18FD" w:rsidRDefault="002D29FC">
            <w:pPr>
              <w:ind w:left="103" w:right="158"/>
              <w:rPr>
                <w:rFonts w:ascii="Calibri" w:hAnsi="Calibri"/>
                <w:sz w:val="17"/>
              </w:rPr>
            </w:pPr>
            <w:r>
              <w:rPr>
                <w:rFonts w:ascii="Calibri" w:hAnsi="Calibri"/>
                <w:sz w:val="17"/>
              </w:rPr>
              <w:t>Based on 1440 hours of client-related time assumed each year. The BACP good-practice recommendation for counselling is 60:40, with 60 per cent of the counsellor’s time being direct face-to-face counselling and 40 per cent spent on associated activities,</w:t>
            </w:r>
          </w:p>
          <w:p w:rsidR="006A18FD" w:rsidRDefault="002D29FC">
            <w:pPr>
              <w:spacing w:before="1" w:line="189" w:lineRule="exact"/>
              <w:ind w:left="103"/>
              <w:rPr>
                <w:rFonts w:ascii="Calibri"/>
                <w:sz w:val="17"/>
              </w:rPr>
            </w:pPr>
            <w:r>
              <w:rPr>
                <w:rFonts w:ascii="Calibri"/>
                <w:sz w:val="17"/>
              </w:rPr>
              <w:t>including supervision, recording and professional developing/training.</w:t>
            </w:r>
          </w:p>
        </w:tc>
      </w:tr>
      <w:tr w:rsidR="006A18FD">
        <w:trPr>
          <w:trHeight w:val="200"/>
        </w:trPr>
        <w:tc>
          <w:tcPr>
            <w:tcW w:w="2225" w:type="dxa"/>
          </w:tcPr>
          <w:p w:rsidR="006A18FD" w:rsidRDefault="002D29FC">
            <w:pPr>
              <w:spacing w:line="186" w:lineRule="exact"/>
              <w:ind w:left="103"/>
              <w:rPr>
                <w:rFonts w:ascii="Calibri"/>
                <w:sz w:val="17"/>
              </w:rPr>
            </w:pPr>
            <w:r>
              <w:rPr>
                <w:rFonts w:ascii="Calibri"/>
                <w:sz w:val="17"/>
              </w:rPr>
              <w:t>Caseload</w:t>
            </w:r>
          </w:p>
        </w:tc>
        <w:tc>
          <w:tcPr>
            <w:tcW w:w="1472" w:type="dxa"/>
          </w:tcPr>
          <w:p w:rsidR="006A18FD" w:rsidRDefault="002D29FC">
            <w:pPr>
              <w:spacing w:line="186" w:lineRule="exact"/>
              <w:ind w:left="103"/>
              <w:rPr>
                <w:rFonts w:ascii="Calibri"/>
                <w:sz w:val="17"/>
              </w:rPr>
            </w:pPr>
            <w:r>
              <w:rPr>
                <w:rFonts w:ascii="Calibri"/>
                <w:sz w:val="17"/>
              </w:rPr>
              <w:t>20</w:t>
            </w:r>
          </w:p>
        </w:tc>
        <w:tc>
          <w:tcPr>
            <w:tcW w:w="6337" w:type="dxa"/>
          </w:tcPr>
          <w:p w:rsidR="006A18FD" w:rsidRDefault="002D29FC">
            <w:pPr>
              <w:spacing w:line="186" w:lineRule="exact"/>
              <w:ind w:left="103"/>
              <w:rPr>
                <w:rFonts w:ascii="Calibri"/>
                <w:sz w:val="17"/>
              </w:rPr>
            </w:pPr>
            <w:r>
              <w:rPr>
                <w:rFonts w:ascii="Calibri"/>
                <w:sz w:val="17"/>
              </w:rPr>
              <w:t>20 young people per 1 FTE counsellor.</w:t>
            </w:r>
          </w:p>
        </w:tc>
      </w:tr>
      <w:tr w:rsidR="006A18FD">
        <w:trPr>
          <w:trHeight w:val="1020"/>
        </w:trPr>
        <w:tc>
          <w:tcPr>
            <w:tcW w:w="2225" w:type="dxa"/>
          </w:tcPr>
          <w:p w:rsidR="006A18FD" w:rsidRDefault="002D29FC">
            <w:pPr>
              <w:spacing w:line="206" w:lineRule="exact"/>
              <w:ind w:left="103"/>
              <w:rPr>
                <w:rFonts w:ascii="Calibri"/>
                <w:sz w:val="17"/>
              </w:rPr>
            </w:pPr>
            <w:r>
              <w:rPr>
                <w:rFonts w:ascii="Calibri"/>
                <w:sz w:val="17"/>
              </w:rPr>
              <w:t>Time per case</w:t>
            </w:r>
          </w:p>
        </w:tc>
        <w:tc>
          <w:tcPr>
            <w:tcW w:w="1472" w:type="dxa"/>
          </w:tcPr>
          <w:p w:rsidR="006A18FD" w:rsidRDefault="002D29FC">
            <w:pPr>
              <w:spacing w:line="206" w:lineRule="exact"/>
              <w:ind w:left="103"/>
              <w:rPr>
                <w:rFonts w:ascii="Calibri"/>
                <w:sz w:val="17"/>
              </w:rPr>
            </w:pPr>
            <w:r>
              <w:rPr>
                <w:rFonts w:ascii="Calibri"/>
                <w:sz w:val="17"/>
              </w:rPr>
              <w:t>Median 12 hours</w:t>
            </w:r>
          </w:p>
        </w:tc>
        <w:tc>
          <w:tcPr>
            <w:tcW w:w="6337" w:type="dxa"/>
          </w:tcPr>
          <w:p w:rsidR="006A18FD" w:rsidRDefault="002D29FC">
            <w:pPr>
              <w:ind w:left="103" w:right="115"/>
              <w:rPr>
                <w:rFonts w:ascii="Calibri"/>
                <w:sz w:val="17"/>
              </w:rPr>
            </w:pPr>
            <w:r>
              <w:rPr>
                <w:rFonts w:ascii="Calibri"/>
                <w:sz w:val="17"/>
              </w:rPr>
              <w:t>The majority of counselling projects provide short- to medium-term interventions, ranging from 8 to 12 counselling sessions. Most of the counselling is face-to-face, but can also take place in a group context, over the phone or online. Unit costs are based on a median of 12 hours per case (range of 6-16 hours) based on data from a range of</w:t>
            </w:r>
          </w:p>
          <w:p w:rsidR="006A18FD" w:rsidRDefault="002D29FC">
            <w:pPr>
              <w:spacing w:before="1" w:line="189" w:lineRule="exact"/>
              <w:ind w:left="103"/>
              <w:rPr>
                <w:rFonts w:ascii="Calibri"/>
                <w:sz w:val="17"/>
              </w:rPr>
            </w:pPr>
            <w:r>
              <w:rPr>
                <w:rFonts w:ascii="Calibri"/>
                <w:sz w:val="17"/>
              </w:rPr>
              <w:t>counselling services.</w:t>
            </w:r>
          </w:p>
        </w:tc>
      </w:tr>
      <w:tr w:rsidR="006A18FD">
        <w:trPr>
          <w:trHeight w:val="320"/>
        </w:trPr>
        <w:tc>
          <w:tcPr>
            <w:tcW w:w="10034" w:type="dxa"/>
            <w:gridSpan w:val="3"/>
          </w:tcPr>
          <w:p w:rsidR="006A18FD" w:rsidRDefault="002D29FC">
            <w:pPr>
              <w:spacing w:line="206" w:lineRule="exact"/>
              <w:ind w:left="103"/>
              <w:rPr>
                <w:rFonts w:ascii="Calibri"/>
                <w:b/>
                <w:sz w:val="17"/>
              </w:rPr>
            </w:pPr>
            <w:r>
              <w:rPr>
                <w:rFonts w:ascii="Calibri"/>
                <w:b/>
                <w:sz w:val="17"/>
              </w:rPr>
              <w:t>Unit costs available 2018/2019</w:t>
            </w:r>
          </w:p>
        </w:tc>
      </w:tr>
      <w:tr w:rsidR="006A18FD">
        <w:trPr>
          <w:trHeight w:val="200"/>
        </w:trPr>
        <w:tc>
          <w:tcPr>
            <w:tcW w:w="10034" w:type="dxa"/>
            <w:gridSpan w:val="3"/>
          </w:tcPr>
          <w:p w:rsidR="006A18FD" w:rsidRDefault="002D29FC">
            <w:pPr>
              <w:spacing w:before="1" w:line="187" w:lineRule="exact"/>
              <w:ind w:left="103"/>
              <w:rPr>
                <w:rFonts w:ascii="Calibri" w:hAnsi="Calibri"/>
                <w:sz w:val="17"/>
              </w:rPr>
            </w:pPr>
            <w:r>
              <w:rPr>
                <w:rFonts w:ascii="Calibri" w:hAnsi="Calibri"/>
                <w:sz w:val="17"/>
              </w:rPr>
              <w:t>Average cost per working hour £47, average cost per client-related hour £94, average cost per counselling intervention £1,126.</w:t>
            </w:r>
          </w:p>
        </w:tc>
      </w:tr>
    </w:tbl>
    <w:p w:rsidR="006A18FD" w:rsidRDefault="002D29FC">
      <w:pPr>
        <w:spacing w:before="119"/>
        <w:ind w:left="140"/>
        <w:rPr>
          <w:rFonts w:ascii="Calibri"/>
          <w:sz w:val="18"/>
        </w:rPr>
      </w:pPr>
      <w:r>
        <w:rPr>
          <w:rFonts w:ascii="Calibri"/>
          <w:sz w:val="18"/>
        </w:rPr>
        <w:t>* as estimated by the provider organisation</w:t>
      </w:r>
    </w:p>
    <w:p w:rsidR="006A18FD" w:rsidRDefault="006A18FD">
      <w:pPr>
        <w:rPr>
          <w:rFonts w:ascii="Calibri"/>
          <w:sz w:val="18"/>
        </w:rPr>
        <w:sectPr w:rsidR="006A18FD">
          <w:headerReference w:type="even" r:id="rId242"/>
          <w:pgSz w:w="11910" w:h="16840"/>
          <w:pgMar w:top="960" w:right="980" w:bottom="280" w:left="580" w:header="751" w:footer="0" w:gutter="0"/>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7"/>
        <w:rPr>
          <w:rFonts w:ascii="Calibri"/>
          <w:sz w:val="18"/>
        </w:rPr>
      </w:pPr>
    </w:p>
    <w:p w:rsidR="006A18FD" w:rsidRPr="008D2D0B" w:rsidRDefault="002D29FC" w:rsidP="008E3FA8">
      <w:pPr>
        <w:pStyle w:val="ListParagraph"/>
        <w:numPr>
          <w:ilvl w:val="0"/>
          <w:numId w:val="36"/>
        </w:numPr>
        <w:tabs>
          <w:tab w:val="left" w:pos="489"/>
        </w:tabs>
        <w:spacing w:before="100"/>
        <w:rPr>
          <w:rFonts w:ascii="Cambria"/>
          <w:b/>
          <w:sz w:val="36"/>
        </w:rPr>
      </w:pPr>
      <w:r w:rsidRPr="008D2D0B">
        <w:rPr>
          <w:rFonts w:ascii="Cambria"/>
          <w:b/>
          <w:sz w:val="36"/>
        </w:rPr>
        <w:t>Hospital and related</w:t>
      </w:r>
      <w:r w:rsidRPr="008D2D0B">
        <w:rPr>
          <w:rFonts w:ascii="Cambria"/>
          <w:b/>
          <w:spacing w:val="-13"/>
          <w:sz w:val="36"/>
        </w:rPr>
        <w:t xml:space="preserve"> </w:t>
      </w:r>
      <w:r w:rsidRPr="008D2D0B">
        <w:rPr>
          <w:rFonts w:ascii="Cambria"/>
          <w:b/>
          <w:sz w:val="36"/>
        </w:rPr>
        <w:t>services</w:t>
      </w:r>
    </w:p>
    <w:p w:rsidR="006A18FD" w:rsidRPr="008D2D0B" w:rsidRDefault="002D29FC" w:rsidP="008E3FA8">
      <w:pPr>
        <w:pStyle w:val="ListParagraph"/>
        <w:numPr>
          <w:ilvl w:val="1"/>
          <w:numId w:val="36"/>
        </w:numPr>
        <w:tabs>
          <w:tab w:val="left" w:pos="531"/>
        </w:tabs>
        <w:spacing w:before="305"/>
        <w:ind w:hanging="792"/>
        <w:rPr>
          <w:rFonts w:ascii="Calibri"/>
          <w:sz w:val="28"/>
        </w:rPr>
      </w:pPr>
      <w:r w:rsidRPr="008D2D0B">
        <w:rPr>
          <w:rFonts w:ascii="Calibri"/>
          <w:sz w:val="28"/>
        </w:rPr>
        <w:t>NHS reference costs for hospital</w:t>
      </w:r>
      <w:r w:rsidRPr="008D2D0B">
        <w:rPr>
          <w:rFonts w:ascii="Calibri"/>
          <w:spacing w:val="-23"/>
          <w:sz w:val="28"/>
        </w:rPr>
        <w:t xml:space="preserve"> </w:t>
      </w:r>
      <w:r w:rsidRPr="008D2D0B">
        <w:rPr>
          <w:rFonts w:ascii="Calibri"/>
          <w:sz w:val="28"/>
        </w:rPr>
        <w:t>services</w:t>
      </w:r>
    </w:p>
    <w:p w:rsidR="006A18FD" w:rsidRPr="008D2D0B" w:rsidRDefault="002D29FC" w:rsidP="008E3FA8">
      <w:pPr>
        <w:pStyle w:val="ListParagraph"/>
        <w:numPr>
          <w:ilvl w:val="1"/>
          <w:numId w:val="36"/>
        </w:numPr>
        <w:tabs>
          <w:tab w:val="left" w:pos="531"/>
        </w:tabs>
        <w:spacing w:before="169"/>
        <w:ind w:hanging="792"/>
        <w:rPr>
          <w:rFonts w:ascii="Calibri"/>
          <w:sz w:val="28"/>
        </w:rPr>
      </w:pPr>
      <w:r w:rsidRPr="008D2D0B">
        <w:rPr>
          <w:rFonts w:ascii="Calibri"/>
          <w:sz w:val="28"/>
        </w:rPr>
        <w:t>NHS</w:t>
      </w:r>
      <w:r w:rsidRPr="008D2D0B">
        <w:rPr>
          <w:rFonts w:ascii="Calibri"/>
          <w:spacing w:val="-4"/>
          <w:sz w:val="28"/>
        </w:rPr>
        <w:t xml:space="preserve"> </w:t>
      </w:r>
      <w:r w:rsidRPr="008D2D0B">
        <w:rPr>
          <w:rFonts w:ascii="Calibri"/>
          <w:sz w:val="28"/>
        </w:rPr>
        <w:t>wheelchairs</w:t>
      </w:r>
    </w:p>
    <w:p w:rsidR="006A18FD" w:rsidRPr="008D2D0B" w:rsidRDefault="002D29FC" w:rsidP="008E3FA8">
      <w:pPr>
        <w:pStyle w:val="ListParagraph"/>
        <w:numPr>
          <w:ilvl w:val="1"/>
          <w:numId w:val="36"/>
        </w:numPr>
        <w:tabs>
          <w:tab w:val="left" w:pos="531"/>
        </w:tabs>
        <w:spacing w:before="172"/>
        <w:ind w:hanging="792"/>
        <w:rPr>
          <w:rFonts w:ascii="Calibri"/>
          <w:sz w:val="28"/>
        </w:rPr>
      </w:pPr>
      <w:r w:rsidRPr="008D2D0B">
        <w:rPr>
          <w:rFonts w:ascii="Calibri"/>
          <w:sz w:val="28"/>
        </w:rPr>
        <w:t>Equipment and</w:t>
      </w:r>
      <w:r w:rsidRPr="008D2D0B">
        <w:rPr>
          <w:rFonts w:ascii="Calibri"/>
          <w:spacing w:val="-10"/>
          <w:sz w:val="28"/>
        </w:rPr>
        <w:t xml:space="preserve"> </w:t>
      </w:r>
      <w:r w:rsidRPr="008D2D0B">
        <w:rPr>
          <w:rFonts w:ascii="Calibri"/>
          <w:sz w:val="28"/>
        </w:rPr>
        <w:t>adaptations</w:t>
      </w:r>
    </w:p>
    <w:p w:rsidR="006A18FD" w:rsidRPr="008D2D0B" w:rsidRDefault="002D29FC" w:rsidP="008E3FA8">
      <w:pPr>
        <w:pStyle w:val="ListParagraph"/>
        <w:numPr>
          <w:ilvl w:val="1"/>
          <w:numId w:val="36"/>
        </w:numPr>
        <w:tabs>
          <w:tab w:val="left" w:pos="531"/>
        </w:tabs>
        <w:spacing w:before="172"/>
        <w:ind w:hanging="792"/>
        <w:rPr>
          <w:rFonts w:ascii="Calibri"/>
          <w:sz w:val="28"/>
        </w:rPr>
      </w:pPr>
      <w:r w:rsidRPr="008D2D0B">
        <w:rPr>
          <w:rFonts w:ascii="Calibri"/>
          <w:sz w:val="28"/>
        </w:rPr>
        <w:t>Public health</w:t>
      </w:r>
      <w:r w:rsidRPr="008D2D0B">
        <w:rPr>
          <w:rFonts w:ascii="Calibri"/>
          <w:spacing w:val="-6"/>
          <w:sz w:val="28"/>
        </w:rPr>
        <w:t xml:space="preserve"> </w:t>
      </w:r>
      <w:r w:rsidRPr="008D2D0B">
        <w:rPr>
          <w:rFonts w:ascii="Calibri"/>
          <w:sz w:val="28"/>
        </w:rPr>
        <w:t>interventions</w:t>
      </w:r>
    </w:p>
    <w:p w:rsidR="006A18FD" w:rsidRPr="008D2D0B" w:rsidRDefault="002D29FC" w:rsidP="008E3FA8">
      <w:pPr>
        <w:pStyle w:val="ListParagraph"/>
        <w:numPr>
          <w:ilvl w:val="1"/>
          <w:numId w:val="36"/>
        </w:numPr>
        <w:tabs>
          <w:tab w:val="left" w:pos="531"/>
        </w:tabs>
        <w:spacing w:before="171"/>
        <w:ind w:hanging="792"/>
        <w:rPr>
          <w:rFonts w:ascii="Calibri"/>
          <w:sz w:val="28"/>
        </w:rPr>
      </w:pPr>
      <w:r w:rsidRPr="008D2D0B">
        <w:rPr>
          <w:rFonts w:ascii="Calibri"/>
          <w:sz w:val="28"/>
        </w:rPr>
        <w:t>Self-management</w:t>
      </w:r>
      <w:r w:rsidRPr="008D2D0B">
        <w:rPr>
          <w:rFonts w:ascii="Calibri"/>
          <w:spacing w:val="-11"/>
          <w:sz w:val="28"/>
        </w:rPr>
        <w:t xml:space="preserve"> </w:t>
      </w:r>
      <w:r w:rsidRPr="008D2D0B">
        <w:rPr>
          <w:rFonts w:ascii="Calibri"/>
          <w:sz w:val="28"/>
        </w:rPr>
        <w:t>programmes</w:t>
      </w:r>
    </w:p>
    <w:p w:rsidR="006A18FD" w:rsidRPr="008D2D0B" w:rsidRDefault="002D29FC" w:rsidP="008E3FA8">
      <w:pPr>
        <w:pStyle w:val="ListParagraph"/>
        <w:numPr>
          <w:ilvl w:val="1"/>
          <w:numId w:val="36"/>
        </w:numPr>
        <w:tabs>
          <w:tab w:val="left" w:pos="531"/>
        </w:tabs>
        <w:spacing w:before="169"/>
        <w:ind w:hanging="792"/>
        <w:rPr>
          <w:rFonts w:ascii="Calibri"/>
          <w:sz w:val="28"/>
        </w:rPr>
      </w:pPr>
      <w:r w:rsidRPr="008D2D0B">
        <w:rPr>
          <w:rFonts w:ascii="Calibri"/>
          <w:sz w:val="28"/>
        </w:rPr>
        <w:t>Hospice Rapid Response</w:t>
      </w:r>
      <w:r w:rsidRPr="008D2D0B">
        <w:rPr>
          <w:rFonts w:ascii="Calibri"/>
          <w:spacing w:val="-19"/>
          <w:sz w:val="28"/>
        </w:rPr>
        <w:t xml:space="preserve"> </w:t>
      </w:r>
      <w:r w:rsidRPr="008D2D0B">
        <w:rPr>
          <w:rFonts w:ascii="Calibri"/>
          <w:sz w:val="28"/>
        </w:rPr>
        <w:t>Service</w:t>
      </w:r>
    </w:p>
    <w:p w:rsidR="006A18FD" w:rsidRPr="008D2D0B" w:rsidRDefault="002D29FC" w:rsidP="008E3FA8">
      <w:pPr>
        <w:pStyle w:val="ListParagraph"/>
        <w:numPr>
          <w:ilvl w:val="1"/>
          <w:numId w:val="36"/>
        </w:numPr>
        <w:tabs>
          <w:tab w:val="left" w:pos="531"/>
        </w:tabs>
        <w:spacing w:before="171"/>
        <w:ind w:hanging="792"/>
        <w:rPr>
          <w:rFonts w:ascii="Calibri"/>
          <w:sz w:val="28"/>
        </w:rPr>
      </w:pPr>
      <w:r w:rsidRPr="008D2D0B">
        <w:rPr>
          <w:rFonts w:ascii="Calibri"/>
          <w:sz w:val="28"/>
        </w:rPr>
        <w:t>Specialist neuro-rehabilitation</w:t>
      </w:r>
      <w:r w:rsidRPr="008D2D0B">
        <w:rPr>
          <w:rFonts w:ascii="Calibri"/>
          <w:spacing w:val="-11"/>
          <w:sz w:val="28"/>
        </w:rPr>
        <w:t xml:space="preserve"> </w:t>
      </w:r>
      <w:r w:rsidRPr="008D2D0B">
        <w:rPr>
          <w:rFonts w:ascii="Calibri"/>
          <w:sz w:val="28"/>
        </w:rPr>
        <w:t>services</w:t>
      </w:r>
    </w:p>
    <w:p w:rsidR="006A18FD" w:rsidRPr="008D2D0B" w:rsidRDefault="002D29FC" w:rsidP="008E3FA8">
      <w:pPr>
        <w:pStyle w:val="ListParagraph"/>
        <w:numPr>
          <w:ilvl w:val="1"/>
          <w:numId w:val="36"/>
        </w:numPr>
        <w:tabs>
          <w:tab w:val="left" w:pos="531"/>
        </w:tabs>
        <w:spacing w:before="171"/>
        <w:ind w:hanging="792"/>
        <w:rPr>
          <w:rFonts w:ascii="Calibri"/>
          <w:sz w:val="28"/>
        </w:rPr>
      </w:pPr>
      <w:r w:rsidRPr="008D2D0B">
        <w:rPr>
          <w:rFonts w:ascii="Calibri"/>
          <w:sz w:val="28"/>
        </w:rPr>
        <w:t>NHS reference costs for sexual</w:t>
      </w:r>
      <w:r w:rsidRPr="008D2D0B">
        <w:rPr>
          <w:rFonts w:ascii="Calibri"/>
          <w:spacing w:val="-19"/>
          <w:sz w:val="28"/>
        </w:rPr>
        <w:t xml:space="preserve"> </w:t>
      </w:r>
      <w:r w:rsidRPr="008D2D0B">
        <w:rPr>
          <w:rFonts w:ascii="Calibri"/>
          <w:sz w:val="28"/>
        </w:rPr>
        <w:t>health</w:t>
      </w:r>
    </w:p>
    <w:p w:rsidR="006A18FD" w:rsidRPr="008D2D0B" w:rsidRDefault="002D29FC" w:rsidP="008E3FA8">
      <w:pPr>
        <w:pStyle w:val="ListParagraph"/>
        <w:numPr>
          <w:ilvl w:val="1"/>
          <w:numId w:val="36"/>
        </w:numPr>
        <w:tabs>
          <w:tab w:val="left" w:pos="531"/>
        </w:tabs>
        <w:spacing w:before="171"/>
        <w:ind w:hanging="792"/>
        <w:rPr>
          <w:rFonts w:ascii="Calibri"/>
          <w:sz w:val="28"/>
        </w:rPr>
      </w:pPr>
      <w:r w:rsidRPr="008D2D0B">
        <w:rPr>
          <w:rFonts w:ascii="Calibri"/>
          <w:sz w:val="28"/>
        </w:rPr>
        <w:t>Screening interventions for sexually-transmitted</w:t>
      </w:r>
      <w:r w:rsidRPr="008D2D0B">
        <w:rPr>
          <w:rFonts w:ascii="Calibri"/>
          <w:spacing w:val="-24"/>
          <w:sz w:val="28"/>
        </w:rPr>
        <w:t xml:space="preserve"> </w:t>
      </w:r>
      <w:r w:rsidRPr="008D2D0B">
        <w:rPr>
          <w:rFonts w:ascii="Calibri"/>
          <w:sz w:val="28"/>
        </w:rPr>
        <w:t>infections</w:t>
      </w:r>
    </w:p>
    <w:p w:rsidR="006A18FD" w:rsidRPr="008D2D0B" w:rsidRDefault="002D29FC" w:rsidP="008E3FA8">
      <w:pPr>
        <w:pStyle w:val="ListParagraph"/>
        <w:numPr>
          <w:ilvl w:val="1"/>
          <w:numId w:val="36"/>
        </w:numPr>
        <w:tabs>
          <w:tab w:val="left" w:pos="673"/>
        </w:tabs>
        <w:spacing w:before="171"/>
        <w:ind w:hanging="792"/>
        <w:rPr>
          <w:rFonts w:ascii="Calibri"/>
          <w:sz w:val="28"/>
        </w:rPr>
      </w:pPr>
      <w:r w:rsidRPr="008D2D0B">
        <w:rPr>
          <w:rFonts w:ascii="Calibri"/>
          <w:sz w:val="28"/>
        </w:rPr>
        <w:t>Abortion reference</w:t>
      </w:r>
      <w:r w:rsidRPr="008D2D0B">
        <w:rPr>
          <w:rFonts w:ascii="Calibri"/>
          <w:spacing w:val="-9"/>
          <w:sz w:val="28"/>
        </w:rPr>
        <w:t xml:space="preserve"> </w:t>
      </w:r>
      <w:r w:rsidRPr="008D2D0B">
        <w:rPr>
          <w:rFonts w:ascii="Calibri"/>
          <w:sz w:val="28"/>
        </w:rPr>
        <w:t>costs</w:t>
      </w:r>
    </w:p>
    <w:p w:rsidR="006A18FD" w:rsidRPr="008D2D0B" w:rsidRDefault="002D29FC" w:rsidP="008E3FA8">
      <w:pPr>
        <w:pStyle w:val="ListParagraph"/>
        <w:numPr>
          <w:ilvl w:val="1"/>
          <w:numId w:val="36"/>
        </w:numPr>
        <w:tabs>
          <w:tab w:val="left" w:pos="673"/>
        </w:tabs>
        <w:spacing w:before="169"/>
        <w:ind w:hanging="792"/>
        <w:rPr>
          <w:rFonts w:ascii="Calibri"/>
          <w:sz w:val="28"/>
        </w:rPr>
      </w:pPr>
      <w:r w:rsidRPr="008D2D0B">
        <w:rPr>
          <w:rFonts w:ascii="Calibri"/>
          <w:sz w:val="28"/>
        </w:rPr>
        <w:t>Cost of private abortion</w:t>
      </w:r>
      <w:r w:rsidRPr="008D2D0B">
        <w:rPr>
          <w:rFonts w:ascii="Calibri"/>
          <w:spacing w:val="-13"/>
          <w:sz w:val="28"/>
        </w:rPr>
        <w:t xml:space="preserve"> </w:t>
      </w:r>
      <w:r w:rsidRPr="008D2D0B">
        <w:rPr>
          <w:rFonts w:ascii="Calibri"/>
          <w:sz w:val="28"/>
        </w:rPr>
        <w:t>treatment</w:t>
      </w:r>
    </w:p>
    <w:p w:rsidR="006A18FD" w:rsidRDefault="006A18FD">
      <w:pPr>
        <w:rPr>
          <w:rFonts w:ascii="Calibri"/>
          <w:sz w:val="28"/>
        </w:rPr>
        <w:sectPr w:rsidR="006A18FD">
          <w:headerReference w:type="default" r:id="rId243"/>
          <w:pgSz w:w="11910" w:h="16840"/>
          <w:pgMar w:top="1580" w:right="168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8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82" name="Line 13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79A07" id="Group 13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KsDojJ/AgAAgQUA&#10;AA4AAAAAAAAAAAAAAAAALgIAAGRycy9lMm9Eb2MueG1sUEsBAi0AFAAGAAgAAAAhAC135FzaAAAA&#10;BAEAAA8AAAAAAAAAAAAAAAAA2QQAAGRycy9kb3ducmV2LnhtbFBLBQYAAAAABAAEAPMAAADgBQAA&#10;AAA=&#10;">
                <v:line id="Line 13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w10:anchorlock/>
              </v:group>
            </w:pict>
          </mc:Fallback>
        </mc:AlternateContent>
      </w:r>
    </w:p>
    <w:p w:rsidR="006A18FD" w:rsidRDefault="008D2D0B" w:rsidP="008D2D0B">
      <w:pPr>
        <w:pStyle w:val="Heading2"/>
      </w:pPr>
      <w:r>
        <w:t xml:space="preserve">7.1 </w:t>
      </w:r>
      <w:r w:rsidR="002D29FC">
        <w:t>NHS reference costs for hospital</w:t>
      </w:r>
      <w:r w:rsidR="002D29FC">
        <w:rPr>
          <w:spacing w:val="-17"/>
        </w:rPr>
        <w:t xml:space="preserve"> </w:t>
      </w:r>
      <w:r w:rsidR="002D29FC">
        <w:t>services</w:t>
      </w:r>
    </w:p>
    <w:p w:rsidR="006A18FD" w:rsidRDefault="002D29FC">
      <w:pPr>
        <w:spacing w:before="172" w:line="276" w:lineRule="auto"/>
        <w:ind w:left="140" w:right="164"/>
        <w:rPr>
          <w:rFonts w:ascii="Calibri" w:hAnsi="Calibri"/>
          <w:sz w:val="20"/>
        </w:rPr>
      </w:pPr>
      <w:r>
        <w:rPr>
          <w:rFonts w:ascii="Calibri" w:hAnsi="Calibri"/>
          <w:sz w:val="19"/>
        </w:rPr>
        <w:t>‘Reference costs are the average unit cost to the NHS of providing defined services to NHS patients in England in a given financial year. They show how NHS providers spend money to provide health care to patients.’</w:t>
      </w:r>
      <w:r>
        <w:rPr>
          <w:rFonts w:ascii="Calibri" w:hAnsi="Calibri"/>
          <w:position w:val="6"/>
          <w:sz w:val="12"/>
        </w:rPr>
        <w:t xml:space="preserve">1 </w:t>
      </w:r>
      <w:r>
        <w:rPr>
          <w:rFonts w:ascii="Calibri" w:hAnsi="Calibri"/>
          <w:sz w:val="19"/>
        </w:rPr>
        <w:t xml:space="preserve">We have drawn on </w:t>
      </w:r>
      <w:r>
        <w:rPr>
          <w:rFonts w:ascii="Calibri" w:hAnsi="Calibri"/>
          <w:i/>
          <w:sz w:val="19"/>
        </w:rPr>
        <w:t xml:space="preserve">NHS Improvement, Reference Costs 2016/2017 </w:t>
      </w:r>
      <w:r>
        <w:rPr>
          <w:rFonts w:ascii="Calibri" w:hAnsi="Calibri"/>
          <w:sz w:val="19"/>
        </w:rPr>
        <w:t>to report on the NHS reference costs for selected mental health services.</w:t>
      </w:r>
      <w:r>
        <w:rPr>
          <w:rFonts w:ascii="Calibri" w:hAnsi="Calibri"/>
          <w:position w:val="6"/>
          <w:sz w:val="12"/>
        </w:rPr>
        <w:t xml:space="preserve">1 </w:t>
      </w:r>
      <w:r>
        <w:rPr>
          <w:rFonts w:ascii="Calibri" w:hAnsi="Calibri"/>
          <w:sz w:val="19"/>
        </w:rPr>
        <w:t xml:space="preserve">All costs have been uprated to 2017/2018 prices using the NHS cost inflation index. </w:t>
      </w:r>
      <w:r>
        <w:rPr>
          <w:rFonts w:ascii="Calibri" w:hAnsi="Calibri"/>
          <w:sz w:val="20"/>
        </w:rPr>
        <w:t>Please note the source costs no longer include figures for lower and upper quartiles.</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7"/>
        <w:gridCol w:w="1826"/>
      </w:tblGrid>
      <w:tr w:rsidR="006A18FD" w:rsidTr="005B5AB5">
        <w:trPr>
          <w:trHeight w:val="360"/>
          <w:tblHeader/>
        </w:trPr>
        <w:tc>
          <w:tcPr>
            <w:tcW w:w="8217" w:type="dxa"/>
          </w:tcPr>
          <w:p w:rsidR="006A18FD" w:rsidRDefault="006A18FD">
            <w:pPr>
              <w:rPr>
                <w:rFonts w:ascii="Times New Roman"/>
                <w:sz w:val="18"/>
              </w:rPr>
            </w:pPr>
          </w:p>
        </w:tc>
        <w:tc>
          <w:tcPr>
            <w:tcW w:w="1826" w:type="dxa"/>
          </w:tcPr>
          <w:p w:rsidR="006A18FD" w:rsidRDefault="002D29FC">
            <w:pPr>
              <w:spacing w:before="3"/>
              <w:ind w:right="202"/>
              <w:jc w:val="right"/>
              <w:rPr>
                <w:rFonts w:ascii="Calibri"/>
                <w:b/>
                <w:sz w:val="20"/>
              </w:rPr>
            </w:pPr>
            <w:r>
              <w:rPr>
                <w:rFonts w:ascii="Calibri"/>
                <w:b/>
                <w:sz w:val="20"/>
              </w:rPr>
              <w:t>National average</w:t>
            </w:r>
          </w:p>
        </w:tc>
      </w:tr>
      <w:tr w:rsidR="006A18FD">
        <w:trPr>
          <w:trHeight w:val="400"/>
        </w:trPr>
        <w:tc>
          <w:tcPr>
            <w:tcW w:w="8217" w:type="dxa"/>
            <w:tcBorders>
              <w:bottom w:val="nil"/>
            </w:tcBorders>
          </w:tcPr>
          <w:p w:rsidR="006A18FD" w:rsidRDefault="002D29FC">
            <w:pPr>
              <w:spacing w:before="61"/>
              <w:ind w:left="103"/>
              <w:rPr>
                <w:rFonts w:ascii="Calibri"/>
                <w:b/>
                <w:sz w:val="20"/>
              </w:rPr>
            </w:pPr>
            <w:r>
              <w:rPr>
                <w:rFonts w:ascii="Calibri"/>
                <w:b/>
                <w:sz w:val="20"/>
              </w:rPr>
              <w:t>Elective/non-elective Health Care Resource Group (HRG) data, average cost per episode</w:t>
            </w:r>
          </w:p>
        </w:tc>
        <w:tc>
          <w:tcPr>
            <w:tcW w:w="1826" w:type="dxa"/>
            <w:tcBorders>
              <w:bottom w:val="nil"/>
            </w:tcBorders>
          </w:tcPr>
          <w:p w:rsidR="006A18FD" w:rsidRDefault="006A18FD">
            <w:pPr>
              <w:rPr>
                <w:rFonts w:ascii="Times New Roman"/>
                <w:sz w:val="18"/>
              </w:rPr>
            </w:pPr>
          </w:p>
        </w:tc>
      </w:tr>
      <w:tr w:rsidR="006A18FD">
        <w:trPr>
          <w:trHeight w:val="320"/>
        </w:trPr>
        <w:tc>
          <w:tcPr>
            <w:tcW w:w="8217" w:type="dxa"/>
            <w:tcBorders>
              <w:top w:val="nil"/>
              <w:bottom w:val="nil"/>
            </w:tcBorders>
          </w:tcPr>
          <w:p w:rsidR="006A18FD" w:rsidRDefault="002D29FC">
            <w:pPr>
              <w:spacing w:before="71" w:line="234" w:lineRule="exact"/>
              <w:ind w:left="103"/>
              <w:rPr>
                <w:rFonts w:ascii="Calibri"/>
                <w:sz w:val="20"/>
              </w:rPr>
            </w:pPr>
            <w:r>
              <w:rPr>
                <w:rFonts w:ascii="Calibri"/>
                <w:sz w:val="20"/>
              </w:rPr>
              <w:t>Elective inpatient stays</w:t>
            </w:r>
          </w:p>
        </w:tc>
        <w:tc>
          <w:tcPr>
            <w:tcW w:w="1826" w:type="dxa"/>
            <w:tcBorders>
              <w:top w:val="nil"/>
              <w:bottom w:val="nil"/>
            </w:tcBorders>
          </w:tcPr>
          <w:p w:rsidR="006A18FD" w:rsidRDefault="002D29FC">
            <w:pPr>
              <w:spacing w:before="71" w:line="234" w:lineRule="exact"/>
              <w:ind w:left="506"/>
              <w:rPr>
                <w:rFonts w:ascii="Calibri" w:hAnsi="Calibri"/>
                <w:sz w:val="20"/>
              </w:rPr>
            </w:pPr>
            <w:r>
              <w:rPr>
                <w:rFonts w:ascii="Calibri" w:hAnsi="Calibri"/>
                <w:sz w:val="20"/>
              </w:rPr>
              <w:t>£3,754</w:t>
            </w:r>
          </w:p>
        </w:tc>
      </w:tr>
      <w:tr w:rsidR="006A18FD">
        <w:trPr>
          <w:trHeight w:val="360"/>
        </w:trPr>
        <w:tc>
          <w:tcPr>
            <w:tcW w:w="8217" w:type="dxa"/>
            <w:tcBorders>
              <w:top w:val="nil"/>
              <w:bottom w:val="nil"/>
            </w:tcBorders>
          </w:tcPr>
          <w:p w:rsidR="006A18FD" w:rsidRDefault="002D29FC">
            <w:pPr>
              <w:spacing w:line="234" w:lineRule="exact"/>
              <w:ind w:left="103"/>
              <w:rPr>
                <w:rFonts w:ascii="Calibri"/>
                <w:sz w:val="13"/>
              </w:rPr>
            </w:pPr>
            <w:r>
              <w:rPr>
                <w:rFonts w:ascii="Calibri"/>
                <w:position w:val="1"/>
                <w:sz w:val="20"/>
              </w:rPr>
              <w:t>Elective inpatient stays (inc. carbon impact 618 kgCO</w:t>
            </w:r>
            <w:r>
              <w:rPr>
                <w:rFonts w:ascii="Calibri"/>
                <w:sz w:val="13"/>
              </w:rPr>
              <w:t>2</w:t>
            </w:r>
            <w:r>
              <w:rPr>
                <w:rFonts w:ascii="Calibri"/>
                <w:position w:val="1"/>
                <w:sz w:val="20"/>
              </w:rPr>
              <w:t>e)</w:t>
            </w:r>
            <w:r>
              <w:rPr>
                <w:rFonts w:ascii="Calibri"/>
                <w:position w:val="8"/>
                <w:sz w:val="13"/>
              </w:rPr>
              <w:t>2</w:t>
            </w:r>
          </w:p>
        </w:tc>
        <w:tc>
          <w:tcPr>
            <w:tcW w:w="1826" w:type="dxa"/>
            <w:tcBorders>
              <w:top w:val="nil"/>
              <w:bottom w:val="nil"/>
            </w:tcBorders>
          </w:tcPr>
          <w:p w:rsidR="006A18FD" w:rsidRDefault="002D29FC">
            <w:pPr>
              <w:spacing w:line="235" w:lineRule="exact"/>
              <w:ind w:left="506"/>
              <w:rPr>
                <w:rFonts w:ascii="Calibri" w:hAnsi="Calibri"/>
                <w:sz w:val="20"/>
              </w:rPr>
            </w:pPr>
            <w:r>
              <w:rPr>
                <w:rFonts w:ascii="Calibri" w:hAnsi="Calibri"/>
                <w:sz w:val="20"/>
              </w:rPr>
              <w:t>£3,782</w:t>
            </w:r>
          </w:p>
        </w:tc>
      </w:tr>
      <w:tr w:rsidR="006A18FD">
        <w:trPr>
          <w:trHeight w:val="340"/>
        </w:trPr>
        <w:tc>
          <w:tcPr>
            <w:tcW w:w="8217" w:type="dxa"/>
            <w:tcBorders>
              <w:top w:val="nil"/>
              <w:bottom w:val="nil"/>
            </w:tcBorders>
          </w:tcPr>
          <w:p w:rsidR="006A18FD" w:rsidRDefault="002D29FC">
            <w:pPr>
              <w:spacing w:before="103" w:line="235" w:lineRule="exact"/>
              <w:ind w:left="103"/>
              <w:rPr>
                <w:rFonts w:ascii="Calibri"/>
                <w:sz w:val="20"/>
              </w:rPr>
            </w:pPr>
            <w:r>
              <w:rPr>
                <w:rFonts w:ascii="Calibri"/>
                <w:sz w:val="20"/>
              </w:rPr>
              <w:t>Non-elective inpatient stays (long stays)</w:t>
            </w:r>
          </w:p>
        </w:tc>
        <w:tc>
          <w:tcPr>
            <w:tcW w:w="1826" w:type="dxa"/>
            <w:tcBorders>
              <w:top w:val="nil"/>
              <w:bottom w:val="nil"/>
            </w:tcBorders>
          </w:tcPr>
          <w:p w:rsidR="006A18FD" w:rsidRDefault="002D29FC">
            <w:pPr>
              <w:spacing w:before="103" w:line="235" w:lineRule="exact"/>
              <w:ind w:left="506"/>
              <w:rPr>
                <w:rFonts w:ascii="Calibri" w:hAnsi="Calibri"/>
                <w:sz w:val="20"/>
              </w:rPr>
            </w:pPr>
            <w:r>
              <w:rPr>
                <w:rFonts w:ascii="Calibri" w:hAnsi="Calibri"/>
                <w:sz w:val="20"/>
              </w:rPr>
              <w:t>£3,053</w:t>
            </w:r>
          </w:p>
        </w:tc>
      </w:tr>
      <w:tr w:rsidR="006A18FD">
        <w:trPr>
          <w:trHeight w:val="360"/>
        </w:trPr>
        <w:tc>
          <w:tcPr>
            <w:tcW w:w="8217" w:type="dxa"/>
            <w:tcBorders>
              <w:top w:val="nil"/>
              <w:bottom w:val="nil"/>
            </w:tcBorders>
          </w:tcPr>
          <w:p w:rsidR="006A18FD" w:rsidRDefault="002D29FC">
            <w:pPr>
              <w:spacing w:line="235" w:lineRule="exact"/>
              <w:ind w:left="103"/>
              <w:rPr>
                <w:rFonts w:ascii="Calibri"/>
                <w:sz w:val="13"/>
              </w:rPr>
            </w:pPr>
            <w:r>
              <w:rPr>
                <w:rFonts w:ascii="Calibri"/>
                <w:position w:val="1"/>
                <w:sz w:val="20"/>
              </w:rPr>
              <w:t>Non-elective inpatient stays (long stays) (inc. carbon 5032 kgCO</w:t>
            </w:r>
            <w:r>
              <w:rPr>
                <w:rFonts w:ascii="Calibri"/>
                <w:sz w:val="13"/>
              </w:rPr>
              <w:t>2</w:t>
            </w:r>
            <w:r>
              <w:rPr>
                <w:rFonts w:ascii="Calibri"/>
                <w:position w:val="1"/>
                <w:sz w:val="20"/>
              </w:rPr>
              <w:t>e)</w:t>
            </w:r>
            <w:r>
              <w:rPr>
                <w:rFonts w:ascii="Calibri"/>
                <w:position w:val="8"/>
                <w:sz w:val="13"/>
              </w:rPr>
              <w:t>2</w:t>
            </w:r>
          </w:p>
        </w:tc>
        <w:tc>
          <w:tcPr>
            <w:tcW w:w="1826" w:type="dxa"/>
            <w:tcBorders>
              <w:top w:val="nil"/>
              <w:bottom w:val="nil"/>
            </w:tcBorders>
          </w:tcPr>
          <w:p w:rsidR="006A18FD" w:rsidRDefault="002D29FC">
            <w:pPr>
              <w:spacing w:line="235" w:lineRule="exact"/>
              <w:ind w:left="506"/>
              <w:rPr>
                <w:rFonts w:ascii="Calibri" w:hAnsi="Calibri"/>
                <w:sz w:val="20"/>
              </w:rPr>
            </w:pPr>
            <w:r>
              <w:rPr>
                <w:rFonts w:ascii="Calibri" w:hAnsi="Calibri"/>
                <w:sz w:val="20"/>
              </w:rPr>
              <w:t>£3,076</w:t>
            </w:r>
          </w:p>
        </w:tc>
      </w:tr>
      <w:tr w:rsidR="006A18FD">
        <w:trPr>
          <w:trHeight w:val="480"/>
        </w:trPr>
        <w:tc>
          <w:tcPr>
            <w:tcW w:w="8217" w:type="dxa"/>
            <w:tcBorders>
              <w:top w:val="nil"/>
              <w:bottom w:val="nil"/>
            </w:tcBorders>
          </w:tcPr>
          <w:p w:rsidR="006A18FD" w:rsidRDefault="002D29FC">
            <w:pPr>
              <w:spacing w:before="103"/>
              <w:ind w:left="103"/>
              <w:rPr>
                <w:rFonts w:ascii="Calibri"/>
                <w:sz w:val="20"/>
              </w:rPr>
            </w:pPr>
            <w:r>
              <w:rPr>
                <w:rFonts w:ascii="Calibri"/>
                <w:sz w:val="20"/>
              </w:rPr>
              <w:t>Non-elective inpatient stays (short stays)</w:t>
            </w:r>
          </w:p>
        </w:tc>
        <w:tc>
          <w:tcPr>
            <w:tcW w:w="1826" w:type="dxa"/>
            <w:tcBorders>
              <w:top w:val="nil"/>
              <w:bottom w:val="nil"/>
            </w:tcBorders>
          </w:tcPr>
          <w:p w:rsidR="006A18FD" w:rsidRDefault="002D29FC">
            <w:pPr>
              <w:spacing w:before="103"/>
              <w:ind w:left="636" w:right="732"/>
              <w:jc w:val="center"/>
              <w:rPr>
                <w:rFonts w:ascii="Calibri" w:hAnsi="Calibri"/>
                <w:sz w:val="20"/>
              </w:rPr>
            </w:pPr>
            <w:r>
              <w:rPr>
                <w:rFonts w:ascii="Calibri" w:hAnsi="Calibri"/>
                <w:sz w:val="20"/>
              </w:rPr>
              <w:t>£631</w:t>
            </w:r>
          </w:p>
        </w:tc>
      </w:tr>
      <w:tr w:rsidR="006A18FD">
        <w:trPr>
          <w:trHeight w:val="360"/>
        </w:trPr>
        <w:tc>
          <w:tcPr>
            <w:tcW w:w="8217" w:type="dxa"/>
            <w:tcBorders>
              <w:top w:val="nil"/>
              <w:bottom w:val="nil"/>
            </w:tcBorders>
          </w:tcPr>
          <w:p w:rsidR="006A18FD" w:rsidRDefault="002D29FC">
            <w:pPr>
              <w:spacing w:before="104" w:line="243" w:lineRule="exact"/>
              <w:ind w:left="103"/>
              <w:rPr>
                <w:rFonts w:ascii="Calibri"/>
                <w:b/>
                <w:sz w:val="20"/>
              </w:rPr>
            </w:pPr>
            <w:r>
              <w:rPr>
                <w:rFonts w:ascii="Calibri"/>
                <w:b/>
                <w:sz w:val="20"/>
              </w:rPr>
              <w:t>Day cases HRG data (finished consultant episodes)</w:t>
            </w:r>
          </w:p>
        </w:tc>
        <w:tc>
          <w:tcPr>
            <w:tcW w:w="1826" w:type="dxa"/>
            <w:tcBorders>
              <w:top w:val="nil"/>
              <w:bottom w:val="nil"/>
            </w:tcBorders>
          </w:tcPr>
          <w:p w:rsidR="006A18FD" w:rsidRDefault="006A18FD">
            <w:pPr>
              <w:rPr>
                <w:rFonts w:ascii="Times New Roman"/>
                <w:sz w:val="18"/>
              </w:rPr>
            </w:pPr>
          </w:p>
        </w:tc>
      </w:tr>
      <w:tr w:rsidR="006A18FD">
        <w:trPr>
          <w:trHeight w:val="220"/>
        </w:trPr>
        <w:tc>
          <w:tcPr>
            <w:tcW w:w="8217" w:type="dxa"/>
            <w:tcBorders>
              <w:top w:val="nil"/>
              <w:bottom w:val="nil"/>
            </w:tcBorders>
          </w:tcPr>
          <w:p w:rsidR="006A18FD" w:rsidRDefault="002D29FC">
            <w:pPr>
              <w:spacing w:line="215" w:lineRule="exact"/>
              <w:ind w:left="103"/>
              <w:rPr>
                <w:rFonts w:ascii="Calibri"/>
                <w:sz w:val="20"/>
              </w:rPr>
            </w:pPr>
            <w:r>
              <w:rPr>
                <w:rFonts w:ascii="Calibri"/>
                <w:sz w:val="20"/>
              </w:rPr>
              <w:t>Weighted average of all stays</w:t>
            </w:r>
          </w:p>
        </w:tc>
        <w:tc>
          <w:tcPr>
            <w:tcW w:w="1826" w:type="dxa"/>
            <w:tcBorders>
              <w:top w:val="nil"/>
              <w:bottom w:val="nil"/>
            </w:tcBorders>
          </w:tcPr>
          <w:p w:rsidR="006A18FD" w:rsidRDefault="002D29FC">
            <w:pPr>
              <w:spacing w:line="215" w:lineRule="exact"/>
              <w:ind w:left="636" w:right="732"/>
              <w:jc w:val="center"/>
              <w:rPr>
                <w:rFonts w:ascii="Calibri" w:hAnsi="Calibri"/>
                <w:sz w:val="20"/>
              </w:rPr>
            </w:pPr>
            <w:r>
              <w:rPr>
                <w:rFonts w:ascii="Calibri" w:hAnsi="Calibri"/>
                <w:sz w:val="20"/>
              </w:rPr>
              <w:t>£752</w:t>
            </w:r>
          </w:p>
        </w:tc>
      </w:tr>
      <w:tr w:rsidR="006A18FD">
        <w:trPr>
          <w:trHeight w:val="360"/>
        </w:trPr>
        <w:tc>
          <w:tcPr>
            <w:tcW w:w="8217" w:type="dxa"/>
            <w:tcBorders>
              <w:top w:val="nil"/>
              <w:bottom w:val="nil"/>
            </w:tcBorders>
          </w:tcPr>
          <w:p w:rsidR="006A18FD" w:rsidRDefault="002D29FC">
            <w:pPr>
              <w:spacing w:line="233" w:lineRule="exact"/>
              <w:ind w:left="103"/>
              <w:rPr>
                <w:rFonts w:ascii="Calibri"/>
                <w:sz w:val="13"/>
              </w:rPr>
            </w:pPr>
            <w:r>
              <w:rPr>
                <w:rFonts w:ascii="Calibri"/>
                <w:position w:val="1"/>
                <w:sz w:val="20"/>
              </w:rPr>
              <w:t>Weighted average of all stays (inc. carbon 124 kgCO</w:t>
            </w:r>
            <w:r>
              <w:rPr>
                <w:rFonts w:ascii="Calibri"/>
                <w:sz w:val="13"/>
              </w:rPr>
              <w:t>2</w:t>
            </w:r>
            <w:r>
              <w:rPr>
                <w:rFonts w:ascii="Calibri"/>
                <w:position w:val="1"/>
                <w:sz w:val="20"/>
              </w:rPr>
              <w:t>e)</w:t>
            </w:r>
            <w:r>
              <w:rPr>
                <w:rFonts w:ascii="Calibri"/>
                <w:position w:val="8"/>
                <w:sz w:val="13"/>
              </w:rPr>
              <w:t>2</w:t>
            </w:r>
          </w:p>
        </w:tc>
        <w:tc>
          <w:tcPr>
            <w:tcW w:w="1826" w:type="dxa"/>
            <w:tcBorders>
              <w:top w:val="nil"/>
              <w:bottom w:val="nil"/>
            </w:tcBorders>
          </w:tcPr>
          <w:p w:rsidR="006A18FD" w:rsidRDefault="002D29FC">
            <w:pPr>
              <w:spacing w:line="233" w:lineRule="exact"/>
              <w:ind w:left="636" w:right="732"/>
              <w:jc w:val="center"/>
              <w:rPr>
                <w:rFonts w:ascii="Calibri" w:hAnsi="Calibri"/>
                <w:sz w:val="20"/>
              </w:rPr>
            </w:pPr>
            <w:r>
              <w:rPr>
                <w:rFonts w:ascii="Calibri" w:hAnsi="Calibri"/>
                <w:sz w:val="20"/>
              </w:rPr>
              <w:t>£757</w:t>
            </w:r>
          </w:p>
        </w:tc>
      </w:tr>
      <w:tr w:rsidR="006A18FD">
        <w:trPr>
          <w:trHeight w:val="360"/>
        </w:trPr>
        <w:tc>
          <w:tcPr>
            <w:tcW w:w="8217" w:type="dxa"/>
            <w:tcBorders>
              <w:top w:val="nil"/>
              <w:bottom w:val="nil"/>
            </w:tcBorders>
          </w:tcPr>
          <w:p w:rsidR="006A18FD" w:rsidRDefault="002D29FC">
            <w:pPr>
              <w:spacing w:before="109" w:line="245" w:lineRule="exact"/>
              <w:ind w:left="103"/>
              <w:rPr>
                <w:rFonts w:ascii="Calibri"/>
                <w:b/>
                <w:sz w:val="13"/>
              </w:rPr>
            </w:pPr>
            <w:r>
              <w:rPr>
                <w:rFonts w:ascii="Calibri"/>
                <w:b/>
                <w:sz w:val="20"/>
              </w:rPr>
              <w:t>Outpatient attendances</w:t>
            </w:r>
            <w:r>
              <w:rPr>
                <w:rFonts w:ascii="Calibri"/>
                <w:b/>
                <w:position w:val="7"/>
                <w:sz w:val="13"/>
              </w:rPr>
              <w:t>3</w:t>
            </w:r>
          </w:p>
        </w:tc>
        <w:tc>
          <w:tcPr>
            <w:tcW w:w="1826" w:type="dxa"/>
            <w:tcBorders>
              <w:top w:val="nil"/>
              <w:bottom w:val="nil"/>
            </w:tcBorders>
          </w:tcPr>
          <w:p w:rsidR="006A18FD" w:rsidRDefault="006A18FD">
            <w:pPr>
              <w:rPr>
                <w:rFonts w:ascii="Times New Roman"/>
                <w:sz w:val="18"/>
              </w:rPr>
            </w:pPr>
          </w:p>
        </w:tc>
      </w:tr>
      <w:tr w:rsidR="006A18FD">
        <w:trPr>
          <w:trHeight w:val="220"/>
        </w:trPr>
        <w:tc>
          <w:tcPr>
            <w:tcW w:w="8217" w:type="dxa"/>
            <w:tcBorders>
              <w:top w:val="nil"/>
              <w:bottom w:val="nil"/>
            </w:tcBorders>
          </w:tcPr>
          <w:p w:rsidR="006A18FD" w:rsidRDefault="002D29FC">
            <w:pPr>
              <w:spacing w:line="215" w:lineRule="exact"/>
              <w:ind w:left="103"/>
              <w:rPr>
                <w:rFonts w:ascii="Calibri"/>
                <w:sz w:val="20"/>
              </w:rPr>
            </w:pPr>
            <w:r>
              <w:rPr>
                <w:rFonts w:ascii="Calibri"/>
                <w:sz w:val="20"/>
              </w:rPr>
              <w:t>Weighted average of all outpatient attendances</w:t>
            </w:r>
          </w:p>
        </w:tc>
        <w:tc>
          <w:tcPr>
            <w:tcW w:w="1826" w:type="dxa"/>
            <w:tcBorders>
              <w:top w:val="nil"/>
              <w:bottom w:val="nil"/>
            </w:tcBorders>
          </w:tcPr>
          <w:p w:rsidR="006A18FD" w:rsidRDefault="002D29FC">
            <w:pPr>
              <w:spacing w:line="215" w:lineRule="exact"/>
              <w:ind w:left="636" w:right="732"/>
              <w:jc w:val="center"/>
              <w:rPr>
                <w:rFonts w:ascii="Calibri" w:hAnsi="Calibri"/>
                <w:sz w:val="20"/>
              </w:rPr>
            </w:pPr>
            <w:r>
              <w:rPr>
                <w:rFonts w:ascii="Calibri" w:hAnsi="Calibri"/>
                <w:sz w:val="20"/>
              </w:rPr>
              <w:t>£135</w:t>
            </w:r>
          </w:p>
        </w:tc>
      </w:tr>
      <w:tr w:rsidR="006A18FD">
        <w:trPr>
          <w:trHeight w:val="720"/>
        </w:trPr>
        <w:tc>
          <w:tcPr>
            <w:tcW w:w="8217" w:type="dxa"/>
            <w:tcBorders>
              <w:top w:val="nil"/>
            </w:tcBorders>
          </w:tcPr>
          <w:p w:rsidR="006A18FD" w:rsidRDefault="002D29FC">
            <w:pPr>
              <w:spacing w:line="234" w:lineRule="exact"/>
              <w:ind w:left="103"/>
              <w:rPr>
                <w:rFonts w:ascii="Calibri"/>
                <w:sz w:val="13"/>
              </w:rPr>
            </w:pPr>
            <w:r>
              <w:rPr>
                <w:rFonts w:ascii="Calibri"/>
                <w:position w:val="1"/>
                <w:sz w:val="20"/>
              </w:rPr>
              <w:t>Weighted average of all outpatient attendances (inc. carbon 22 kgCO</w:t>
            </w:r>
            <w:r>
              <w:rPr>
                <w:rFonts w:ascii="Calibri"/>
                <w:sz w:val="13"/>
              </w:rPr>
              <w:t>2</w:t>
            </w:r>
            <w:r>
              <w:rPr>
                <w:rFonts w:ascii="Calibri"/>
                <w:position w:val="1"/>
                <w:sz w:val="20"/>
              </w:rPr>
              <w:t>e)</w:t>
            </w:r>
            <w:r>
              <w:rPr>
                <w:rFonts w:ascii="Calibri"/>
                <w:position w:val="8"/>
                <w:sz w:val="13"/>
              </w:rPr>
              <w:t>2</w:t>
            </w:r>
          </w:p>
        </w:tc>
        <w:tc>
          <w:tcPr>
            <w:tcW w:w="1826" w:type="dxa"/>
            <w:tcBorders>
              <w:top w:val="nil"/>
            </w:tcBorders>
          </w:tcPr>
          <w:p w:rsidR="006A18FD" w:rsidRDefault="002D29FC">
            <w:pPr>
              <w:spacing w:line="235" w:lineRule="exact"/>
              <w:ind w:left="636" w:right="732"/>
              <w:jc w:val="center"/>
              <w:rPr>
                <w:rFonts w:ascii="Calibri" w:hAnsi="Calibri"/>
                <w:sz w:val="20"/>
              </w:rPr>
            </w:pPr>
            <w:r>
              <w:rPr>
                <w:rFonts w:ascii="Calibri" w:hAnsi="Calibri"/>
                <w:sz w:val="20"/>
              </w:rPr>
              <w:t>£136</w:t>
            </w:r>
          </w:p>
        </w:tc>
      </w:tr>
      <w:tr w:rsidR="006A18FD">
        <w:trPr>
          <w:trHeight w:val="360"/>
        </w:trPr>
        <w:tc>
          <w:tcPr>
            <w:tcW w:w="8217" w:type="dxa"/>
            <w:tcBorders>
              <w:bottom w:val="nil"/>
            </w:tcBorders>
          </w:tcPr>
          <w:p w:rsidR="006A18FD" w:rsidRDefault="002D29FC">
            <w:pPr>
              <w:spacing w:before="71"/>
              <w:ind w:left="103"/>
              <w:rPr>
                <w:rFonts w:ascii="Calibri"/>
                <w:b/>
                <w:sz w:val="20"/>
              </w:rPr>
            </w:pPr>
            <w:r>
              <w:rPr>
                <w:rFonts w:ascii="Calibri"/>
                <w:b/>
                <w:sz w:val="20"/>
              </w:rPr>
              <w:t>PALLIATIVE CARE</w:t>
            </w:r>
          </w:p>
        </w:tc>
        <w:tc>
          <w:tcPr>
            <w:tcW w:w="1826" w:type="dxa"/>
            <w:tcBorders>
              <w:bottom w:val="nil"/>
            </w:tcBorders>
          </w:tcPr>
          <w:p w:rsidR="006A18FD" w:rsidRDefault="006A18FD">
            <w:pPr>
              <w:rPr>
                <w:rFonts w:ascii="Times New Roman"/>
                <w:sz w:val="18"/>
              </w:rPr>
            </w:pPr>
          </w:p>
        </w:tc>
      </w:tr>
      <w:tr w:rsidR="006A18FD">
        <w:trPr>
          <w:trHeight w:val="260"/>
        </w:trPr>
        <w:tc>
          <w:tcPr>
            <w:tcW w:w="8217" w:type="dxa"/>
            <w:tcBorders>
              <w:top w:val="nil"/>
              <w:bottom w:val="nil"/>
            </w:tcBorders>
          </w:tcPr>
          <w:p w:rsidR="006A18FD" w:rsidRDefault="002D29FC">
            <w:pPr>
              <w:spacing w:before="17" w:line="242" w:lineRule="exact"/>
              <w:ind w:left="103"/>
              <w:rPr>
                <w:rFonts w:ascii="Calibri"/>
                <w:sz w:val="20"/>
              </w:rPr>
            </w:pPr>
            <w:r>
              <w:rPr>
                <w:rFonts w:ascii="Calibri"/>
                <w:sz w:val="20"/>
              </w:rPr>
              <w:t>Inpatient, specialist palliative care (adults only), average cost per bed day</w:t>
            </w:r>
          </w:p>
        </w:tc>
        <w:tc>
          <w:tcPr>
            <w:tcW w:w="1826" w:type="dxa"/>
            <w:tcBorders>
              <w:top w:val="nil"/>
              <w:bottom w:val="nil"/>
            </w:tcBorders>
          </w:tcPr>
          <w:p w:rsidR="006A18FD" w:rsidRDefault="002D29FC">
            <w:pPr>
              <w:spacing w:before="17" w:line="242" w:lineRule="exact"/>
              <w:ind w:left="636" w:right="732"/>
              <w:jc w:val="center"/>
              <w:rPr>
                <w:rFonts w:ascii="Calibri" w:hAnsi="Calibri"/>
                <w:sz w:val="20"/>
              </w:rPr>
            </w:pPr>
            <w:r>
              <w:rPr>
                <w:rFonts w:ascii="Calibri" w:hAnsi="Calibri"/>
                <w:sz w:val="20"/>
              </w:rPr>
              <w:t>£398</w:t>
            </w:r>
          </w:p>
        </w:tc>
      </w:tr>
      <w:tr w:rsidR="006A18FD">
        <w:trPr>
          <w:trHeight w:val="240"/>
        </w:trPr>
        <w:tc>
          <w:tcPr>
            <w:tcW w:w="8217" w:type="dxa"/>
            <w:tcBorders>
              <w:top w:val="nil"/>
              <w:bottom w:val="nil"/>
            </w:tcBorders>
          </w:tcPr>
          <w:p w:rsidR="006A18FD" w:rsidRDefault="002D29FC">
            <w:pPr>
              <w:spacing w:line="224" w:lineRule="exact"/>
              <w:ind w:left="103"/>
              <w:rPr>
                <w:rFonts w:ascii="Calibri"/>
                <w:sz w:val="20"/>
              </w:rPr>
            </w:pPr>
            <w:r>
              <w:rPr>
                <w:rFonts w:ascii="Calibri"/>
                <w:sz w:val="20"/>
              </w:rPr>
              <w:t>Inpatient, specialist palliative care (same day) adults only</w:t>
            </w:r>
          </w:p>
        </w:tc>
        <w:tc>
          <w:tcPr>
            <w:tcW w:w="1826" w:type="dxa"/>
            <w:tcBorders>
              <w:top w:val="nil"/>
              <w:bottom w:val="nil"/>
            </w:tcBorders>
          </w:tcPr>
          <w:p w:rsidR="006A18FD" w:rsidRDefault="002D29FC">
            <w:pPr>
              <w:spacing w:line="224" w:lineRule="exact"/>
              <w:ind w:left="636" w:right="732"/>
              <w:jc w:val="center"/>
              <w:rPr>
                <w:rFonts w:ascii="Calibri" w:hAnsi="Calibri"/>
                <w:sz w:val="20"/>
              </w:rPr>
            </w:pPr>
            <w:r>
              <w:rPr>
                <w:rFonts w:ascii="Calibri" w:hAnsi="Calibri"/>
                <w:sz w:val="20"/>
              </w:rPr>
              <w:t>£162</w:t>
            </w:r>
          </w:p>
        </w:tc>
      </w:tr>
      <w:tr w:rsidR="006A18FD">
        <w:trPr>
          <w:trHeight w:val="240"/>
        </w:trPr>
        <w:tc>
          <w:tcPr>
            <w:tcW w:w="8217" w:type="dxa"/>
            <w:tcBorders>
              <w:top w:val="nil"/>
              <w:bottom w:val="nil"/>
            </w:tcBorders>
          </w:tcPr>
          <w:p w:rsidR="006A18FD" w:rsidRDefault="002D29FC">
            <w:pPr>
              <w:spacing w:line="225" w:lineRule="exact"/>
              <w:ind w:left="103"/>
              <w:rPr>
                <w:rFonts w:ascii="Calibri"/>
                <w:sz w:val="20"/>
              </w:rPr>
            </w:pPr>
            <w:r>
              <w:rPr>
                <w:rFonts w:ascii="Calibri"/>
                <w:sz w:val="20"/>
              </w:rPr>
              <w:t>Hospital specialist palliative care support (adults only)</w:t>
            </w:r>
          </w:p>
        </w:tc>
        <w:tc>
          <w:tcPr>
            <w:tcW w:w="1826" w:type="dxa"/>
            <w:tcBorders>
              <w:top w:val="nil"/>
              <w:bottom w:val="nil"/>
            </w:tcBorders>
          </w:tcPr>
          <w:p w:rsidR="006A18FD" w:rsidRDefault="002D29FC">
            <w:pPr>
              <w:spacing w:line="225" w:lineRule="exact"/>
              <w:ind w:left="636" w:right="732"/>
              <w:jc w:val="center"/>
              <w:rPr>
                <w:rFonts w:ascii="Calibri" w:hAnsi="Calibri"/>
                <w:sz w:val="20"/>
              </w:rPr>
            </w:pPr>
            <w:r>
              <w:rPr>
                <w:rFonts w:ascii="Calibri" w:hAnsi="Calibri"/>
                <w:sz w:val="20"/>
              </w:rPr>
              <w:t>£121</w:t>
            </w:r>
          </w:p>
        </w:tc>
      </w:tr>
      <w:tr w:rsidR="006A18FD">
        <w:trPr>
          <w:trHeight w:val="240"/>
        </w:trPr>
        <w:tc>
          <w:tcPr>
            <w:tcW w:w="8217" w:type="dxa"/>
            <w:tcBorders>
              <w:top w:val="nil"/>
              <w:bottom w:val="nil"/>
            </w:tcBorders>
          </w:tcPr>
          <w:p w:rsidR="006A18FD" w:rsidRDefault="002D29FC">
            <w:pPr>
              <w:spacing w:line="225" w:lineRule="exact"/>
              <w:ind w:left="103"/>
              <w:rPr>
                <w:rFonts w:ascii="Calibri"/>
                <w:sz w:val="20"/>
              </w:rPr>
            </w:pPr>
            <w:r>
              <w:rPr>
                <w:rFonts w:ascii="Calibri"/>
                <w:sz w:val="20"/>
              </w:rPr>
              <w:t>Outpatient, medical specialist palliative care attendance (adults and children)</w:t>
            </w:r>
          </w:p>
        </w:tc>
        <w:tc>
          <w:tcPr>
            <w:tcW w:w="1826" w:type="dxa"/>
            <w:tcBorders>
              <w:top w:val="nil"/>
              <w:bottom w:val="nil"/>
            </w:tcBorders>
          </w:tcPr>
          <w:p w:rsidR="006A18FD" w:rsidRDefault="002D29FC">
            <w:pPr>
              <w:spacing w:line="225" w:lineRule="exact"/>
              <w:ind w:left="636" w:right="732"/>
              <w:jc w:val="center"/>
              <w:rPr>
                <w:rFonts w:ascii="Calibri" w:hAnsi="Calibri"/>
                <w:sz w:val="20"/>
              </w:rPr>
            </w:pPr>
            <w:r>
              <w:rPr>
                <w:rFonts w:ascii="Calibri" w:hAnsi="Calibri"/>
                <w:sz w:val="20"/>
              </w:rPr>
              <w:t>£202</w:t>
            </w:r>
          </w:p>
        </w:tc>
      </w:tr>
      <w:tr w:rsidR="006A18FD">
        <w:trPr>
          <w:trHeight w:val="220"/>
        </w:trPr>
        <w:tc>
          <w:tcPr>
            <w:tcW w:w="8217" w:type="dxa"/>
            <w:tcBorders>
              <w:top w:val="nil"/>
            </w:tcBorders>
          </w:tcPr>
          <w:p w:rsidR="006A18FD" w:rsidRDefault="002D29FC">
            <w:pPr>
              <w:spacing w:line="205" w:lineRule="exact"/>
              <w:ind w:left="103"/>
              <w:rPr>
                <w:rFonts w:ascii="Calibri"/>
                <w:sz w:val="20"/>
              </w:rPr>
            </w:pPr>
            <w:r>
              <w:rPr>
                <w:rFonts w:ascii="Calibri"/>
                <w:sz w:val="20"/>
              </w:rPr>
              <w:t>Outpatient non-medical specialist palliative care attendance</w:t>
            </w:r>
          </w:p>
        </w:tc>
        <w:tc>
          <w:tcPr>
            <w:tcW w:w="1826" w:type="dxa"/>
            <w:tcBorders>
              <w:top w:val="nil"/>
            </w:tcBorders>
          </w:tcPr>
          <w:p w:rsidR="006A18FD" w:rsidRDefault="002D29FC">
            <w:pPr>
              <w:spacing w:line="205" w:lineRule="exact"/>
              <w:ind w:left="637" w:right="635"/>
              <w:jc w:val="center"/>
              <w:rPr>
                <w:rFonts w:ascii="Calibri" w:hAnsi="Calibri"/>
                <w:sz w:val="20"/>
              </w:rPr>
            </w:pPr>
            <w:r>
              <w:rPr>
                <w:rFonts w:ascii="Calibri" w:hAnsi="Calibri"/>
                <w:sz w:val="20"/>
              </w:rPr>
              <w:t>£70</w:t>
            </w:r>
          </w:p>
        </w:tc>
      </w:tr>
      <w:tr w:rsidR="006A18FD">
        <w:trPr>
          <w:trHeight w:val="360"/>
        </w:trPr>
        <w:tc>
          <w:tcPr>
            <w:tcW w:w="8217" w:type="dxa"/>
            <w:tcBorders>
              <w:bottom w:val="nil"/>
            </w:tcBorders>
          </w:tcPr>
          <w:p w:rsidR="006A18FD" w:rsidRDefault="002D29FC">
            <w:pPr>
              <w:spacing w:before="75"/>
              <w:ind w:left="103"/>
              <w:rPr>
                <w:rFonts w:ascii="Calibri"/>
                <w:b/>
                <w:sz w:val="20"/>
              </w:rPr>
            </w:pPr>
            <w:r>
              <w:rPr>
                <w:rFonts w:ascii="Calibri"/>
                <w:b/>
                <w:sz w:val="20"/>
              </w:rPr>
              <w:t>AMBULANCE SERVICES (Weighted average of attendances)</w:t>
            </w:r>
          </w:p>
        </w:tc>
        <w:tc>
          <w:tcPr>
            <w:tcW w:w="1826" w:type="dxa"/>
            <w:tcBorders>
              <w:bottom w:val="nil"/>
            </w:tcBorders>
          </w:tcPr>
          <w:p w:rsidR="006A18FD" w:rsidRDefault="006A18FD">
            <w:pPr>
              <w:rPr>
                <w:rFonts w:ascii="Times New Roman"/>
                <w:sz w:val="18"/>
              </w:rPr>
            </w:pPr>
          </w:p>
        </w:tc>
      </w:tr>
      <w:tr w:rsidR="006A18FD">
        <w:trPr>
          <w:trHeight w:val="260"/>
        </w:trPr>
        <w:tc>
          <w:tcPr>
            <w:tcW w:w="8217" w:type="dxa"/>
            <w:tcBorders>
              <w:top w:val="nil"/>
              <w:bottom w:val="nil"/>
            </w:tcBorders>
          </w:tcPr>
          <w:p w:rsidR="006A18FD" w:rsidRDefault="002D29FC">
            <w:pPr>
              <w:spacing w:before="20" w:line="239" w:lineRule="exact"/>
              <w:ind w:left="103"/>
              <w:rPr>
                <w:rFonts w:ascii="Calibri"/>
                <w:sz w:val="20"/>
              </w:rPr>
            </w:pPr>
            <w:r>
              <w:rPr>
                <w:rFonts w:ascii="Calibri"/>
                <w:sz w:val="20"/>
              </w:rPr>
              <w:t>Calls</w:t>
            </w:r>
          </w:p>
        </w:tc>
        <w:tc>
          <w:tcPr>
            <w:tcW w:w="1826" w:type="dxa"/>
            <w:tcBorders>
              <w:top w:val="nil"/>
              <w:bottom w:val="nil"/>
            </w:tcBorders>
          </w:tcPr>
          <w:p w:rsidR="006A18FD" w:rsidRDefault="002D29FC">
            <w:pPr>
              <w:spacing w:before="20" w:line="239" w:lineRule="exact"/>
              <w:ind w:left="637" w:right="529"/>
              <w:jc w:val="center"/>
              <w:rPr>
                <w:rFonts w:ascii="Calibri" w:hAnsi="Calibri"/>
                <w:sz w:val="20"/>
              </w:rPr>
            </w:pPr>
            <w:r>
              <w:rPr>
                <w:rFonts w:ascii="Calibri" w:hAnsi="Calibri"/>
                <w:sz w:val="20"/>
              </w:rPr>
              <w:t>£7</w:t>
            </w:r>
          </w:p>
        </w:tc>
      </w:tr>
      <w:tr w:rsidR="006A18FD">
        <w:trPr>
          <w:trHeight w:val="220"/>
        </w:trPr>
        <w:tc>
          <w:tcPr>
            <w:tcW w:w="8217" w:type="dxa"/>
            <w:tcBorders>
              <w:top w:val="nil"/>
              <w:bottom w:val="nil"/>
            </w:tcBorders>
          </w:tcPr>
          <w:p w:rsidR="006A18FD" w:rsidRDefault="002D29FC">
            <w:pPr>
              <w:spacing w:line="213" w:lineRule="exact"/>
              <w:ind w:left="103"/>
              <w:rPr>
                <w:rFonts w:ascii="Calibri"/>
                <w:sz w:val="20"/>
              </w:rPr>
            </w:pPr>
            <w:r>
              <w:rPr>
                <w:rFonts w:ascii="Calibri"/>
                <w:sz w:val="20"/>
              </w:rPr>
              <w:t>Hear and treat and refer</w:t>
            </w:r>
          </w:p>
        </w:tc>
        <w:tc>
          <w:tcPr>
            <w:tcW w:w="1826" w:type="dxa"/>
            <w:tcBorders>
              <w:top w:val="nil"/>
              <w:bottom w:val="nil"/>
            </w:tcBorders>
          </w:tcPr>
          <w:p w:rsidR="006A18FD" w:rsidRDefault="002D29FC">
            <w:pPr>
              <w:spacing w:line="213" w:lineRule="exact"/>
              <w:ind w:left="637" w:right="635"/>
              <w:jc w:val="center"/>
              <w:rPr>
                <w:rFonts w:ascii="Calibri" w:hAnsi="Calibri"/>
                <w:sz w:val="20"/>
              </w:rPr>
            </w:pPr>
            <w:r>
              <w:rPr>
                <w:rFonts w:ascii="Calibri" w:hAnsi="Calibri"/>
                <w:sz w:val="20"/>
              </w:rPr>
              <w:t>£38</w:t>
            </w:r>
          </w:p>
        </w:tc>
      </w:tr>
      <w:tr w:rsidR="006A18FD">
        <w:trPr>
          <w:trHeight w:val="240"/>
        </w:trPr>
        <w:tc>
          <w:tcPr>
            <w:tcW w:w="8217" w:type="dxa"/>
            <w:tcBorders>
              <w:top w:val="nil"/>
              <w:bottom w:val="nil"/>
            </w:tcBorders>
          </w:tcPr>
          <w:p w:rsidR="006A18FD" w:rsidRDefault="002D29FC">
            <w:pPr>
              <w:spacing w:line="225" w:lineRule="exact"/>
              <w:ind w:left="103"/>
              <w:rPr>
                <w:rFonts w:ascii="Calibri"/>
                <w:sz w:val="13"/>
              </w:rPr>
            </w:pPr>
            <w:r>
              <w:rPr>
                <w:rFonts w:ascii="Calibri"/>
                <w:position w:val="1"/>
                <w:sz w:val="20"/>
              </w:rPr>
              <w:t>See and treat and refer (including carbon 43 kgCO</w:t>
            </w:r>
            <w:r>
              <w:rPr>
                <w:rFonts w:ascii="Calibri"/>
                <w:sz w:val="13"/>
              </w:rPr>
              <w:t>2</w:t>
            </w:r>
            <w:r>
              <w:rPr>
                <w:rFonts w:ascii="Calibri"/>
                <w:position w:val="1"/>
                <w:sz w:val="20"/>
              </w:rPr>
              <w:t>e)</w:t>
            </w:r>
            <w:r>
              <w:rPr>
                <w:rFonts w:ascii="Calibri"/>
                <w:position w:val="8"/>
                <w:sz w:val="13"/>
              </w:rPr>
              <w:t>2</w:t>
            </w:r>
          </w:p>
        </w:tc>
        <w:tc>
          <w:tcPr>
            <w:tcW w:w="1826" w:type="dxa"/>
            <w:tcBorders>
              <w:top w:val="nil"/>
              <w:bottom w:val="nil"/>
            </w:tcBorders>
          </w:tcPr>
          <w:p w:rsidR="006A18FD" w:rsidRDefault="002D29FC">
            <w:pPr>
              <w:spacing w:line="225" w:lineRule="exact"/>
              <w:ind w:left="659"/>
              <w:rPr>
                <w:rFonts w:ascii="Calibri" w:hAnsi="Calibri"/>
                <w:sz w:val="20"/>
              </w:rPr>
            </w:pPr>
            <w:r>
              <w:rPr>
                <w:rFonts w:ascii="Calibri" w:hAnsi="Calibri"/>
                <w:sz w:val="20"/>
              </w:rPr>
              <w:t>£196 (£)</w:t>
            </w:r>
          </w:p>
        </w:tc>
      </w:tr>
      <w:tr w:rsidR="006A18FD">
        <w:trPr>
          <w:trHeight w:val="260"/>
        </w:trPr>
        <w:tc>
          <w:tcPr>
            <w:tcW w:w="8217" w:type="dxa"/>
            <w:tcBorders>
              <w:top w:val="nil"/>
              <w:bottom w:val="nil"/>
            </w:tcBorders>
          </w:tcPr>
          <w:p w:rsidR="006A18FD" w:rsidRDefault="002D29FC">
            <w:pPr>
              <w:spacing w:line="234" w:lineRule="exact"/>
              <w:ind w:left="103"/>
              <w:rPr>
                <w:rFonts w:ascii="Calibri"/>
                <w:sz w:val="13"/>
              </w:rPr>
            </w:pPr>
            <w:r>
              <w:rPr>
                <w:rFonts w:ascii="Calibri"/>
                <w:position w:val="1"/>
                <w:sz w:val="20"/>
              </w:rPr>
              <w:t>See and treat and convey (including carbon 56 kgCO</w:t>
            </w:r>
            <w:r>
              <w:rPr>
                <w:rFonts w:ascii="Calibri"/>
                <w:sz w:val="13"/>
              </w:rPr>
              <w:t>2</w:t>
            </w:r>
            <w:r>
              <w:rPr>
                <w:rFonts w:ascii="Calibri"/>
                <w:position w:val="1"/>
                <w:sz w:val="20"/>
              </w:rPr>
              <w:t>e)</w:t>
            </w:r>
            <w:r>
              <w:rPr>
                <w:rFonts w:ascii="Calibri"/>
                <w:position w:val="8"/>
                <w:sz w:val="13"/>
              </w:rPr>
              <w:t>2</w:t>
            </w:r>
          </w:p>
        </w:tc>
        <w:tc>
          <w:tcPr>
            <w:tcW w:w="1826" w:type="dxa"/>
            <w:tcBorders>
              <w:top w:val="nil"/>
              <w:bottom w:val="nil"/>
            </w:tcBorders>
          </w:tcPr>
          <w:p w:rsidR="006A18FD" w:rsidRDefault="002D29FC">
            <w:pPr>
              <w:spacing w:line="235" w:lineRule="exact"/>
              <w:ind w:left="659"/>
              <w:rPr>
                <w:rFonts w:ascii="Calibri" w:hAnsi="Calibri"/>
                <w:sz w:val="20"/>
              </w:rPr>
            </w:pPr>
            <w:r>
              <w:rPr>
                <w:rFonts w:ascii="Calibri" w:hAnsi="Calibri"/>
                <w:sz w:val="20"/>
              </w:rPr>
              <w:t>£258 (£)</w:t>
            </w:r>
          </w:p>
        </w:tc>
      </w:tr>
      <w:tr w:rsidR="006A18FD">
        <w:trPr>
          <w:trHeight w:val="260"/>
        </w:trPr>
        <w:tc>
          <w:tcPr>
            <w:tcW w:w="8217" w:type="dxa"/>
            <w:tcBorders>
              <w:top w:val="nil"/>
              <w:bottom w:val="nil"/>
            </w:tcBorders>
          </w:tcPr>
          <w:p w:rsidR="006A18FD" w:rsidRDefault="002D29FC">
            <w:pPr>
              <w:spacing w:line="243" w:lineRule="exact"/>
              <w:ind w:left="103"/>
              <w:rPr>
                <w:rFonts w:ascii="Calibri"/>
                <w:sz w:val="20"/>
              </w:rPr>
            </w:pPr>
            <w:r>
              <w:rPr>
                <w:rFonts w:ascii="Calibri"/>
                <w:sz w:val="20"/>
              </w:rPr>
              <w:t>Weighted average of all</w:t>
            </w:r>
          </w:p>
        </w:tc>
        <w:tc>
          <w:tcPr>
            <w:tcW w:w="1826" w:type="dxa"/>
            <w:tcBorders>
              <w:top w:val="nil"/>
              <w:bottom w:val="nil"/>
            </w:tcBorders>
          </w:tcPr>
          <w:p w:rsidR="006A18FD" w:rsidRDefault="002D29FC">
            <w:pPr>
              <w:spacing w:line="243" w:lineRule="exact"/>
              <w:ind w:left="636" w:right="732"/>
              <w:jc w:val="center"/>
              <w:rPr>
                <w:rFonts w:ascii="Calibri" w:hAnsi="Calibri"/>
                <w:sz w:val="20"/>
              </w:rPr>
            </w:pPr>
            <w:r>
              <w:rPr>
                <w:rFonts w:ascii="Calibri" w:hAnsi="Calibri"/>
                <w:sz w:val="20"/>
              </w:rPr>
              <w:t>£125</w:t>
            </w:r>
          </w:p>
        </w:tc>
      </w:tr>
      <w:tr w:rsidR="006A18FD">
        <w:trPr>
          <w:trHeight w:val="240"/>
        </w:trPr>
        <w:tc>
          <w:tcPr>
            <w:tcW w:w="8217" w:type="dxa"/>
            <w:tcBorders>
              <w:top w:val="nil"/>
              <w:bottom w:val="nil"/>
            </w:tcBorders>
          </w:tcPr>
          <w:p w:rsidR="006A18FD" w:rsidRDefault="002D29FC">
            <w:pPr>
              <w:spacing w:line="225" w:lineRule="exact"/>
              <w:ind w:left="103"/>
              <w:rPr>
                <w:rFonts w:ascii="Calibri"/>
                <w:b/>
                <w:sz w:val="20"/>
              </w:rPr>
            </w:pPr>
            <w:r>
              <w:rPr>
                <w:rFonts w:ascii="Calibri"/>
                <w:b/>
                <w:sz w:val="20"/>
              </w:rPr>
              <w:t>COMMUNITY SERVICES,  average cost per group session (one-to-one)</w:t>
            </w:r>
          </w:p>
        </w:tc>
        <w:tc>
          <w:tcPr>
            <w:tcW w:w="1826" w:type="dxa"/>
            <w:tcBorders>
              <w:top w:val="nil"/>
              <w:bottom w:val="nil"/>
            </w:tcBorders>
          </w:tcPr>
          <w:p w:rsidR="006A18FD" w:rsidRDefault="006A18FD">
            <w:pPr>
              <w:rPr>
                <w:rFonts w:ascii="Times New Roman"/>
                <w:sz w:val="16"/>
              </w:rPr>
            </w:pPr>
          </w:p>
        </w:tc>
      </w:tr>
      <w:tr w:rsidR="006A18FD">
        <w:trPr>
          <w:trHeight w:val="260"/>
        </w:trPr>
        <w:tc>
          <w:tcPr>
            <w:tcW w:w="8217" w:type="dxa"/>
            <w:tcBorders>
              <w:top w:val="nil"/>
              <w:bottom w:val="nil"/>
            </w:tcBorders>
          </w:tcPr>
          <w:p w:rsidR="006A18FD" w:rsidRDefault="002D29FC">
            <w:pPr>
              <w:spacing w:line="226" w:lineRule="exact"/>
              <w:ind w:left="103"/>
              <w:rPr>
                <w:rFonts w:ascii="Calibri"/>
                <w:sz w:val="20"/>
              </w:rPr>
            </w:pPr>
            <w:r>
              <w:rPr>
                <w:rFonts w:ascii="Calibri"/>
                <w:sz w:val="20"/>
              </w:rPr>
              <w:t>Physiotherapy</w:t>
            </w:r>
          </w:p>
        </w:tc>
        <w:tc>
          <w:tcPr>
            <w:tcW w:w="1826" w:type="dxa"/>
            <w:tcBorders>
              <w:top w:val="nil"/>
              <w:bottom w:val="nil"/>
            </w:tcBorders>
          </w:tcPr>
          <w:p w:rsidR="006A18FD" w:rsidRDefault="002D29FC">
            <w:pPr>
              <w:spacing w:line="226" w:lineRule="exact"/>
              <w:ind w:right="280"/>
              <w:jc w:val="right"/>
              <w:rPr>
                <w:rFonts w:ascii="Calibri" w:hAnsi="Calibri"/>
                <w:sz w:val="20"/>
              </w:rPr>
            </w:pPr>
            <w:r>
              <w:rPr>
                <w:rFonts w:ascii="Calibri" w:hAnsi="Calibri"/>
                <w:sz w:val="20"/>
              </w:rPr>
              <w:t>£46 (£54)</w:t>
            </w:r>
          </w:p>
        </w:tc>
      </w:tr>
      <w:tr w:rsidR="006A18FD">
        <w:trPr>
          <w:trHeight w:val="280"/>
        </w:trPr>
        <w:tc>
          <w:tcPr>
            <w:tcW w:w="8217" w:type="dxa"/>
            <w:tcBorders>
              <w:top w:val="nil"/>
              <w:bottom w:val="nil"/>
            </w:tcBorders>
          </w:tcPr>
          <w:p w:rsidR="006A18FD" w:rsidRDefault="002D29FC">
            <w:pPr>
              <w:spacing w:before="1"/>
              <w:ind w:left="103"/>
              <w:rPr>
                <w:rFonts w:ascii="Calibri"/>
                <w:sz w:val="20"/>
              </w:rPr>
            </w:pPr>
            <w:r>
              <w:rPr>
                <w:rFonts w:ascii="Calibri"/>
                <w:sz w:val="20"/>
              </w:rPr>
              <w:t>Occupational therapy</w:t>
            </w:r>
          </w:p>
        </w:tc>
        <w:tc>
          <w:tcPr>
            <w:tcW w:w="1826" w:type="dxa"/>
            <w:tcBorders>
              <w:top w:val="nil"/>
              <w:bottom w:val="nil"/>
            </w:tcBorders>
          </w:tcPr>
          <w:p w:rsidR="006A18FD" w:rsidRDefault="002D29FC">
            <w:pPr>
              <w:spacing w:before="1"/>
              <w:ind w:right="280"/>
              <w:jc w:val="right"/>
              <w:rPr>
                <w:rFonts w:ascii="Calibri" w:hAnsi="Calibri"/>
                <w:sz w:val="20"/>
              </w:rPr>
            </w:pPr>
            <w:r>
              <w:rPr>
                <w:rFonts w:ascii="Calibri" w:hAnsi="Calibri"/>
                <w:sz w:val="20"/>
              </w:rPr>
              <w:t>£70 (£78)</w:t>
            </w:r>
          </w:p>
        </w:tc>
      </w:tr>
      <w:tr w:rsidR="006A18FD">
        <w:trPr>
          <w:trHeight w:val="280"/>
        </w:trPr>
        <w:tc>
          <w:tcPr>
            <w:tcW w:w="8217" w:type="dxa"/>
            <w:tcBorders>
              <w:top w:val="nil"/>
              <w:bottom w:val="nil"/>
            </w:tcBorders>
          </w:tcPr>
          <w:p w:rsidR="006A18FD" w:rsidRDefault="002D29FC">
            <w:pPr>
              <w:spacing w:before="1"/>
              <w:ind w:left="103"/>
              <w:rPr>
                <w:rFonts w:ascii="Calibri"/>
                <w:sz w:val="20"/>
              </w:rPr>
            </w:pPr>
            <w:r>
              <w:rPr>
                <w:rFonts w:ascii="Calibri"/>
                <w:sz w:val="20"/>
              </w:rPr>
              <w:t>Speech therapy services</w:t>
            </w:r>
          </w:p>
        </w:tc>
        <w:tc>
          <w:tcPr>
            <w:tcW w:w="1826" w:type="dxa"/>
            <w:tcBorders>
              <w:top w:val="nil"/>
              <w:bottom w:val="nil"/>
            </w:tcBorders>
          </w:tcPr>
          <w:p w:rsidR="006A18FD" w:rsidRDefault="002D29FC">
            <w:pPr>
              <w:spacing w:before="1"/>
              <w:ind w:right="280"/>
              <w:jc w:val="right"/>
              <w:rPr>
                <w:rFonts w:ascii="Calibri" w:hAnsi="Calibri"/>
                <w:sz w:val="20"/>
              </w:rPr>
            </w:pPr>
            <w:r>
              <w:rPr>
                <w:rFonts w:ascii="Calibri" w:hAnsi="Calibri"/>
                <w:sz w:val="20"/>
              </w:rPr>
              <w:t>£119 (£97)</w:t>
            </w:r>
          </w:p>
        </w:tc>
      </w:tr>
      <w:tr w:rsidR="006A18FD">
        <w:trPr>
          <w:trHeight w:val="280"/>
        </w:trPr>
        <w:tc>
          <w:tcPr>
            <w:tcW w:w="8217" w:type="dxa"/>
            <w:tcBorders>
              <w:top w:val="nil"/>
            </w:tcBorders>
          </w:tcPr>
          <w:p w:rsidR="006A18FD" w:rsidRDefault="002D29FC">
            <w:pPr>
              <w:spacing w:before="1"/>
              <w:ind w:left="103"/>
              <w:rPr>
                <w:rFonts w:ascii="Calibri"/>
                <w:sz w:val="20"/>
              </w:rPr>
            </w:pPr>
            <w:r>
              <w:rPr>
                <w:rFonts w:ascii="Calibri"/>
                <w:sz w:val="20"/>
              </w:rPr>
              <w:t>Dietician</w:t>
            </w:r>
          </w:p>
        </w:tc>
        <w:tc>
          <w:tcPr>
            <w:tcW w:w="1826" w:type="dxa"/>
            <w:tcBorders>
              <w:top w:val="nil"/>
            </w:tcBorders>
          </w:tcPr>
          <w:p w:rsidR="006A18FD" w:rsidRDefault="002D29FC">
            <w:pPr>
              <w:spacing w:before="1"/>
              <w:ind w:left="637" w:right="635"/>
              <w:jc w:val="center"/>
              <w:rPr>
                <w:rFonts w:ascii="Calibri" w:hAnsi="Calibri"/>
                <w:sz w:val="20"/>
              </w:rPr>
            </w:pPr>
            <w:r>
              <w:rPr>
                <w:rFonts w:ascii="Calibri" w:hAnsi="Calibri"/>
                <w:sz w:val="20"/>
              </w:rPr>
              <w:t>£86</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1"/>
        <w:rPr>
          <w:rFonts w:ascii="Calibri"/>
        </w:rPr>
      </w:pPr>
    </w:p>
    <w:p w:rsidR="006A18FD" w:rsidRDefault="002D29FC">
      <w:pPr>
        <w:spacing w:before="1"/>
        <w:ind w:left="423" w:right="195"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Leeds. </w:t>
      </w:r>
      <w:hyperlink r:id="rId244">
        <w:r>
          <w:rPr>
            <w:rFonts w:ascii="Calibri"/>
            <w:sz w:val="16"/>
            <w:u w:val="single"/>
          </w:rPr>
          <w:t>https://improvement.nhs.uk/resources/reference-</w:t>
        </w:r>
      </w:hyperlink>
      <w:r>
        <w:rPr>
          <w:rFonts w:ascii="Calibri"/>
          <w:sz w:val="16"/>
        </w:rPr>
        <w:t xml:space="preserve"> </w:t>
      </w:r>
      <w:hyperlink r:id="rId245">
        <w:r>
          <w:rPr>
            <w:rFonts w:ascii="Calibri"/>
            <w:sz w:val="16"/>
            <w:u w:val="single"/>
          </w:rPr>
          <w:t>costs/</w:t>
        </w:r>
        <w:r>
          <w:rPr>
            <w:rFonts w:ascii="Calibri"/>
            <w:sz w:val="16"/>
          </w:rPr>
          <w:t xml:space="preserve"> </w:t>
        </w:r>
      </w:hyperlink>
      <w:r>
        <w:rPr>
          <w:rFonts w:ascii="Calibri"/>
          <w:sz w:val="16"/>
        </w:rPr>
        <w:t>[accessed 1 November 2019].</w:t>
      </w:r>
    </w:p>
    <w:p w:rsidR="006A18FD" w:rsidRDefault="002D29FC">
      <w:pPr>
        <w:spacing w:before="1"/>
        <w:ind w:left="423" w:right="239" w:hanging="284"/>
        <w:rPr>
          <w:rFonts w:ascii="Calibri"/>
          <w:sz w:val="16"/>
        </w:rPr>
      </w:pPr>
      <w:r>
        <w:rPr>
          <w:rFonts w:ascii="Calibri"/>
          <w:position w:val="5"/>
          <w:sz w:val="10"/>
        </w:rPr>
        <w:t xml:space="preserve">2 </w:t>
      </w:r>
      <w:r>
        <w:rPr>
          <w:rFonts w:ascii="Calibri"/>
          <w:sz w:val="16"/>
        </w:rPr>
        <w:t xml:space="preserve">The cost of carbon emissions from patient and staff travel, electricity and gas for the building, along with embedded emissions in the goods and services used to provide the appointment. Based on the Sustainable Development Unit carbon footprint of the health, social care and public health system: </w:t>
      </w:r>
      <w:hyperlink r:id="rId246">
        <w:r>
          <w:rPr>
            <w:rFonts w:ascii="Calibri"/>
            <w:sz w:val="16"/>
            <w:u w:val="single"/>
          </w:rPr>
          <w:t>https://www.sduhealth.org.uk/policy-strategy/reporting/natural-resource-footprint-2018.aspx.See</w:t>
        </w:r>
        <w:r>
          <w:rPr>
            <w:rFonts w:ascii="Calibri"/>
            <w:sz w:val="16"/>
          </w:rPr>
          <w:t xml:space="preserve"> </w:t>
        </w:r>
      </w:hyperlink>
      <w:r>
        <w:rPr>
          <w:rFonts w:ascii="Calibri"/>
          <w:sz w:val="16"/>
        </w:rPr>
        <w:t>Preface for more information.</w:t>
      </w:r>
    </w:p>
    <w:p w:rsidR="006A18FD" w:rsidRDefault="002D29FC">
      <w:pPr>
        <w:spacing w:before="1"/>
        <w:ind w:left="423" w:hanging="284"/>
        <w:rPr>
          <w:rFonts w:ascii="Calibri"/>
          <w:sz w:val="16"/>
        </w:rPr>
      </w:pPr>
      <w:r>
        <w:rPr>
          <w:rFonts w:ascii="Calibri"/>
          <w:position w:val="5"/>
          <w:sz w:val="10"/>
        </w:rPr>
        <w:t xml:space="preserve">3 </w:t>
      </w:r>
      <w:r>
        <w:rPr>
          <w:rFonts w:ascii="Calibri"/>
          <w:sz w:val="16"/>
        </w:rPr>
        <w:t xml:space="preserve">See also Grant, P. (2015) How much does a diabetes out-patient appointment actually cost? An argument for PLICS, </w:t>
      </w:r>
      <w:r>
        <w:rPr>
          <w:rFonts w:ascii="Calibri"/>
          <w:i/>
          <w:sz w:val="16"/>
        </w:rPr>
        <w:t>Journal of Health Organisation and Management</w:t>
      </w:r>
      <w:r>
        <w:rPr>
          <w:rFonts w:ascii="Calibri"/>
          <w:sz w:val="16"/>
        </w:rPr>
        <w:t xml:space="preserve">, 29, 2, 2015. </w:t>
      </w:r>
      <w:hyperlink r:id="rId247">
        <w:r>
          <w:rPr>
            <w:rFonts w:ascii="Calibri"/>
            <w:sz w:val="16"/>
            <w:u w:val="single"/>
          </w:rPr>
          <w:t>http://www.emeraldinsight.com/doi/pdfplus/10.1108/JHOM-01-2012-0005</w:t>
        </w:r>
      </w:hyperlink>
    </w:p>
    <w:p w:rsidR="006A18FD" w:rsidRDefault="006A18FD">
      <w:pPr>
        <w:rPr>
          <w:rFonts w:ascii="Calibri"/>
          <w:sz w:val="16"/>
        </w:rPr>
        <w:sectPr w:rsidR="006A18FD">
          <w:headerReference w:type="even" r:id="rId248"/>
          <w:headerReference w:type="default" r:id="rId249"/>
          <w:pgSz w:w="11910" w:h="16840"/>
          <w:pgMar w:top="960" w:right="980" w:bottom="280" w:left="580" w:header="751" w:footer="0" w:gutter="0"/>
          <w:pgNumType w:start="82"/>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7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80" name="Line 13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A44021" id="Group 13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">
                <v:line id="Line 13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w10:anchorlock/>
              </v:group>
            </w:pict>
          </mc:Fallback>
        </mc:AlternateContent>
      </w:r>
    </w:p>
    <w:p w:rsidR="006A18FD" w:rsidRDefault="008D2D0B" w:rsidP="008D2D0B">
      <w:pPr>
        <w:pStyle w:val="Heading2"/>
      </w:pPr>
      <w:r>
        <w:t xml:space="preserve">7.2 </w:t>
      </w:r>
      <w:r w:rsidR="002D29FC">
        <w:t>NHS</w:t>
      </w:r>
      <w:r w:rsidR="002D29FC">
        <w:rPr>
          <w:spacing w:val="-5"/>
        </w:rPr>
        <w:t xml:space="preserve"> </w:t>
      </w:r>
      <w:r w:rsidR="002D29FC">
        <w:t>wheelchairs</w:t>
      </w:r>
    </w:p>
    <w:p w:rsidR="006A18FD" w:rsidRDefault="002D29FC">
      <w:pPr>
        <w:spacing w:before="172" w:line="276" w:lineRule="auto"/>
        <w:ind w:left="152" w:right="148"/>
        <w:rPr>
          <w:rFonts w:ascii="Calibri"/>
          <w:sz w:val="20"/>
        </w:rPr>
      </w:pPr>
      <w:r>
        <w:rPr>
          <w:rFonts w:ascii="Calibri"/>
          <w:sz w:val="20"/>
        </w:rPr>
        <w:t>Information about wheelchair costs is based on the results of a study of six sites supplying wheelchairs to adults and older people.</w:t>
      </w:r>
      <w:r>
        <w:rPr>
          <w:rFonts w:ascii="Calibri"/>
          <w:color w:val="221F1F"/>
          <w:position w:val="7"/>
          <w:sz w:val="13"/>
        </w:rPr>
        <w:t xml:space="preserve">1 </w:t>
      </w:r>
      <w:r>
        <w:rPr>
          <w:rFonts w:ascii="Calibri"/>
          <w:sz w:val="20"/>
        </w:rPr>
        <w:t>The study information was supplemented with national data not available from the sites. Three main types are identified: those propelled by an attendant or self-propelled; a lighter type of chair especially designed for active users; and powered wheelchairs. (Active users are difficult to define, but generally refer to individuals who are permanently restricted to a wheelchair but are otherwise well.) The cost of modifications is included in the estimated capital value, but this is a very approximate mid-range figure so specific information should be used wherever possible. All costs have been uprated using the retail price index.</w:t>
      </w:r>
    </w:p>
    <w:p w:rsidR="006A18FD" w:rsidRDefault="002D29FC">
      <w:pPr>
        <w:spacing w:before="116" w:line="276" w:lineRule="auto"/>
        <w:ind w:left="152" w:right="617"/>
        <w:rPr>
          <w:rFonts w:ascii="Calibri" w:hAnsi="Calibri"/>
          <w:sz w:val="20"/>
        </w:rPr>
      </w:pPr>
      <w:r>
        <w:rPr>
          <w:rFonts w:ascii="Calibri" w:hAnsi="Calibri"/>
          <w:sz w:val="20"/>
        </w:rPr>
        <w:t>Although we have been unable to identify any recent studies on wheelchairs, current price information</w:t>
      </w:r>
      <w:r>
        <w:rPr>
          <w:rFonts w:ascii="Calibri" w:hAnsi="Calibri"/>
          <w:position w:val="7"/>
          <w:sz w:val="13"/>
        </w:rPr>
        <w:t xml:space="preserve">2 </w:t>
      </w:r>
      <w:r>
        <w:rPr>
          <w:rFonts w:ascii="Calibri" w:hAnsi="Calibri"/>
          <w:sz w:val="20"/>
        </w:rPr>
        <w:t>suggests that powered wheelchairs range from £1000-£5000 and self- or attendant-propelled wheelchairs range from £100-£1,300.</w:t>
      </w:r>
    </w:p>
    <w:p w:rsidR="006A18FD" w:rsidRDefault="006A18FD">
      <w:pPr>
        <w:spacing w:before="8"/>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1258"/>
        <w:gridCol w:w="1260"/>
        <w:gridCol w:w="4910"/>
      </w:tblGrid>
      <w:tr w:rsidR="006A18FD" w:rsidTr="005B5AB5">
        <w:trPr>
          <w:trHeight w:val="600"/>
          <w:tblHeader/>
        </w:trPr>
        <w:tc>
          <w:tcPr>
            <w:tcW w:w="2616" w:type="dxa"/>
          </w:tcPr>
          <w:p w:rsidR="006A18FD" w:rsidRDefault="002D29FC">
            <w:pPr>
              <w:spacing w:before="1"/>
              <w:ind w:left="105"/>
              <w:rPr>
                <w:rFonts w:ascii="Calibri"/>
                <w:b/>
                <w:sz w:val="20"/>
              </w:rPr>
            </w:pPr>
            <w:r>
              <w:rPr>
                <w:rFonts w:ascii="Calibri"/>
                <w:b/>
                <w:sz w:val="20"/>
              </w:rPr>
              <w:t>Type of chair</w:t>
            </w:r>
          </w:p>
        </w:tc>
        <w:tc>
          <w:tcPr>
            <w:tcW w:w="1258" w:type="dxa"/>
          </w:tcPr>
          <w:p w:rsidR="006A18FD" w:rsidRDefault="002D29FC">
            <w:pPr>
              <w:spacing w:before="1"/>
              <w:ind w:left="178" w:hanging="12"/>
              <w:rPr>
                <w:rFonts w:ascii="Calibri"/>
                <w:b/>
                <w:sz w:val="20"/>
              </w:rPr>
            </w:pPr>
            <w:r>
              <w:rPr>
                <w:rFonts w:ascii="Calibri"/>
                <w:b/>
                <w:sz w:val="20"/>
              </w:rPr>
              <w:t>Total value 2018/2019</w:t>
            </w:r>
          </w:p>
        </w:tc>
        <w:tc>
          <w:tcPr>
            <w:tcW w:w="1260" w:type="dxa"/>
          </w:tcPr>
          <w:p w:rsidR="006A18FD" w:rsidRDefault="002D29FC">
            <w:pPr>
              <w:spacing w:before="1"/>
              <w:ind w:left="179" w:right="115" w:hanging="41"/>
              <w:rPr>
                <w:rFonts w:ascii="Calibri"/>
                <w:b/>
                <w:sz w:val="20"/>
              </w:rPr>
            </w:pPr>
            <w:r>
              <w:rPr>
                <w:rFonts w:ascii="Calibri"/>
                <w:b/>
                <w:sz w:val="20"/>
              </w:rPr>
              <w:t>Annual cost 2018/2019</w:t>
            </w:r>
          </w:p>
        </w:tc>
        <w:tc>
          <w:tcPr>
            <w:tcW w:w="4909" w:type="dxa"/>
          </w:tcPr>
          <w:p w:rsidR="006A18FD" w:rsidRDefault="002D29FC">
            <w:pPr>
              <w:spacing w:before="1"/>
              <w:ind w:left="2184" w:right="2184"/>
              <w:jc w:val="center"/>
              <w:rPr>
                <w:rFonts w:ascii="Calibri"/>
                <w:b/>
                <w:sz w:val="20"/>
              </w:rPr>
            </w:pPr>
            <w:r>
              <w:rPr>
                <w:rFonts w:ascii="Calibri"/>
                <w:b/>
                <w:sz w:val="20"/>
              </w:rPr>
              <w:t>Notes</w:t>
            </w:r>
          </w:p>
        </w:tc>
      </w:tr>
      <w:tr w:rsidR="006A18FD">
        <w:trPr>
          <w:trHeight w:val="260"/>
        </w:trPr>
        <w:tc>
          <w:tcPr>
            <w:tcW w:w="2616" w:type="dxa"/>
            <w:tcBorders>
              <w:bottom w:val="nil"/>
            </w:tcBorders>
          </w:tcPr>
          <w:p w:rsidR="006A18FD" w:rsidRDefault="002D29FC">
            <w:pPr>
              <w:spacing w:line="243" w:lineRule="exact"/>
              <w:ind w:left="105"/>
              <w:rPr>
                <w:rFonts w:ascii="Calibri"/>
                <w:sz w:val="20"/>
              </w:rPr>
            </w:pPr>
            <w:r>
              <w:rPr>
                <w:rFonts w:ascii="Calibri"/>
                <w:sz w:val="20"/>
              </w:rPr>
              <w:t>Capital costs</w:t>
            </w:r>
          </w:p>
        </w:tc>
        <w:tc>
          <w:tcPr>
            <w:tcW w:w="1258" w:type="dxa"/>
            <w:tcBorders>
              <w:bottom w:val="nil"/>
            </w:tcBorders>
          </w:tcPr>
          <w:p w:rsidR="006A18FD" w:rsidRDefault="006A18FD">
            <w:pPr>
              <w:rPr>
                <w:rFonts w:ascii="Times New Roman"/>
                <w:sz w:val="18"/>
              </w:rPr>
            </w:pPr>
          </w:p>
        </w:tc>
        <w:tc>
          <w:tcPr>
            <w:tcW w:w="1260" w:type="dxa"/>
            <w:tcBorders>
              <w:bottom w:val="nil"/>
            </w:tcBorders>
          </w:tcPr>
          <w:p w:rsidR="006A18FD" w:rsidRDefault="006A18FD">
            <w:pPr>
              <w:rPr>
                <w:rFonts w:ascii="Times New Roman"/>
                <w:sz w:val="18"/>
              </w:rPr>
            </w:pPr>
          </w:p>
        </w:tc>
        <w:tc>
          <w:tcPr>
            <w:tcW w:w="4909" w:type="dxa"/>
            <w:tcBorders>
              <w:bottom w:val="nil"/>
            </w:tcBorders>
          </w:tcPr>
          <w:p w:rsidR="006A18FD" w:rsidRDefault="002D29FC">
            <w:pPr>
              <w:spacing w:line="243" w:lineRule="exact"/>
              <w:ind w:left="103"/>
              <w:rPr>
                <w:rFonts w:ascii="Calibri"/>
                <w:sz w:val="20"/>
              </w:rPr>
            </w:pPr>
            <w:r>
              <w:rPr>
                <w:rFonts w:ascii="Calibri"/>
                <w:sz w:val="20"/>
              </w:rPr>
              <w:t>Capital value has been annuitised over five years at a</w:t>
            </w:r>
          </w:p>
        </w:tc>
      </w:tr>
      <w:tr w:rsidR="006A18FD">
        <w:trPr>
          <w:trHeight w:val="460"/>
        </w:trPr>
        <w:tc>
          <w:tcPr>
            <w:tcW w:w="2616" w:type="dxa"/>
            <w:tcBorders>
              <w:top w:val="nil"/>
              <w:bottom w:val="nil"/>
            </w:tcBorders>
          </w:tcPr>
          <w:p w:rsidR="006A18FD" w:rsidRDefault="002D29FC">
            <w:pPr>
              <w:spacing w:before="111"/>
              <w:ind w:left="105"/>
              <w:rPr>
                <w:rFonts w:ascii="Calibri"/>
                <w:sz w:val="20"/>
              </w:rPr>
            </w:pPr>
            <w:r>
              <w:rPr>
                <w:rFonts w:ascii="Calibri"/>
                <w:sz w:val="20"/>
              </w:rPr>
              <w:t>Self- or attendant-propelled</w:t>
            </w:r>
          </w:p>
        </w:tc>
        <w:tc>
          <w:tcPr>
            <w:tcW w:w="1258" w:type="dxa"/>
            <w:tcBorders>
              <w:top w:val="nil"/>
              <w:bottom w:val="nil"/>
            </w:tcBorders>
          </w:tcPr>
          <w:p w:rsidR="006A18FD" w:rsidRDefault="002D29FC">
            <w:pPr>
              <w:spacing w:before="111"/>
              <w:ind w:right="350"/>
              <w:jc w:val="right"/>
              <w:rPr>
                <w:rFonts w:ascii="Calibri" w:hAnsi="Calibri"/>
                <w:sz w:val="20"/>
              </w:rPr>
            </w:pPr>
            <w:r>
              <w:rPr>
                <w:rFonts w:ascii="Calibri" w:hAnsi="Calibri"/>
                <w:sz w:val="20"/>
              </w:rPr>
              <w:t>£315</w:t>
            </w:r>
          </w:p>
        </w:tc>
        <w:tc>
          <w:tcPr>
            <w:tcW w:w="1260" w:type="dxa"/>
            <w:tcBorders>
              <w:top w:val="nil"/>
              <w:bottom w:val="nil"/>
            </w:tcBorders>
          </w:tcPr>
          <w:p w:rsidR="006A18FD" w:rsidRDefault="002D29FC">
            <w:pPr>
              <w:spacing w:before="111"/>
              <w:ind w:right="427"/>
              <w:jc w:val="right"/>
              <w:rPr>
                <w:rFonts w:ascii="Calibri" w:hAnsi="Calibri"/>
                <w:sz w:val="20"/>
              </w:rPr>
            </w:pPr>
            <w:r>
              <w:rPr>
                <w:rFonts w:ascii="Calibri" w:hAnsi="Calibri"/>
                <w:sz w:val="20"/>
              </w:rPr>
              <w:t>£70</w:t>
            </w:r>
          </w:p>
        </w:tc>
        <w:tc>
          <w:tcPr>
            <w:tcW w:w="4909" w:type="dxa"/>
            <w:tcBorders>
              <w:top w:val="nil"/>
              <w:bottom w:val="nil"/>
            </w:tcBorders>
          </w:tcPr>
          <w:p w:rsidR="006A18FD" w:rsidRDefault="002D29FC">
            <w:pPr>
              <w:spacing w:line="226" w:lineRule="exact"/>
              <w:ind w:left="103"/>
              <w:rPr>
                <w:rFonts w:ascii="Calibri"/>
                <w:sz w:val="20"/>
              </w:rPr>
            </w:pPr>
            <w:r>
              <w:rPr>
                <w:rFonts w:ascii="Calibri"/>
                <w:sz w:val="20"/>
              </w:rPr>
              <w:t>discount rate of 3.5 per cent to allow for the expected life</w:t>
            </w:r>
          </w:p>
          <w:p w:rsidR="006A18FD" w:rsidRDefault="002D29FC">
            <w:pPr>
              <w:spacing w:line="225" w:lineRule="exact"/>
              <w:ind w:left="103"/>
              <w:rPr>
                <w:rFonts w:ascii="Calibri"/>
                <w:sz w:val="20"/>
              </w:rPr>
            </w:pPr>
            <w:r>
              <w:rPr>
                <w:rFonts w:ascii="Calibri"/>
                <w:sz w:val="20"/>
              </w:rPr>
              <w:t>of a new chair. In practice, 50 per cent of wheelchairs</w:t>
            </w:r>
          </w:p>
        </w:tc>
      </w:tr>
      <w:tr w:rsidR="006A18FD">
        <w:trPr>
          <w:trHeight w:val="260"/>
        </w:trPr>
        <w:tc>
          <w:tcPr>
            <w:tcW w:w="2616" w:type="dxa"/>
            <w:tcBorders>
              <w:top w:val="nil"/>
              <w:bottom w:val="nil"/>
            </w:tcBorders>
          </w:tcPr>
          <w:p w:rsidR="006A18FD" w:rsidRDefault="002D29FC">
            <w:pPr>
              <w:spacing w:line="208" w:lineRule="exact"/>
              <w:ind w:left="105"/>
              <w:rPr>
                <w:rFonts w:ascii="Calibri"/>
                <w:sz w:val="20"/>
              </w:rPr>
            </w:pPr>
            <w:r>
              <w:rPr>
                <w:rFonts w:ascii="Calibri"/>
                <w:sz w:val="20"/>
              </w:rPr>
              <w:t>Active user</w:t>
            </w:r>
          </w:p>
        </w:tc>
        <w:tc>
          <w:tcPr>
            <w:tcW w:w="1258" w:type="dxa"/>
            <w:tcBorders>
              <w:top w:val="nil"/>
              <w:bottom w:val="nil"/>
            </w:tcBorders>
          </w:tcPr>
          <w:p w:rsidR="006A18FD" w:rsidRDefault="002D29FC">
            <w:pPr>
              <w:spacing w:line="208" w:lineRule="exact"/>
              <w:ind w:right="350"/>
              <w:jc w:val="right"/>
              <w:rPr>
                <w:rFonts w:ascii="Calibri" w:hAnsi="Calibri"/>
                <w:sz w:val="20"/>
              </w:rPr>
            </w:pPr>
            <w:r>
              <w:rPr>
                <w:rFonts w:ascii="Calibri" w:hAnsi="Calibri"/>
                <w:sz w:val="20"/>
              </w:rPr>
              <w:t>£785</w:t>
            </w:r>
          </w:p>
        </w:tc>
        <w:tc>
          <w:tcPr>
            <w:tcW w:w="1260" w:type="dxa"/>
            <w:tcBorders>
              <w:top w:val="nil"/>
              <w:bottom w:val="nil"/>
            </w:tcBorders>
          </w:tcPr>
          <w:p w:rsidR="006A18FD" w:rsidRDefault="002D29FC">
            <w:pPr>
              <w:spacing w:line="208" w:lineRule="exact"/>
              <w:ind w:right="427"/>
              <w:jc w:val="right"/>
              <w:rPr>
                <w:rFonts w:ascii="Calibri" w:hAnsi="Calibri"/>
                <w:sz w:val="20"/>
              </w:rPr>
            </w:pPr>
            <w:r>
              <w:rPr>
                <w:rFonts w:ascii="Calibri" w:hAnsi="Calibri"/>
                <w:sz w:val="20"/>
              </w:rPr>
              <w:t>£174</w:t>
            </w:r>
          </w:p>
        </w:tc>
        <w:tc>
          <w:tcPr>
            <w:tcW w:w="4909" w:type="dxa"/>
            <w:tcBorders>
              <w:top w:val="nil"/>
              <w:bottom w:val="nil"/>
            </w:tcBorders>
          </w:tcPr>
          <w:p w:rsidR="006A18FD" w:rsidRDefault="002D29FC">
            <w:pPr>
              <w:spacing w:line="242" w:lineRule="exact"/>
              <w:ind w:left="103"/>
              <w:rPr>
                <w:rFonts w:ascii="Calibri"/>
                <w:sz w:val="20"/>
              </w:rPr>
            </w:pPr>
            <w:r>
              <w:rPr>
                <w:rFonts w:ascii="Calibri"/>
                <w:sz w:val="20"/>
              </w:rPr>
              <w:t>supplied have been reconditioned, not having been worn</w:t>
            </w:r>
          </w:p>
        </w:tc>
      </w:tr>
      <w:tr w:rsidR="006A18FD">
        <w:trPr>
          <w:trHeight w:val="320"/>
        </w:trPr>
        <w:tc>
          <w:tcPr>
            <w:tcW w:w="2616" w:type="dxa"/>
            <w:tcBorders>
              <w:top w:val="nil"/>
            </w:tcBorders>
          </w:tcPr>
          <w:p w:rsidR="006A18FD" w:rsidRDefault="002D29FC">
            <w:pPr>
              <w:spacing w:before="23"/>
              <w:ind w:left="105"/>
              <w:rPr>
                <w:rFonts w:ascii="Calibri"/>
                <w:sz w:val="20"/>
              </w:rPr>
            </w:pPr>
            <w:r>
              <w:rPr>
                <w:rFonts w:ascii="Calibri"/>
                <w:sz w:val="20"/>
              </w:rPr>
              <w:t>Powered</w:t>
            </w:r>
          </w:p>
        </w:tc>
        <w:tc>
          <w:tcPr>
            <w:tcW w:w="1258" w:type="dxa"/>
            <w:tcBorders>
              <w:top w:val="nil"/>
            </w:tcBorders>
          </w:tcPr>
          <w:p w:rsidR="006A18FD" w:rsidRDefault="002D29FC">
            <w:pPr>
              <w:spacing w:before="23"/>
              <w:ind w:right="350"/>
              <w:jc w:val="right"/>
              <w:rPr>
                <w:rFonts w:ascii="Calibri" w:hAnsi="Calibri"/>
                <w:sz w:val="20"/>
              </w:rPr>
            </w:pPr>
            <w:r>
              <w:rPr>
                <w:rFonts w:ascii="Calibri" w:hAnsi="Calibri"/>
                <w:sz w:val="20"/>
              </w:rPr>
              <w:t>£1,569</w:t>
            </w:r>
          </w:p>
        </w:tc>
        <w:tc>
          <w:tcPr>
            <w:tcW w:w="1260" w:type="dxa"/>
            <w:tcBorders>
              <w:top w:val="nil"/>
            </w:tcBorders>
          </w:tcPr>
          <w:p w:rsidR="006A18FD" w:rsidRDefault="002D29FC">
            <w:pPr>
              <w:spacing w:before="23"/>
              <w:ind w:right="427"/>
              <w:jc w:val="right"/>
              <w:rPr>
                <w:rFonts w:ascii="Calibri" w:hAnsi="Calibri"/>
                <w:sz w:val="20"/>
              </w:rPr>
            </w:pPr>
            <w:r>
              <w:rPr>
                <w:rFonts w:ascii="Calibri" w:hAnsi="Calibri"/>
                <w:sz w:val="20"/>
              </w:rPr>
              <w:t>£348</w:t>
            </w:r>
          </w:p>
        </w:tc>
        <w:tc>
          <w:tcPr>
            <w:tcW w:w="4909" w:type="dxa"/>
            <w:tcBorders>
              <w:top w:val="nil"/>
            </w:tcBorders>
          </w:tcPr>
          <w:p w:rsidR="006A18FD" w:rsidRDefault="002D29FC">
            <w:pPr>
              <w:spacing w:line="225" w:lineRule="exact"/>
              <w:ind w:left="103"/>
              <w:rPr>
                <w:rFonts w:ascii="Calibri"/>
                <w:sz w:val="20"/>
              </w:rPr>
            </w:pPr>
            <w:r>
              <w:rPr>
                <w:rFonts w:ascii="Calibri"/>
                <w:sz w:val="20"/>
              </w:rPr>
              <w:t>out by the time their first users ceased to need them.</w:t>
            </w:r>
          </w:p>
        </w:tc>
      </w:tr>
      <w:tr w:rsidR="006A18FD">
        <w:trPr>
          <w:trHeight w:val="240"/>
        </w:trPr>
        <w:tc>
          <w:tcPr>
            <w:tcW w:w="2616" w:type="dxa"/>
            <w:tcBorders>
              <w:bottom w:val="nil"/>
            </w:tcBorders>
          </w:tcPr>
          <w:p w:rsidR="006A18FD" w:rsidRDefault="002D29FC">
            <w:pPr>
              <w:spacing w:before="1" w:line="238" w:lineRule="exact"/>
              <w:ind w:left="105"/>
              <w:rPr>
                <w:rFonts w:ascii="Calibri"/>
                <w:sz w:val="20"/>
              </w:rPr>
            </w:pPr>
            <w:r>
              <w:rPr>
                <w:rFonts w:ascii="Calibri"/>
                <w:sz w:val="20"/>
              </w:rPr>
              <w:t>Revenue costs</w:t>
            </w:r>
          </w:p>
        </w:tc>
        <w:tc>
          <w:tcPr>
            <w:tcW w:w="1258" w:type="dxa"/>
            <w:vMerge w:val="restart"/>
          </w:tcPr>
          <w:p w:rsidR="006A18FD" w:rsidRDefault="006A18FD">
            <w:pPr>
              <w:rPr>
                <w:rFonts w:ascii="Times New Roman"/>
                <w:sz w:val="18"/>
              </w:rPr>
            </w:pPr>
          </w:p>
        </w:tc>
        <w:tc>
          <w:tcPr>
            <w:tcW w:w="1260" w:type="dxa"/>
            <w:tcBorders>
              <w:bottom w:val="nil"/>
            </w:tcBorders>
          </w:tcPr>
          <w:p w:rsidR="006A18FD" w:rsidRDefault="006A18FD">
            <w:pPr>
              <w:rPr>
                <w:rFonts w:ascii="Times New Roman"/>
                <w:sz w:val="18"/>
              </w:rPr>
            </w:pPr>
          </w:p>
        </w:tc>
        <w:tc>
          <w:tcPr>
            <w:tcW w:w="4909" w:type="dxa"/>
            <w:tcBorders>
              <w:bottom w:val="nil"/>
            </w:tcBorders>
          </w:tcPr>
          <w:p w:rsidR="006A18FD" w:rsidRDefault="002D29FC">
            <w:pPr>
              <w:spacing w:before="1" w:line="238" w:lineRule="exact"/>
              <w:ind w:left="103"/>
              <w:rPr>
                <w:rFonts w:ascii="Calibri" w:hAnsi="Calibri"/>
                <w:sz w:val="20"/>
              </w:rPr>
            </w:pPr>
            <w:r>
              <w:rPr>
                <w:rFonts w:ascii="Calibri" w:hAnsi="Calibri"/>
                <w:sz w:val="20"/>
              </w:rPr>
              <w:t>Revenue costs exclude therapists’ time but include the</w:t>
            </w:r>
          </w:p>
        </w:tc>
      </w:tr>
      <w:tr w:rsidR="006A18FD">
        <w:trPr>
          <w:trHeight w:val="700"/>
        </w:trPr>
        <w:tc>
          <w:tcPr>
            <w:tcW w:w="2616" w:type="dxa"/>
            <w:tcBorders>
              <w:top w:val="nil"/>
              <w:bottom w:val="nil"/>
            </w:tcBorders>
          </w:tcPr>
          <w:p w:rsidR="006A18FD" w:rsidRDefault="002D29FC">
            <w:pPr>
              <w:spacing w:before="53"/>
              <w:ind w:left="105"/>
              <w:rPr>
                <w:rFonts w:ascii="Calibri"/>
                <w:sz w:val="20"/>
              </w:rPr>
            </w:pPr>
            <w:r>
              <w:rPr>
                <w:rFonts w:ascii="Calibri"/>
                <w:sz w:val="20"/>
              </w:rPr>
              <w:t>Maintenance</w:t>
            </w:r>
          </w:p>
          <w:p w:rsidR="006A18FD" w:rsidRDefault="002D29FC">
            <w:pPr>
              <w:spacing w:before="77"/>
              <w:ind w:left="105"/>
              <w:rPr>
                <w:rFonts w:ascii="Calibri"/>
                <w:sz w:val="20"/>
              </w:rPr>
            </w:pPr>
            <w:r>
              <w:rPr>
                <w:rFonts w:ascii="Calibri"/>
                <w:sz w:val="20"/>
              </w:rPr>
              <w:t>- non-powered</w:t>
            </w:r>
          </w:p>
        </w:tc>
        <w:tc>
          <w:tcPr>
            <w:tcW w:w="1258" w:type="dxa"/>
            <w:vMerge/>
            <w:tcBorders>
              <w:top w:val="nil"/>
            </w:tcBorders>
          </w:tcPr>
          <w:p w:rsidR="006A18FD" w:rsidRDefault="006A18FD">
            <w:pPr>
              <w:rPr>
                <w:sz w:val="2"/>
                <w:szCs w:val="2"/>
              </w:rPr>
            </w:pPr>
          </w:p>
        </w:tc>
        <w:tc>
          <w:tcPr>
            <w:tcW w:w="1260" w:type="dxa"/>
            <w:tcBorders>
              <w:top w:val="nil"/>
              <w:bottom w:val="nil"/>
            </w:tcBorders>
          </w:tcPr>
          <w:p w:rsidR="006A18FD" w:rsidRDefault="006A18FD">
            <w:pPr>
              <w:rPr>
                <w:rFonts w:ascii="Calibri"/>
                <w:sz w:val="20"/>
              </w:rPr>
            </w:pPr>
          </w:p>
          <w:p w:rsidR="006A18FD" w:rsidRDefault="002D29FC">
            <w:pPr>
              <w:spacing w:before="131"/>
              <w:ind w:right="427"/>
              <w:jc w:val="right"/>
              <w:rPr>
                <w:rFonts w:ascii="Calibri" w:hAnsi="Calibri"/>
                <w:sz w:val="20"/>
              </w:rPr>
            </w:pPr>
            <w:r>
              <w:rPr>
                <w:rFonts w:ascii="Calibri" w:hAnsi="Calibri"/>
                <w:sz w:val="20"/>
              </w:rPr>
              <w:t>£32</w:t>
            </w:r>
          </w:p>
        </w:tc>
        <w:tc>
          <w:tcPr>
            <w:tcW w:w="4909" w:type="dxa"/>
            <w:tcBorders>
              <w:top w:val="nil"/>
              <w:bottom w:val="nil"/>
            </w:tcBorders>
          </w:tcPr>
          <w:p w:rsidR="006A18FD" w:rsidRDefault="002D29FC">
            <w:pPr>
              <w:spacing w:line="220" w:lineRule="exact"/>
              <w:ind w:left="103"/>
              <w:rPr>
                <w:rFonts w:ascii="Calibri"/>
                <w:sz w:val="20"/>
              </w:rPr>
            </w:pPr>
            <w:r>
              <w:rPr>
                <w:rFonts w:ascii="Calibri"/>
                <w:sz w:val="20"/>
              </w:rPr>
              <w:t>staff costs of maintenance, and all costs for pressure</w:t>
            </w:r>
          </w:p>
          <w:p w:rsidR="006A18FD" w:rsidRDefault="002D29FC">
            <w:pPr>
              <w:spacing w:line="243" w:lineRule="exact"/>
              <w:ind w:left="103"/>
              <w:rPr>
                <w:rFonts w:ascii="Calibri"/>
                <w:sz w:val="20"/>
              </w:rPr>
            </w:pPr>
            <w:r>
              <w:rPr>
                <w:rFonts w:ascii="Calibri"/>
                <w:sz w:val="20"/>
              </w:rPr>
              <w:t>relief. The cost of reconditioning has not been included in</w:t>
            </w:r>
          </w:p>
          <w:p w:rsidR="006A18FD" w:rsidRDefault="002D29FC">
            <w:pPr>
              <w:spacing w:line="232" w:lineRule="exact"/>
              <w:ind w:left="103"/>
              <w:rPr>
                <w:rFonts w:ascii="Calibri"/>
                <w:sz w:val="20"/>
              </w:rPr>
            </w:pPr>
            <w:r>
              <w:rPr>
                <w:rFonts w:ascii="Calibri"/>
                <w:sz w:val="20"/>
              </w:rPr>
              <w:t>the cost of maintenance.</w:t>
            </w:r>
          </w:p>
        </w:tc>
      </w:tr>
      <w:tr w:rsidR="006A18FD">
        <w:trPr>
          <w:trHeight w:val="200"/>
        </w:trPr>
        <w:tc>
          <w:tcPr>
            <w:tcW w:w="2616" w:type="dxa"/>
            <w:tcBorders>
              <w:top w:val="nil"/>
            </w:tcBorders>
          </w:tcPr>
          <w:p w:rsidR="006A18FD" w:rsidRDefault="002D29FC">
            <w:pPr>
              <w:spacing w:line="194" w:lineRule="exact"/>
              <w:ind w:left="105"/>
              <w:rPr>
                <w:rFonts w:ascii="Calibri"/>
                <w:sz w:val="20"/>
              </w:rPr>
            </w:pPr>
            <w:r>
              <w:rPr>
                <w:rFonts w:ascii="Calibri"/>
                <w:sz w:val="20"/>
              </w:rPr>
              <w:t>- powered</w:t>
            </w:r>
          </w:p>
        </w:tc>
        <w:tc>
          <w:tcPr>
            <w:tcW w:w="1258" w:type="dxa"/>
            <w:vMerge/>
            <w:tcBorders>
              <w:top w:val="nil"/>
            </w:tcBorders>
          </w:tcPr>
          <w:p w:rsidR="006A18FD" w:rsidRDefault="006A18FD">
            <w:pPr>
              <w:rPr>
                <w:sz w:val="2"/>
                <w:szCs w:val="2"/>
              </w:rPr>
            </w:pPr>
          </w:p>
        </w:tc>
        <w:tc>
          <w:tcPr>
            <w:tcW w:w="1260" w:type="dxa"/>
            <w:tcBorders>
              <w:top w:val="nil"/>
            </w:tcBorders>
          </w:tcPr>
          <w:p w:rsidR="006A18FD" w:rsidRDefault="002D29FC">
            <w:pPr>
              <w:spacing w:line="194" w:lineRule="exact"/>
              <w:ind w:right="427"/>
              <w:jc w:val="right"/>
              <w:rPr>
                <w:rFonts w:ascii="Calibri" w:hAnsi="Calibri"/>
                <w:sz w:val="20"/>
              </w:rPr>
            </w:pPr>
            <w:r>
              <w:rPr>
                <w:rFonts w:ascii="Calibri" w:hAnsi="Calibri"/>
                <w:sz w:val="20"/>
              </w:rPr>
              <w:t>£126</w:t>
            </w:r>
          </w:p>
        </w:tc>
        <w:tc>
          <w:tcPr>
            <w:tcW w:w="4909" w:type="dxa"/>
            <w:tcBorders>
              <w:top w:val="nil"/>
            </w:tcBorders>
          </w:tcPr>
          <w:p w:rsidR="006A18FD" w:rsidRDefault="006A18FD">
            <w:pPr>
              <w:rPr>
                <w:rFonts w:ascii="Times New Roman"/>
                <w:sz w:val="14"/>
              </w:rPr>
            </w:pPr>
          </w:p>
        </w:tc>
      </w:tr>
      <w:tr w:rsidR="006A18FD">
        <w:trPr>
          <w:trHeight w:val="480"/>
        </w:trPr>
        <w:tc>
          <w:tcPr>
            <w:tcW w:w="2616" w:type="dxa"/>
          </w:tcPr>
          <w:p w:rsidR="006A18FD" w:rsidRDefault="002D29FC">
            <w:pPr>
              <w:spacing w:before="1"/>
              <w:ind w:left="105"/>
              <w:rPr>
                <w:rFonts w:ascii="Calibri"/>
                <w:sz w:val="20"/>
              </w:rPr>
            </w:pPr>
            <w:r>
              <w:rPr>
                <w:rFonts w:ascii="Calibri"/>
                <w:sz w:val="20"/>
              </w:rPr>
              <w:t>Agency overheads</w:t>
            </w:r>
          </w:p>
        </w:tc>
        <w:tc>
          <w:tcPr>
            <w:tcW w:w="1258" w:type="dxa"/>
          </w:tcPr>
          <w:p w:rsidR="006A18FD" w:rsidRDefault="006A18FD">
            <w:pPr>
              <w:rPr>
                <w:rFonts w:ascii="Times New Roman"/>
                <w:sz w:val="18"/>
              </w:rPr>
            </w:pPr>
          </w:p>
        </w:tc>
        <w:tc>
          <w:tcPr>
            <w:tcW w:w="1260" w:type="dxa"/>
          </w:tcPr>
          <w:p w:rsidR="006A18FD" w:rsidRDefault="006A18FD">
            <w:pPr>
              <w:rPr>
                <w:rFonts w:ascii="Times New Roman"/>
                <w:sz w:val="18"/>
              </w:rPr>
            </w:pPr>
          </w:p>
        </w:tc>
        <w:tc>
          <w:tcPr>
            <w:tcW w:w="4909" w:type="dxa"/>
          </w:tcPr>
          <w:p w:rsidR="006A18FD" w:rsidRDefault="002D29FC">
            <w:pPr>
              <w:spacing w:before="1" w:line="240" w:lineRule="atLeast"/>
              <w:ind w:left="103" w:right="185"/>
              <w:rPr>
                <w:rFonts w:ascii="Calibri"/>
                <w:sz w:val="20"/>
              </w:rPr>
            </w:pPr>
            <w:r>
              <w:rPr>
                <w:rFonts w:ascii="Calibri"/>
                <w:sz w:val="20"/>
              </w:rPr>
              <w:t>No estimate of management overhead costs is available. They are likely to be minimal.</w:t>
            </w:r>
          </w:p>
        </w:tc>
      </w:tr>
      <w:tr w:rsidR="006A18FD">
        <w:trPr>
          <w:trHeight w:val="359"/>
        </w:trPr>
        <w:tc>
          <w:tcPr>
            <w:tcW w:w="10044" w:type="dxa"/>
            <w:gridSpan w:val="4"/>
          </w:tcPr>
          <w:p w:rsidR="006A18FD" w:rsidRDefault="002D29FC">
            <w:pPr>
              <w:ind w:left="105"/>
              <w:rPr>
                <w:rFonts w:ascii="Calibri"/>
                <w:b/>
                <w:sz w:val="20"/>
              </w:rPr>
            </w:pPr>
            <w:r>
              <w:rPr>
                <w:rFonts w:ascii="Calibri"/>
                <w:b/>
                <w:sz w:val="20"/>
              </w:rPr>
              <w:t>Unit costs available 2018/2019</w:t>
            </w:r>
          </w:p>
        </w:tc>
      </w:tr>
      <w:tr w:rsidR="006A18FD">
        <w:trPr>
          <w:trHeight w:val="480"/>
        </w:trPr>
        <w:tc>
          <w:tcPr>
            <w:tcW w:w="10044" w:type="dxa"/>
            <w:gridSpan w:val="4"/>
          </w:tcPr>
          <w:p w:rsidR="006A18FD" w:rsidRDefault="002D29FC">
            <w:pPr>
              <w:spacing w:before="1" w:line="243" w:lineRule="exact"/>
              <w:ind w:left="105"/>
              <w:rPr>
                <w:rFonts w:ascii="Calibri" w:hAnsi="Calibri"/>
                <w:sz w:val="20"/>
              </w:rPr>
            </w:pPr>
            <w:r>
              <w:rPr>
                <w:rFonts w:ascii="Calibri" w:hAnsi="Calibri"/>
                <w:sz w:val="20"/>
              </w:rPr>
              <w:t>£101 per self or attendant propelled chair per year; £206 per active user per chair per year; £473 per powered chair per</w:t>
            </w:r>
          </w:p>
          <w:p w:rsidR="006A18FD" w:rsidRDefault="002D29FC">
            <w:pPr>
              <w:spacing w:line="225" w:lineRule="exact"/>
              <w:ind w:left="105"/>
              <w:rPr>
                <w:rFonts w:ascii="Calibri"/>
                <w:sz w:val="20"/>
              </w:rPr>
            </w:pPr>
            <w:r>
              <w:rPr>
                <w:rFonts w:ascii="Calibri"/>
                <w:sz w:val="20"/>
              </w:rPr>
              <w:t>year.</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3"/>
        <w:rPr>
          <w:rFonts w:ascii="Calibri"/>
          <w:sz w:val="21"/>
        </w:rPr>
      </w:pPr>
    </w:p>
    <w:p w:rsidR="006A18FD" w:rsidRDefault="002D29FC">
      <w:pPr>
        <w:ind w:left="152"/>
        <w:rPr>
          <w:rFonts w:ascii="Calibri"/>
          <w:sz w:val="16"/>
        </w:rPr>
      </w:pPr>
      <w:r>
        <w:rPr>
          <w:rFonts w:ascii="Calibri"/>
          <w:position w:val="5"/>
          <w:sz w:val="10"/>
        </w:rPr>
        <w:t xml:space="preserve">1 </w:t>
      </w:r>
      <w:r>
        <w:rPr>
          <w:rFonts w:ascii="Calibri"/>
          <w:sz w:val="16"/>
        </w:rPr>
        <w:t>Personal communication with Richard Murray, National Health Service Management Executive, 1995.</w:t>
      </w:r>
    </w:p>
    <w:p w:rsidR="006A18FD" w:rsidRDefault="002D29FC">
      <w:pPr>
        <w:ind w:left="152"/>
        <w:rPr>
          <w:rFonts w:ascii="Calibri"/>
          <w:sz w:val="16"/>
        </w:rPr>
      </w:pPr>
      <w:r>
        <w:rPr>
          <w:rFonts w:ascii="Calibri"/>
          <w:position w:val="5"/>
          <w:sz w:val="10"/>
        </w:rPr>
        <w:t xml:space="preserve">2 </w:t>
      </w:r>
      <w:r>
        <w:rPr>
          <w:rFonts w:ascii="Calibri"/>
          <w:sz w:val="16"/>
        </w:rPr>
        <w:t xml:space="preserve">UK wheelchairs - </w:t>
      </w:r>
      <w:hyperlink r:id="rId250">
        <w:r>
          <w:rPr>
            <w:rFonts w:ascii="Calibri"/>
            <w:sz w:val="16"/>
            <w:u w:val="single"/>
          </w:rPr>
          <w:t>https://www.uk-wheelchairs.co.uk/</w:t>
        </w:r>
      </w:hyperlink>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7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78" name="Line 13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AF38F" id="Group 13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C2XCBJgAIAAIEF&#10;AAAOAAAAAAAAAAAAAAAAAC4CAABkcnMvZTJvRG9jLnhtbFBLAQItABQABgAIAAAAIQAtd+Rc2gAA&#10;AAQBAAAPAAAAAAAAAAAAAAAAANoEAABkcnMvZG93bnJldi54bWxQSwUGAAAAAAQABADzAAAA4QUA&#10;AAAA&#10;">
                <v:line id="Line 13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w10:anchorlock/>
              </v:group>
            </w:pict>
          </mc:Fallback>
        </mc:AlternateContent>
      </w:r>
    </w:p>
    <w:p w:rsidR="006A18FD" w:rsidRDefault="008D2D0B" w:rsidP="008D2D0B">
      <w:pPr>
        <w:pStyle w:val="Heading2"/>
      </w:pPr>
      <w:r>
        <w:t xml:space="preserve">7.3 </w:t>
      </w:r>
      <w:r w:rsidR="002D29FC">
        <w:t>Equipment and</w:t>
      </w:r>
      <w:r w:rsidR="002D29FC">
        <w:rPr>
          <w:spacing w:val="-18"/>
        </w:rPr>
        <w:t xml:space="preserve"> </w:t>
      </w:r>
      <w:r w:rsidR="002D29FC">
        <w:t>adaptations</w:t>
      </w:r>
    </w:p>
    <w:p w:rsidR="006A18FD" w:rsidRDefault="002D29FC">
      <w:pPr>
        <w:spacing w:before="112" w:line="264" w:lineRule="auto"/>
        <w:ind w:left="140" w:right="164"/>
        <w:rPr>
          <w:rFonts w:ascii="Calibri" w:hAnsi="Calibri"/>
          <w:sz w:val="20"/>
        </w:rPr>
      </w:pPr>
      <w:r>
        <w:rPr>
          <w:rFonts w:ascii="Calibri" w:hAnsi="Calibri"/>
          <w:sz w:val="20"/>
        </w:rPr>
        <w:t>Community equipment refers to any items of equipment prescribed by occupational therapists, physiotherapists and other health staff, designed to help vulnerable or older people and those with disabilities or long-term health conditions to manage everyday tasks independently at home. For this schema, we have drawn from a study commissioned by PSSRU and undertaken by Astral/Foundations (</w:t>
      </w:r>
      <w:hyperlink r:id="rId251">
        <w:r>
          <w:rPr>
            <w:rFonts w:ascii="Calibri" w:hAnsi="Calibri"/>
            <w:sz w:val="20"/>
            <w:u w:val="single"/>
          </w:rPr>
          <w:t>http://www.foundations.uk.com/about-home-improvement-agencies/</w:t>
        </w:r>
      </w:hyperlink>
      <w:r>
        <w:rPr>
          <w:rFonts w:ascii="Calibri" w:hAnsi="Calibri"/>
          <w:sz w:val="20"/>
        </w:rPr>
        <w:t>). The aim of the study was to identify the process and resources used to supply equipment and adaptations, as well as quantifying the time inputs of the staff involved and the cost of the equipment or materials used. The research differentiated between the time taken to supply and install minor adaptations (generally those under £1,000) and major adaptations (those costing over</w:t>
      </w:r>
    </w:p>
    <w:p w:rsidR="006A18FD" w:rsidRDefault="002D29FC">
      <w:pPr>
        <w:spacing w:line="264" w:lineRule="auto"/>
        <w:ind w:left="140" w:right="896"/>
        <w:rPr>
          <w:rFonts w:ascii="Calibri" w:hAnsi="Calibri"/>
          <w:sz w:val="20"/>
        </w:rPr>
      </w:pPr>
      <w:r>
        <w:rPr>
          <w:rFonts w:ascii="Calibri" w:hAnsi="Calibri"/>
          <w:sz w:val="20"/>
        </w:rPr>
        <w:t xml:space="preserve">£1,000) and also provided time inputs of the staff involved in administering the process and assessing clients. </w:t>
      </w:r>
      <w:r>
        <w:rPr>
          <w:rFonts w:ascii="Calibri" w:hAnsi="Calibri"/>
          <w:position w:val="7"/>
          <w:sz w:val="13"/>
        </w:rPr>
        <w:t xml:space="preserve">1 </w:t>
      </w:r>
      <w:r>
        <w:rPr>
          <w:rFonts w:ascii="Calibri" w:hAnsi="Calibri"/>
          <w:sz w:val="20"/>
        </w:rPr>
        <w:t xml:space="preserve">See </w:t>
      </w:r>
      <w:hyperlink r:id="rId252">
        <w:r>
          <w:rPr>
            <w:rFonts w:ascii="Calibri" w:hAnsi="Calibri"/>
            <w:sz w:val="20"/>
            <w:u w:val="single"/>
          </w:rPr>
          <w:t>https://www.pssru.ac.uk/blog/category/adaptation/</w:t>
        </w:r>
        <w:r>
          <w:rPr>
            <w:rFonts w:ascii="Calibri" w:hAnsi="Calibri"/>
            <w:sz w:val="20"/>
          </w:rPr>
          <w:t xml:space="preserve"> </w:t>
        </w:r>
      </w:hyperlink>
      <w:r>
        <w:rPr>
          <w:rFonts w:ascii="Calibri" w:hAnsi="Calibri"/>
          <w:sz w:val="20"/>
        </w:rPr>
        <w:t>for further information.</w:t>
      </w:r>
    </w:p>
    <w:p w:rsidR="006A18FD" w:rsidRDefault="002D29FC">
      <w:pPr>
        <w:spacing w:before="124" w:line="264" w:lineRule="auto"/>
        <w:ind w:left="140" w:right="159"/>
        <w:rPr>
          <w:rFonts w:ascii="Calibri"/>
          <w:sz w:val="20"/>
        </w:rPr>
      </w:pPr>
      <w:r>
        <w:rPr>
          <w:rFonts w:ascii="Calibri"/>
          <w:sz w:val="20"/>
        </w:rPr>
        <w:t xml:space="preserve">In Tables 1-2, we have provided the total average mean and median costs of major and minor adaptations including ranges, and in Tables 3-4 the costs of staff preparation and assessment time are provided. Excluded from the research brief were items of equipment and systems commonly regarded as telecare or telehealth, as these types of equipment have been the focus of previous work (see Henderson &amp; colleagues article in the </w:t>
      </w:r>
      <w:r>
        <w:rPr>
          <w:rFonts w:ascii="Calibri"/>
          <w:i/>
          <w:sz w:val="20"/>
        </w:rPr>
        <w:t>Unit Costs of Health &amp; Social Care 2013</w:t>
      </w:r>
      <w:r>
        <w:rPr>
          <w:rFonts w:ascii="Calibri"/>
          <w:sz w:val="20"/>
        </w:rPr>
        <w:t>).</w:t>
      </w:r>
    </w:p>
    <w:p w:rsidR="006A18FD" w:rsidRDefault="002D29FC">
      <w:pPr>
        <w:spacing w:before="120" w:line="264" w:lineRule="auto"/>
        <w:ind w:left="140" w:right="108"/>
        <w:rPr>
          <w:rFonts w:ascii="Calibri"/>
          <w:sz w:val="20"/>
        </w:rPr>
      </w:pPr>
      <w:r>
        <w:rPr>
          <w:rFonts w:ascii="Calibri"/>
          <w:sz w:val="20"/>
        </w:rPr>
        <w:t>The period over which adaptations to housing should be annuitised is open to debate. Ideally, they should be annuitised over the useful life of the aid or adaptation. In many cases this is linked to the length of time the person using the appliance is expected to remain at home. Where it is expected that the house would be occupied by someone else, who would also make use of the equipment, a longer period would be appropriate. In the absence of data and following government guidelines on the discount rate, the items in the table below have been annuitised over 10 years at 3.5 per cent.</w:t>
      </w:r>
      <w:r>
        <w:rPr>
          <w:rFonts w:ascii="Calibri"/>
          <w:position w:val="7"/>
          <w:sz w:val="13"/>
        </w:rPr>
        <w:t xml:space="preserve">2 </w:t>
      </w:r>
      <w:r>
        <w:rPr>
          <w:rFonts w:ascii="Calibri"/>
          <w:sz w:val="20"/>
        </w:rPr>
        <w:t>The costs have been uprated from 2013/2014 costs using the PSS Pay and Prices inflator.</w:t>
      </w:r>
    </w:p>
    <w:p w:rsidR="006A18FD" w:rsidRDefault="002D29FC">
      <w:pPr>
        <w:spacing w:before="120"/>
        <w:ind w:left="140"/>
        <w:rPr>
          <w:rFonts w:ascii="Calibri"/>
          <w:b/>
          <w:sz w:val="20"/>
        </w:rPr>
      </w:pPr>
      <w:r>
        <w:rPr>
          <w:rFonts w:ascii="Calibri"/>
          <w:b/>
          <w:sz w:val="20"/>
        </w:rPr>
        <w:t>Table 1 Major adaptations, including installation costs</w:t>
      </w:r>
    </w:p>
    <w:p w:rsidR="006A18FD" w:rsidRDefault="006A18FD">
      <w:pPr>
        <w:spacing w:before="9"/>
        <w:rPr>
          <w:rFonts w:ascii="Calibri"/>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926"/>
        <w:gridCol w:w="1200"/>
        <w:gridCol w:w="991"/>
        <w:gridCol w:w="1136"/>
        <w:gridCol w:w="1702"/>
      </w:tblGrid>
      <w:tr w:rsidR="006A18FD" w:rsidTr="00C5052B">
        <w:trPr>
          <w:trHeight w:val="1440"/>
          <w:tblHeader/>
        </w:trPr>
        <w:tc>
          <w:tcPr>
            <w:tcW w:w="3966" w:type="dxa"/>
          </w:tcPr>
          <w:p w:rsidR="006A18FD" w:rsidRDefault="006A18FD">
            <w:pPr>
              <w:rPr>
                <w:rFonts w:ascii="Times New Roman"/>
                <w:sz w:val="18"/>
              </w:rPr>
            </w:pPr>
          </w:p>
        </w:tc>
        <w:tc>
          <w:tcPr>
            <w:tcW w:w="926" w:type="dxa"/>
          </w:tcPr>
          <w:p w:rsidR="006A18FD" w:rsidRDefault="002D29FC">
            <w:pPr>
              <w:spacing w:before="121"/>
              <w:ind w:left="304" w:right="131" w:hanging="152"/>
              <w:rPr>
                <w:rFonts w:ascii="Calibri"/>
                <w:b/>
                <w:sz w:val="20"/>
              </w:rPr>
            </w:pPr>
            <w:r>
              <w:rPr>
                <w:rFonts w:ascii="Calibri"/>
                <w:b/>
                <w:sz w:val="20"/>
              </w:rPr>
              <w:t>Sample size</w:t>
            </w:r>
          </w:p>
        </w:tc>
        <w:tc>
          <w:tcPr>
            <w:tcW w:w="1200" w:type="dxa"/>
          </w:tcPr>
          <w:p w:rsidR="006A18FD" w:rsidRDefault="002D29FC">
            <w:pPr>
              <w:spacing w:before="121"/>
              <w:ind w:left="86" w:right="87"/>
              <w:jc w:val="center"/>
              <w:rPr>
                <w:rFonts w:ascii="Calibri"/>
                <w:b/>
                <w:sz w:val="20"/>
              </w:rPr>
            </w:pPr>
            <w:r>
              <w:rPr>
                <w:rFonts w:ascii="Calibri"/>
                <w:b/>
                <w:sz w:val="20"/>
              </w:rPr>
              <w:t>Lowest cost</w:t>
            </w:r>
          </w:p>
        </w:tc>
        <w:tc>
          <w:tcPr>
            <w:tcW w:w="991" w:type="dxa"/>
          </w:tcPr>
          <w:p w:rsidR="006A18FD" w:rsidRDefault="002D29FC">
            <w:pPr>
              <w:spacing w:before="121"/>
              <w:ind w:left="318" w:right="157" w:hanging="142"/>
              <w:rPr>
                <w:rFonts w:ascii="Calibri"/>
                <w:b/>
                <w:sz w:val="20"/>
              </w:rPr>
            </w:pPr>
            <w:r>
              <w:rPr>
                <w:rFonts w:ascii="Calibri"/>
                <w:b/>
                <w:sz w:val="20"/>
              </w:rPr>
              <w:t>Highest</w:t>
            </w:r>
            <w:r>
              <w:rPr>
                <w:rFonts w:ascii="Calibri"/>
                <w:b/>
                <w:w w:val="99"/>
                <w:sz w:val="20"/>
              </w:rPr>
              <w:t xml:space="preserve"> </w:t>
            </w:r>
            <w:r>
              <w:rPr>
                <w:rFonts w:ascii="Calibri"/>
                <w:b/>
                <w:sz w:val="20"/>
              </w:rPr>
              <w:t>cost</w:t>
            </w:r>
          </w:p>
        </w:tc>
        <w:tc>
          <w:tcPr>
            <w:tcW w:w="1136" w:type="dxa"/>
          </w:tcPr>
          <w:p w:rsidR="006A18FD" w:rsidRDefault="002D29FC">
            <w:pPr>
              <w:spacing w:before="121"/>
              <w:ind w:left="184" w:right="188" w:hanging="1"/>
              <w:jc w:val="center"/>
              <w:rPr>
                <w:rFonts w:ascii="Calibri"/>
                <w:b/>
                <w:sz w:val="20"/>
              </w:rPr>
            </w:pPr>
            <w:r>
              <w:rPr>
                <w:rFonts w:ascii="Calibri"/>
                <w:b/>
                <w:sz w:val="20"/>
              </w:rPr>
              <w:t xml:space="preserve">Mean </w:t>
            </w:r>
            <w:r>
              <w:rPr>
                <w:rFonts w:ascii="Calibri"/>
                <w:b/>
                <w:w w:val="95"/>
                <w:sz w:val="20"/>
              </w:rPr>
              <w:t xml:space="preserve">(median) </w:t>
            </w:r>
            <w:r>
              <w:rPr>
                <w:rFonts w:ascii="Calibri"/>
                <w:b/>
                <w:sz w:val="20"/>
              </w:rPr>
              <w:t>cost</w:t>
            </w:r>
          </w:p>
        </w:tc>
        <w:tc>
          <w:tcPr>
            <w:tcW w:w="1702" w:type="dxa"/>
          </w:tcPr>
          <w:p w:rsidR="006A18FD" w:rsidRDefault="002D29FC">
            <w:pPr>
              <w:spacing w:before="121"/>
              <w:ind w:left="185" w:right="185"/>
              <w:jc w:val="center"/>
              <w:rPr>
                <w:rFonts w:ascii="Calibri"/>
                <w:b/>
                <w:sz w:val="20"/>
              </w:rPr>
            </w:pPr>
            <w:r>
              <w:rPr>
                <w:rFonts w:ascii="Calibri"/>
                <w:b/>
                <w:sz w:val="20"/>
              </w:rPr>
              <w:t>Mean (median) annual equipment cost (3.5% discount)</w:t>
            </w:r>
          </w:p>
        </w:tc>
      </w:tr>
      <w:tr w:rsidR="006A18FD">
        <w:trPr>
          <w:trHeight w:val="480"/>
        </w:trPr>
        <w:tc>
          <w:tcPr>
            <w:tcW w:w="3966" w:type="dxa"/>
          </w:tcPr>
          <w:p w:rsidR="006A18FD" w:rsidRDefault="002D29FC">
            <w:pPr>
              <w:spacing w:before="1"/>
              <w:ind w:left="103"/>
              <w:rPr>
                <w:rFonts w:ascii="Calibri"/>
                <w:sz w:val="20"/>
              </w:rPr>
            </w:pPr>
            <w:r>
              <w:rPr>
                <w:rFonts w:ascii="Calibri"/>
                <w:sz w:val="20"/>
              </w:rPr>
              <w:t>Level-access shower</w:t>
            </w:r>
          </w:p>
        </w:tc>
        <w:tc>
          <w:tcPr>
            <w:tcW w:w="926" w:type="dxa"/>
          </w:tcPr>
          <w:p w:rsidR="006A18FD" w:rsidRDefault="002D29FC">
            <w:pPr>
              <w:spacing w:before="1"/>
              <w:ind w:left="357"/>
              <w:rPr>
                <w:rFonts w:ascii="Calibri"/>
                <w:sz w:val="20"/>
              </w:rPr>
            </w:pPr>
            <w:r>
              <w:rPr>
                <w:rFonts w:ascii="Calibri"/>
                <w:sz w:val="20"/>
              </w:rPr>
              <w:t>21</w:t>
            </w:r>
          </w:p>
        </w:tc>
        <w:tc>
          <w:tcPr>
            <w:tcW w:w="1200" w:type="dxa"/>
          </w:tcPr>
          <w:p w:rsidR="006A18FD" w:rsidRDefault="002D29FC">
            <w:pPr>
              <w:spacing w:before="1"/>
              <w:ind w:left="86" w:right="86"/>
              <w:jc w:val="center"/>
              <w:rPr>
                <w:rFonts w:ascii="Calibri" w:hAnsi="Calibri"/>
                <w:sz w:val="20"/>
              </w:rPr>
            </w:pPr>
            <w:r>
              <w:rPr>
                <w:rFonts w:ascii="Calibri" w:hAnsi="Calibri"/>
                <w:sz w:val="20"/>
              </w:rPr>
              <w:t>£2,919</w:t>
            </w:r>
          </w:p>
        </w:tc>
        <w:tc>
          <w:tcPr>
            <w:tcW w:w="991" w:type="dxa"/>
          </w:tcPr>
          <w:p w:rsidR="006A18FD" w:rsidRDefault="002D29FC">
            <w:pPr>
              <w:spacing w:before="1"/>
              <w:ind w:left="160"/>
              <w:rPr>
                <w:rFonts w:ascii="Calibri" w:hAnsi="Calibri"/>
                <w:sz w:val="20"/>
              </w:rPr>
            </w:pPr>
            <w:r>
              <w:rPr>
                <w:rFonts w:ascii="Calibri" w:hAnsi="Calibri"/>
                <w:sz w:val="20"/>
              </w:rPr>
              <w:t>£14,012</w:t>
            </w:r>
          </w:p>
        </w:tc>
        <w:tc>
          <w:tcPr>
            <w:tcW w:w="1136" w:type="dxa"/>
          </w:tcPr>
          <w:p w:rsidR="006A18FD" w:rsidRDefault="002D29FC">
            <w:pPr>
              <w:spacing w:before="1" w:line="240" w:lineRule="atLeast"/>
              <w:ind w:left="220" w:firstLine="62"/>
              <w:rPr>
                <w:rFonts w:ascii="Calibri" w:hAnsi="Calibri"/>
                <w:sz w:val="20"/>
              </w:rPr>
            </w:pPr>
            <w:r>
              <w:rPr>
                <w:rFonts w:ascii="Calibri" w:hAnsi="Calibri"/>
                <w:sz w:val="20"/>
              </w:rPr>
              <w:t xml:space="preserve">£5,431 </w:t>
            </w:r>
            <w:r>
              <w:rPr>
                <w:rFonts w:ascii="Calibri" w:hAnsi="Calibri"/>
                <w:w w:val="95"/>
                <w:sz w:val="20"/>
              </w:rPr>
              <w:t>(£4,654)</w:t>
            </w:r>
          </w:p>
        </w:tc>
        <w:tc>
          <w:tcPr>
            <w:tcW w:w="1702" w:type="dxa"/>
          </w:tcPr>
          <w:p w:rsidR="006A18FD" w:rsidRDefault="002D29FC">
            <w:pPr>
              <w:spacing w:before="1"/>
              <w:ind w:left="184" w:right="185"/>
              <w:jc w:val="center"/>
              <w:rPr>
                <w:rFonts w:ascii="Calibri" w:hAnsi="Calibri"/>
                <w:sz w:val="20"/>
              </w:rPr>
            </w:pPr>
            <w:r>
              <w:rPr>
                <w:rFonts w:ascii="Calibri" w:hAnsi="Calibri"/>
                <w:sz w:val="20"/>
              </w:rPr>
              <w:t>£653 (£560)</w:t>
            </w:r>
          </w:p>
        </w:tc>
      </w:tr>
      <w:tr w:rsidR="006A18FD">
        <w:trPr>
          <w:trHeight w:val="479"/>
        </w:trPr>
        <w:tc>
          <w:tcPr>
            <w:tcW w:w="3966" w:type="dxa"/>
          </w:tcPr>
          <w:p w:rsidR="006A18FD" w:rsidRDefault="002D29FC">
            <w:pPr>
              <w:spacing w:line="242" w:lineRule="exact"/>
              <w:ind w:left="103"/>
              <w:rPr>
                <w:rFonts w:ascii="Calibri"/>
                <w:sz w:val="20"/>
              </w:rPr>
            </w:pPr>
            <w:r>
              <w:rPr>
                <w:rFonts w:ascii="Calibri"/>
                <w:sz w:val="20"/>
              </w:rPr>
              <w:t>Stair lift (straight)</w:t>
            </w:r>
          </w:p>
        </w:tc>
        <w:tc>
          <w:tcPr>
            <w:tcW w:w="926" w:type="dxa"/>
          </w:tcPr>
          <w:p w:rsidR="006A18FD" w:rsidRDefault="002D29FC">
            <w:pPr>
              <w:spacing w:line="242" w:lineRule="exact"/>
              <w:ind w:left="357"/>
              <w:rPr>
                <w:rFonts w:ascii="Calibri"/>
                <w:sz w:val="20"/>
              </w:rPr>
            </w:pPr>
            <w:r>
              <w:rPr>
                <w:rFonts w:ascii="Calibri"/>
                <w:sz w:val="20"/>
              </w:rPr>
              <w:t>21</w:t>
            </w:r>
          </w:p>
        </w:tc>
        <w:tc>
          <w:tcPr>
            <w:tcW w:w="1200" w:type="dxa"/>
          </w:tcPr>
          <w:p w:rsidR="006A18FD" w:rsidRDefault="002D29FC">
            <w:pPr>
              <w:spacing w:line="242" w:lineRule="exact"/>
              <w:ind w:left="86" w:right="86"/>
              <w:jc w:val="center"/>
              <w:rPr>
                <w:rFonts w:ascii="Calibri" w:hAnsi="Calibri"/>
                <w:sz w:val="20"/>
              </w:rPr>
            </w:pPr>
            <w:r>
              <w:rPr>
                <w:rFonts w:ascii="Calibri" w:hAnsi="Calibri"/>
                <w:sz w:val="20"/>
              </w:rPr>
              <w:t>£1,227</w:t>
            </w:r>
          </w:p>
        </w:tc>
        <w:tc>
          <w:tcPr>
            <w:tcW w:w="991" w:type="dxa"/>
          </w:tcPr>
          <w:p w:rsidR="006A18FD" w:rsidRDefault="002D29FC">
            <w:pPr>
              <w:spacing w:line="242" w:lineRule="exact"/>
              <w:ind w:left="210"/>
              <w:rPr>
                <w:rFonts w:ascii="Calibri" w:hAnsi="Calibri"/>
                <w:sz w:val="20"/>
              </w:rPr>
            </w:pPr>
            <w:r>
              <w:rPr>
                <w:rFonts w:ascii="Calibri" w:hAnsi="Calibri"/>
                <w:sz w:val="20"/>
              </w:rPr>
              <w:t>£3,303</w:t>
            </w:r>
          </w:p>
        </w:tc>
        <w:tc>
          <w:tcPr>
            <w:tcW w:w="1136" w:type="dxa"/>
          </w:tcPr>
          <w:p w:rsidR="006A18FD" w:rsidRDefault="002D29FC">
            <w:pPr>
              <w:spacing w:line="242" w:lineRule="exact"/>
              <w:ind w:left="220" w:firstLine="62"/>
              <w:rPr>
                <w:rFonts w:ascii="Calibri" w:hAnsi="Calibri"/>
                <w:sz w:val="20"/>
              </w:rPr>
            </w:pPr>
            <w:r>
              <w:rPr>
                <w:rFonts w:ascii="Calibri" w:hAnsi="Calibri"/>
                <w:sz w:val="20"/>
              </w:rPr>
              <w:t>£2,188</w:t>
            </w:r>
          </w:p>
          <w:p w:rsidR="006A18FD" w:rsidRDefault="002D29FC">
            <w:pPr>
              <w:spacing w:line="223" w:lineRule="exact"/>
              <w:ind w:left="220"/>
              <w:rPr>
                <w:rFonts w:ascii="Calibri" w:hAnsi="Calibri"/>
                <w:sz w:val="20"/>
              </w:rPr>
            </w:pPr>
            <w:r>
              <w:rPr>
                <w:rFonts w:ascii="Calibri" w:hAnsi="Calibri"/>
                <w:sz w:val="20"/>
              </w:rPr>
              <w:t>(£2,248)</w:t>
            </w:r>
          </w:p>
        </w:tc>
        <w:tc>
          <w:tcPr>
            <w:tcW w:w="1702" w:type="dxa"/>
          </w:tcPr>
          <w:p w:rsidR="006A18FD" w:rsidRDefault="002D29FC">
            <w:pPr>
              <w:spacing w:line="242" w:lineRule="exact"/>
              <w:ind w:left="184" w:right="185"/>
              <w:jc w:val="center"/>
              <w:rPr>
                <w:rFonts w:ascii="Calibri" w:hAnsi="Calibri"/>
                <w:sz w:val="20"/>
              </w:rPr>
            </w:pPr>
            <w:r>
              <w:rPr>
                <w:rFonts w:ascii="Calibri" w:hAnsi="Calibri"/>
                <w:sz w:val="20"/>
              </w:rPr>
              <w:t>£263 (£270)</w:t>
            </w:r>
          </w:p>
        </w:tc>
      </w:tr>
      <w:tr w:rsidR="006A18FD">
        <w:trPr>
          <w:trHeight w:val="480"/>
        </w:trPr>
        <w:tc>
          <w:tcPr>
            <w:tcW w:w="3966" w:type="dxa"/>
          </w:tcPr>
          <w:p w:rsidR="006A18FD" w:rsidRDefault="002D29FC">
            <w:pPr>
              <w:spacing w:before="1"/>
              <w:ind w:left="103"/>
              <w:rPr>
                <w:rFonts w:ascii="Calibri"/>
                <w:sz w:val="20"/>
              </w:rPr>
            </w:pPr>
            <w:r>
              <w:rPr>
                <w:rFonts w:ascii="Calibri"/>
                <w:sz w:val="20"/>
              </w:rPr>
              <w:t>Stair lift (more complex)</w:t>
            </w:r>
          </w:p>
        </w:tc>
        <w:tc>
          <w:tcPr>
            <w:tcW w:w="926" w:type="dxa"/>
          </w:tcPr>
          <w:p w:rsidR="006A18FD" w:rsidRDefault="002D29FC">
            <w:pPr>
              <w:spacing w:before="1"/>
              <w:ind w:left="407"/>
              <w:rPr>
                <w:rFonts w:ascii="Calibri"/>
                <w:sz w:val="20"/>
              </w:rPr>
            </w:pPr>
            <w:r>
              <w:rPr>
                <w:rFonts w:ascii="Calibri"/>
                <w:w w:val="99"/>
                <w:sz w:val="20"/>
              </w:rPr>
              <w:t>7</w:t>
            </w:r>
          </w:p>
        </w:tc>
        <w:tc>
          <w:tcPr>
            <w:tcW w:w="1200" w:type="dxa"/>
          </w:tcPr>
          <w:p w:rsidR="006A18FD" w:rsidRDefault="002D29FC">
            <w:pPr>
              <w:spacing w:before="1"/>
              <w:ind w:left="86" w:right="86"/>
              <w:jc w:val="center"/>
              <w:rPr>
                <w:rFonts w:ascii="Calibri" w:hAnsi="Calibri"/>
                <w:sz w:val="20"/>
              </w:rPr>
            </w:pPr>
            <w:r>
              <w:rPr>
                <w:rFonts w:ascii="Calibri" w:hAnsi="Calibri"/>
                <w:sz w:val="20"/>
              </w:rPr>
              <w:t>£2,686</w:t>
            </w:r>
          </w:p>
        </w:tc>
        <w:tc>
          <w:tcPr>
            <w:tcW w:w="991" w:type="dxa"/>
          </w:tcPr>
          <w:p w:rsidR="006A18FD" w:rsidRDefault="002D29FC">
            <w:pPr>
              <w:spacing w:before="1"/>
              <w:ind w:left="210"/>
              <w:rPr>
                <w:rFonts w:ascii="Calibri" w:hAnsi="Calibri"/>
                <w:sz w:val="20"/>
              </w:rPr>
            </w:pPr>
            <w:r>
              <w:rPr>
                <w:rFonts w:ascii="Calibri" w:hAnsi="Calibri"/>
                <w:sz w:val="20"/>
              </w:rPr>
              <w:t>£7,722</w:t>
            </w:r>
          </w:p>
        </w:tc>
        <w:tc>
          <w:tcPr>
            <w:tcW w:w="1136" w:type="dxa"/>
          </w:tcPr>
          <w:p w:rsidR="006A18FD" w:rsidRDefault="002D29FC">
            <w:pPr>
              <w:spacing w:before="1" w:line="240" w:lineRule="atLeast"/>
              <w:ind w:left="220" w:firstLine="62"/>
              <w:rPr>
                <w:rFonts w:ascii="Calibri" w:hAnsi="Calibri"/>
                <w:sz w:val="20"/>
              </w:rPr>
            </w:pPr>
            <w:r>
              <w:rPr>
                <w:rFonts w:ascii="Calibri" w:hAnsi="Calibri"/>
                <w:sz w:val="20"/>
              </w:rPr>
              <w:t xml:space="preserve">£5,330 </w:t>
            </w:r>
            <w:r>
              <w:rPr>
                <w:rFonts w:ascii="Calibri" w:hAnsi="Calibri"/>
                <w:w w:val="95"/>
                <w:sz w:val="20"/>
              </w:rPr>
              <w:t>(£5,372)</w:t>
            </w:r>
          </w:p>
        </w:tc>
        <w:tc>
          <w:tcPr>
            <w:tcW w:w="1702" w:type="dxa"/>
          </w:tcPr>
          <w:p w:rsidR="006A18FD" w:rsidRDefault="002D29FC">
            <w:pPr>
              <w:spacing w:before="1"/>
              <w:ind w:left="184" w:right="185"/>
              <w:jc w:val="center"/>
              <w:rPr>
                <w:rFonts w:ascii="Calibri" w:hAnsi="Calibri"/>
                <w:sz w:val="20"/>
              </w:rPr>
            </w:pPr>
            <w:r>
              <w:rPr>
                <w:rFonts w:ascii="Calibri" w:hAnsi="Calibri"/>
                <w:sz w:val="20"/>
              </w:rPr>
              <w:t>£641 (£646)</w:t>
            </w:r>
          </w:p>
        </w:tc>
      </w:tr>
      <w:tr w:rsidR="006A18FD">
        <w:trPr>
          <w:trHeight w:val="479"/>
        </w:trPr>
        <w:tc>
          <w:tcPr>
            <w:tcW w:w="3966" w:type="dxa"/>
          </w:tcPr>
          <w:p w:rsidR="006A18FD" w:rsidRDefault="002D29FC">
            <w:pPr>
              <w:ind w:left="103"/>
              <w:rPr>
                <w:rFonts w:ascii="Calibri"/>
                <w:sz w:val="20"/>
              </w:rPr>
            </w:pPr>
            <w:r>
              <w:rPr>
                <w:rFonts w:ascii="Calibri"/>
                <w:sz w:val="20"/>
              </w:rPr>
              <w:t>Convert room for downstairs WC /washroom</w:t>
            </w:r>
          </w:p>
        </w:tc>
        <w:tc>
          <w:tcPr>
            <w:tcW w:w="926" w:type="dxa"/>
          </w:tcPr>
          <w:p w:rsidR="006A18FD" w:rsidRDefault="002D29FC">
            <w:pPr>
              <w:ind w:left="407"/>
              <w:rPr>
                <w:rFonts w:ascii="Calibri"/>
                <w:sz w:val="20"/>
              </w:rPr>
            </w:pPr>
            <w:r>
              <w:rPr>
                <w:rFonts w:ascii="Calibri"/>
                <w:w w:val="99"/>
                <w:sz w:val="20"/>
              </w:rPr>
              <w:t>7</w:t>
            </w:r>
          </w:p>
        </w:tc>
        <w:tc>
          <w:tcPr>
            <w:tcW w:w="1200" w:type="dxa"/>
          </w:tcPr>
          <w:p w:rsidR="006A18FD" w:rsidRDefault="002D29FC">
            <w:pPr>
              <w:ind w:left="86" w:right="86"/>
              <w:jc w:val="center"/>
              <w:rPr>
                <w:rFonts w:ascii="Calibri" w:hAnsi="Calibri"/>
                <w:sz w:val="20"/>
              </w:rPr>
            </w:pPr>
            <w:r>
              <w:rPr>
                <w:rFonts w:ascii="Calibri" w:hAnsi="Calibri"/>
                <w:sz w:val="20"/>
              </w:rPr>
              <w:t>£3,270</w:t>
            </w:r>
          </w:p>
        </w:tc>
        <w:tc>
          <w:tcPr>
            <w:tcW w:w="991" w:type="dxa"/>
          </w:tcPr>
          <w:p w:rsidR="006A18FD" w:rsidRDefault="002D29FC">
            <w:pPr>
              <w:ind w:left="160"/>
              <w:rPr>
                <w:rFonts w:ascii="Calibri" w:hAnsi="Calibri"/>
                <w:sz w:val="20"/>
              </w:rPr>
            </w:pPr>
            <w:r>
              <w:rPr>
                <w:rFonts w:ascii="Calibri" w:hAnsi="Calibri"/>
                <w:sz w:val="20"/>
              </w:rPr>
              <w:t>£25,690</w:t>
            </w:r>
          </w:p>
        </w:tc>
        <w:tc>
          <w:tcPr>
            <w:tcW w:w="1136" w:type="dxa"/>
          </w:tcPr>
          <w:p w:rsidR="006A18FD" w:rsidRDefault="002D29FC">
            <w:pPr>
              <w:spacing w:line="243" w:lineRule="exact"/>
              <w:ind w:left="170" w:firstLine="62"/>
              <w:rPr>
                <w:rFonts w:ascii="Calibri" w:hAnsi="Calibri"/>
                <w:sz w:val="20"/>
              </w:rPr>
            </w:pPr>
            <w:r>
              <w:rPr>
                <w:rFonts w:ascii="Calibri" w:hAnsi="Calibri"/>
                <w:sz w:val="20"/>
              </w:rPr>
              <w:t>£11,509</w:t>
            </w:r>
          </w:p>
          <w:p w:rsidR="006A18FD" w:rsidRDefault="002D29FC">
            <w:pPr>
              <w:spacing w:line="222" w:lineRule="exact"/>
              <w:ind w:left="170"/>
              <w:rPr>
                <w:rFonts w:ascii="Calibri" w:hAnsi="Calibri"/>
                <w:sz w:val="20"/>
              </w:rPr>
            </w:pPr>
            <w:r>
              <w:rPr>
                <w:rFonts w:ascii="Calibri" w:hAnsi="Calibri"/>
                <w:sz w:val="20"/>
              </w:rPr>
              <w:t>(£11,527)</w:t>
            </w:r>
          </w:p>
        </w:tc>
        <w:tc>
          <w:tcPr>
            <w:tcW w:w="1702" w:type="dxa"/>
          </w:tcPr>
          <w:p w:rsidR="006A18FD" w:rsidRDefault="002D29FC">
            <w:pPr>
              <w:ind w:left="185" w:right="185"/>
              <w:jc w:val="center"/>
              <w:rPr>
                <w:rFonts w:ascii="Calibri" w:hAnsi="Calibri"/>
                <w:sz w:val="20"/>
              </w:rPr>
            </w:pPr>
            <w:r>
              <w:rPr>
                <w:rFonts w:ascii="Calibri" w:hAnsi="Calibri"/>
                <w:sz w:val="20"/>
              </w:rPr>
              <w:t>£1,383 (£1,386)</w:t>
            </w:r>
          </w:p>
        </w:tc>
      </w:tr>
      <w:tr w:rsidR="006A18FD">
        <w:trPr>
          <w:trHeight w:val="480"/>
        </w:trPr>
        <w:tc>
          <w:tcPr>
            <w:tcW w:w="3966" w:type="dxa"/>
          </w:tcPr>
          <w:p w:rsidR="006A18FD" w:rsidRDefault="002D29FC">
            <w:pPr>
              <w:spacing w:before="1"/>
              <w:ind w:left="103"/>
              <w:rPr>
                <w:rFonts w:ascii="Calibri"/>
                <w:sz w:val="20"/>
              </w:rPr>
            </w:pPr>
            <w:r>
              <w:rPr>
                <w:rFonts w:ascii="Calibri"/>
                <w:sz w:val="20"/>
              </w:rPr>
              <w:t>Build downstairs extension for WC/washroom</w:t>
            </w:r>
          </w:p>
        </w:tc>
        <w:tc>
          <w:tcPr>
            <w:tcW w:w="926" w:type="dxa"/>
          </w:tcPr>
          <w:p w:rsidR="006A18FD" w:rsidRDefault="002D29FC">
            <w:pPr>
              <w:spacing w:before="1"/>
              <w:ind w:left="407"/>
              <w:rPr>
                <w:rFonts w:ascii="Calibri"/>
                <w:sz w:val="20"/>
              </w:rPr>
            </w:pPr>
            <w:r>
              <w:rPr>
                <w:rFonts w:ascii="Calibri"/>
                <w:w w:val="99"/>
                <w:sz w:val="20"/>
              </w:rPr>
              <w:t>5</w:t>
            </w:r>
          </w:p>
        </w:tc>
        <w:tc>
          <w:tcPr>
            <w:tcW w:w="1200" w:type="dxa"/>
          </w:tcPr>
          <w:p w:rsidR="006A18FD" w:rsidRDefault="002D29FC">
            <w:pPr>
              <w:spacing w:before="1"/>
              <w:ind w:left="86" w:right="86"/>
              <w:jc w:val="center"/>
              <w:rPr>
                <w:rFonts w:ascii="Calibri" w:hAnsi="Calibri"/>
                <w:sz w:val="20"/>
              </w:rPr>
            </w:pPr>
            <w:r>
              <w:rPr>
                <w:rFonts w:ascii="Calibri" w:hAnsi="Calibri"/>
                <w:sz w:val="20"/>
              </w:rPr>
              <w:t>£14,012</w:t>
            </w:r>
          </w:p>
        </w:tc>
        <w:tc>
          <w:tcPr>
            <w:tcW w:w="991" w:type="dxa"/>
          </w:tcPr>
          <w:p w:rsidR="006A18FD" w:rsidRDefault="002D29FC">
            <w:pPr>
              <w:spacing w:before="1"/>
              <w:ind w:left="160"/>
              <w:rPr>
                <w:rFonts w:ascii="Calibri" w:hAnsi="Calibri"/>
                <w:sz w:val="20"/>
              </w:rPr>
            </w:pPr>
            <w:r>
              <w:rPr>
                <w:rFonts w:ascii="Calibri" w:hAnsi="Calibri"/>
                <w:sz w:val="20"/>
              </w:rPr>
              <w:t>£35,032</w:t>
            </w:r>
          </w:p>
        </w:tc>
        <w:tc>
          <w:tcPr>
            <w:tcW w:w="1136" w:type="dxa"/>
          </w:tcPr>
          <w:p w:rsidR="006A18FD" w:rsidRDefault="002D29FC">
            <w:pPr>
              <w:spacing w:before="1" w:line="240" w:lineRule="atLeast"/>
              <w:ind w:left="170" w:firstLine="62"/>
              <w:rPr>
                <w:rFonts w:ascii="Calibri" w:hAnsi="Calibri"/>
                <w:sz w:val="20"/>
              </w:rPr>
            </w:pPr>
            <w:r>
              <w:rPr>
                <w:rFonts w:ascii="Calibri" w:hAnsi="Calibri"/>
                <w:sz w:val="20"/>
              </w:rPr>
              <w:t xml:space="preserve">£26,347 </w:t>
            </w:r>
            <w:r>
              <w:rPr>
                <w:rFonts w:ascii="Calibri" w:hAnsi="Calibri"/>
                <w:w w:val="95"/>
                <w:sz w:val="20"/>
              </w:rPr>
              <w:t>(£29,193)</w:t>
            </w:r>
          </w:p>
        </w:tc>
        <w:tc>
          <w:tcPr>
            <w:tcW w:w="1702" w:type="dxa"/>
          </w:tcPr>
          <w:p w:rsidR="006A18FD" w:rsidRDefault="002D29FC">
            <w:pPr>
              <w:spacing w:before="1"/>
              <w:ind w:left="185" w:right="185"/>
              <w:jc w:val="center"/>
              <w:rPr>
                <w:rFonts w:ascii="Calibri" w:hAnsi="Calibri"/>
                <w:sz w:val="20"/>
              </w:rPr>
            </w:pPr>
            <w:r>
              <w:rPr>
                <w:rFonts w:ascii="Calibri" w:hAnsi="Calibri"/>
                <w:sz w:val="20"/>
              </w:rPr>
              <w:t>£3,166 (£3,509)</w:t>
            </w:r>
          </w:p>
        </w:tc>
      </w:tr>
      <w:tr w:rsidR="006A18FD">
        <w:trPr>
          <w:trHeight w:val="479"/>
        </w:trPr>
        <w:tc>
          <w:tcPr>
            <w:tcW w:w="3966" w:type="dxa"/>
          </w:tcPr>
          <w:p w:rsidR="006A18FD" w:rsidRDefault="002D29FC">
            <w:pPr>
              <w:ind w:left="103"/>
              <w:rPr>
                <w:rFonts w:ascii="Calibri"/>
                <w:sz w:val="20"/>
              </w:rPr>
            </w:pPr>
            <w:r>
              <w:rPr>
                <w:rFonts w:ascii="Calibri"/>
                <w:sz w:val="20"/>
              </w:rPr>
              <w:t>Build downstairs extension for bedroom</w:t>
            </w:r>
          </w:p>
        </w:tc>
        <w:tc>
          <w:tcPr>
            <w:tcW w:w="926" w:type="dxa"/>
          </w:tcPr>
          <w:p w:rsidR="006A18FD" w:rsidRDefault="002D29FC">
            <w:pPr>
              <w:ind w:left="407"/>
              <w:rPr>
                <w:rFonts w:ascii="Calibri"/>
                <w:sz w:val="20"/>
              </w:rPr>
            </w:pPr>
            <w:r>
              <w:rPr>
                <w:rFonts w:ascii="Calibri"/>
                <w:w w:val="99"/>
                <w:sz w:val="20"/>
              </w:rPr>
              <w:t>5</w:t>
            </w:r>
          </w:p>
        </w:tc>
        <w:tc>
          <w:tcPr>
            <w:tcW w:w="1200" w:type="dxa"/>
          </w:tcPr>
          <w:p w:rsidR="006A18FD" w:rsidRDefault="002D29FC">
            <w:pPr>
              <w:ind w:left="86" w:right="86"/>
              <w:jc w:val="center"/>
              <w:rPr>
                <w:rFonts w:ascii="Calibri" w:hAnsi="Calibri"/>
                <w:sz w:val="20"/>
              </w:rPr>
            </w:pPr>
            <w:r>
              <w:rPr>
                <w:rFonts w:ascii="Calibri" w:hAnsi="Calibri"/>
                <w:sz w:val="20"/>
              </w:rPr>
              <w:t>£14,012</w:t>
            </w:r>
          </w:p>
        </w:tc>
        <w:tc>
          <w:tcPr>
            <w:tcW w:w="991" w:type="dxa"/>
          </w:tcPr>
          <w:p w:rsidR="006A18FD" w:rsidRDefault="002D29FC">
            <w:pPr>
              <w:ind w:left="160"/>
              <w:rPr>
                <w:rFonts w:ascii="Calibri" w:hAnsi="Calibri"/>
                <w:sz w:val="20"/>
              </w:rPr>
            </w:pPr>
            <w:r>
              <w:rPr>
                <w:rFonts w:ascii="Calibri" w:hAnsi="Calibri"/>
                <w:sz w:val="20"/>
              </w:rPr>
              <w:t>£52,548</w:t>
            </w:r>
          </w:p>
        </w:tc>
        <w:tc>
          <w:tcPr>
            <w:tcW w:w="1136" w:type="dxa"/>
          </w:tcPr>
          <w:p w:rsidR="006A18FD" w:rsidRDefault="002D29FC">
            <w:pPr>
              <w:ind w:left="170" w:firstLine="62"/>
              <w:rPr>
                <w:rFonts w:ascii="Calibri" w:hAnsi="Calibri"/>
                <w:sz w:val="20"/>
              </w:rPr>
            </w:pPr>
            <w:r>
              <w:rPr>
                <w:rFonts w:ascii="Calibri" w:hAnsi="Calibri"/>
                <w:sz w:val="20"/>
              </w:rPr>
              <w:t>£31,195</w:t>
            </w:r>
          </w:p>
          <w:p w:rsidR="006A18FD" w:rsidRDefault="002D29FC">
            <w:pPr>
              <w:spacing w:before="1" w:line="223" w:lineRule="exact"/>
              <w:ind w:left="170"/>
              <w:rPr>
                <w:rFonts w:ascii="Calibri" w:hAnsi="Calibri"/>
                <w:sz w:val="20"/>
              </w:rPr>
            </w:pPr>
            <w:r>
              <w:rPr>
                <w:rFonts w:ascii="Calibri" w:hAnsi="Calibri"/>
                <w:sz w:val="20"/>
              </w:rPr>
              <w:t>(£30,063)</w:t>
            </w:r>
          </w:p>
        </w:tc>
        <w:tc>
          <w:tcPr>
            <w:tcW w:w="1702" w:type="dxa"/>
          </w:tcPr>
          <w:p w:rsidR="006A18FD" w:rsidRDefault="002D29FC">
            <w:pPr>
              <w:ind w:left="185" w:right="185"/>
              <w:jc w:val="center"/>
              <w:rPr>
                <w:rFonts w:ascii="Calibri" w:hAnsi="Calibri"/>
                <w:sz w:val="20"/>
              </w:rPr>
            </w:pPr>
            <w:r>
              <w:rPr>
                <w:rFonts w:ascii="Calibri" w:hAnsi="Calibri"/>
                <w:sz w:val="20"/>
              </w:rPr>
              <w:t>£3,750 (£3,614)</w:t>
            </w:r>
          </w:p>
        </w:tc>
      </w:tr>
      <w:tr w:rsidR="006A18FD">
        <w:trPr>
          <w:trHeight w:val="480"/>
        </w:trPr>
        <w:tc>
          <w:tcPr>
            <w:tcW w:w="3966" w:type="dxa"/>
          </w:tcPr>
          <w:p w:rsidR="006A18FD" w:rsidRDefault="002D29FC">
            <w:pPr>
              <w:spacing w:before="1" w:line="243" w:lineRule="exact"/>
              <w:ind w:left="103"/>
              <w:rPr>
                <w:rFonts w:ascii="Calibri"/>
                <w:sz w:val="20"/>
              </w:rPr>
            </w:pPr>
            <w:r>
              <w:rPr>
                <w:rFonts w:ascii="Calibri"/>
                <w:sz w:val="20"/>
              </w:rPr>
              <w:t>Build downstairs extension for bedroom and</w:t>
            </w:r>
          </w:p>
          <w:p w:rsidR="006A18FD" w:rsidRDefault="002D29FC">
            <w:pPr>
              <w:spacing w:line="222" w:lineRule="exact"/>
              <w:ind w:left="103"/>
              <w:rPr>
                <w:rFonts w:ascii="Calibri"/>
                <w:sz w:val="20"/>
              </w:rPr>
            </w:pPr>
            <w:r>
              <w:rPr>
                <w:rFonts w:ascii="Calibri"/>
                <w:sz w:val="20"/>
              </w:rPr>
              <w:t>en suite facilities</w:t>
            </w:r>
          </w:p>
        </w:tc>
        <w:tc>
          <w:tcPr>
            <w:tcW w:w="926" w:type="dxa"/>
          </w:tcPr>
          <w:p w:rsidR="006A18FD" w:rsidRDefault="002D29FC">
            <w:pPr>
              <w:spacing w:before="1"/>
              <w:ind w:left="407"/>
              <w:rPr>
                <w:rFonts w:ascii="Calibri"/>
                <w:sz w:val="20"/>
              </w:rPr>
            </w:pPr>
            <w:r>
              <w:rPr>
                <w:rFonts w:ascii="Calibri"/>
                <w:w w:val="99"/>
                <w:sz w:val="20"/>
              </w:rPr>
              <w:t>6</w:t>
            </w:r>
          </w:p>
        </w:tc>
        <w:tc>
          <w:tcPr>
            <w:tcW w:w="1200" w:type="dxa"/>
          </w:tcPr>
          <w:p w:rsidR="006A18FD" w:rsidRDefault="002D29FC">
            <w:pPr>
              <w:spacing w:before="1"/>
              <w:ind w:left="86" w:right="86"/>
              <w:jc w:val="center"/>
              <w:rPr>
                <w:rFonts w:ascii="Calibri" w:hAnsi="Calibri"/>
                <w:sz w:val="20"/>
              </w:rPr>
            </w:pPr>
            <w:r>
              <w:rPr>
                <w:rFonts w:ascii="Calibri" w:hAnsi="Calibri"/>
                <w:sz w:val="20"/>
              </w:rPr>
              <w:t>£26,857</w:t>
            </w:r>
          </w:p>
        </w:tc>
        <w:tc>
          <w:tcPr>
            <w:tcW w:w="991" w:type="dxa"/>
          </w:tcPr>
          <w:p w:rsidR="006A18FD" w:rsidRDefault="002D29FC">
            <w:pPr>
              <w:spacing w:before="1"/>
              <w:ind w:left="160"/>
              <w:rPr>
                <w:rFonts w:ascii="Calibri" w:hAnsi="Calibri"/>
                <w:sz w:val="20"/>
              </w:rPr>
            </w:pPr>
            <w:r>
              <w:rPr>
                <w:rFonts w:ascii="Calibri" w:hAnsi="Calibri"/>
                <w:sz w:val="20"/>
              </w:rPr>
              <w:t>£52,548</w:t>
            </w:r>
          </w:p>
        </w:tc>
        <w:tc>
          <w:tcPr>
            <w:tcW w:w="1136" w:type="dxa"/>
          </w:tcPr>
          <w:p w:rsidR="006A18FD" w:rsidRDefault="002D29FC">
            <w:pPr>
              <w:spacing w:before="1" w:line="243" w:lineRule="exact"/>
              <w:ind w:left="170" w:firstLine="62"/>
              <w:rPr>
                <w:rFonts w:ascii="Calibri" w:hAnsi="Calibri"/>
                <w:sz w:val="20"/>
              </w:rPr>
            </w:pPr>
            <w:r>
              <w:rPr>
                <w:rFonts w:ascii="Calibri" w:hAnsi="Calibri"/>
                <w:sz w:val="20"/>
              </w:rPr>
              <w:t>£39,280</w:t>
            </w:r>
          </w:p>
          <w:p w:rsidR="006A18FD" w:rsidRDefault="002D29FC">
            <w:pPr>
              <w:spacing w:line="222" w:lineRule="exact"/>
              <w:ind w:left="170"/>
              <w:rPr>
                <w:rFonts w:ascii="Calibri" w:hAnsi="Calibri"/>
                <w:sz w:val="20"/>
              </w:rPr>
            </w:pPr>
            <w:r>
              <w:rPr>
                <w:rFonts w:ascii="Calibri" w:hAnsi="Calibri"/>
                <w:sz w:val="20"/>
              </w:rPr>
              <w:t>(£37,445)</w:t>
            </w:r>
          </w:p>
        </w:tc>
        <w:tc>
          <w:tcPr>
            <w:tcW w:w="1702" w:type="dxa"/>
          </w:tcPr>
          <w:p w:rsidR="006A18FD" w:rsidRDefault="002D29FC">
            <w:pPr>
              <w:spacing w:before="1"/>
              <w:ind w:left="185" w:right="185"/>
              <w:jc w:val="center"/>
              <w:rPr>
                <w:rFonts w:ascii="Calibri" w:hAnsi="Calibri"/>
                <w:sz w:val="20"/>
              </w:rPr>
            </w:pPr>
            <w:r>
              <w:rPr>
                <w:rFonts w:ascii="Calibri" w:hAnsi="Calibri"/>
                <w:sz w:val="20"/>
              </w:rPr>
              <w:t>£4,721 (£4,501)</w:t>
            </w:r>
          </w:p>
        </w:tc>
      </w:tr>
      <w:tr w:rsidR="006A18FD">
        <w:trPr>
          <w:trHeight w:val="240"/>
        </w:trPr>
        <w:tc>
          <w:tcPr>
            <w:tcW w:w="3966" w:type="dxa"/>
          </w:tcPr>
          <w:p w:rsidR="006A18FD" w:rsidRDefault="002D29FC">
            <w:pPr>
              <w:spacing w:before="1" w:line="223" w:lineRule="exact"/>
              <w:ind w:left="103"/>
              <w:rPr>
                <w:rFonts w:ascii="Calibri"/>
                <w:b/>
                <w:sz w:val="20"/>
              </w:rPr>
            </w:pPr>
            <w:r>
              <w:rPr>
                <w:rFonts w:ascii="Calibri"/>
                <w:b/>
                <w:sz w:val="20"/>
              </w:rPr>
              <w:t>Total</w:t>
            </w:r>
          </w:p>
        </w:tc>
        <w:tc>
          <w:tcPr>
            <w:tcW w:w="926" w:type="dxa"/>
          </w:tcPr>
          <w:p w:rsidR="006A18FD" w:rsidRDefault="002D29FC">
            <w:pPr>
              <w:spacing w:before="1" w:line="223" w:lineRule="exact"/>
              <w:ind w:left="357"/>
              <w:rPr>
                <w:rFonts w:ascii="Calibri"/>
                <w:b/>
                <w:sz w:val="20"/>
              </w:rPr>
            </w:pPr>
            <w:r>
              <w:rPr>
                <w:rFonts w:ascii="Calibri"/>
                <w:b/>
                <w:sz w:val="20"/>
              </w:rPr>
              <w:t>82</w:t>
            </w:r>
          </w:p>
        </w:tc>
        <w:tc>
          <w:tcPr>
            <w:tcW w:w="1200" w:type="dxa"/>
          </w:tcPr>
          <w:p w:rsidR="006A18FD" w:rsidRDefault="006A18FD">
            <w:pPr>
              <w:rPr>
                <w:rFonts w:ascii="Times New Roman"/>
                <w:sz w:val="16"/>
              </w:rPr>
            </w:pPr>
          </w:p>
        </w:tc>
        <w:tc>
          <w:tcPr>
            <w:tcW w:w="991" w:type="dxa"/>
          </w:tcPr>
          <w:p w:rsidR="006A18FD" w:rsidRDefault="006A18FD">
            <w:pPr>
              <w:rPr>
                <w:rFonts w:ascii="Times New Roman"/>
                <w:sz w:val="16"/>
              </w:rPr>
            </w:pPr>
          </w:p>
        </w:tc>
        <w:tc>
          <w:tcPr>
            <w:tcW w:w="1136" w:type="dxa"/>
          </w:tcPr>
          <w:p w:rsidR="006A18FD" w:rsidRDefault="006A18FD">
            <w:pPr>
              <w:rPr>
                <w:rFonts w:ascii="Times New Roman"/>
                <w:sz w:val="16"/>
              </w:rPr>
            </w:pPr>
          </w:p>
        </w:tc>
        <w:tc>
          <w:tcPr>
            <w:tcW w:w="1702" w:type="dxa"/>
          </w:tcPr>
          <w:p w:rsidR="006A18FD" w:rsidRDefault="006A18FD">
            <w:pPr>
              <w:rPr>
                <w:rFonts w:ascii="Times New Roman"/>
                <w:sz w:val="16"/>
              </w:rPr>
            </w:pP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8"/>
        <w:rPr>
          <w:rFonts w:ascii="Calibri"/>
          <w:b/>
          <w:sz w:val="25"/>
        </w:rPr>
      </w:pPr>
    </w:p>
    <w:p w:rsidR="006A18FD" w:rsidRDefault="002D29FC">
      <w:pPr>
        <w:ind w:left="423" w:right="818" w:hanging="284"/>
        <w:jc w:val="both"/>
        <w:rPr>
          <w:rFonts w:ascii="Calibri"/>
          <w:sz w:val="16"/>
        </w:rPr>
      </w:pPr>
      <w:r>
        <w:rPr>
          <w:rFonts w:ascii="Calibri"/>
          <w:position w:val="5"/>
          <w:sz w:val="10"/>
        </w:rPr>
        <w:t xml:space="preserve">1 </w:t>
      </w:r>
      <w:r>
        <w:rPr>
          <w:rFonts w:ascii="Calibri"/>
          <w:sz w:val="16"/>
        </w:rPr>
        <w:t xml:space="preserve">Curtis, L. &amp; Beecham, J. (2018) A survey of local authorities and Home Improvement Agencies: Identifying the hidden costs of providing a home adaptations service, </w:t>
      </w:r>
      <w:r>
        <w:rPr>
          <w:rFonts w:ascii="Calibri"/>
          <w:i/>
          <w:sz w:val="16"/>
        </w:rPr>
        <w:t>British Journal of Occupational Therapy</w:t>
      </w:r>
      <w:r>
        <w:rPr>
          <w:rFonts w:ascii="Calibri"/>
          <w:sz w:val="16"/>
        </w:rPr>
        <w:t xml:space="preserve">, </w:t>
      </w:r>
      <w:hyperlink r:id="rId253">
        <w:r>
          <w:rPr>
            <w:rFonts w:ascii="Calibri"/>
            <w:sz w:val="16"/>
            <w:u w:val="single"/>
          </w:rPr>
          <w:t>http://journals.sagepub.com/doi/full/10.1177/0308022618771534</w:t>
        </w:r>
        <w:r>
          <w:rPr>
            <w:rFonts w:ascii="Calibri"/>
            <w:sz w:val="16"/>
          </w:rPr>
          <w:t xml:space="preserve"> </w:t>
        </w:r>
      </w:hyperlink>
      <w:r>
        <w:rPr>
          <w:rFonts w:ascii="Calibri"/>
          <w:sz w:val="16"/>
        </w:rPr>
        <w:t>[accessed 6 November 2018].</w:t>
      </w:r>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See </w:t>
      </w:r>
      <w:hyperlink r:id="rId254">
        <w:r>
          <w:rPr>
            <w:rFonts w:ascii="Calibri"/>
            <w:sz w:val="16"/>
            <w:u w:val="single"/>
          </w:rPr>
          <w:t>https://www.gov.uk/government/publications/the-green-book-appraisal-and-evaluation-in-central-governent</w:t>
        </w:r>
        <w:r>
          <w:rPr>
            <w:rFonts w:ascii="Calibri"/>
            <w:sz w:val="16"/>
          </w:rPr>
          <w:t xml:space="preserve"> </w:t>
        </w:r>
      </w:hyperlink>
      <w:r>
        <w:rPr>
          <w:rFonts w:ascii="Calibri"/>
          <w:sz w:val="16"/>
        </w:rPr>
        <w:t>[accessed 6 November 2018].</w:t>
      </w:r>
    </w:p>
    <w:p w:rsidR="006A18FD" w:rsidRDefault="006A18FD">
      <w:pPr>
        <w:spacing w:line="194" w:lineRule="exact"/>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7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76" name="Line 13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47401" id="Group 13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tRJMv34CAACBBQAA&#10;DgAAAAAAAAAAAAAAAAAuAgAAZHJzL2Uyb0RvYy54bWxQSwECLQAUAAYACAAAACEALXfkXNoAAAAE&#10;AQAADwAAAAAAAAAAAAAAAADYBAAAZHJzL2Rvd25yZXYueG1sUEsFBgAAAAAEAAQA8wAAAN8FAAAA&#10;AA==&#10;">
                <v:line id="Line 13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w10:anchorlock/>
              </v:group>
            </w:pict>
          </mc:Fallback>
        </mc:AlternateContent>
      </w:r>
    </w:p>
    <w:p w:rsidR="006A18FD" w:rsidRDefault="006A18FD">
      <w:pPr>
        <w:spacing w:before="5"/>
        <w:rPr>
          <w:rFonts w:ascii="Calibri"/>
          <w:sz w:val="24"/>
        </w:rPr>
      </w:pPr>
    </w:p>
    <w:p w:rsidR="006A18FD" w:rsidRDefault="002D29FC">
      <w:pPr>
        <w:spacing w:before="59"/>
        <w:ind w:left="152"/>
        <w:rPr>
          <w:rFonts w:ascii="Calibri"/>
          <w:b/>
          <w:sz w:val="20"/>
        </w:rPr>
      </w:pPr>
      <w:r>
        <w:rPr>
          <w:rFonts w:ascii="Calibri"/>
          <w:b/>
          <w:sz w:val="20"/>
        </w:rPr>
        <w:t>Table 2 Minor adaptations, including installation costs</w:t>
      </w:r>
    </w:p>
    <w:p w:rsidR="006A18FD" w:rsidRDefault="006A18FD">
      <w:pPr>
        <w:spacing w:before="7"/>
        <w:rPr>
          <w:rFonts w:ascii="Calibri"/>
          <w:b/>
          <w:sz w:val="9"/>
        </w:rPr>
      </w:pPr>
    </w:p>
    <w:tbl>
      <w:tblPr>
        <w:tblW w:w="0" w:type="auto"/>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2"/>
        <w:gridCol w:w="1001"/>
        <w:gridCol w:w="972"/>
        <w:gridCol w:w="1025"/>
        <w:gridCol w:w="1239"/>
        <w:gridCol w:w="2410"/>
      </w:tblGrid>
      <w:tr w:rsidR="006A18FD" w:rsidTr="001B7F44">
        <w:trPr>
          <w:trHeight w:val="720"/>
          <w:tblHeader/>
        </w:trPr>
        <w:tc>
          <w:tcPr>
            <w:tcW w:w="3562" w:type="dxa"/>
          </w:tcPr>
          <w:p w:rsidR="006A18FD" w:rsidRDefault="006A18FD">
            <w:pPr>
              <w:rPr>
                <w:rFonts w:ascii="Times New Roman"/>
                <w:sz w:val="18"/>
              </w:rPr>
            </w:pPr>
          </w:p>
        </w:tc>
        <w:tc>
          <w:tcPr>
            <w:tcW w:w="1001" w:type="dxa"/>
          </w:tcPr>
          <w:p w:rsidR="006A18FD" w:rsidRDefault="002D29FC">
            <w:pPr>
              <w:spacing w:before="1"/>
              <w:ind w:left="335" w:hanging="152"/>
              <w:rPr>
                <w:rFonts w:ascii="Calibri"/>
                <w:b/>
                <w:sz w:val="20"/>
              </w:rPr>
            </w:pPr>
            <w:r>
              <w:rPr>
                <w:rFonts w:ascii="Calibri"/>
                <w:b/>
                <w:w w:val="95"/>
                <w:sz w:val="20"/>
              </w:rPr>
              <w:t xml:space="preserve">Sample </w:t>
            </w:r>
            <w:r>
              <w:rPr>
                <w:rFonts w:ascii="Calibri"/>
                <w:b/>
                <w:sz w:val="20"/>
              </w:rPr>
              <w:t>size</w:t>
            </w:r>
          </w:p>
        </w:tc>
        <w:tc>
          <w:tcPr>
            <w:tcW w:w="972" w:type="dxa"/>
          </w:tcPr>
          <w:p w:rsidR="006A18FD" w:rsidRDefault="002D29FC">
            <w:pPr>
              <w:spacing w:before="1"/>
              <w:ind w:left="306" w:right="160" w:hanging="125"/>
              <w:rPr>
                <w:rFonts w:ascii="Calibri"/>
                <w:b/>
                <w:sz w:val="20"/>
              </w:rPr>
            </w:pPr>
            <w:r>
              <w:rPr>
                <w:rFonts w:ascii="Calibri"/>
                <w:b/>
                <w:sz w:val="20"/>
              </w:rPr>
              <w:t>Lowest cost</w:t>
            </w:r>
          </w:p>
        </w:tc>
        <w:tc>
          <w:tcPr>
            <w:tcW w:w="1025" w:type="dxa"/>
          </w:tcPr>
          <w:p w:rsidR="006A18FD" w:rsidRDefault="002D29FC">
            <w:pPr>
              <w:spacing w:before="1"/>
              <w:ind w:left="333" w:hanging="144"/>
              <w:rPr>
                <w:rFonts w:ascii="Calibri"/>
                <w:b/>
                <w:sz w:val="20"/>
              </w:rPr>
            </w:pPr>
            <w:r>
              <w:rPr>
                <w:rFonts w:ascii="Calibri"/>
                <w:b/>
                <w:w w:val="95"/>
                <w:sz w:val="20"/>
              </w:rPr>
              <w:t xml:space="preserve">Highest </w:t>
            </w:r>
            <w:r>
              <w:rPr>
                <w:rFonts w:ascii="Calibri"/>
                <w:b/>
                <w:sz w:val="20"/>
              </w:rPr>
              <w:t>cost</w:t>
            </w:r>
          </w:p>
        </w:tc>
        <w:tc>
          <w:tcPr>
            <w:tcW w:w="1239" w:type="dxa"/>
          </w:tcPr>
          <w:p w:rsidR="006A18FD" w:rsidRDefault="002D29FC">
            <w:pPr>
              <w:spacing w:before="1"/>
              <w:ind w:left="6" w:firstLine="350"/>
              <w:rPr>
                <w:rFonts w:ascii="Calibri"/>
                <w:b/>
                <w:sz w:val="20"/>
              </w:rPr>
            </w:pPr>
            <w:r>
              <w:rPr>
                <w:rFonts w:ascii="Calibri"/>
                <w:b/>
                <w:sz w:val="20"/>
              </w:rPr>
              <w:t>Mean (median) cost</w:t>
            </w:r>
          </w:p>
        </w:tc>
        <w:tc>
          <w:tcPr>
            <w:tcW w:w="2410" w:type="dxa"/>
          </w:tcPr>
          <w:p w:rsidR="006A18FD" w:rsidRDefault="002D29FC">
            <w:pPr>
              <w:spacing w:before="1" w:line="240" w:lineRule="atLeast"/>
              <w:ind w:left="239" w:right="258"/>
              <w:jc w:val="center"/>
              <w:rPr>
                <w:rFonts w:ascii="Calibri"/>
                <w:b/>
                <w:sz w:val="20"/>
              </w:rPr>
            </w:pPr>
            <w:r>
              <w:rPr>
                <w:rFonts w:ascii="Calibri"/>
                <w:b/>
                <w:sz w:val="20"/>
              </w:rPr>
              <w:t>Mean (median) annual equipment cost (3.5% discount)</w:t>
            </w:r>
          </w:p>
        </w:tc>
      </w:tr>
      <w:tr w:rsidR="006A18FD">
        <w:trPr>
          <w:trHeight w:val="239"/>
        </w:trPr>
        <w:tc>
          <w:tcPr>
            <w:tcW w:w="3562" w:type="dxa"/>
          </w:tcPr>
          <w:p w:rsidR="006A18FD" w:rsidRDefault="002D29FC">
            <w:pPr>
              <w:spacing w:line="223" w:lineRule="exact"/>
              <w:ind w:left="100"/>
              <w:rPr>
                <w:rFonts w:ascii="Calibri" w:hAnsi="Calibri"/>
                <w:sz w:val="20"/>
              </w:rPr>
            </w:pPr>
            <w:r>
              <w:rPr>
                <w:rFonts w:ascii="Calibri" w:hAnsi="Calibri"/>
                <w:sz w:val="20"/>
              </w:rPr>
              <w:t>Fit handrail – external</w:t>
            </w:r>
          </w:p>
        </w:tc>
        <w:tc>
          <w:tcPr>
            <w:tcW w:w="1001" w:type="dxa"/>
          </w:tcPr>
          <w:p w:rsidR="006A18FD" w:rsidRDefault="002D29FC">
            <w:pPr>
              <w:spacing w:line="223" w:lineRule="exact"/>
              <w:ind w:right="436"/>
              <w:jc w:val="right"/>
              <w:rPr>
                <w:rFonts w:ascii="Calibri"/>
                <w:sz w:val="20"/>
              </w:rPr>
            </w:pPr>
            <w:r>
              <w:rPr>
                <w:rFonts w:ascii="Calibri"/>
                <w:w w:val="99"/>
                <w:sz w:val="20"/>
              </w:rPr>
              <w:t>8</w:t>
            </w:r>
          </w:p>
        </w:tc>
        <w:tc>
          <w:tcPr>
            <w:tcW w:w="972" w:type="dxa"/>
          </w:tcPr>
          <w:p w:rsidR="006A18FD" w:rsidRDefault="002D29FC">
            <w:pPr>
              <w:spacing w:line="223" w:lineRule="exact"/>
              <w:ind w:left="323"/>
              <w:rPr>
                <w:rFonts w:ascii="Calibri" w:hAnsi="Calibri"/>
                <w:sz w:val="20"/>
              </w:rPr>
            </w:pPr>
            <w:r>
              <w:rPr>
                <w:rFonts w:ascii="Calibri" w:hAnsi="Calibri"/>
                <w:sz w:val="20"/>
              </w:rPr>
              <w:t>£19</w:t>
            </w:r>
          </w:p>
        </w:tc>
        <w:tc>
          <w:tcPr>
            <w:tcW w:w="1025" w:type="dxa"/>
          </w:tcPr>
          <w:p w:rsidR="006A18FD" w:rsidRDefault="002D29FC">
            <w:pPr>
              <w:spacing w:line="223" w:lineRule="exact"/>
              <w:ind w:left="228" w:right="228"/>
              <w:jc w:val="center"/>
              <w:rPr>
                <w:rFonts w:ascii="Calibri" w:hAnsi="Calibri"/>
                <w:sz w:val="20"/>
              </w:rPr>
            </w:pPr>
            <w:r>
              <w:rPr>
                <w:rFonts w:ascii="Calibri" w:hAnsi="Calibri"/>
                <w:sz w:val="20"/>
              </w:rPr>
              <w:t>£116</w:t>
            </w:r>
          </w:p>
        </w:tc>
        <w:tc>
          <w:tcPr>
            <w:tcW w:w="1239" w:type="dxa"/>
          </w:tcPr>
          <w:p w:rsidR="006A18FD" w:rsidRDefault="002D29FC">
            <w:pPr>
              <w:spacing w:line="223" w:lineRule="exact"/>
              <w:ind w:left="37" w:right="59"/>
              <w:jc w:val="center"/>
              <w:rPr>
                <w:rFonts w:ascii="Calibri" w:hAnsi="Calibri"/>
                <w:sz w:val="20"/>
              </w:rPr>
            </w:pPr>
            <w:r>
              <w:rPr>
                <w:rFonts w:ascii="Calibri" w:hAnsi="Calibri"/>
                <w:sz w:val="20"/>
              </w:rPr>
              <w:t>£48 (£32)</w:t>
            </w:r>
          </w:p>
        </w:tc>
        <w:tc>
          <w:tcPr>
            <w:tcW w:w="2410" w:type="dxa"/>
          </w:tcPr>
          <w:p w:rsidR="006A18FD" w:rsidRDefault="002D29FC">
            <w:pPr>
              <w:spacing w:line="223" w:lineRule="exact"/>
              <w:ind w:left="237" w:right="258"/>
              <w:jc w:val="center"/>
              <w:rPr>
                <w:rFonts w:ascii="Calibri" w:hAnsi="Calibri"/>
                <w:sz w:val="20"/>
              </w:rPr>
            </w:pPr>
            <w:r>
              <w:rPr>
                <w:rFonts w:ascii="Calibri" w:hAnsi="Calibri"/>
                <w:sz w:val="20"/>
              </w:rPr>
              <w:t>£5.70 (£3.90)</w:t>
            </w:r>
          </w:p>
        </w:tc>
      </w:tr>
      <w:tr w:rsidR="006A18FD">
        <w:trPr>
          <w:trHeight w:val="240"/>
        </w:trPr>
        <w:tc>
          <w:tcPr>
            <w:tcW w:w="3562" w:type="dxa"/>
          </w:tcPr>
          <w:p w:rsidR="006A18FD" w:rsidRDefault="002D29FC">
            <w:pPr>
              <w:spacing w:before="1" w:line="223" w:lineRule="exact"/>
              <w:ind w:left="100"/>
              <w:rPr>
                <w:rFonts w:ascii="Calibri" w:hAnsi="Calibri"/>
                <w:sz w:val="20"/>
              </w:rPr>
            </w:pPr>
            <w:r>
              <w:rPr>
                <w:rFonts w:ascii="Calibri" w:hAnsi="Calibri"/>
                <w:sz w:val="20"/>
              </w:rPr>
              <w:t>Fit handrail – internal</w:t>
            </w:r>
          </w:p>
        </w:tc>
        <w:tc>
          <w:tcPr>
            <w:tcW w:w="1001" w:type="dxa"/>
          </w:tcPr>
          <w:p w:rsidR="006A18FD" w:rsidRDefault="002D29FC">
            <w:pPr>
              <w:spacing w:before="1" w:line="223" w:lineRule="exact"/>
              <w:ind w:right="386"/>
              <w:jc w:val="right"/>
              <w:rPr>
                <w:rFonts w:ascii="Calibri"/>
                <w:sz w:val="20"/>
              </w:rPr>
            </w:pPr>
            <w:r>
              <w:rPr>
                <w:rFonts w:ascii="Calibri"/>
                <w:sz w:val="20"/>
              </w:rPr>
              <w:t>10</w:t>
            </w:r>
          </w:p>
        </w:tc>
        <w:tc>
          <w:tcPr>
            <w:tcW w:w="972" w:type="dxa"/>
          </w:tcPr>
          <w:p w:rsidR="006A18FD" w:rsidRDefault="002D29FC">
            <w:pPr>
              <w:spacing w:before="1" w:line="223" w:lineRule="exact"/>
              <w:ind w:left="323"/>
              <w:rPr>
                <w:rFonts w:ascii="Calibri" w:hAnsi="Calibri"/>
                <w:sz w:val="20"/>
              </w:rPr>
            </w:pPr>
            <w:r>
              <w:rPr>
                <w:rFonts w:ascii="Calibri" w:hAnsi="Calibri"/>
                <w:sz w:val="20"/>
              </w:rPr>
              <w:t>£11</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£76</w:t>
            </w:r>
          </w:p>
        </w:tc>
        <w:tc>
          <w:tcPr>
            <w:tcW w:w="1239" w:type="dxa"/>
          </w:tcPr>
          <w:p w:rsidR="006A18FD" w:rsidRDefault="002D29FC">
            <w:pPr>
              <w:spacing w:before="1" w:line="223" w:lineRule="exact"/>
              <w:ind w:left="37" w:right="59"/>
              <w:jc w:val="center"/>
              <w:rPr>
                <w:rFonts w:ascii="Calibri" w:hAnsi="Calibri"/>
                <w:sz w:val="20"/>
              </w:rPr>
            </w:pPr>
            <w:r>
              <w:rPr>
                <w:rFonts w:ascii="Calibri" w:hAnsi="Calibri"/>
                <w:sz w:val="20"/>
              </w:rPr>
              <w:t>£32 (£23)</w:t>
            </w:r>
          </w:p>
        </w:tc>
        <w:tc>
          <w:tcPr>
            <w:tcW w:w="2410" w:type="dxa"/>
          </w:tcPr>
          <w:p w:rsidR="006A18FD" w:rsidRDefault="002D29FC">
            <w:pPr>
              <w:spacing w:before="1" w:line="223" w:lineRule="exact"/>
              <w:ind w:left="237" w:right="258"/>
              <w:jc w:val="center"/>
              <w:rPr>
                <w:rFonts w:ascii="Calibri" w:hAnsi="Calibri"/>
                <w:sz w:val="20"/>
              </w:rPr>
            </w:pPr>
            <w:r>
              <w:rPr>
                <w:rFonts w:ascii="Calibri" w:hAnsi="Calibri"/>
                <w:sz w:val="20"/>
              </w:rPr>
              <w:t>£4.00 (£2.70)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Fit handrail to bath</w:t>
            </w:r>
          </w:p>
        </w:tc>
        <w:tc>
          <w:tcPr>
            <w:tcW w:w="1001" w:type="dxa"/>
          </w:tcPr>
          <w:p w:rsidR="006A18FD" w:rsidRDefault="002D29FC">
            <w:pPr>
              <w:spacing w:before="1" w:line="223" w:lineRule="exact"/>
              <w:ind w:right="436"/>
              <w:jc w:val="right"/>
              <w:rPr>
                <w:rFonts w:ascii="Calibri"/>
                <w:sz w:val="20"/>
              </w:rPr>
            </w:pPr>
            <w:r>
              <w:rPr>
                <w:rFonts w:ascii="Calibri"/>
                <w:w w:val="99"/>
                <w:sz w:val="20"/>
              </w:rPr>
              <w:t>8</w:t>
            </w:r>
          </w:p>
        </w:tc>
        <w:tc>
          <w:tcPr>
            <w:tcW w:w="972" w:type="dxa"/>
          </w:tcPr>
          <w:p w:rsidR="006A18FD" w:rsidRDefault="002D29FC">
            <w:pPr>
              <w:spacing w:before="1" w:line="223" w:lineRule="exact"/>
              <w:ind w:left="323"/>
              <w:rPr>
                <w:rFonts w:ascii="Calibri" w:hAnsi="Calibri"/>
                <w:sz w:val="20"/>
              </w:rPr>
            </w:pPr>
            <w:r>
              <w:rPr>
                <w:rFonts w:ascii="Calibri" w:hAnsi="Calibri"/>
                <w:sz w:val="20"/>
              </w:rPr>
              <w:t>£10</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£33</w:t>
            </w:r>
          </w:p>
        </w:tc>
        <w:tc>
          <w:tcPr>
            <w:tcW w:w="1239" w:type="dxa"/>
          </w:tcPr>
          <w:p w:rsidR="006A18FD" w:rsidRDefault="002D29FC">
            <w:pPr>
              <w:spacing w:before="1" w:line="223" w:lineRule="exact"/>
              <w:ind w:left="37" w:right="59"/>
              <w:jc w:val="center"/>
              <w:rPr>
                <w:rFonts w:ascii="Calibri" w:hAnsi="Calibri"/>
                <w:sz w:val="20"/>
              </w:rPr>
            </w:pPr>
            <w:r>
              <w:rPr>
                <w:rFonts w:ascii="Calibri" w:hAnsi="Calibri"/>
                <w:sz w:val="20"/>
              </w:rPr>
              <w:t>£20 (£23)</w:t>
            </w:r>
          </w:p>
        </w:tc>
        <w:tc>
          <w:tcPr>
            <w:tcW w:w="2410" w:type="dxa"/>
          </w:tcPr>
          <w:p w:rsidR="006A18FD" w:rsidRDefault="002D29FC">
            <w:pPr>
              <w:spacing w:before="1" w:line="223" w:lineRule="exact"/>
              <w:ind w:left="237" w:right="258"/>
              <w:jc w:val="center"/>
              <w:rPr>
                <w:rFonts w:ascii="Calibri" w:hAnsi="Calibri"/>
                <w:sz w:val="20"/>
              </w:rPr>
            </w:pPr>
            <w:r>
              <w:rPr>
                <w:rFonts w:ascii="Calibri" w:hAnsi="Calibri"/>
                <w:sz w:val="20"/>
              </w:rPr>
              <w:t>£2.50 (£2.70)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Fit over bath shower</w:t>
            </w:r>
          </w:p>
        </w:tc>
        <w:tc>
          <w:tcPr>
            <w:tcW w:w="1001" w:type="dxa"/>
          </w:tcPr>
          <w:p w:rsidR="006A18FD" w:rsidRDefault="002D29FC">
            <w:pPr>
              <w:spacing w:before="1" w:line="223" w:lineRule="exact"/>
              <w:ind w:right="436"/>
              <w:jc w:val="right"/>
              <w:rPr>
                <w:rFonts w:ascii="Calibri"/>
                <w:sz w:val="20"/>
              </w:rPr>
            </w:pPr>
            <w:r>
              <w:rPr>
                <w:rFonts w:ascii="Calibri"/>
                <w:w w:val="99"/>
                <w:sz w:val="20"/>
              </w:rPr>
              <w:t>6</w:t>
            </w:r>
          </w:p>
        </w:tc>
        <w:tc>
          <w:tcPr>
            <w:tcW w:w="972" w:type="dxa"/>
          </w:tcPr>
          <w:p w:rsidR="006A18FD" w:rsidRDefault="002D29FC">
            <w:pPr>
              <w:spacing w:before="1" w:line="223" w:lineRule="exact"/>
              <w:ind w:left="273"/>
              <w:rPr>
                <w:rFonts w:ascii="Calibri" w:hAnsi="Calibri"/>
                <w:sz w:val="20"/>
              </w:rPr>
            </w:pPr>
            <w:r>
              <w:rPr>
                <w:rFonts w:ascii="Calibri" w:hAnsi="Calibri"/>
                <w:sz w:val="20"/>
              </w:rPr>
              <w:t>£366</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£2111</w:t>
            </w:r>
          </w:p>
        </w:tc>
        <w:tc>
          <w:tcPr>
            <w:tcW w:w="1239" w:type="dxa"/>
          </w:tcPr>
          <w:p w:rsidR="006A18FD" w:rsidRDefault="002D29FC">
            <w:pPr>
              <w:spacing w:before="1" w:line="223" w:lineRule="exact"/>
              <w:ind w:left="37" w:right="62"/>
              <w:jc w:val="center"/>
              <w:rPr>
                <w:rFonts w:ascii="Calibri" w:hAnsi="Calibri"/>
                <w:sz w:val="20"/>
              </w:rPr>
            </w:pPr>
            <w:r>
              <w:rPr>
                <w:rFonts w:ascii="Calibri" w:hAnsi="Calibri"/>
                <w:sz w:val="20"/>
              </w:rPr>
              <w:t>£123 (£1363)</w:t>
            </w:r>
          </w:p>
        </w:tc>
        <w:tc>
          <w:tcPr>
            <w:tcW w:w="2410" w:type="dxa"/>
          </w:tcPr>
          <w:p w:rsidR="006A18FD" w:rsidRDefault="002D29FC">
            <w:pPr>
              <w:spacing w:before="1" w:line="223" w:lineRule="exact"/>
              <w:ind w:left="237" w:right="258"/>
              <w:jc w:val="center"/>
              <w:rPr>
                <w:rFonts w:ascii="Calibri" w:hAnsi="Calibri"/>
                <w:sz w:val="20"/>
              </w:rPr>
            </w:pPr>
            <w:r>
              <w:rPr>
                <w:rFonts w:ascii="Calibri" w:hAnsi="Calibri"/>
                <w:sz w:val="20"/>
              </w:rPr>
              <w:t>£15 (£164)</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Create step to front/back door</w:t>
            </w:r>
          </w:p>
        </w:tc>
        <w:tc>
          <w:tcPr>
            <w:tcW w:w="1001" w:type="dxa"/>
          </w:tcPr>
          <w:p w:rsidR="006A18FD" w:rsidRDefault="002D29FC">
            <w:pPr>
              <w:spacing w:before="1" w:line="223" w:lineRule="exact"/>
              <w:ind w:right="436"/>
              <w:jc w:val="right"/>
              <w:rPr>
                <w:rFonts w:ascii="Calibri"/>
                <w:sz w:val="20"/>
              </w:rPr>
            </w:pPr>
            <w:r>
              <w:rPr>
                <w:rFonts w:ascii="Calibri"/>
                <w:w w:val="99"/>
                <w:sz w:val="20"/>
              </w:rPr>
              <w:t>8</w:t>
            </w:r>
          </w:p>
        </w:tc>
        <w:tc>
          <w:tcPr>
            <w:tcW w:w="972" w:type="dxa"/>
          </w:tcPr>
          <w:p w:rsidR="006A18FD" w:rsidRDefault="002D29FC">
            <w:pPr>
              <w:spacing w:before="1" w:line="223" w:lineRule="exact"/>
              <w:ind w:left="323"/>
              <w:rPr>
                <w:rFonts w:ascii="Calibri" w:hAnsi="Calibri"/>
                <w:sz w:val="20"/>
              </w:rPr>
            </w:pPr>
            <w:r>
              <w:rPr>
                <w:rFonts w:ascii="Calibri" w:hAnsi="Calibri"/>
                <w:sz w:val="20"/>
              </w:rPr>
              <w:t>£24</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£1759</w:t>
            </w:r>
          </w:p>
        </w:tc>
        <w:tc>
          <w:tcPr>
            <w:tcW w:w="1239" w:type="dxa"/>
          </w:tcPr>
          <w:p w:rsidR="006A18FD" w:rsidRDefault="002D29FC">
            <w:pPr>
              <w:spacing w:before="1" w:line="223" w:lineRule="exact"/>
              <w:ind w:left="37" w:right="58"/>
              <w:jc w:val="center"/>
              <w:rPr>
                <w:rFonts w:ascii="Calibri" w:hAnsi="Calibri"/>
                <w:sz w:val="20"/>
              </w:rPr>
            </w:pPr>
            <w:r>
              <w:rPr>
                <w:rFonts w:ascii="Calibri" w:hAnsi="Calibri"/>
                <w:sz w:val="20"/>
              </w:rPr>
              <w:t>£546 (£102)</w:t>
            </w:r>
          </w:p>
        </w:tc>
        <w:tc>
          <w:tcPr>
            <w:tcW w:w="2410" w:type="dxa"/>
          </w:tcPr>
          <w:p w:rsidR="006A18FD" w:rsidRDefault="002D29FC">
            <w:pPr>
              <w:spacing w:before="1" w:line="223" w:lineRule="exact"/>
              <w:ind w:left="239" w:right="258"/>
              <w:jc w:val="center"/>
              <w:rPr>
                <w:rFonts w:ascii="Calibri" w:hAnsi="Calibri"/>
                <w:sz w:val="20"/>
              </w:rPr>
            </w:pPr>
            <w:r>
              <w:rPr>
                <w:rFonts w:ascii="Calibri" w:hAnsi="Calibri"/>
                <w:sz w:val="20"/>
              </w:rPr>
              <w:t>£67 (£12.40)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Create ramp to front/back door</w:t>
            </w:r>
          </w:p>
        </w:tc>
        <w:tc>
          <w:tcPr>
            <w:tcW w:w="1001" w:type="dxa"/>
          </w:tcPr>
          <w:p w:rsidR="006A18FD" w:rsidRDefault="002D29FC">
            <w:pPr>
              <w:spacing w:before="1" w:line="223" w:lineRule="exact"/>
              <w:ind w:right="436"/>
              <w:jc w:val="right"/>
              <w:rPr>
                <w:rFonts w:ascii="Calibri"/>
                <w:sz w:val="20"/>
              </w:rPr>
            </w:pPr>
            <w:r>
              <w:rPr>
                <w:rFonts w:ascii="Calibri"/>
                <w:w w:val="99"/>
                <w:sz w:val="20"/>
              </w:rPr>
              <w:t>5</w:t>
            </w:r>
          </w:p>
        </w:tc>
        <w:tc>
          <w:tcPr>
            <w:tcW w:w="972" w:type="dxa"/>
          </w:tcPr>
          <w:p w:rsidR="006A18FD" w:rsidRDefault="002D29FC">
            <w:pPr>
              <w:spacing w:before="1" w:line="223" w:lineRule="exact"/>
              <w:ind w:left="273"/>
              <w:rPr>
                <w:rFonts w:ascii="Calibri" w:hAnsi="Calibri"/>
                <w:sz w:val="20"/>
              </w:rPr>
            </w:pPr>
            <w:r>
              <w:rPr>
                <w:rFonts w:ascii="Calibri" w:hAnsi="Calibri"/>
                <w:sz w:val="20"/>
              </w:rPr>
              <w:t>£139</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£795</w:t>
            </w:r>
          </w:p>
        </w:tc>
        <w:tc>
          <w:tcPr>
            <w:tcW w:w="1239" w:type="dxa"/>
          </w:tcPr>
          <w:p w:rsidR="006A18FD" w:rsidRDefault="002D29FC">
            <w:pPr>
              <w:spacing w:before="1" w:line="223" w:lineRule="exact"/>
              <w:ind w:left="37" w:right="59"/>
              <w:jc w:val="center"/>
              <w:rPr>
                <w:rFonts w:ascii="Calibri" w:hAnsi="Calibri"/>
                <w:sz w:val="20"/>
              </w:rPr>
            </w:pPr>
            <w:r>
              <w:rPr>
                <w:rFonts w:ascii="Calibri" w:hAnsi="Calibri"/>
                <w:sz w:val="20"/>
              </w:rPr>
              <w:t>£359 (136)</w:t>
            </w:r>
          </w:p>
        </w:tc>
        <w:tc>
          <w:tcPr>
            <w:tcW w:w="2410" w:type="dxa"/>
          </w:tcPr>
          <w:p w:rsidR="006A18FD" w:rsidRDefault="002D29FC">
            <w:pPr>
              <w:spacing w:before="1" w:line="223" w:lineRule="exact"/>
              <w:ind w:left="236" w:right="258"/>
              <w:jc w:val="center"/>
              <w:rPr>
                <w:rFonts w:ascii="Calibri" w:hAnsi="Calibri"/>
                <w:sz w:val="20"/>
              </w:rPr>
            </w:pPr>
            <w:r>
              <w:rPr>
                <w:rFonts w:ascii="Calibri" w:hAnsi="Calibri"/>
                <w:sz w:val="20"/>
              </w:rPr>
              <w:t>£44 (£16)</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Lay new path, per metre cost</w:t>
            </w:r>
          </w:p>
        </w:tc>
        <w:tc>
          <w:tcPr>
            <w:tcW w:w="1001" w:type="dxa"/>
          </w:tcPr>
          <w:p w:rsidR="006A18FD" w:rsidRDefault="002D29FC">
            <w:pPr>
              <w:spacing w:before="1" w:line="223" w:lineRule="exact"/>
              <w:ind w:right="436"/>
              <w:jc w:val="right"/>
              <w:rPr>
                <w:rFonts w:ascii="Calibri"/>
                <w:sz w:val="20"/>
              </w:rPr>
            </w:pPr>
            <w:r>
              <w:rPr>
                <w:rFonts w:ascii="Calibri"/>
                <w:w w:val="99"/>
                <w:sz w:val="20"/>
              </w:rPr>
              <w:t>3</w:t>
            </w:r>
          </w:p>
        </w:tc>
        <w:tc>
          <w:tcPr>
            <w:tcW w:w="972" w:type="dxa"/>
          </w:tcPr>
          <w:p w:rsidR="006A18FD" w:rsidRDefault="002D29FC">
            <w:pPr>
              <w:spacing w:before="1" w:line="223" w:lineRule="exact"/>
              <w:ind w:left="273"/>
              <w:rPr>
                <w:rFonts w:ascii="Calibri" w:hAnsi="Calibri"/>
                <w:sz w:val="20"/>
              </w:rPr>
            </w:pPr>
            <w:r>
              <w:rPr>
                <w:rFonts w:ascii="Calibri" w:hAnsi="Calibri"/>
                <w:sz w:val="20"/>
              </w:rPr>
              <w:t>£115</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£141</w:t>
            </w:r>
          </w:p>
        </w:tc>
        <w:tc>
          <w:tcPr>
            <w:tcW w:w="1239" w:type="dxa"/>
          </w:tcPr>
          <w:p w:rsidR="006A18FD" w:rsidRDefault="002D29FC">
            <w:pPr>
              <w:spacing w:before="1" w:line="223" w:lineRule="exact"/>
              <w:ind w:left="37" w:right="58"/>
              <w:jc w:val="center"/>
              <w:rPr>
                <w:rFonts w:ascii="Calibri" w:hAnsi="Calibri"/>
                <w:sz w:val="20"/>
              </w:rPr>
            </w:pPr>
            <w:r>
              <w:rPr>
                <w:rFonts w:ascii="Calibri" w:hAnsi="Calibri"/>
                <w:sz w:val="20"/>
              </w:rPr>
              <w:t>£126 (£136)</w:t>
            </w:r>
          </w:p>
        </w:tc>
        <w:tc>
          <w:tcPr>
            <w:tcW w:w="2410" w:type="dxa"/>
          </w:tcPr>
          <w:p w:rsidR="006A18FD" w:rsidRDefault="002D29FC">
            <w:pPr>
              <w:spacing w:before="1" w:line="223" w:lineRule="exact"/>
              <w:ind w:left="239" w:right="258"/>
              <w:jc w:val="center"/>
              <w:rPr>
                <w:rFonts w:ascii="Calibri" w:hAnsi="Calibri"/>
                <w:sz w:val="20"/>
              </w:rPr>
            </w:pPr>
            <w:r>
              <w:rPr>
                <w:rFonts w:ascii="Calibri" w:hAnsi="Calibri"/>
                <w:sz w:val="20"/>
              </w:rPr>
              <w:t>£16 (£16.40)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Widen doorway for wheelchair access</w:t>
            </w:r>
          </w:p>
        </w:tc>
        <w:tc>
          <w:tcPr>
            <w:tcW w:w="1001" w:type="dxa"/>
          </w:tcPr>
          <w:p w:rsidR="006A18FD" w:rsidRDefault="002D29FC">
            <w:pPr>
              <w:spacing w:before="1" w:line="223" w:lineRule="exact"/>
              <w:ind w:right="436"/>
              <w:jc w:val="right"/>
              <w:rPr>
                <w:rFonts w:ascii="Calibri"/>
                <w:sz w:val="20"/>
              </w:rPr>
            </w:pPr>
            <w:r>
              <w:rPr>
                <w:rFonts w:ascii="Calibri"/>
                <w:w w:val="99"/>
                <w:sz w:val="20"/>
              </w:rPr>
              <w:t>6</w:t>
            </w:r>
          </w:p>
        </w:tc>
        <w:tc>
          <w:tcPr>
            <w:tcW w:w="972" w:type="dxa"/>
          </w:tcPr>
          <w:p w:rsidR="006A18FD" w:rsidRDefault="002D29FC">
            <w:pPr>
              <w:spacing w:before="1" w:line="223" w:lineRule="exact"/>
              <w:ind w:left="273"/>
              <w:rPr>
                <w:rFonts w:ascii="Calibri" w:hAnsi="Calibri"/>
                <w:sz w:val="20"/>
              </w:rPr>
            </w:pPr>
            <w:r>
              <w:rPr>
                <w:rFonts w:ascii="Calibri" w:hAnsi="Calibri"/>
                <w:sz w:val="20"/>
              </w:rPr>
              <w:t>£342</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£776</w:t>
            </w:r>
          </w:p>
        </w:tc>
        <w:tc>
          <w:tcPr>
            <w:tcW w:w="1239" w:type="dxa"/>
          </w:tcPr>
          <w:p w:rsidR="006A18FD" w:rsidRDefault="002D29FC">
            <w:pPr>
              <w:spacing w:before="1" w:line="223" w:lineRule="exact"/>
              <w:ind w:left="37" w:right="58"/>
              <w:jc w:val="center"/>
              <w:rPr>
                <w:rFonts w:ascii="Calibri" w:hAnsi="Calibri"/>
                <w:sz w:val="20"/>
              </w:rPr>
            </w:pPr>
            <w:r>
              <w:rPr>
                <w:rFonts w:ascii="Calibri" w:hAnsi="Calibri"/>
                <w:sz w:val="20"/>
              </w:rPr>
              <w:t>£609 (£750)</w:t>
            </w:r>
          </w:p>
        </w:tc>
        <w:tc>
          <w:tcPr>
            <w:tcW w:w="2410" w:type="dxa"/>
          </w:tcPr>
          <w:p w:rsidR="006A18FD" w:rsidRDefault="002D29FC">
            <w:pPr>
              <w:spacing w:before="1" w:line="223" w:lineRule="exact"/>
              <w:ind w:left="239" w:right="258"/>
              <w:jc w:val="center"/>
              <w:rPr>
                <w:rFonts w:ascii="Calibri" w:hAnsi="Calibri"/>
                <w:sz w:val="20"/>
              </w:rPr>
            </w:pPr>
            <w:r>
              <w:rPr>
                <w:rFonts w:ascii="Calibri" w:hAnsi="Calibri"/>
                <w:sz w:val="20"/>
              </w:rPr>
              <w:t>£75 (£90.10)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Install lighting to outside steps/path</w:t>
            </w:r>
          </w:p>
        </w:tc>
        <w:tc>
          <w:tcPr>
            <w:tcW w:w="1001" w:type="dxa"/>
          </w:tcPr>
          <w:p w:rsidR="006A18FD" w:rsidRDefault="002D29FC">
            <w:pPr>
              <w:spacing w:before="1" w:line="223" w:lineRule="exact"/>
              <w:ind w:right="436"/>
              <w:jc w:val="right"/>
              <w:rPr>
                <w:rFonts w:ascii="Calibri"/>
                <w:sz w:val="20"/>
              </w:rPr>
            </w:pPr>
            <w:r>
              <w:rPr>
                <w:rFonts w:ascii="Calibri"/>
                <w:w w:val="99"/>
                <w:sz w:val="20"/>
              </w:rPr>
              <w:t>5</w:t>
            </w:r>
          </w:p>
        </w:tc>
        <w:tc>
          <w:tcPr>
            <w:tcW w:w="972" w:type="dxa"/>
          </w:tcPr>
          <w:p w:rsidR="006A18FD" w:rsidRDefault="002D29FC">
            <w:pPr>
              <w:spacing w:before="1" w:line="223" w:lineRule="exact"/>
              <w:ind w:left="323"/>
              <w:rPr>
                <w:rFonts w:ascii="Calibri" w:hAnsi="Calibri"/>
                <w:sz w:val="20"/>
              </w:rPr>
            </w:pPr>
            <w:r>
              <w:rPr>
                <w:rFonts w:ascii="Calibri" w:hAnsi="Calibri"/>
                <w:sz w:val="20"/>
              </w:rPr>
              <w:t>£29</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£704</w:t>
            </w:r>
          </w:p>
        </w:tc>
        <w:tc>
          <w:tcPr>
            <w:tcW w:w="1239" w:type="dxa"/>
          </w:tcPr>
          <w:p w:rsidR="006A18FD" w:rsidRDefault="002D29FC">
            <w:pPr>
              <w:spacing w:before="1" w:line="223" w:lineRule="exact"/>
              <w:ind w:left="37" w:right="58"/>
              <w:jc w:val="center"/>
              <w:rPr>
                <w:rFonts w:ascii="Calibri" w:hAnsi="Calibri"/>
                <w:sz w:val="20"/>
              </w:rPr>
            </w:pPr>
            <w:r>
              <w:rPr>
                <w:rFonts w:ascii="Calibri" w:hAnsi="Calibri"/>
                <w:sz w:val="20"/>
              </w:rPr>
              <w:t>£291 (£159)</w:t>
            </w:r>
          </w:p>
        </w:tc>
        <w:tc>
          <w:tcPr>
            <w:tcW w:w="2410" w:type="dxa"/>
          </w:tcPr>
          <w:p w:rsidR="006A18FD" w:rsidRDefault="002D29FC">
            <w:pPr>
              <w:spacing w:before="1" w:line="223" w:lineRule="exact"/>
              <w:ind w:left="239" w:right="258"/>
              <w:jc w:val="center"/>
              <w:rPr>
                <w:rFonts w:ascii="Calibri" w:hAnsi="Calibri"/>
                <w:sz w:val="20"/>
              </w:rPr>
            </w:pPr>
            <w:r>
              <w:rPr>
                <w:rFonts w:ascii="Calibri" w:hAnsi="Calibri"/>
                <w:sz w:val="20"/>
              </w:rPr>
              <w:t>£35 (£19.10)</w:t>
            </w:r>
          </w:p>
        </w:tc>
      </w:tr>
      <w:tr w:rsidR="006A18FD">
        <w:trPr>
          <w:trHeight w:val="240"/>
        </w:trPr>
        <w:tc>
          <w:tcPr>
            <w:tcW w:w="3562" w:type="dxa"/>
          </w:tcPr>
          <w:p w:rsidR="006A18FD" w:rsidRDefault="002D29FC">
            <w:pPr>
              <w:spacing w:before="1" w:line="223" w:lineRule="exact"/>
              <w:ind w:left="100"/>
              <w:rPr>
                <w:rFonts w:ascii="Calibri"/>
                <w:sz w:val="20"/>
              </w:rPr>
            </w:pPr>
            <w:r>
              <w:rPr>
                <w:rFonts w:ascii="Calibri"/>
                <w:sz w:val="20"/>
              </w:rPr>
              <w:t>Move bed to downstairs room</w:t>
            </w:r>
          </w:p>
        </w:tc>
        <w:tc>
          <w:tcPr>
            <w:tcW w:w="1001" w:type="dxa"/>
          </w:tcPr>
          <w:p w:rsidR="006A18FD" w:rsidRDefault="002D29FC">
            <w:pPr>
              <w:spacing w:before="1" w:line="223" w:lineRule="exact"/>
              <w:ind w:right="436"/>
              <w:jc w:val="right"/>
              <w:rPr>
                <w:rFonts w:ascii="Calibri"/>
                <w:sz w:val="20"/>
              </w:rPr>
            </w:pPr>
            <w:r>
              <w:rPr>
                <w:rFonts w:ascii="Calibri"/>
                <w:w w:val="99"/>
                <w:sz w:val="20"/>
              </w:rPr>
              <w:t>3</w:t>
            </w:r>
          </w:p>
        </w:tc>
        <w:tc>
          <w:tcPr>
            <w:tcW w:w="972" w:type="dxa"/>
          </w:tcPr>
          <w:p w:rsidR="006A18FD" w:rsidRDefault="002D29FC">
            <w:pPr>
              <w:spacing w:before="1" w:line="223" w:lineRule="exact"/>
              <w:ind w:left="323"/>
              <w:rPr>
                <w:rFonts w:ascii="Calibri" w:hAnsi="Calibri"/>
                <w:sz w:val="20"/>
              </w:rPr>
            </w:pPr>
            <w:r>
              <w:rPr>
                <w:rFonts w:ascii="Calibri" w:hAnsi="Calibri"/>
                <w:sz w:val="20"/>
              </w:rPr>
              <w:t>£35</w:t>
            </w:r>
          </w:p>
        </w:tc>
        <w:tc>
          <w:tcPr>
            <w:tcW w:w="1025" w:type="dxa"/>
          </w:tcPr>
          <w:p w:rsidR="006A18FD" w:rsidRDefault="002D29FC">
            <w:pPr>
              <w:spacing w:before="1" w:line="223" w:lineRule="exact"/>
              <w:ind w:left="228" w:right="228"/>
              <w:jc w:val="center"/>
              <w:rPr>
                <w:rFonts w:ascii="Calibri" w:hAnsi="Calibri"/>
                <w:sz w:val="20"/>
              </w:rPr>
            </w:pPr>
            <w:r>
              <w:rPr>
                <w:rFonts w:ascii="Calibri" w:hAnsi="Calibri"/>
                <w:sz w:val="20"/>
              </w:rPr>
              <w:t>£52</w:t>
            </w:r>
          </w:p>
        </w:tc>
        <w:tc>
          <w:tcPr>
            <w:tcW w:w="1239" w:type="dxa"/>
          </w:tcPr>
          <w:p w:rsidR="006A18FD" w:rsidRDefault="002D29FC">
            <w:pPr>
              <w:spacing w:before="1" w:line="223" w:lineRule="exact"/>
              <w:ind w:left="37" w:right="59"/>
              <w:jc w:val="center"/>
              <w:rPr>
                <w:rFonts w:ascii="Calibri" w:hAnsi="Calibri"/>
                <w:sz w:val="20"/>
              </w:rPr>
            </w:pPr>
            <w:r>
              <w:rPr>
                <w:rFonts w:ascii="Calibri" w:hAnsi="Calibri"/>
                <w:sz w:val="20"/>
              </w:rPr>
              <w:t>£45 (£51)</w:t>
            </w:r>
          </w:p>
        </w:tc>
        <w:tc>
          <w:tcPr>
            <w:tcW w:w="2410" w:type="dxa"/>
          </w:tcPr>
          <w:p w:rsidR="006A18FD" w:rsidRDefault="002D29FC">
            <w:pPr>
              <w:spacing w:before="1" w:line="223" w:lineRule="exact"/>
              <w:ind w:left="237" w:right="258"/>
              <w:jc w:val="center"/>
              <w:rPr>
                <w:rFonts w:ascii="Calibri" w:hAnsi="Calibri"/>
                <w:sz w:val="20"/>
              </w:rPr>
            </w:pPr>
            <w:r>
              <w:rPr>
                <w:rFonts w:ascii="Calibri" w:hAnsi="Calibri"/>
                <w:sz w:val="20"/>
              </w:rPr>
              <w:t>£5.70 (£6.10)</w:t>
            </w:r>
          </w:p>
        </w:tc>
      </w:tr>
      <w:tr w:rsidR="006A18FD">
        <w:trPr>
          <w:trHeight w:val="480"/>
        </w:trPr>
        <w:tc>
          <w:tcPr>
            <w:tcW w:w="3562" w:type="dxa"/>
          </w:tcPr>
          <w:p w:rsidR="006A18FD" w:rsidRDefault="002D29FC">
            <w:pPr>
              <w:spacing w:before="1" w:line="240" w:lineRule="atLeast"/>
              <w:ind w:left="100" w:right="617"/>
              <w:rPr>
                <w:rFonts w:ascii="Calibri"/>
                <w:sz w:val="20"/>
              </w:rPr>
            </w:pPr>
            <w:r>
              <w:rPr>
                <w:rFonts w:ascii="Calibri"/>
                <w:sz w:val="20"/>
              </w:rPr>
              <w:t>Raise electrical sockets/lower light switches</w:t>
            </w:r>
          </w:p>
        </w:tc>
        <w:tc>
          <w:tcPr>
            <w:tcW w:w="1001" w:type="dxa"/>
          </w:tcPr>
          <w:p w:rsidR="006A18FD" w:rsidRDefault="002D29FC">
            <w:pPr>
              <w:spacing w:before="1"/>
              <w:ind w:right="436"/>
              <w:jc w:val="right"/>
              <w:rPr>
                <w:rFonts w:ascii="Calibri"/>
                <w:sz w:val="20"/>
              </w:rPr>
            </w:pPr>
            <w:r>
              <w:rPr>
                <w:rFonts w:ascii="Calibri"/>
                <w:w w:val="99"/>
                <w:sz w:val="20"/>
              </w:rPr>
              <w:t>6</w:t>
            </w:r>
          </w:p>
        </w:tc>
        <w:tc>
          <w:tcPr>
            <w:tcW w:w="972" w:type="dxa"/>
          </w:tcPr>
          <w:p w:rsidR="006A18FD" w:rsidRDefault="002D29FC">
            <w:pPr>
              <w:spacing w:before="1"/>
              <w:ind w:left="323"/>
              <w:rPr>
                <w:rFonts w:ascii="Calibri" w:hAnsi="Calibri"/>
                <w:sz w:val="20"/>
              </w:rPr>
            </w:pPr>
            <w:r>
              <w:rPr>
                <w:rFonts w:ascii="Calibri" w:hAnsi="Calibri"/>
                <w:sz w:val="20"/>
              </w:rPr>
              <w:t>£47</w:t>
            </w:r>
          </w:p>
        </w:tc>
        <w:tc>
          <w:tcPr>
            <w:tcW w:w="1025" w:type="dxa"/>
          </w:tcPr>
          <w:p w:rsidR="006A18FD" w:rsidRDefault="002D29FC">
            <w:pPr>
              <w:spacing w:before="1"/>
              <w:ind w:left="228" w:right="228"/>
              <w:jc w:val="center"/>
              <w:rPr>
                <w:rFonts w:ascii="Calibri" w:hAnsi="Calibri"/>
                <w:sz w:val="20"/>
              </w:rPr>
            </w:pPr>
            <w:r>
              <w:rPr>
                <w:rFonts w:ascii="Calibri" w:hAnsi="Calibri"/>
                <w:sz w:val="20"/>
              </w:rPr>
              <w:t>£1726</w:t>
            </w:r>
          </w:p>
        </w:tc>
        <w:tc>
          <w:tcPr>
            <w:tcW w:w="1239" w:type="dxa"/>
          </w:tcPr>
          <w:p w:rsidR="006A18FD" w:rsidRDefault="002D29FC">
            <w:pPr>
              <w:spacing w:before="1"/>
              <w:ind w:left="37" w:right="59"/>
              <w:jc w:val="center"/>
              <w:rPr>
                <w:rFonts w:ascii="Calibri" w:hAnsi="Calibri"/>
                <w:sz w:val="20"/>
              </w:rPr>
            </w:pPr>
            <w:r>
              <w:rPr>
                <w:rFonts w:ascii="Calibri" w:hAnsi="Calibri"/>
                <w:sz w:val="20"/>
              </w:rPr>
              <w:t>£91 (£85)</w:t>
            </w:r>
          </w:p>
        </w:tc>
        <w:tc>
          <w:tcPr>
            <w:tcW w:w="2410" w:type="dxa"/>
          </w:tcPr>
          <w:p w:rsidR="006A18FD" w:rsidRDefault="002D29FC">
            <w:pPr>
              <w:spacing w:before="1"/>
              <w:ind w:left="239" w:right="258"/>
              <w:jc w:val="center"/>
              <w:rPr>
                <w:rFonts w:ascii="Calibri" w:hAnsi="Calibri"/>
                <w:sz w:val="20"/>
              </w:rPr>
            </w:pPr>
            <w:r>
              <w:rPr>
                <w:rFonts w:ascii="Calibri" w:hAnsi="Calibri"/>
                <w:sz w:val="20"/>
              </w:rPr>
              <w:t>£11.40 (£10.20)</w:t>
            </w:r>
          </w:p>
        </w:tc>
      </w:tr>
    </w:tbl>
    <w:p w:rsidR="006A18FD" w:rsidRDefault="002D29FC">
      <w:pPr>
        <w:spacing w:before="121"/>
        <w:ind w:left="152"/>
        <w:rPr>
          <w:rFonts w:ascii="Calibri"/>
          <w:b/>
          <w:sz w:val="20"/>
        </w:rPr>
      </w:pPr>
      <w:r>
        <w:rPr>
          <w:rFonts w:ascii="Calibri"/>
          <w:b/>
          <w:sz w:val="20"/>
        </w:rPr>
        <w:t>Table 3 Mean costs for staff involved in the process of providing minor adaptations</w:t>
      </w:r>
    </w:p>
    <w:p w:rsidR="006A18FD" w:rsidRDefault="006A18FD">
      <w:pPr>
        <w:spacing w:before="8" w:after="1"/>
        <w:rPr>
          <w:rFonts w:ascii="Calibri"/>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0"/>
        <w:gridCol w:w="1217"/>
        <w:gridCol w:w="1275"/>
        <w:gridCol w:w="1702"/>
        <w:gridCol w:w="2670"/>
      </w:tblGrid>
      <w:tr w:rsidR="006A18FD" w:rsidTr="001B7F44">
        <w:trPr>
          <w:trHeight w:val="240"/>
          <w:tblHeader/>
        </w:trPr>
        <w:tc>
          <w:tcPr>
            <w:tcW w:w="3320" w:type="dxa"/>
          </w:tcPr>
          <w:p w:rsidR="006A18FD" w:rsidRDefault="006A18FD">
            <w:pPr>
              <w:rPr>
                <w:rFonts w:ascii="Times New Roman"/>
                <w:sz w:val="16"/>
              </w:rPr>
            </w:pPr>
          </w:p>
        </w:tc>
        <w:tc>
          <w:tcPr>
            <w:tcW w:w="6863" w:type="dxa"/>
            <w:gridSpan w:val="4"/>
          </w:tcPr>
          <w:p w:rsidR="006A18FD" w:rsidRDefault="002D29FC">
            <w:pPr>
              <w:spacing w:before="1" w:line="223" w:lineRule="exact"/>
              <w:ind w:left="2871" w:right="2873"/>
              <w:jc w:val="center"/>
              <w:rPr>
                <w:rFonts w:ascii="Calibri"/>
                <w:b/>
                <w:sz w:val="20"/>
              </w:rPr>
            </w:pPr>
            <w:r>
              <w:rPr>
                <w:rFonts w:ascii="Calibri"/>
                <w:b/>
                <w:sz w:val="20"/>
              </w:rPr>
              <w:t>Average cost</w:t>
            </w:r>
          </w:p>
        </w:tc>
      </w:tr>
      <w:tr w:rsidR="006A18FD" w:rsidTr="001B7F44">
        <w:trPr>
          <w:trHeight w:val="480"/>
          <w:tblHeader/>
        </w:trPr>
        <w:tc>
          <w:tcPr>
            <w:tcW w:w="3320" w:type="dxa"/>
          </w:tcPr>
          <w:p w:rsidR="006A18FD" w:rsidRDefault="006A18FD">
            <w:pPr>
              <w:rPr>
                <w:rFonts w:ascii="Times New Roman"/>
                <w:sz w:val="18"/>
              </w:rPr>
            </w:pPr>
          </w:p>
        </w:tc>
        <w:tc>
          <w:tcPr>
            <w:tcW w:w="1217" w:type="dxa"/>
          </w:tcPr>
          <w:p w:rsidR="006A18FD" w:rsidRDefault="002D29FC">
            <w:pPr>
              <w:spacing w:before="1" w:line="240" w:lineRule="atLeast"/>
              <w:ind w:left="282" w:right="267" w:firstLine="84"/>
              <w:rPr>
                <w:rFonts w:ascii="Calibri"/>
                <w:b/>
                <w:sz w:val="20"/>
              </w:rPr>
            </w:pPr>
            <w:r>
              <w:rPr>
                <w:rFonts w:ascii="Calibri"/>
                <w:b/>
                <w:sz w:val="20"/>
              </w:rPr>
              <w:t>Initial enquiry</w:t>
            </w:r>
          </w:p>
        </w:tc>
        <w:tc>
          <w:tcPr>
            <w:tcW w:w="1275" w:type="dxa"/>
          </w:tcPr>
          <w:p w:rsidR="006A18FD" w:rsidRDefault="002D29FC">
            <w:pPr>
              <w:spacing w:before="1"/>
              <w:ind w:left="494" w:right="496"/>
              <w:jc w:val="center"/>
              <w:rPr>
                <w:rFonts w:ascii="Calibri"/>
                <w:b/>
                <w:sz w:val="20"/>
              </w:rPr>
            </w:pPr>
            <w:r>
              <w:rPr>
                <w:rFonts w:ascii="Calibri"/>
                <w:b/>
                <w:sz w:val="20"/>
              </w:rPr>
              <w:t>OT</w:t>
            </w:r>
          </w:p>
        </w:tc>
        <w:tc>
          <w:tcPr>
            <w:tcW w:w="1702" w:type="dxa"/>
          </w:tcPr>
          <w:p w:rsidR="006A18FD" w:rsidRDefault="002D29FC">
            <w:pPr>
              <w:spacing w:before="1"/>
              <w:ind w:left="184" w:right="185"/>
              <w:jc w:val="center"/>
              <w:rPr>
                <w:rFonts w:ascii="Calibri"/>
                <w:b/>
                <w:sz w:val="20"/>
              </w:rPr>
            </w:pPr>
            <w:r>
              <w:rPr>
                <w:rFonts w:ascii="Calibri"/>
                <w:b/>
                <w:sz w:val="20"/>
              </w:rPr>
              <w:t>HIA</w:t>
            </w:r>
          </w:p>
          <w:p w:rsidR="006A18FD" w:rsidRDefault="002D29FC">
            <w:pPr>
              <w:spacing w:line="223" w:lineRule="exact"/>
              <w:ind w:left="183" w:right="185"/>
              <w:jc w:val="center"/>
              <w:rPr>
                <w:rFonts w:ascii="Calibri"/>
                <w:b/>
                <w:sz w:val="20"/>
              </w:rPr>
            </w:pPr>
            <w:r>
              <w:rPr>
                <w:rFonts w:ascii="Calibri"/>
                <w:b/>
                <w:sz w:val="20"/>
              </w:rPr>
              <w:t>administrator</w:t>
            </w:r>
          </w:p>
        </w:tc>
        <w:tc>
          <w:tcPr>
            <w:tcW w:w="2670" w:type="dxa"/>
          </w:tcPr>
          <w:p w:rsidR="006A18FD" w:rsidRDefault="002D29FC">
            <w:pPr>
              <w:spacing w:before="1"/>
              <w:ind w:left="436" w:right="439"/>
              <w:jc w:val="center"/>
              <w:rPr>
                <w:rFonts w:ascii="Calibri"/>
                <w:b/>
                <w:sz w:val="20"/>
              </w:rPr>
            </w:pPr>
            <w:r>
              <w:rPr>
                <w:rFonts w:ascii="Calibri"/>
                <w:b/>
                <w:sz w:val="20"/>
              </w:rPr>
              <w:t>Total mean staff cost</w:t>
            </w:r>
          </w:p>
        </w:tc>
      </w:tr>
      <w:tr w:rsidR="006A18FD">
        <w:trPr>
          <w:trHeight w:val="239"/>
        </w:trPr>
        <w:tc>
          <w:tcPr>
            <w:tcW w:w="3320" w:type="dxa"/>
          </w:tcPr>
          <w:p w:rsidR="006A18FD" w:rsidRDefault="002D29FC">
            <w:pPr>
              <w:spacing w:line="223" w:lineRule="exact"/>
              <w:ind w:left="103"/>
              <w:rPr>
                <w:rFonts w:ascii="Calibri" w:hAnsi="Calibri"/>
                <w:sz w:val="20"/>
              </w:rPr>
            </w:pPr>
            <w:r>
              <w:rPr>
                <w:rFonts w:ascii="Calibri" w:hAnsi="Calibri"/>
                <w:sz w:val="20"/>
              </w:rPr>
              <w:t>Fit handrail – external</w:t>
            </w:r>
          </w:p>
        </w:tc>
        <w:tc>
          <w:tcPr>
            <w:tcW w:w="1217" w:type="dxa"/>
          </w:tcPr>
          <w:p w:rsidR="006A18FD" w:rsidRDefault="002D29FC">
            <w:pPr>
              <w:spacing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line="223" w:lineRule="exact"/>
              <w:ind w:right="480"/>
              <w:jc w:val="right"/>
              <w:rPr>
                <w:rFonts w:ascii="Calibri" w:hAnsi="Calibri"/>
                <w:sz w:val="20"/>
              </w:rPr>
            </w:pPr>
            <w:r>
              <w:rPr>
                <w:rFonts w:ascii="Calibri" w:hAnsi="Calibri"/>
                <w:sz w:val="20"/>
              </w:rPr>
              <w:t>£55</w:t>
            </w:r>
          </w:p>
        </w:tc>
        <w:tc>
          <w:tcPr>
            <w:tcW w:w="1702" w:type="dxa"/>
          </w:tcPr>
          <w:p w:rsidR="006A18FD" w:rsidRDefault="002D29FC">
            <w:pPr>
              <w:spacing w:line="223" w:lineRule="exact"/>
              <w:ind w:left="185" w:right="185"/>
              <w:jc w:val="center"/>
              <w:rPr>
                <w:rFonts w:ascii="Calibri" w:hAnsi="Calibri"/>
                <w:sz w:val="20"/>
              </w:rPr>
            </w:pPr>
            <w:r>
              <w:rPr>
                <w:rFonts w:ascii="Calibri" w:hAnsi="Calibri"/>
                <w:sz w:val="20"/>
              </w:rPr>
              <w:t>£14</w:t>
            </w:r>
          </w:p>
        </w:tc>
        <w:tc>
          <w:tcPr>
            <w:tcW w:w="2670" w:type="dxa"/>
          </w:tcPr>
          <w:p w:rsidR="006A18FD" w:rsidRDefault="002D29FC">
            <w:pPr>
              <w:spacing w:line="223" w:lineRule="exact"/>
              <w:ind w:left="436" w:right="438"/>
              <w:jc w:val="center"/>
              <w:rPr>
                <w:rFonts w:ascii="Calibri" w:hAnsi="Calibri"/>
                <w:sz w:val="20"/>
              </w:rPr>
            </w:pPr>
            <w:r>
              <w:rPr>
                <w:rFonts w:ascii="Calibri" w:hAnsi="Calibri"/>
                <w:sz w:val="20"/>
              </w:rPr>
              <w:t>£73</w:t>
            </w:r>
          </w:p>
        </w:tc>
      </w:tr>
      <w:tr w:rsidR="006A18FD">
        <w:trPr>
          <w:trHeight w:val="240"/>
        </w:trPr>
        <w:tc>
          <w:tcPr>
            <w:tcW w:w="3320" w:type="dxa"/>
          </w:tcPr>
          <w:p w:rsidR="006A18FD" w:rsidRDefault="002D29FC">
            <w:pPr>
              <w:spacing w:line="222" w:lineRule="exact"/>
              <w:ind w:left="103"/>
              <w:rPr>
                <w:rFonts w:ascii="Calibri" w:hAnsi="Calibri"/>
                <w:sz w:val="20"/>
              </w:rPr>
            </w:pPr>
            <w:r>
              <w:rPr>
                <w:rFonts w:ascii="Calibri" w:hAnsi="Calibri"/>
                <w:sz w:val="20"/>
              </w:rPr>
              <w:t>Fit handrail – internal</w:t>
            </w:r>
          </w:p>
        </w:tc>
        <w:tc>
          <w:tcPr>
            <w:tcW w:w="1217" w:type="dxa"/>
          </w:tcPr>
          <w:p w:rsidR="006A18FD" w:rsidRDefault="002D29FC">
            <w:pPr>
              <w:spacing w:line="222"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line="222" w:lineRule="exact"/>
              <w:ind w:right="480"/>
              <w:jc w:val="right"/>
              <w:rPr>
                <w:rFonts w:ascii="Calibri" w:hAnsi="Calibri"/>
                <w:sz w:val="20"/>
              </w:rPr>
            </w:pPr>
            <w:r>
              <w:rPr>
                <w:rFonts w:ascii="Calibri" w:hAnsi="Calibri"/>
                <w:sz w:val="20"/>
              </w:rPr>
              <w:t>£47</w:t>
            </w:r>
          </w:p>
        </w:tc>
        <w:tc>
          <w:tcPr>
            <w:tcW w:w="1702" w:type="dxa"/>
          </w:tcPr>
          <w:p w:rsidR="006A18FD" w:rsidRDefault="002D29FC">
            <w:pPr>
              <w:spacing w:line="222" w:lineRule="exact"/>
              <w:ind w:left="185" w:right="185"/>
              <w:jc w:val="center"/>
              <w:rPr>
                <w:rFonts w:ascii="Calibri" w:hAnsi="Calibri"/>
                <w:sz w:val="20"/>
              </w:rPr>
            </w:pPr>
            <w:r>
              <w:rPr>
                <w:rFonts w:ascii="Calibri" w:hAnsi="Calibri"/>
                <w:sz w:val="20"/>
              </w:rPr>
              <w:t>£17</w:t>
            </w:r>
          </w:p>
        </w:tc>
        <w:tc>
          <w:tcPr>
            <w:tcW w:w="2670" w:type="dxa"/>
          </w:tcPr>
          <w:p w:rsidR="006A18FD" w:rsidRDefault="002D29FC">
            <w:pPr>
              <w:spacing w:line="222" w:lineRule="exact"/>
              <w:ind w:left="436" w:right="438"/>
              <w:jc w:val="center"/>
              <w:rPr>
                <w:rFonts w:ascii="Calibri" w:hAnsi="Calibri"/>
                <w:sz w:val="20"/>
              </w:rPr>
            </w:pPr>
            <w:r>
              <w:rPr>
                <w:rFonts w:ascii="Calibri" w:hAnsi="Calibri"/>
                <w:sz w:val="20"/>
              </w:rPr>
              <w:t>£68</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Fit handrail to bath</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80"/>
              <w:jc w:val="right"/>
              <w:rPr>
                <w:rFonts w:ascii="Calibri" w:hAnsi="Calibri"/>
                <w:sz w:val="20"/>
              </w:rPr>
            </w:pPr>
            <w:r>
              <w:rPr>
                <w:rFonts w:ascii="Calibri" w:hAnsi="Calibri"/>
                <w:sz w:val="20"/>
              </w:rPr>
              <w:t>£27</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£14</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£45</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Fit (handrail) over bath shower</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80"/>
              <w:jc w:val="right"/>
              <w:rPr>
                <w:rFonts w:ascii="Calibri" w:hAnsi="Calibri"/>
                <w:sz w:val="20"/>
              </w:rPr>
            </w:pPr>
            <w:r>
              <w:rPr>
                <w:rFonts w:ascii="Calibri" w:hAnsi="Calibri"/>
                <w:sz w:val="20"/>
              </w:rPr>
              <w:t>£55</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£24</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£83</w:t>
            </w:r>
          </w:p>
        </w:tc>
      </w:tr>
      <w:tr w:rsidR="006A18FD">
        <w:trPr>
          <w:trHeight w:val="240"/>
        </w:trPr>
        <w:tc>
          <w:tcPr>
            <w:tcW w:w="3320" w:type="dxa"/>
            <w:tcBorders>
              <w:bottom w:val="single" w:sz="6" w:space="0" w:color="000000"/>
            </w:tcBorders>
          </w:tcPr>
          <w:p w:rsidR="006A18FD" w:rsidRDefault="002D29FC">
            <w:pPr>
              <w:spacing w:before="1" w:line="221" w:lineRule="exact"/>
              <w:ind w:left="103"/>
              <w:rPr>
                <w:rFonts w:ascii="Calibri"/>
                <w:sz w:val="20"/>
              </w:rPr>
            </w:pPr>
            <w:r>
              <w:rPr>
                <w:rFonts w:ascii="Calibri"/>
                <w:sz w:val="20"/>
              </w:rPr>
              <w:t>Create step to front/back door</w:t>
            </w:r>
          </w:p>
        </w:tc>
        <w:tc>
          <w:tcPr>
            <w:tcW w:w="1217" w:type="dxa"/>
            <w:tcBorders>
              <w:bottom w:val="single" w:sz="6" w:space="0" w:color="000000"/>
            </w:tcBorders>
          </w:tcPr>
          <w:p w:rsidR="006A18FD" w:rsidRDefault="002D29FC">
            <w:pPr>
              <w:spacing w:before="1" w:line="221" w:lineRule="exact"/>
              <w:ind w:left="482" w:right="482"/>
              <w:jc w:val="center"/>
              <w:rPr>
                <w:rFonts w:ascii="Calibri" w:hAnsi="Calibri"/>
                <w:sz w:val="20"/>
              </w:rPr>
            </w:pPr>
            <w:r>
              <w:rPr>
                <w:rFonts w:ascii="Calibri" w:hAnsi="Calibri"/>
                <w:sz w:val="20"/>
              </w:rPr>
              <w:t>£4</w:t>
            </w:r>
          </w:p>
        </w:tc>
        <w:tc>
          <w:tcPr>
            <w:tcW w:w="1275" w:type="dxa"/>
            <w:tcBorders>
              <w:bottom w:val="single" w:sz="6" w:space="0" w:color="000000"/>
            </w:tcBorders>
          </w:tcPr>
          <w:p w:rsidR="006A18FD" w:rsidRDefault="002D29FC">
            <w:pPr>
              <w:spacing w:before="1" w:line="221" w:lineRule="exact"/>
              <w:ind w:right="480"/>
              <w:jc w:val="right"/>
              <w:rPr>
                <w:rFonts w:ascii="Calibri" w:hAnsi="Calibri"/>
                <w:sz w:val="20"/>
              </w:rPr>
            </w:pPr>
            <w:r>
              <w:rPr>
                <w:rFonts w:ascii="Calibri" w:hAnsi="Calibri"/>
                <w:sz w:val="20"/>
              </w:rPr>
              <w:t>£86</w:t>
            </w:r>
          </w:p>
        </w:tc>
        <w:tc>
          <w:tcPr>
            <w:tcW w:w="1702" w:type="dxa"/>
            <w:tcBorders>
              <w:bottom w:val="single" w:sz="6" w:space="0" w:color="000000"/>
            </w:tcBorders>
          </w:tcPr>
          <w:p w:rsidR="006A18FD" w:rsidRDefault="002D29FC">
            <w:pPr>
              <w:spacing w:before="1" w:line="221" w:lineRule="exact"/>
              <w:ind w:left="185" w:right="185"/>
              <w:jc w:val="center"/>
              <w:rPr>
                <w:rFonts w:ascii="Calibri" w:hAnsi="Calibri"/>
                <w:sz w:val="20"/>
              </w:rPr>
            </w:pPr>
            <w:r>
              <w:rPr>
                <w:rFonts w:ascii="Calibri" w:hAnsi="Calibri"/>
                <w:sz w:val="20"/>
              </w:rPr>
              <w:t>£17</w:t>
            </w:r>
          </w:p>
        </w:tc>
        <w:tc>
          <w:tcPr>
            <w:tcW w:w="2670" w:type="dxa"/>
            <w:tcBorders>
              <w:bottom w:val="single" w:sz="6" w:space="0" w:color="000000"/>
            </w:tcBorders>
          </w:tcPr>
          <w:p w:rsidR="006A18FD" w:rsidRDefault="002D29FC">
            <w:pPr>
              <w:spacing w:before="1" w:line="221" w:lineRule="exact"/>
              <w:ind w:left="436" w:right="438"/>
              <w:jc w:val="center"/>
              <w:rPr>
                <w:rFonts w:ascii="Calibri" w:hAnsi="Calibri"/>
                <w:sz w:val="20"/>
              </w:rPr>
            </w:pPr>
            <w:r>
              <w:rPr>
                <w:rFonts w:ascii="Calibri" w:hAnsi="Calibri"/>
                <w:sz w:val="20"/>
              </w:rPr>
              <w:t>£107</w:t>
            </w:r>
          </w:p>
        </w:tc>
      </w:tr>
      <w:tr w:rsidR="006A18FD">
        <w:trPr>
          <w:trHeight w:val="240"/>
        </w:trPr>
        <w:tc>
          <w:tcPr>
            <w:tcW w:w="3320" w:type="dxa"/>
            <w:tcBorders>
              <w:top w:val="single" w:sz="6" w:space="0" w:color="000000"/>
            </w:tcBorders>
          </w:tcPr>
          <w:p w:rsidR="006A18FD" w:rsidRDefault="002D29FC">
            <w:pPr>
              <w:spacing w:line="222" w:lineRule="exact"/>
              <w:ind w:left="103"/>
              <w:rPr>
                <w:rFonts w:ascii="Calibri"/>
                <w:sz w:val="20"/>
              </w:rPr>
            </w:pPr>
            <w:r>
              <w:rPr>
                <w:rFonts w:ascii="Calibri"/>
                <w:sz w:val="20"/>
              </w:rPr>
              <w:t>Create ramp to front/back door</w:t>
            </w:r>
          </w:p>
        </w:tc>
        <w:tc>
          <w:tcPr>
            <w:tcW w:w="1217" w:type="dxa"/>
            <w:tcBorders>
              <w:top w:val="single" w:sz="6" w:space="0" w:color="000000"/>
            </w:tcBorders>
          </w:tcPr>
          <w:p w:rsidR="006A18FD" w:rsidRDefault="002D29FC">
            <w:pPr>
              <w:spacing w:line="222" w:lineRule="exact"/>
              <w:ind w:left="482" w:right="482"/>
              <w:jc w:val="center"/>
              <w:rPr>
                <w:rFonts w:ascii="Calibri" w:hAnsi="Calibri"/>
                <w:sz w:val="20"/>
              </w:rPr>
            </w:pPr>
            <w:r>
              <w:rPr>
                <w:rFonts w:ascii="Calibri" w:hAnsi="Calibri"/>
                <w:sz w:val="20"/>
              </w:rPr>
              <w:t>£4</w:t>
            </w:r>
          </w:p>
        </w:tc>
        <w:tc>
          <w:tcPr>
            <w:tcW w:w="1275" w:type="dxa"/>
            <w:tcBorders>
              <w:top w:val="single" w:sz="6" w:space="0" w:color="000000"/>
            </w:tcBorders>
          </w:tcPr>
          <w:p w:rsidR="006A18FD" w:rsidRDefault="002D29FC">
            <w:pPr>
              <w:spacing w:line="222" w:lineRule="exact"/>
              <w:ind w:right="430"/>
              <w:jc w:val="right"/>
              <w:rPr>
                <w:rFonts w:ascii="Calibri" w:hAnsi="Calibri"/>
                <w:sz w:val="20"/>
              </w:rPr>
            </w:pPr>
            <w:r>
              <w:rPr>
                <w:rFonts w:ascii="Calibri" w:hAnsi="Calibri"/>
                <w:sz w:val="20"/>
              </w:rPr>
              <w:t>£234</w:t>
            </w:r>
          </w:p>
        </w:tc>
        <w:tc>
          <w:tcPr>
            <w:tcW w:w="1702" w:type="dxa"/>
            <w:tcBorders>
              <w:top w:val="single" w:sz="6" w:space="0" w:color="000000"/>
            </w:tcBorders>
          </w:tcPr>
          <w:p w:rsidR="006A18FD" w:rsidRDefault="002D29FC">
            <w:pPr>
              <w:spacing w:line="222" w:lineRule="exact"/>
              <w:ind w:left="185" w:right="185"/>
              <w:jc w:val="center"/>
              <w:rPr>
                <w:rFonts w:ascii="Calibri" w:hAnsi="Calibri"/>
                <w:sz w:val="20"/>
              </w:rPr>
            </w:pPr>
            <w:r>
              <w:rPr>
                <w:rFonts w:ascii="Calibri" w:hAnsi="Calibri"/>
                <w:sz w:val="20"/>
              </w:rPr>
              <w:t>£17</w:t>
            </w:r>
          </w:p>
        </w:tc>
        <w:tc>
          <w:tcPr>
            <w:tcW w:w="2670" w:type="dxa"/>
            <w:tcBorders>
              <w:top w:val="single" w:sz="6" w:space="0" w:color="000000"/>
            </w:tcBorders>
          </w:tcPr>
          <w:p w:rsidR="006A18FD" w:rsidRDefault="002D29FC">
            <w:pPr>
              <w:spacing w:line="222" w:lineRule="exact"/>
              <w:ind w:left="436" w:right="438"/>
              <w:jc w:val="center"/>
              <w:rPr>
                <w:rFonts w:ascii="Calibri" w:hAnsi="Calibri"/>
                <w:sz w:val="20"/>
              </w:rPr>
            </w:pPr>
            <w:r>
              <w:rPr>
                <w:rFonts w:ascii="Calibri" w:hAnsi="Calibri"/>
                <w:sz w:val="20"/>
              </w:rPr>
              <w:t>£256</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Lay new path, per metre cost</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30"/>
              <w:jc w:val="right"/>
              <w:rPr>
                <w:rFonts w:ascii="Calibri" w:hAnsi="Calibri"/>
                <w:sz w:val="20"/>
              </w:rPr>
            </w:pPr>
            <w:r>
              <w:rPr>
                <w:rFonts w:ascii="Calibri" w:hAnsi="Calibri"/>
                <w:sz w:val="20"/>
              </w:rPr>
              <w:t>£125</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£28</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£157</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Widen doorway for wheelchair access</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30"/>
              <w:jc w:val="right"/>
              <w:rPr>
                <w:rFonts w:ascii="Calibri" w:hAnsi="Calibri"/>
                <w:sz w:val="20"/>
              </w:rPr>
            </w:pPr>
            <w:r>
              <w:rPr>
                <w:rFonts w:ascii="Calibri" w:hAnsi="Calibri"/>
                <w:sz w:val="20"/>
              </w:rPr>
              <w:t>£297</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£24</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£325</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Install lighting to outside steps/path</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30"/>
              <w:jc w:val="right"/>
              <w:rPr>
                <w:rFonts w:ascii="Calibri" w:hAnsi="Calibri"/>
                <w:sz w:val="20"/>
              </w:rPr>
            </w:pPr>
            <w:r>
              <w:rPr>
                <w:rFonts w:ascii="Calibri" w:hAnsi="Calibri"/>
                <w:sz w:val="20"/>
              </w:rPr>
              <w:t>£207</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£7</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£218</w:t>
            </w:r>
          </w:p>
        </w:tc>
      </w:tr>
      <w:tr w:rsidR="006A18FD">
        <w:trPr>
          <w:trHeight w:val="240"/>
        </w:trPr>
        <w:tc>
          <w:tcPr>
            <w:tcW w:w="3320" w:type="dxa"/>
          </w:tcPr>
          <w:p w:rsidR="006A18FD" w:rsidRDefault="002D29FC">
            <w:pPr>
              <w:spacing w:before="1" w:line="223" w:lineRule="exact"/>
              <w:ind w:left="103"/>
              <w:rPr>
                <w:rFonts w:ascii="Calibri"/>
                <w:sz w:val="20"/>
              </w:rPr>
            </w:pPr>
            <w:r>
              <w:rPr>
                <w:rFonts w:ascii="Calibri"/>
                <w:sz w:val="20"/>
              </w:rPr>
              <w:t>Move bed to downstairs room</w:t>
            </w:r>
          </w:p>
        </w:tc>
        <w:tc>
          <w:tcPr>
            <w:tcW w:w="1217" w:type="dxa"/>
          </w:tcPr>
          <w:p w:rsidR="006A18FD" w:rsidRDefault="002D29FC">
            <w:pPr>
              <w:spacing w:before="1" w:line="223" w:lineRule="exact"/>
              <w:ind w:left="482" w:right="482"/>
              <w:jc w:val="center"/>
              <w:rPr>
                <w:rFonts w:ascii="Calibri" w:hAnsi="Calibri"/>
                <w:sz w:val="20"/>
              </w:rPr>
            </w:pPr>
            <w:r>
              <w:rPr>
                <w:rFonts w:ascii="Calibri" w:hAnsi="Calibri"/>
                <w:sz w:val="20"/>
              </w:rPr>
              <w:t>£4</w:t>
            </w:r>
          </w:p>
        </w:tc>
        <w:tc>
          <w:tcPr>
            <w:tcW w:w="1275" w:type="dxa"/>
          </w:tcPr>
          <w:p w:rsidR="006A18FD" w:rsidRDefault="002D29FC">
            <w:pPr>
              <w:spacing w:before="1" w:line="223" w:lineRule="exact"/>
              <w:ind w:right="480"/>
              <w:jc w:val="right"/>
              <w:rPr>
                <w:rFonts w:ascii="Calibri" w:hAnsi="Calibri"/>
                <w:sz w:val="20"/>
              </w:rPr>
            </w:pPr>
            <w:r>
              <w:rPr>
                <w:rFonts w:ascii="Calibri" w:hAnsi="Calibri"/>
                <w:sz w:val="20"/>
              </w:rPr>
              <w:t>£51</w:t>
            </w:r>
          </w:p>
        </w:tc>
        <w:tc>
          <w:tcPr>
            <w:tcW w:w="1702" w:type="dxa"/>
          </w:tcPr>
          <w:p w:rsidR="006A18FD" w:rsidRDefault="002D29FC">
            <w:pPr>
              <w:spacing w:before="1" w:line="223" w:lineRule="exact"/>
              <w:ind w:left="185" w:right="185"/>
              <w:jc w:val="center"/>
              <w:rPr>
                <w:rFonts w:ascii="Calibri" w:hAnsi="Calibri"/>
                <w:sz w:val="20"/>
              </w:rPr>
            </w:pPr>
            <w:r>
              <w:rPr>
                <w:rFonts w:ascii="Calibri" w:hAnsi="Calibri"/>
                <w:sz w:val="20"/>
              </w:rPr>
              <w:t>£24</w:t>
            </w:r>
          </w:p>
        </w:tc>
        <w:tc>
          <w:tcPr>
            <w:tcW w:w="2670" w:type="dxa"/>
          </w:tcPr>
          <w:p w:rsidR="006A18FD" w:rsidRDefault="002D29FC">
            <w:pPr>
              <w:spacing w:before="1" w:line="223" w:lineRule="exact"/>
              <w:ind w:left="436" w:right="438"/>
              <w:jc w:val="center"/>
              <w:rPr>
                <w:rFonts w:ascii="Calibri" w:hAnsi="Calibri"/>
                <w:sz w:val="20"/>
              </w:rPr>
            </w:pPr>
            <w:r>
              <w:rPr>
                <w:rFonts w:ascii="Calibri" w:hAnsi="Calibri"/>
                <w:sz w:val="20"/>
              </w:rPr>
              <w:t>£79</w:t>
            </w:r>
          </w:p>
        </w:tc>
      </w:tr>
      <w:tr w:rsidR="006A18FD">
        <w:trPr>
          <w:trHeight w:val="480"/>
        </w:trPr>
        <w:tc>
          <w:tcPr>
            <w:tcW w:w="3320" w:type="dxa"/>
          </w:tcPr>
          <w:p w:rsidR="006A18FD" w:rsidRDefault="002D29FC">
            <w:pPr>
              <w:spacing w:before="1" w:line="243" w:lineRule="exact"/>
              <w:ind w:left="103"/>
              <w:rPr>
                <w:rFonts w:ascii="Calibri"/>
                <w:sz w:val="20"/>
              </w:rPr>
            </w:pPr>
            <w:r>
              <w:rPr>
                <w:rFonts w:ascii="Calibri"/>
                <w:sz w:val="20"/>
              </w:rPr>
              <w:t>Raise electrical sockets/lower light</w:t>
            </w:r>
          </w:p>
          <w:p w:rsidR="006A18FD" w:rsidRDefault="002D29FC">
            <w:pPr>
              <w:spacing w:line="222" w:lineRule="exact"/>
              <w:ind w:left="103"/>
              <w:rPr>
                <w:rFonts w:ascii="Calibri"/>
                <w:sz w:val="20"/>
              </w:rPr>
            </w:pPr>
            <w:r>
              <w:rPr>
                <w:rFonts w:ascii="Calibri"/>
                <w:sz w:val="20"/>
              </w:rPr>
              <w:t>switches</w:t>
            </w:r>
          </w:p>
        </w:tc>
        <w:tc>
          <w:tcPr>
            <w:tcW w:w="1217" w:type="dxa"/>
          </w:tcPr>
          <w:p w:rsidR="006A18FD" w:rsidRDefault="002D29FC">
            <w:pPr>
              <w:spacing w:before="1"/>
              <w:ind w:left="482" w:right="482"/>
              <w:jc w:val="center"/>
              <w:rPr>
                <w:rFonts w:ascii="Calibri" w:hAnsi="Calibri"/>
                <w:sz w:val="20"/>
              </w:rPr>
            </w:pPr>
            <w:r>
              <w:rPr>
                <w:rFonts w:ascii="Calibri" w:hAnsi="Calibri"/>
                <w:sz w:val="20"/>
              </w:rPr>
              <w:t>£4</w:t>
            </w:r>
          </w:p>
        </w:tc>
        <w:tc>
          <w:tcPr>
            <w:tcW w:w="1275" w:type="dxa"/>
          </w:tcPr>
          <w:p w:rsidR="006A18FD" w:rsidRDefault="002D29FC">
            <w:pPr>
              <w:spacing w:before="1"/>
              <w:ind w:right="430"/>
              <w:jc w:val="right"/>
              <w:rPr>
                <w:rFonts w:ascii="Calibri" w:hAnsi="Calibri"/>
                <w:sz w:val="20"/>
              </w:rPr>
            </w:pPr>
            <w:r>
              <w:rPr>
                <w:rFonts w:ascii="Calibri" w:hAnsi="Calibri"/>
                <w:sz w:val="20"/>
              </w:rPr>
              <w:t>£101</w:t>
            </w:r>
          </w:p>
        </w:tc>
        <w:tc>
          <w:tcPr>
            <w:tcW w:w="1702" w:type="dxa"/>
          </w:tcPr>
          <w:p w:rsidR="006A18FD" w:rsidRDefault="002D29FC">
            <w:pPr>
              <w:spacing w:before="1"/>
              <w:ind w:left="185" w:right="185"/>
              <w:jc w:val="center"/>
              <w:rPr>
                <w:rFonts w:ascii="Calibri" w:hAnsi="Calibri"/>
                <w:sz w:val="20"/>
              </w:rPr>
            </w:pPr>
            <w:r>
              <w:rPr>
                <w:rFonts w:ascii="Calibri" w:hAnsi="Calibri"/>
                <w:sz w:val="20"/>
              </w:rPr>
              <w:t>£21</w:t>
            </w:r>
          </w:p>
        </w:tc>
        <w:tc>
          <w:tcPr>
            <w:tcW w:w="2670" w:type="dxa"/>
          </w:tcPr>
          <w:p w:rsidR="006A18FD" w:rsidRDefault="002D29FC">
            <w:pPr>
              <w:spacing w:before="1"/>
              <w:ind w:left="436" w:right="438"/>
              <w:jc w:val="center"/>
              <w:rPr>
                <w:rFonts w:ascii="Calibri" w:hAnsi="Calibri"/>
                <w:sz w:val="20"/>
              </w:rPr>
            </w:pPr>
            <w:r>
              <w:rPr>
                <w:rFonts w:ascii="Calibri" w:hAnsi="Calibri"/>
                <w:sz w:val="20"/>
              </w:rPr>
              <w:t>£126</w:t>
            </w:r>
          </w:p>
        </w:tc>
      </w:tr>
    </w:tbl>
    <w:p w:rsidR="006A18FD" w:rsidRDefault="002D29FC">
      <w:pPr>
        <w:spacing w:before="121"/>
        <w:ind w:left="152"/>
        <w:rPr>
          <w:rFonts w:ascii="Calibri"/>
          <w:b/>
          <w:sz w:val="20"/>
        </w:rPr>
      </w:pPr>
      <w:r>
        <w:rPr>
          <w:rFonts w:ascii="Calibri"/>
          <w:b/>
          <w:sz w:val="20"/>
        </w:rPr>
        <w:t>Table 4 Mean costs for staff involved in providing major adaptations</w:t>
      </w:r>
    </w:p>
    <w:p w:rsidR="006A18FD" w:rsidRDefault="006A18FD">
      <w:pPr>
        <w:spacing w:before="8" w:after="1"/>
        <w:rPr>
          <w:rFonts w:ascii="Calibri"/>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994"/>
        <w:gridCol w:w="708"/>
        <w:gridCol w:w="991"/>
        <w:gridCol w:w="1419"/>
        <w:gridCol w:w="1277"/>
        <w:gridCol w:w="1676"/>
        <w:gridCol w:w="1419"/>
      </w:tblGrid>
      <w:tr w:rsidR="006A18FD" w:rsidTr="001B7F44">
        <w:trPr>
          <w:trHeight w:val="240"/>
          <w:tblHeader/>
        </w:trPr>
        <w:tc>
          <w:tcPr>
            <w:tcW w:w="2693" w:type="dxa"/>
            <w:gridSpan w:val="2"/>
          </w:tcPr>
          <w:p w:rsidR="006A18FD" w:rsidRDefault="006A18FD">
            <w:pPr>
              <w:rPr>
                <w:rFonts w:ascii="Times New Roman"/>
                <w:sz w:val="16"/>
              </w:rPr>
            </w:pPr>
          </w:p>
        </w:tc>
        <w:tc>
          <w:tcPr>
            <w:tcW w:w="7489" w:type="dxa"/>
            <w:gridSpan w:val="6"/>
          </w:tcPr>
          <w:p w:rsidR="006A18FD" w:rsidRDefault="002D29FC">
            <w:pPr>
              <w:spacing w:before="1" w:line="223" w:lineRule="exact"/>
              <w:ind w:left="3184" w:right="3188"/>
              <w:jc w:val="center"/>
              <w:rPr>
                <w:rFonts w:ascii="Calibri"/>
                <w:b/>
                <w:sz w:val="20"/>
              </w:rPr>
            </w:pPr>
            <w:r>
              <w:rPr>
                <w:rFonts w:ascii="Calibri"/>
                <w:b/>
                <w:sz w:val="20"/>
              </w:rPr>
              <w:t>Average cost</w:t>
            </w:r>
          </w:p>
        </w:tc>
      </w:tr>
      <w:tr w:rsidR="006A18FD" w:rsidTr="001B7F44">
        <w:trPr>
          <w:trHeight w:val="480"/>
          <w:tblHeader/>
        </w:trPr>
        <w:tc>
          <w:tcPr>
            <w:tcW w:w="1699" w:type="dxa"/>
          </w:tcPr>
          <w:p w:rsidR="006A18FD" w:rsidRDefault="006A18FD">
            <w:pPr>
              <w:rPr>
                <w:rFonts w:ascii="Times New Roman"/>
                <w:sz w:val="18"/>
              </w:rPr>
            </w:pPr>
          </w:p>
        </w:tc>
        <w:tc>
          <w:tcPr>
            <w:tcW w:w="994" w:type="dxa"/>
          </w:tcPr>
          <w:p w:rsidR="006A18FD" w:rsidRDefault="002D29FC">
            <w:pPr>
              <w:spacing w:before="1" w:line="240" w:lineRule="atLeast"/>
              <w:ind w:left="172" w:right="154" w:firstLine="84"/>
              <w:rPr>
                <w:rFonts w:ascii="Calibri"/>
                <w:b/>
                <w:sz w:val="20"/>
              </w:rPr>
            </w:pPr>
            <w:r>
              <w:rPr>
                <w:rFonts w:ascii="Calibri"/>
                <w:b/>
                <w:sz w:val="20"/>
              </w:rPr>
              <w:t>Initial enquiry</w:t>
            </w:r>
          </w:p>
        </w:tc>
        <w:tc>
          <w:tcPr>
            <w:tcW w:w="708" w:type="dxa"/>
          </w:tcPr>
          <w:p w:rsidR="006A18FD" w:rsidRDefault="002D29FC">
            <w:pPr>
              <w:spacing w:before="1"/>
              <w:ind w:left="230"/>
              <w:rPr>
                <w:rFonts w:ascii="Calibri"/>
                <w:b/>
                <w:sz w:val="20"/>
              </w:rPr>
            </w:pPr>
            <w:r>
              <w:rPr>
                <w:rFonts w:ascii="Calibri"/>
                <w:b/>
                <w:sz w:val="20"/>
              </w:rPr>
              <w:t>OT</w:t>
            </w:r>
          </w:p>
        </w:tc>
        <w:tc>
          <w:tcPr>
            <w:tcW w:w="991" w:type="dxa"/>
          </w:tcPr>
          <w:p w:rsidR="006A18FD" w:rsidRDefault="002D29FC">
            <w:pPr>
              <w:spacing w:before="1" w:line="240" w:lineRule="atLeast"/>
              <w:ind w:left="223" w:right="82" w:hanging="116"/>
              <w:rPr>
                <w:rFonts w:ascii="Calibri"/>
                <w:b/>
                <w:sz w:val="20"/>
              </w:rPr>
            </w:pPr>
            <w:r>
              <w:rPr>
                <w:rFonts w:ascii="Calibri"/>
                <w:b/>
                <w:sz w:val="20"/>
              </w:rPr>
              <w:t>LA grants officer</w:t>
            </w:r>
          </w:p>
        </w:tc>
        <w:tc>
          <w:tcPr>
            <w:tcW w:w="1419" w:type="dxa"/>
          </w:tcPr>
          <w:p w:rsidR="006A18FD" w:rsidRDefault="002D29FC">
            <w:pPr>
              <w:spacing w:before="1" w:line="240" w:lineRule="atLeast"/>
              <w:ind w:left="436" w:right="136" w:hanging="279"/>
              <w:rPr>
                <w:rFonts w:ascii="Calibri"/>
                <w:b/>
                <w:sz w:val="20"/>
              </w:rPr>
            </w:pPr>
            <w:r>
              <w:rPr>
                <w:rFonts w:ascii="Calibri"/>
                <w:b/>
                <w:sz w:val="20"/>
              </w:rPr>
              <w:t>HIA technical officer</w:t>
            </w:r>
          </w:p>
        </w:tc>
        <w:tc>
          <w:tcPr>
            <w:tcW w:w="1277" w:type="dxa"/>
          </w:tcPr>
          <w:p w:rsidR="006A18FD" w:rsidRDefault="002D29FC">
            <w:pPr>
              <w:spacing w:before="1"/>
              <w:ind w:left="133" w:right="132"/>
              <w:jc w:val="center"/>
              <w:rPr>
                <w:rFonts w:ascii="Calibri"/>
                <w:b/>
                <w:sz w:val="20"/>
              </w:rPr>
            </w:pPr>
            <w:r>
              <w:rPr>
                <w:rFonts w:ascii="Calibri"/>
                <w:b/>
                <w:sz w:val="20"/>
              </w:rPr>
              <w:t>HIA</w:t>
            </w:r>
          </w:p>
          <w:p w:rsidR="006A18FD" w:rsidRDefault="002D29FC">
            <w:pPr>
              <w:spacing w:line="223" w:lineRule="exact"/>
              <w:ind w:left="133" w:right="134"/>
              <w:jc w:val="center"/>
              <w:rPr>
                <w:rFonts w:ascii="Calibri"/>
                <w:b/>
                <w:sz w:val="20"/>
              </w:rPr>
            </w:pPr>
            <w:r>
              <w:rPr>
                <w:rFonts w:ascii="Calibri"/>
                <w:b/>
                <w:sz w:val="20"/>
              </w:rPr>
              <w:t>caseworker</w:t>
            </w:r>
          </w:p>
        </w:tc>
        <w:tc>
          <w:tcPr>
            <w:tcW w:w="1676" w:type="dxa"/>
          </w:tcPr>
          <w:p w:rsidR="006A18FD" w:rsidRDefault="002D29FC">
            <w:pPr>
              <w:spacing w:before="1" w:line="240" w:lineRule="atLeast"/>
              <w:ind w:left="316" w:right="168" w:hanging="82"/>
              <w:rPr>
                <w:rFonts w:ascii="Calibri"/>
                <w:b/>
                <w:sz w:val="20"/>
              </w:rPr>
            </w:pPr>
            <w:r>
              <w:rPr>
                <w:rFonts w:ascii="Calibri"/>
                <w:b/>
                <w:sz w:val="20"/>
              </w:rPr>
              <w:t>Administrators (HIA and LA)</w:t>
            </w:r>
          </w:p>
        </w:tc>
        <w:tc>
          <w:tcPr>
            <w:tcW w:w="1419" w:type="dxa"/>
          </w:tcPr>
          <w:p w:rsidR="006A18FD" w:rsidRDefault="002D29FC">
            <w:pPr>
              <w:spacing w:before="1"/>
              <w:ind w:left="245" w:right="246"/>
              <w:jc w:val="center"/>
              <w:rPr>
                <w:rFonts w:ascii="Calibri"/>
                <w:b/>
                <w:sz w:val="20"/>
              </w:rPr>
            </w:pPr>
            <w:r>
              <w:rPr>
                <w:rFonts w:ascii="Calibri"/>
                <w:b/>
                <w:sz w:val="20"/>
              </w:rPr>
              <w:t>Total cost</w:t>
            </w:r>
          </w:p>
        </w:tc>
      </w:tr>
      <w:tr w:rsidR="006A18FD">
        <w:trPr>
          <w:trHeight w:val="199"/>
        </w:trPr>
        <w:tc>
          <w:tcPr>
            <w:tcW w:w="1699" w:type="dxa"/>
          </w:tcPr>
          <w:p w:rsidR="006A18FD" w:rsidRDefault="002D29FC">
            <w:pPr>
              <w:spacing w:line="197" w:lineRule="exact"/>
              <w:ind w:left="103"/>
              <w:rPr>
                <w:rFonts w:ascii="Calibri"/>
                <w:sz w:val="18"/>
              </w:rPr>
            </w:pPr>
            <w:r>
              <w:rPr>
                <w:rFonts w:ascii="Calibri"/>
                <w:sz w:val="18"/>
              </w:rPr>
              <w:t>Level access shower</w:t>
            </w:r>
          </w:p>
        </w:tc>
        <w:tc>
          <w:tcPr>
            <w:tcW w:w="994" w:type="dxa"/>
          </w:tcPr>
          <w:p w:rsidR="006A18FD" w:rsidRDefault="002D29FC">
            <w:pPr>
              <w:spacing w:line="197" w:lineRule="exact"/>
              <w:ind w:left="380" w:right="380"/>
              <w:jc w:val="center"/>
              <w:rPr>
                <w:rFonts w:ascii="Calibri" w:hAnsi="Calibri"/>
                <w:sz w:val="18"/>
              </w:rPr>
            </w:pPr>
            <w:r>
              <w:rPr>
                <w:rFonts w:ascii="Calibri" w:hAnsi="Calibri"/>
                <w:sz w:val="18"/>
              </w:rPr>
              <w:t>£4</w:t>
            </w:r>
          </w:p>
        </w:tc>
        <w:tc>
          <w:tcPr>
            <w:tcW w:w="708" w:type="dxa"/>
          </w:tcPr>
          <w:p w:rsidR="006A18FD" w:rsidRDefault="002D29FC">
            <w:pPr>
              <w:spacing w:line="197" w:lineRule="exact"/>
              <w:ind w:left="165"/>
              <w:rPr>
                <w:rFonts w:ascii="Calibri" w:hAnsi="Calibri"/>
                <w:sz w:val="18"/>
              </w:rPr>
            </w:pPr>
            <w:r>
              <w:rPr>
                <w:rFonts w:ascii="Calibri" w:hAnsi="Calibri"/>
                <w:sz w:val="18"/>
              </w:rPr>
              <w:t>£137</w:t>
            </w:r>
          </w:p>
        </w:tc>
        <w:tc>
          <w:tcPr>
            <w:tcW w:w="991" w:type="dxa"/>
          </w:tcPr>
          <w:p w:rsidR="006A18FD" w:rsidRDefault="002D29FC">
            <w:pPr>
              <w:spacing w:line="197" w:lineRule="exact"/>
              <w:ind w:left="289" w:right="287"/>
              <w:jc w:val="center"/>
              <w:rPr>
                <w:rFonts w:ascii="Calibri" w:hAnsi="Calibri"/>
                <w:sz w:val="18"/>
              </w:rPr>
            </w:pPr>
            <w:r>
              <w:rPr>
                <w:rFonts w:ascii="Calibri" w:hAnsi="Calibri"/>
                <w:sz w:val="18"/>
              </w:rPr>
              <w:t>£258</w:t>
            </w:r>
          </w:p>
        </w:tc>
        <w:tc>
          <w:tcPr>
            <w:tcW w:w="1419" w:type="dxa"/>
          </w:tcPr>
          <w:p w:rsidR="006A18FD" w:rsidRDefault="002D29FC">
            <w:pPr>
              <w:spacing w:line="197" w:lineRule="exact"/>
              <w:ind w:left="246" w:right="244"/>
              <w:jc w:val="center"/>
              <w:rPr>
                <w:rFonts w:ascii="Calibri" w:hAnsi="Calibri"/>
                <w:sz w:val="18"/>
              </w:rPr>
            </w:pPr>
            <w:r>
              <w:rPr>
                <w:rFonts w:ascii="Calibri" w:hAnsi="Calibri"/>
                <w:sz w:val="18"/>
              </w:rPr>
              <w:t>£439</w:t>
            </w:r>
          </w:p>
        </w:tc>
        <w:tc>
          <w:tcPr>
            <w:tcW w:w="1277" w:type="dxa"/>
          </w:tcPr>
          <w:p w:rsidR="006A18FD" w:rsidRDefault="002D29FC">
            <w:pPr>
              <w:spacing w:line="197" w:lineRule="exact"/>
              <w:ind w:left="133" w:right="133"/>
              <w:jc w:val="center"/>
              <w:rPr>
                <w:rFonts w:ascii="Calibri" w:hAnsi="Calibri"/>
                <w:sz w:val="18"/>
              </w:rPr>
            </w:pPr>
            <w:r>
              <w:rPr>
                <w:rFonts w:ascii="Calibri" w:hAnsi="Calibri"/>
                <w:sz w:val="18"/>
              </w:rPr>
              <w:t>£173</w:t>
            </w:r>
          </w:p>
        </w:tc>
        <w:tc>
          <w:tcPr>
            <w:tcW w:w="1676" w:type="dxa"/>
          </w:tcPr>
          <w:p w:rsidR="006A18FD" w:rsidRDefault="002D29FC">
            <w:pPr>
              <w:spacing w:line="197" w:lineRule="exact"/>
              <w:ind w:left="650"/>
              <w:rPr>
                <w:rFonts w:ascii="Calibri" w:hAnsi="Calibri"/>
                <w:sz w:val="18"/>
              </w:rPr>
            </w:pPr>
            <w:r>
              <w:rPr>
                <w:rFonts w:ascii="Calibri" w:hAnsi="Calibri"/>
                <w:sz w:val="18"/>
              </w:rPr>
              <w:t>£123</w:t>
            </w:r>
          </w:p>
        </w:tc>
        <w:tc>
          <w:tcPr>
            <w:tcW w:w="1419" w:type="dxa"/>
          </w:tcPr>
          <w:p w:rsidR="006A18FD" w:rsidRDefault="002D29FC">
            <w:pPr>
              <w:spacing w:line="197" w:lineRule="exact"/>
              <w:ind w:left="246" w:right="246"/>
              <w:jc w:val="center"/>
              <w:rPr>
                <w:rFonts w:ascii="Calibri" w:hAnsi="Calibri"/>
                <w:sz w:val="18"/>
              </w:rPr>
            </w:pPr>
            <w:r>
              <w:rPr>
                <w:rFonts w:ascii="Calibri" w:hAnsi="Calibri"/>
                <w:sz w:val="18"/>
              </w:rPr>
              <w:t>£1,134</w:t>
            </w:r>
          </w:p>
        </w:tc>
      </w:tr>
      <w:tr w:rsidR="006A18FD">
        <w:trPr>
          <w:trHeight w:val="220"/>
        </w:trPr>
        <w:tc>
          <w:tcPr>
            <w:tcW w:w="1699" w:type="dxa"/>
          </w:tcPr>
          <w:p w:rsidR="006A18FD" w:rsidRDefault="002D29FC">
            <w:pPr>
              <w:spacing w:before="2" w:line="199" w:lineRule="exact"/>
              <w:ind w:left="103"/>
              <w:rPr>
                <w:rFonts w:ascii="Calibri"/>
                <w:sz w:val="18"/>
              </w:rPr>
            </w:pPr>
            <w:r>
              <w:rPr>
                <w:rFonts w:ascii="Calibri"/>
                <w:sz w:val="18"/>
              </w:rPr>
              <w:t>Stairlift (straight)</w:t>
            </w:r>
          </w:p>
        </w:tc>
        <w:tc>
          <w:tcPr>
            <w:tcW w:w="994" w:type="dxa"/>
          </w:tcPr>
          <w:p w:rsidR="006A18FD" w:rsidRDefault="002D29FC">
            <w:pPr>
              <w:spacing w:before="2" w:line="199" w:lineRule="exact"/>
              <w:ind w:left="380" w:right="380"/>
              <w:jc w:val="center"/>
              <w:rPr>
                <w:rFonts w:ascii="Calibri" w:hAnsi="Calibri"/>
                <w:sz w:val="18"/>
              </w:rPr>
            </w:pPr>
            <w:r>
              <w:rPr>
                <w:rFonts w:ascii="Calibri" w:hAnsi="Calibri"/>
                <w:sz w:val="18"/>
              </w:rPr>
              <w:t>£4</w:t>
            </w:r>
          </w:p>
        </w:tc>
        <w:tc>
          <w:tcPr>
            <w:tcW w:w="708" w:type="dxa"/>
          </w:tcPr>
          <w:p w:rsidR="006A18FD" w:rsidRDefault="002D29FC">
            <w:pPr>
              <w:spacing w:before="2" w:line="199" w:lineRule="exact"/>
              <w:ind w:left="210"/>
              <w:rPr>
                <w:rFonts w:ascii="Calibri" w:hAnsi="Calibri"/>
                <w:sz w:val="18"/>
              </w:rPr>
            </w:pPr>
            <w:r>
              <w:rPr>
                <w:rFonts w:ascii="Calibri" w:hAnsi="Calibri"/>
                <w:sz w:val="18"/>
              </w:rPr>
              <w:t>£47</w:t>
            </w:r>
          </w:p>
        </w:tc>
        <w:tc>
          <w:tcPr>
            <w:tcW w:w="991" w:type="dxa"/>
          </w:tcPr>
          <w:p w:rsidR="006A18FD" w:rsidRDefault="002D29FC">
            <w:pPr>
              <w:spacing w:before="2" w:line="199" w:lineRule="exact"/>
              <w:ind w:left="289" w:right="287"/>
              <w:jc w:val="center"/>
              <w:rPr>
                <w:rFonts w:ascii="Calibri" w:hAnsi="Calibri"/>
                <w:sz w:val="18"/>
              </w:rPr>
            </w:pPr>
            <w:r>
              <w:rPr>
                <w:rFonts w:ascii="Calibri" w:hAnsi="Calibri"/>
                <w:sz w:val="18"/>
              </w:rPr>
              <w:t>£104</w:t>
            </w:r>
          </w:p>
        </w:tc>
        <w:tc>
          <w:tcPr>
            <w:tcW w:w="1419" w:type="dxa"/>
          </w:tcPr>
          <w:p w:rsidR="006A18FD" w:rsidRDefault="002D29FC">
            <w:pPr>
              <w:spacing w:before="2" w:line="199" w:lineRule="exact"/>
              <w:ind w:left="246" w:right="244"/>
              <w:jc w:val="center"/>
              <w:rPr>
                <w:rFonts w:ascii="Calibri" w:hAnsi="Calibri"/>
                <w:sz w:val="18"/>
              </w:rPr>
            </w:pPr>
            <w:r>
              <w:rPr>
                <w:rFonts w:ascii="Calibri" w:hAnsi="Calibri"/>
                <w:sz w:val="18"/>
              </w:rPr>
              <w:t>£126</w:t>
            </w:r>
          </w:p>
        </w:tc>
        <w:tc>
          <w:tcPr>
            <w:tcW w:w="1277" w:type="dxa"/>
          </w:tcPr>
          <w:p w:rsidR="006A18FD" w:rsidRDefault="002D29FC">
            <w:pPr>
              <w:spacing w:before="2" w:line="199" w:lineRule="exact"/>
              <w:ind w:left="133" w:right="133"/>
              <w:jc w:val="center"/>
              <w:rPr>
                <w:rFonts w:ascii="Calibri" w:hAnsi="Calibri"/>
                <w:sz w:val="18"/>
              </w:rPr>
            </w:pPr>
            <w:r>
              <w:rPr>
                <w:rFonts w:ascii="Calibri" w:hAnsi="Calibri"/>
                <w:sz w:val="18"/>
              </w:rPr>
              <w:t>£286</w:t>
            </w:r>
          </w:p>
        </w:tc>
        <w:tc>
          <w:tcPr>
            <w:tcW w:w="1676" w:type="dxa"/>
          </w:tcPr>
          <w:p w:rsidR="006A18FD" w:rsidRDefault="002D29FC">
            <w:pPr>
              <w:spacing w:before="2" w:line="199" w:lineRule="exact"/>
              <w:ind w:left="696"/>
              <w:rPr>
                <w:rFonts w:ascii="Calibri" w:hAnsi="Calibri"/>
                <w:sz w:val="18"/>
              </w:rPr>
            </w:pPr>
            <w:r>
              <w:rPr>
                <w:rFonts w:ascii="Calibri" w:hAnsi="Calibri"/>
                <w:sz w:val="18"/>
              </w:rPr>
              <w:t>£82</w:t>
            </w:r>
          </w:p>
        </w:tc>
        <w:tc>
          <w:tcPr>
            <w:tcW w:w="1419" w:type="dxa"/>
          </w:tcPr>
          <w:p w:rsidR="006A18FD" w:rsidRDefault="002D29FC">
            <w:pPr>
              <w:spacing w:before="2" w:line="199" w:lineRule="exact"/>
              <w:ind w:left="246" w:right="244"/>
              <w:jc w:val="center"/>
              <w:rPr>
                <w:rFonts w:ascii="Calibri" w:hAnsi="Calibri"/>
                <w:sz w:val="18"/>
              </w:rPr>
            </w:pPr>
            <w:r>
              <w:rPr>
                <w:rFonts w:ascii="Calibri" w:hAnsi="Calibri"/>
                <w:sz w:val="18"/>
              </w:rPr>
              <w:t>£649</w:t>
            </w:r>
          </w:p>
        </w:tc>
      </w:tr>
      <w:tr w:rsidR="006A18FD">
        <w:trPr>
          <w:trHeight w:val="420"/>
        </w:trPr>
        <w:tc>
          <w:tcPr>
            <w:tcW w:w="1699" w:type="dxa"/>
          </w:tcPr>
          <w:p w:rsidR="006A18FD" w:rsidRDefault="002D29FC">
            <w:pPr>
              <w:spacing w:before="1" w:line="219" w:lineRule="exact"/>
              <w:ind w:left="103"/>
              <w:rPr>
                <w:rFonts w:ascii="Calibri"/>
                <w:sz w:val="18"/>
              </w:rPr>
            </w:pPr>
            <w:r>
              <w:rPr>
                <w:rFonts w:ascii="Calibri"/>
                <w:sz w:val="18"/>
              </w:rPr>
              <w:t>Stairlift (more</w:t>
            </w:r>
          </w:p>
          <w:p w:rsidR="006A18FD" w:rsidRDefault="002D29FC">
            <w:pPr>
              <w:spacing w:line="199" w:lineRule="exact"/>
              <w:ind w:left="103"/>
              <w:rPr>
                <w:rFonts w:ascii="Calibri"/>
                <w:sz w:val="18"/>
              </w:rPr>
            </w:pPr>
            <w:r>
              <w:rPr>
                <w:rFonts w:ascii="Calibri"/>
                <w:sz w:val="18"/>
              </w:rPr>
              <w:t>complex)</w:t>
            </w:r>
          </w:p>
        </w:tc>
        <w:tc>
          <w:tcPr>
            <w:tcW w:w="994" w:type="dxa"/>
          </w:tcPr>
          <w:p w:rsidR="006A18FD" w:rsidRDefault="002D29FC">
            <w:pPr>
              <w:spacing w:before="1"/>
              <w:ind w:left="380" w:right="380"/>
              <w:jc w:val="center"/>
              <w:rPr>
                <w:rFonts w:ascii="Calibri" w:hAnsi="Calibri"/>
                <w:sz w:val="18"/>
              </w:rPr>
            </w:pPr>
            <w:r>
              <w:rPr>
                <w:rFonts w:ascii="Calibri" w:hAnsi="Calibri"/>
                <w:sz w:val="18"/>
              </w:rPr>
              <w:t>£4</w:t>
            </w:r>
          </w:p>
        </w:tc>
        <w:tc>
          <w:tcPr>
            <w:tcW w:w="708" w:type="dxa"/>
          </w:tcPr>
          <w:p w:rsidR="006A18FD" w:rsidRDefault="002D29FC">
            <w:pPr>
              <w:spacing w:before="1"/>
              <w:ind w:left="165"/>
              <w:rPr>
                <w:rFonts w:ascii="Calibri" w:hAnsi="Calibri"/>
                <w:sz w:val="18"/>
              </w:rPr>
            </w:pPr>
            <w:r>
              <w:rPr>
                <w:rFonts w:ascii="Calibri" w:hAnsi="Calibri"/>
                <w:sz w:val="18"/>
              </w:rPr>
              <w:t>£101</w:t>
            </w:r>
          </w:p>
        </w:tc>
        <w:tc>
          <w:tcPr>
            <w:tcW w:w="991" w:type="dxa"/>
          </w:tcPr>
          <w:p w:rsidR="006A18FD" w:rsidRDefault="002D29FC">
            <w:pPr>
              <w:spacing w:before="1"/>
              <w:ind w:left="289" w:right="287"/>
              <w:jc w:val="center"/>
              <w:rPr>
                <w:rFonts w:ascii="Calibri" w:hAnsi="Calibri"/>
                <w:sz w:val="18"/>
              </w:rPr>
            </w:pPr>
            <w:r>
              <w:rPr>
                <w:rFonts w:ascii="Calibri" w:hAnsi="Calibri"/>
                <w:sz w:val="18"/>
              </w:rPr>
              <w:t>£422</w:t>
            </w:r>
          </w:p>
        </w:tc>
        <w:tc>
          <w:tcPr>
            <w:tcW w:w="1419" w:type="dxa"/>
          </w:tcPr>
          <w:p w:rsidR="006A18FD" w:rsidRDefault="002D29FC">
            <w:pPr>
              <w:spacing w:before="1"/>
              <w:ind w:left="246" w:right="245"/>
              <w:jc w:val="center"/>
              <w:rPr>
                <w:rFonts w:ascii="Calibri" w:hAnsi="Calibri"/>
                <w:sz w:val="18"/>
              </w:rPr>
            </w:pPr>
            <w:r>
              <w:rPr>
                <w:rFonts w:ascii="Calibri" w:hAnsi="Calibri"/>
                <w:sz w:val="18"/>
              </w:rPr>
              <w:t>£320</w:t>
            </w:r>
          </w:p>
        </w:tc>
        <w:tc>
          <w:tcPr>
            <w:tcW w:w="1277" w:type="dxa"/>
          </w:tcPr>
          <w:p w:rsidR="006A18FD" w:rsidRDefault="002D29FC">
            <w:pPr>
              <w:spacing w:before="1"/>
              <w:ind w:left="133" w:right="133"/>
              <w:jc w:val="center"/>
              <w:rPr>
                <w:rFonts w:ascii="Calibri" w:hAnsi="Calibri"/>
                <w:sz w:val="18"/>
              </w:rPr>
            </w:pPr>
            <w:r>
              <w:rPr>
                <w:rFonts w:ascii="Calibri" w:hAnsi="Calibri"/>
                <w:sz w:val="18"/>
              </w:rPr>
              <w:t>£58</w:t>
            </w:r>
          </w:p>
        </w:tc>
        <w:tc>
          <w:tcPr>
            <w:tcW w:w="1676" w:type="dxa"/>
          </w:tcPr>
          <w:p w:rsidR="006A18FD" w:rsidRDefault="002D29FC">
            <w:pPr>
              <w:spacing w:before="1"/>
              <w:ind w:left="696"/>
              <w:rPr>
                <w:rFonts w:ascii="Calibri" w:hAnsi="Calibri"/>
                <w:sz w:val="18"/>
              </w:rPr>
            </w:pPr>
            <w:r>
              <w:rPr>
                <w:rFonts w:ascii="Calibri" w:hAnsi="Calibri"/>
                <w:sz w:val="18"/>
              </w:rPr>
              <w:t>£98</w:t>
            </w:r>
          </w:p>
        </w:tc>
        <w:tc>
          <w:tcPr>
            <w:tcW w:w="1419" w:type="dxa"/>
          </w:tcPr>
          <w:p w:rsidR="006A18FD" w:rsidRDefault="002D29FC">
            <w:pPr>
              <w:spacing w:before="1"/>
              <w:ind w:left="246" w:right="246"/>
              <w:jc w:val="center"/>
              <w:rPr>
                <w:rFonts w:ascii="Calibri" w:hAnsi="Calibri"/>
                <w:sz w:val="18"/>
              </w:rPr>
            </w:pPr>
            <w:r>
              <w:rPr>
                <w:rFonts w:ascii="Calibri" w:hAnsi="Calibri"/>
                <w:sz w:val="18"/>
              </w:rPr>
              <w:t>£1,003</w:t>
            </w:r>
          </w:p>
        </w:tc>
      </w:tr>
      <w:tr w:rsidR="006A18FD">
        <w:trPr>
          <w:trHeight w:val="640"/>
        </w:trPr>
        <w:tc>
          <w:tcPr>
            <w:tcW w:w="1699" w:type="dxa"/>
          </w:tcPr>
          <w:p w:rsidR="006A18FD" w:rsidRDefault="002D29FC">
            <w:pPr>
              <w:spacing w:before="1"/>
              <w:ind w:left="103" w:right="296"/>
              <w:rPr>
                <w:rFonts w:ascii="Calibri"/>
                <w:sz w:val="18"/>
              </w:rPr>
            </w:pPr>
            <w:r>
              <w:rPr>
                <w:rFonts w:ascii="Calibri"/>
                <w:sz w:val="18"/>
              </w:rPr>
              <w:t>Convert room for downstairs</w:t>
            </w:r>
          </w:p>
          <w:p w:rsidR="006A18FD" w:rsidRDefault="002D29FC">
            <w:pPr>
              <w:spacing w:line="198" w:lineRule="exact"/>
              <w:ind w:left="103"/>
              <w:rPr>
                <w:rFonts w:ascii="Calibri"/>
                <w:sz w:val="18"/>
              </w:rPr>
            </w:pPr>
            <w:r>
              <w:rPr>
                <w:rFonts w:ascii="Calibri"/>
                <w:sz w:val="18"/>
              </w:rPr>
              <w:t>WC/washroom</w:t>
            </w:r>
          </w:p>
        </w:tc>
        <w:tc>
          <w:tcPr>
            <w:tcW w:w="994" w:type="dxa"/>
          </w:tcPr>
          <w:p w:rsidR="006A18FD" w:rsidRDefault="002D29FC">
            <w:pPr>
              <w:spacing w:before="1"/>
              <w:ind w:left="380" w:right="380"/>
              <w:jc w:val="center"/>
              <w:rPr>
                <w:rFonts w:ascii="Calibri" w:hAnsi="Calibri"/>
                <w:sz w:val="18"/>
              </w:rPr>
            </w:pPr>
            <w:r>
              <w:rPr>
                <w:rFonts w:ascii="Calibri" w:hAnsi="Calibri"/>
                <w:sz w:val="18"/>
              </w:rPr>
              <w:t>£4</w:t>
            </w:r>
          </w:p>
        </w:tc>
        <w:tc>
          <w:tcPr>
            <w:tcW w:w="708" w:type="dxa"/>
          </w:tcPr>
          <w:p w:rsidR="006A18FD" w:rsidRDefault="002D29FC">
            <w:pPr>
              <w:spacing w:before="1"/>
              <w:ind w:left="165"/>
              <w:rPr>
                <w:rFonts w:ascii="Calibri" w:hAnsi="Calibri"/>
                <w:sz w:val="18"/>
              </w:rPr>
            </w:pPr>
            <w:r>
              <w:rPr>
                <w:rFonts w:ascii="Calibri" w:hAnsi="Calibri"/>
                <w:sz w:val="18"/>
              </w:rPr>
              <w:t>£324</w:t>
            </w:r>
          </w:p>
        </w:tc>
        <w:tc>
          <w:tcPr>
            <w:tcW w:w="991" w:type="dxa"/>
          </w:tcPr>
          <w:p w:rsidR="006A18FD" w:rsidRDefault="002D29FC">
            <w:pPr>
              <w:spacing w:before="1"/>
              <w:ind w:left="289" w:right="287"/>
              <w:jc w:val="center"/>
              <w:rPr>
                <w:rFonts w:ascii="Calibri" w:hAnsi="Calibri"/>
                <w:sz w:val="18"/>
              </w:rPr>
            </w:pPr>
            <w:r>
              <w:rPr>
                <w:rFonts w:ascii="Calibri" w:hAnsi="Calibri"/>
                <w:sz w:val="18"/>
              </w:rPr>
              <w:t>£442</w:t>
            </w:r>
          </w:p>
        </w:tc>
        <w:tc>
          <w:tcPr>
            <w:tcW w:w="1419" w:type="dxa"/>
          </w:tcPr>
          <w:p w:rsidR="006A18FD" w:rsidRDefault="002D29FC">
            <w:pPr>
              <w:spacing w:before="1"/>
              <w:ind w:left="246" w:right="244"/>
              <w:jc w:val="center"/>
              <w:rPr>
                <w:rFonts w:ascii="Calibri" w:hAnsi="Calibri"/>
                <w:sz w:val="18"/>
              </w:rPr>
            </w:pPr>
            <w:r>
              <w:rPr>
                <w:rFonts w:ascii="Calibri" w:hAnsi="Calibri"/>
                <w:sz w:val="18"/>
              </w:rPr>
              <w:t>£703</w:t>
            </w:r>
          </w:p>
        </w:tc>
        <w:tc>
          <w:tcPr>
            <w:tcW w:w="1277" w:type="dxa"/>
          </w:tcPr>
          <w:p w:rsidR="006A18FD" w:rsidRDefault="002D29FC">
            <w:pPr>
              <w:spacing w:before="1"/>
              <w:ind w:left="133" w:right="133"/>
              <w:jc w:val="center"/>
              <w:rPr>
                <w:rFonts w:ascii="Calibri" w:hAnsi="Calibri"/>
                <w:sz w:val="18"/>
              </w:rPr>
            </w:pPr>
            <w:r>
              <w:rPr>
                <w:rFonts w:ascii="Calibri" w:hAnsi="Calibri"/>
                <w:sz w:val="18"/>
              </w:rPr>
              <w:t>£167</w:t>
            </w:r>
          </w:p>
        </w:tc>
        <w:tc>
          <w:tcPr>
            <w:tcW w:w="1676" w:type="dxa"/>
          </w:tcPr>
          <w:p w:rsidR="006A18FD" w:rsidRDefault="002D29FC">
            <w:pPr>
              <w:spacing w:before="1"/>
              <w:ind w:left="650"/>
              <w:rPr>
                <w:rFonts w:ascii="Calibri" w:hAnsi="Calibri"/>
                <w:sz w:val="18"/>
              </w:rPr>
            </w:pPr>
            <w:r>
              <w:rPr>
                <w:rFonts w:ascii="Calibri" w:hAnsi="Calibri"/>
                <w:sz w:val="18"/>
              </w:rPr>
              <w:t>£236</w:t>
            </w:r>
          </w:p>
        </w:tc>
        <w:tc>
          <w:tcPr>
            <w:tcW w:w="1419" w:type="dxa"/>
          </w:tcPr>
          <w:p w:rsidR="006A18FD" w:rsidRDefault="002D29FC">
            <w:pPr>
              <w:spacing w:before="1"/>
              <w:ind w:left="246" w:right="246"/>
              <w:jc w:val="center"/>
              <w:rPr>
                <w:rFonts w:ascii="Calibri" w:hAnsi="Calibri"/>
                <w:sz w:val="18"/>
              </w:rPr>
            </w:pPr>
            <w:r>
              <w:rPr>
                <w:rFonts w:ascii="Calibri" w:hAnsi="Calibri"/>
                <w:sz w:val="18"/>
              </w:rPr>
              <w:t>£1,877</w:t>
            </w:r>
          </w:p>
        </w:tc>
      </w:tr>
      <w:tr w:rsidR="006A18FD">
        <w:trPr>
          <w:trHeight w:val="740"/>
        </w:trPr>
        <w:tc>
          <w:tcPr>
            <w:tcW w:w="1699" w:type="dxa"/>
          </w:tcPr>
          <w:p w:rsidR="006A18FD" w:rsidRDefault="002D29FC">
            <w:pPr>
              <w:spacing w:before="1"/>
              <w:ind w:left="103" w:right="322"/>
              <w:jc w:val="both"/>
              <w:rPr>
                <w:rFonts w:ascii="Calibri"/>
                <w:sz w:val="18"/>
              </w:rPr>
            </w:pPr>
            <w:r>
              <w:rPr>
                <w:rFonts w:ascii="Calibri"/>
                <w:sz w:val="18"/>
              </w:rPr>
              <w:t>Build downstairs extension for WC washroom</w:t>
            </w:r>
          </w:p>
        </w:tc>
        <w:tc>
          <w:tcPr>
            <w:tcW w:w="994" w:type="dxa"/>
          </w:tcPr>
          <w:p w:rsidR="006A18FD" w:rsidRDefault="002D29FC">
            <w:pPr>
              <w:spacing w:before="1"/>
              <w:ind w:left="380" w:right="380"/>
              <w:jc w:val="center"/>
              <w:rPr>
                <w:rFonts w:ascii="Calibri" w:hAnsi="Calibri"/>
                <w:sz w:val="18"/>
              </w:rPr>
            </w:pPr>
            <w:r>
              <w:rPr>
                <w:rFonts w:ascii="Calibri" w:hAnsi="Calibri"/>
                <w:sz w:val="18"/>
              </w:rPr>
              <w:t>£4</w:t>
            </w:r>
          </w:p>
        </w:tc>
        <w:tc>
          <w:tcPr>
            <w:tcW w:w="708" w:type="dxa"/>
          </w:tcPr>
          <w:p w:rsidR="006A18FD" w:rsidRDefault="002D29FC">
            <w:pPr>
              <w:spacing w:before="1"/>
              <w:ind w:left="165"/>
              <w:rPr>
                <w:rFonts w:ascii="Calibri" w:hAnsi="Calibri"/>
                <w:sz w:val="18"/>
              </w:rPr>
            </w:pPr>
            <w:r>
              <w:rPr>
                <w:rFonts w:ascii="Calibri" w:hAnsi="Calibri"/>
                <w:sz w:val="18"/>
              </w:rPr>
              <w:t>£531</w:t>
            </w:r>
          </w:p>
        </w:tc>
        <w:tc>
          <w:tcPr>
            <w:tcW w:w="991" w:type="dxa"/>
          </w:tcPr>
          <w:p w:rsidR="006A18FD" w:rsidRDefault="002D29FC">
            <w:pPr>
              <w:spacing w:before="1"/>
              <w:ind w:left="289" w:right="287"/>
              <w:jc w:val="center"/>
              <w:rPr>
                <w:rFonts w:ascii="Calibri" w:hAnsi="Calibri"/>
                <w:sz w:val="18"/>
              </w:rPr>
            </w:pPr>
            <w:r>
              <w:rPr>
                <w:rFonts w:ascii="Calibri" w:hAnsi="Calibri"/>
                <w:sz w:val="18"/>
              </w:rPr>
              <w:t>£663</w:t>
            </w:r>
          </w:p>
        </w:tc>
        <w:tc>
          <w:tcPr>
            <w:tcW w:w="1419" w:type="dxa"/>
          </w:tcPr>
          <w:p w:rsidR="006A18FD" w:rsidRDefault="002D29FC">
            <w:pPr>
              <w:spacing w:before="1"/>
              <w:ind w:left="246" w:right="246"/>
              <w:jc w:val="center"/>
              <w:rPr>
                <w:rFonts w:ascii="Calibri" w:hAnsi="Calibri"/>
                <w:sz w:val="18"/>
              </w:rPr>
            </w:pPr>
            <w:r>
              <w:rPr>
                <w:rFonts w:ascii="Calibri" w:hAnsi="Calibri"/>
                <w:sz w:val="18"/>
              </w:rPr>
              <w:t>£1,651</w:t>
            </w:r>
          </w:p>
        </w:tc>
        <w:tc>
          <w:tcPr>
            <w:tcW w:w="1277" w:type="dxa"/>
          </w:tcPr>
          <w:p w:rsidR="006A18FD" w:rsidRDefault="002D29FC">
            <w:pPr>
              <w:spacing w:before="1"/>
              <w:ind w:left="133" w:right="133"/>
              <w:jc w:val="center"/>
              <w:rPr>
                <w:rFonts w:ascii="Calibri" w:hAnsi="Calibri"/>
                <w:sz w:val="18"/>
              </w:rPr>
            </w:pPr>
            <w:r>
              <w:rPr>
                <w:rFonts w:ascii="Calibri" w:hAnsi="Calibri"/>
                <w:sz w:val="18"/>
              </w:rPr>
              <w:t>£87</w:t>
            </w:r>
          </w:p>
        </w:tc>
        <w:tc>
          <w:tcPr>
            <w:tcW w:w="1676" w:type="dxa"/>
          </w:tcPr>
          <w:p w:rsidR="006A18FD" w:rsidRDefault="002D29FC">
            <w:pPr>
              <w:spacing w:before="1"/>
              <w:ind w:left="650"/>
              <w:rPr>
                <w:rFonts w:ascii="Calibri" w:hAnsi="Calibri"/>
                <w:sz w:val="18"/>
              </w:rPr>
            </w:pPr>
            <w:r>
              <w:rPr>
                <w:rFonts w:ascii="Calibri" w:hAnsi="Calibri"/>
                <w:sz w:val="18"/>
              </w:rPr>
              <w:t>£204</w:t>
            </w:r>
          </w:p>
        </w:tc>
        <w:tc>
          <w:tcPr>
            <w:tcW w:w="1419" w:type="dxa"/>
          </w:tcPr>
          <w:p w:rsidR="006A18FD" w:rsidRDefault="002D29FC">
            <w:pPr>
              <w:spacing w:before="1"/>
              <w:ind w:left="246" w:right="246"/>
              <w:jc w:val="center"/>
              <w:rPr>
                <w:rFonts w:ascii="Calibri" w:hAnsi="Calibri"/>
                <w:sz w:val="18"/>
              </w:rPr>
            </w:pPr>
            <w:r>
              <w:rPr>
                <w:rFonts w:ascii="Calibri" w:hAnsi="Calibri"/>
                <w:sz w:val="18"/>
              </w:rPr>
              <w:t>£3,140</w:t>
            </w:r>
          </w:p>
        </w:tc>
      </w:tr>
      <w:tr w:rsidR="006A18FD">
        <w:trPr>
          <w:trHeight w:val="860"/>
        </w:trPr>
        <w:tc>
          <w:tcPr>
            <w:tcW w:w="1699" w:type="dxa"/>
          </w:tcPr>
          <w:p w:rsidR="006A18FD" w:rsidRDefault="002D29FC">
            <w:pPr>
              <w:ind w:left="103" w:right="295"/>
              <w:rPr>
                <w:rFonts w:ascii="Calibri"/>
                <w:sz w:val="18"/>
              </w:rPr>
            </w:pPr>
            <w:r>
              <w:rPr>
                <w:rFonts w:ascii="Calibri"/>
                <w:sz w:val="18"/>
              </w:rPr>
              <w:t>Build downstairs extension for bedroom and en-</w:t>
            </w:r>
          </w:p>
          <w:p w:rsidR="006A18FD" w:rsidRDefault="002D29FC">
            <w:pPr>
              <w:spacing w:before="1" w:line="198" w:lineRule="exact"/>
              <w:ind w:left="103"/>
              <w:rPr>
                <w:rFonts w:ascii="Calibri"/>
                <w:sz w:val="18"/>
              </w:rPr>
            </w:pPr>
            <w:r>
              <w:rPr>
                <w:rFonts w:ascii="Calibri"/>
                <w:sz w:val="18"/>
              </w:rPr>
              <w:t>suite facilities</w:t>
            </w:r>
          </w:p>
        </w:tc>
        <w:tc>
          <w:tcPr>
            <w:tcW w:w="994" w:type="dxa"/>
          </w:tcPr>
          <w:p w:rsidR="006A18FD" w:rsidRDefault="002D29FC">
            <w:pPr>
              <w:spacing w:line="219" w:lineRule="exact"/>
              <w:ind w:left="380" w:right="380"/>
              <w:jc w:val="center"/>
              <w:rPr>
                <w:rFonts w:ascii="Calibri" w:hAnsi="Calibri"/>
                <w:sz w:val="18"/>
              </w:rPr>
            </w:pPr>
            <w:r>
              <w:rPr>
                <w:rFonts w:ascii="Calibri" w:hAnsi="Calibri"/>
                <w:sz w:val="18"/>
              </w:rPr>
              <w:t>£4</w:t>
            </w:r>
          </w:p>
        </w:tc>
        <w:tc>
          <w:tcPr>
            <w:tcW w:w="708" w:type="dxa"/>
          </w:tcPr>
          <w:p w:rsidR="006A18FD" w:rsidRDefault="002D29FC">
            <w:pPr>
              <w:spacing w:line="219" w:lineRule="exact"/>
              <w:ind w:left="165"/>
              <w:rPr>
                <w:rFonts w:ascii="Calibri" w:hAnsi="Calibri"/>
                <w:sz w:val="18"/>
              </w:rPr>
            </w:pPr>
            <w:r>
              <w:rPr>
                <w:rFonts w:ascii="Calibri" w:hAnsi="Calibri"/>
                <w:sz w:val="18"/>
              </w:rPr>
              <w:t>£695</w:t>
            </w:r>
          </w:p>
        </w:tc>
        <w:tc>
          <w:tcPr>
            <w:tcW w:w="991" w:type="dxa"/>
          </w:tcPr>
          <w:p w:rsidR="006A18FD" w:rsidRDefault="002D29FC">
            <w:pPr>
              <w:spacing w:line="219" w:lineRule="exact"/>
              <w:ind w:left="289" w:right="287"/>
              <w:jc w:val="center"/>
              <w:rPr>
                <w:rFonts w:ascii="Calibri" w:hAnsi="Calibri"/>
                <w:sz w:val="18"/>
              </w:rPr>
            </w:pPr>
            <w:r>
              <w:rPr>
                <w:rFonts w:ascii="Calibri" w:hAnsi="Calibri"/>
                <w:sz w:val="18"/>
              </w:rPr>
              <w:t>£757</w:t>
            </w:r>
          </w:p>
        </w:tc>
        <w:tc>
          <w:tcPr>
            <w:tcW w:w="1419" w:type="dxa"/>
          </w:tcPr>
          <w:p w:rsidR="006A18FD" w:rsidRDefault="002D29FC">
            <w:pPr>
              <w:spacing w:line="219" w:lineRule="exact"/>
              <w:ind w:left="246" w:right="246"/>
              <w:jc w:val="center"/>
              <w:rPr>
                <w:rFonts w:ascii="Calibri" w:hAnsi="Calibri"/>
                <w:sz w:val="18"/>
              </w:rPr>
            </w:pPr>
            <w:r>
              <w:rPr>
                <w:rFonts w:ascii="Calibri" w:hAnsi="Calibri"/>
                <w:sz w:val="18"/>
              </w:rPr>
              <w:t>£1,331</w:t>
            </w:r>
          </w:p>
        </w:tc>
        <w:tc>
          <w:tcPr>
            <w:tcW w:w="1277" w:type="dxa"/>
          </w:tcPr>
          <w:p w:rsidR="006A18FD" w:rsidRDefault="002D29FC">
            <w:pPr>
              <w:spacing w:line="219" w:lineRule="exact"/>
              <w:ind w:left="133" w:right="133"/>
              <w:jc w:val="center"/>
              <w:rPr>
                <w:rFonts w:ascii="Calibri" w:hAnsi="Calibri"/>
                <w:sz w:val="18"/>
              </w:rPr>
            </w:pPr>
            <w:r>
              <w:rPr>
                <w:rFonts w:ascii="Calibri" w:hAnsi="Calibri"/>
                <w:sz w:val="18"/>
              </w:rPr>
              <w:t>£225</w:t>
            </w:r>
          </w:p>
        </w:tc>
        <w:tc>
          <w:tcPr>
            <w:tcW w:w="1676" w:type="dxa"/>
          </w:tcPr>
          <w:p w:rsidR="006A18FD" w:rsidRDefault="002D29FC">
            <w:pPr>
              <w:spacing w:line="219" w:lineRule="exact"/>
              <w:ind w:left="650"/>
              <w:rPr>
                <w:rFonts w:ascii="Calibri" w:hAnsi="Calibri"/>
                <w:sz w:val="18"/>
              </w:rPr>
            </w:pPr>
            <w:r>
              <w:rPr>
                <w:rFonts w:ascii="Calibri" w:hAnsi="Calibri"/>
                <w:sz w:val="18"/>
              </w:rPr>
              <w:t>£335</w:t>
            </w:r>
          </w:p>
        </w:tc>
        <w:tc>
          <w:tcPr>
            <w:tcW w:w="1419" w:type="dxa"/>
          </w:tcPr>
          <w:p w:rsidR="006A18FD" w:rsidRDefault="002D29FC">
            <w:pPr>
              <w:spacing w:line="219" w:lineRule="exact"/>
              <w:ind w:left="246" w:right="246"/>
              <w:jc w:val="center"/>
              <w:rPr>
                <w:rFonts w:ascii="Calibri" w:hAnsi="Calibri"/>
                <w:sz w:val="18"/>
              </w:rPr>
            </w:pPr>
            <w:r>
              <w:rPr>
                <w:rFonts w:ascii="Calibri" w:hAnsi="Calibri"/>
                <w:sz w:val="18"/>
              </w:rPr>
              <w:t>£3,346</w:t>
            </w:r>
          </w:p>
        </w:tc>
      </w:tr>
    </w:tbl>
    <w:p w:rsidR="006A18FD" w:rsidRDefault="002D29FC">
      <w:pPr>
        <w:spacing w:before="121"/>
        <w:ind w:left="335"/>
        <w:rPr>
          <w:rFonts w:ascii="Calibri"/>
          <w:sz w:val="18"/>
        </w:rPr>
      </w:pPr>
      <w:r>
        <w:rPr>
          <w:rFonts w:ascii="Calibri"/>
          <w:sz w:val="18"/>
        </w:rPr>
        <w:t>Notes to tables: OT: Occupational Therapist, LA: Local Authority, HIA: Home improvement agency</w:t>
      </w:r>
    </w:p>
    <w:p w:rsidR="006A18FD" w:rsidRDefault="006A18FD">
      <w:pPr>
        <w:rPr>
          <w:rFonts w:ascii="Calibri"/>
          <w:sz w:val="18"/>
        </w:rPr>
        <w:sectPr w:rsidR="006A18FD">
          <w:pgSz w:w="11910" w:h="16840"/>
          <w:pgMar w:top="960" w:right="30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7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74" name="Line 13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C1A0F3" id="Group 13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Jd4PZN/AgAAgQUA&#10;AA4AAAAAAAAAAAAAAAAALgIAAGRycy9lMm9Eb2MueG1sUEsBAi0AFAAGAAgAAAAhAC135FzaAAAA&#10;BAEAAA8AAAAAAAAAAAAAAAAA2QQAAGRycy9kb3ducmV2LnhtbFBLBQYAAAAABAAEAPMAAADgBQAA&#10;AAA=&#10;">
                <v:line id="Line 13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w10:anchorlock/>
              </v:group>
            </w:pict>
          </mc:Fallback>
        </mc:AlternateContent>
      </w:r>
    </w:p>
    <w:p w:rsidR="006A18FD" w:rsidRDefault="008D2D0B" w:rsidP="008D2D0B">
      <w:pPr>
        <w:pStyle w:val="Heading2"/>
      </w:pPr>
      <w:r>
        <w:t xml:space="preserve">7.4 </w:t>
      </w:r>
      <w:r w:rsidR="002D29FC">
        <w:t>Public health</w:t>
      </w:r>
      <w:r w:rsidR="002D29FC">
        <w:rPr>
          <w:spacing w:val="-8"/>
        </w:rPr>
        <w:t xml:space="preserve"> </w:t>
      </w:r>
      <w:r w:rsidR="002D29FC">
        <w:t>interventions</w:t>
      </w:r>
    </w:p>
    <w:p w:rsidR="006A18FD" w:rsidRDefault="002D29FC">
      <w:pPr>
        <w:spacing w:before="172" w:line="276" w:lineRule="auto"/>
        <w:ind w:left="140" w:right="165"/>
        <w:rPr>
          <w:rFonts w:ascii="Calibri" w:hAnsi="Calibri"/>
          <w:sz w:val="20"/>
        </w:rPr>
      </w:pPr>
      <w:r>
        <w:rPr>
          <w:rFonts w:ascii="Calibri" w:hAnsi="Calibri"/>
          <w:color w:val="333333"/>
          <w:sz w:val="20"/>
        </w:rPr>
        <w:t xml:space="preserve">These costs are drawn from </w:t>
      </w:r>
      <w:r>
        <w:rPr>
          <w:rFonts w:ascii="Calibri" w:hAnsi="Calibri"/>
          <w:i/>
          <w:sz w:val="20"/>
        </w:rPr>
        <w:t xml:space="preserve">A review of the cost-effectiveness of individual level behaviour change interventions </w:t>
      </w:r>
      <w:r>
        <w:rPr>
          <w:rFonts w:ascii="Calibri" w:hAnsi="Calibri"/>
          <w:sz w:val="20"/>
        </w:rPr>
        <w:t>commissioned by the Health and Well-Being Alliance (North West Public Health Observatory, 2011).</w:t>
      </w:r>
      <w:r>
        <w:rPr>
          <w:rFonts w:ascii="Calibri" w:hAnsi="Calibri"/>
          <w:position w:val="7"/>
          <w:sz w:val="13"/>
        </w:rPr>
        <w:t xml:space="preserve">1 </w:t>
      </w:r>
      <w:r>
        <w:rPr>
          <w:rFonts w:ascii="Calibri" w:hAnsi="Calibri"/>
          <w:sz w:val="20"/>
        </w:rPr>
        <w:t xml:space="preserve">Here we present the costs of interventions for which the economic evidence originated in the UK. Further information can be found on Public Health Interventions in the Cost Effectiveness Database (PHICED) </w:t>
      </w:r>
      <w:hyperlink r:id="rId255">
        <w:r>
          <w:rPr>
            <w:rFonts w:ascii="Calibri" w:hAnsi="Calibri"/>
            <w:sz w:val="20"/>
            <w:u w:val="single"/>
          </w:rPr>
          <w:t>http://www.yhpho.org.uk/PHICED/</w:t>
        </w:r>
        <w:r>
          <w:rPr>
            <w:rFonts w:ascii="Calibri" w:hAnsi="Calibri"/>
            <w:sz w:val="20"/>
          </w:rPr>
          <w:t xml:space="preserve">. </w:t>
        </w:r>
      </w:hyperlink>
      <w:r>
        <w:rPr>
          <w:rFonts w:ascii="Calibri" w:hAnsi="Calibri"/>
          <w:sz w:val="20"/>
        </w:rPr>
        <w:t xml:space="preserve">All costs have been taken directly from the reports and uprated to 2018/2019 prices using the appropriate inflators. Further information on the specific research studies can be found in the reports named above, and King’s Fund have produced a set of infographics that describe key facts about the public health system and the return on investment for some public health interventions </w:t>
      </w:r>
      <w:hyperlink r:id="rId256">
        <w:r>
          <w:rPr>
            <w:rFonts w:ascii="Calibri" w:hAnsi="Calibri"/>
            <w:sz w:val="20"/>
            <w:u w:val="single"/>
          </w:rPr>
          <w:t>https://www.kingsfund.org.uk/audio-video/public-health-spending-roi</w:t>
        </w:r>
        <w:r>
          <w:rPr>
            <w:rFonts w:ascii="Calibri" w:hAnsi="Calibri"/>
            <w:sz w:val="20"/>
          </w:rPr>
          <w:t xml:space="preserve">. </w:t>
        </w:r>
      </w:hyperlink>
      <w:r>
        <w:rPr>
          <w:rFonts w:ascii="Calibri" w:hAnsi="Calibri"/>
          <w:sz w:val="20"/>
        </w:rPr>
        <w:t xml:space="preserve">See NICE guidance : </w:t>
      </w:r>
      <w:hyperlink r:id="rId257" w:anchor="smoking-cessation-interventions-bury---a-case-study-in-cost-effectiveness">
        <w:r>
          <w:rPr>
            <w:rFonts w:ascii="Calibri" w:hAnsi="Calibri"/>
            <w:sz w:val="20"/>
            <w:u w:val="single"/>
          </w:rPr>
          <w:t>https://www.nice.org.uk/advice/lgb10/chapter/judging-the-cost-effectiveness-of-public-health-activities#smoking-</w:t>
        </w:r>
      </w:hyperlink>
      <w:r>
        <w:rPr>
          <w:rFonts w:ascii="Calibri" w:hAnsi="Calibri"/>
          <w:sz w:val="20"/>
        </w:rPr>
        <w:t xml:space="preserve"> </w:t>
      </w:r>
      <w:hyperlink r:id="rId258" w:anchor="smoking-cessation-interventions-bury---a-case-study-in-cost-effectiveness">
        <w:r>
          <w:rPr>
            <w:rFonts w:ascii="Calibri" w:hAnsi="Calibri"/>
            <w:sz w:val="20"/>
            <w:u w:val="single"/>
          </w:rPr>
          <w:t>cessation-interventions-bury---a-case-study-in-cost-effectiveness</w:t>
        </w:r>
        <w:r>
          <w:rPr>
            <w:rFonts w:ascii="Calibri" w:hAnsi="Calibri"/>
            <w:spacing w:val="-5"/>
            <w:sz w:val="20"/>
          </w:rPr>
          <w:t xml:space="preserve"> </w:t>
        </w:r>
      </w:hyperlink>
      <w:r>
        <w:rPr>
          <w:rFonts w:ascii="Calibri" w:hAnsi="Calibri"/>
          <w:sz w:val="20"/>
        </w:rPr>
        <w:t>for</w:t>
      </w:r>
      <w:r>
        <w:rPr>
          <w:rFonts w:ascii="Calibri" w:hAnsi="Calibri"/>
          <w:spacing w:val="-5"/>
          <w:sz w:val="20"/>
        </w:rPr>
        <w:t xml:space="preserve"> </w:t>
      </w:r>
      <w:r>
        <w:rPr>
          <w:rFonts w:ascii="Calibri" w:hAnsi="Calibri"/>
          <w:sz w:val="20"/>
        </w:rPr>
        <w:t>advice</w:t>
      </w:r>
      <w:r>
        <w:rPr>
          <w:rFonts w:ascii="Calibri" w:hAnsi="Calibri"/>
          <w:spacing w:val="-7"/>
          <w:sz w:val="20"/>
        </w:rPr>
        <w:t xml:space="preserve"> </w:t>
      </w:r>
      <w:r>
        <w:rPr>
          <w:rFonts w:ascii="Calibri" w:hAnsi="Calibri"/>
          <w:sz w:val="20"/>
        </w:rPr>
        <w:t>on</w:t>
      </w:r>
      <w:r>
        <w:rPr>
          <w:rFonts w:ascii="Calibri" w:hAnsi="Calibri"/>
          <w:spacing w:val="-5"/>
          <w:sz w:val="20"/>
        </w:rPr>
        <w:t xml:space="preserve"> </w:t>
      </w:r>
      <w:r>
        <w:rPr>
          <w:rFonts w:ascii="Calibri" w:hAnsi="Calibri"/>
          <w:sz w:val="20"/>
        </w:rPr>
        <w:t>the</w:t>
      </w:r>
      <w:r>
        <w:rPr>
          <w:rFonts w:ascii="Calibri" w:hAnsi="Calibri"/>
          <w:spacing w:val="-6"/>
          <w:sz w:val="20"/>
        </w:rPr>
        <w:t xml:space="preserve"> </w:t>
      </w:r>
      <w:r>
        <w:rPr>
          <w:rFonts w:ascii="Calibri" w:hAnsi="Calibri"/>
          <w:sz w:val="20"/>
        </w:rPr>
        <w:t>cost</w:t>
      </w:r>
      <w:r>
        <w:rPr>
          <w:rFonts w:ascii="Calibri" w:hAnsi="Calibri"/>
          <w:spacing w:val="-2"/>
          <w:sz w:val="20"/>
        </w:rPr>
        <w:t xml:space="preserve"> </w:t>
      </w:r>
      <w:r>
        <w:rPr>
          <w:rFonts w:ascii="Calibri" w:hAnsi="Calibri"/>
          <w:sz w:val="20"/>
        </w:rPr>
        <w:t>effectiveness</w:t>
      </w:r>
      <w:r>
        <w:rPr>
          <w:rFonts w:ascii="Calibri" w:hAnsi="Calibri"/>
          <w:spacing w:val="-7"/>
          <w:sz w:val="20"/>
        </w:rPr>
        <w:t xml:space="preserve"> </w:t>
      </w:r>
      <w:r>
        <w:rPr>
          <w:rFonts w:ascii="Calibri" w:hAnsi="Calibri"/>
          <w:sz w:val="20"/>
        </w:rPr>
        <w:t>of</w:t>
      </w:r>
      <w:r>
        <w:rPr>
          <w:rFonts w:ascii="Calibri" w:hAnsi="Calibri"/>
          <w:spacing w:val="-7"/>
          <w:sz w:val="20"/>
        </w:rPr>
        <w:t xml:space="preserve"> </w:t>
      </w:r>
      <w:r>
        <w:rPr>
          <w:rFonts w:ascii="Calibri" w:hAnsi="Calibri"/>
          <w:sz w:val="20"/>
        </w:rPr>
        <w:t>public</w:t>
      </w:r>
      <w:r>
        <w:rPr>
          <w:rFonts w:ascii="Calibri" w:hAnsi="Calibri"/>
          <w:spacing w:val="-6"/>
          <w:sz w:val="20"/>
        </w:rPr>
        <w:t xml:space="preserve"> </w:t>
      </w:r>
      <w:r>
        <w:rPr>
          <w:rFonts w:ascii="Calibri" w:hAnsi="Calibri"/>
          <w:sz w:val="20"/>
        </w:rPr>
        <w:t>health</w:t>
      </w:r>
    </w:p>
    <w:p w:rsidR="006A18FD" w:rsidRDefault="002D29FC">
      <w:pPr>
        <w:spacing w:line="276" w:lineRule="auto"/>
        <w:ind w:left="140" w:right="416"/>
        <w:rPr>
          <w:rFonts w:ascii="Calibri" w:hAnsi="Calibri"/>
          <w:sz w:val="20"/>
        </w:rPr>
      </w:pPr>
      <w:r>
        <w:rPr>
          <w:rFonts w:ascii="Calibri" w:hAnsi="Calibri"/>
          <w:sz w:val="20"/>
        </w:rPr>
        <w:t>activities. See also a series of blogs ‘public health matters’ issued by Public Health England (</w:t>
      </w:r>
      <w:hyperlink r:id="rId259">
        <w:r>
          <w:rPr>
            <w:rFonts w:ascii="Calibri" w:hAnsi="Calibri"/>
            <w:sz w:val="20"/>
            <w:u w:val="single"/>
          </w:rPr>
          <w:t>https://publichealthmatters.blog.gov.uk/2016/02/29/investing-in-prevention-is-it-cost-effective/</w:t>
        </w:r>
      </w:hyperlink>
      <w:r>
        <w:rPr>
          <w:rFonts w:ascii="Calibri" w:hAnsi="Calibri"/>
          <w:sz w:val="20"/>
        </w:rPr>
        <w:t>), which cover subjects such as why investing in prevention matters and whether it saves money</w:t>
      </w:r>
    </w:p>
    <w:p w:rsidR="006A18FD" w:rsidRDefault="002D29FC" w:rsidP="008D2D0B">
      <w:pPr>
        <w:pStyle w:val="Heading3"/>
      </w:pPr>
      <w:r>
        <w:t>Reducing long-term absence in the workplace</w:t>
      </w:r>
    </w:p>
    <w:p w:rsidR="006A18FD" w:rsidRDefault="002D29FC">
      <w:pPr>
        <w:spacing w:before="153" w:line="276" w:lineRule="auto"/>
        <w:ind w:left="140" w:right="195"/>
        <w:rPr>
          <w:rFonts w:ascii="Calibri" w:hAnsi="Calibri"/>
          <w:sz w:val="20"/>
        </w:rPr>
      </w:pPr>
      <w:r>
        <w:rPr>
          <w:rFonts w:ascii="Calibri" w:hAnsi="Calibri"/>
          <w:sz w:val="20"/>
        </w:rPr>
        <w:t xml:space="preserve">The NICE public health guidance on </w:t>
      </w:r>
      <w:r>
        <w:rPr>
          <w:rFonts w:ascii="Calibri" w:hAnsi="Calibri"/>
          <w:i/>
          <w:sz w:val="20"/>
        </w:rPr>
        <w:t>Management of long-term sickness and incapacity for work</w:t>
      </w:r>
      <w:r>
        <w:rPr>
          <w:rFonts w:ascii="Calibri" w:hAnsi="Calibri"/>
          <w:i/>
          <w:position w:val="7"/>
          <w:sz w:val="13"/>
        </w:rPr>
        <w:t xml:space="preserve">2 </w:t>
      </w:r>
      <w:r>
        <w:rPr>
          <w:rFonts w:ascii="Calibri" w:hAnsi="Calibri"/>
          <w:sz w:val="20"/>
        </w:rPr>
        <w:t>provides cost information for three types of intervention: physical activity and education (10 sessions of physiotherapy or physical activity and 10 sessions of cognitive behaviour therapy); workplace intervention (usual care, workplace assessment and work modifications, and communication between occupational physician and GP to reach a consensus on return to work); and physical activity and education along with a workplace visit (sessions as before plus half a day of line manager’s time).</w:t>
      </w:r>
    </w:p>
    <w:p w:rsidR="006A18FD" w:rsidRDefault="002D29FC">
      <w:pPr>
        <w:spacing w:before="120"/>
        <w:ind w:left="140"/>
        <w:rPr>
          <w:rFonts w:ascii="Cambria"/>
          <w:b/>
        </w:rPr>
      </w:pPr>
      <w:r>
        <w:rPr>
          <w:rFonts w:ascii="Cambria"/>
          <w:b/>
        </w:rPr>
        <w:t>Table 1 Workplace interventions</w:t>
      </w:r>
    </w:p>
    <w:p w:rsidR="006A18FD" w:rsidRDefault="006A18FD">
      <w:pPr>
        <w:spacing w:before="4" w:after="1"/>
        <w:rPr>
          <w:rFonts w:ascii="Cambria"/>
          <w:b/>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1354"/>
        <w:gridCol w:w="1498"/>
        <w:gridCol w:w="1356"/>
        <w:gridCol w:w="1354"/>
        <w:gridCol w:w="1354"/>
      </w:tblGrid>
      <w:tr w:rsidR="006A18FD" w:rsidTr="001B7F44">
        <w:trPr>
          <w:trHeight w:val="840"/>
          <w:tblHeader/>
        </w:trPr>
        <w:tc>
          <w:tcPr>
            <w:tcW w:w="3128" w:type="dxa"/>
          </w:tcPr>
          <w:p w:rsidR="006A18FD" w:rsidRDefault="002D29FC">
            <w:pPr>
              <w:spacing w:before="1"/>
              <w:ind w:left="103"/>
              <w:rPr>
                <w:rFonts w:ascii="Calibri"/>
                <w:b/>
                <w:sz w:val="20"/>
              </w:rPr>
            </w:pPr>
            <w:r>
              <w:rPr>
                <w:rFonts w:ascii="Calibri"/>
                <w:b/>
                <w:sz w:val="20"/>
              </w:rPr>
              <w:t>Intervention</w:t>
            </w:r>
          </w:p>
        </w:tc>
        <w:tc>
          <w:tcPr>
            <w:tcW w:w="1354" w:type="dxa"/>
          </w:tcPr>
          <w:p w:rsidR="006A18FD" w:rsidRDefault="002D29FC">
            <w:pPr>
              <w:spacing w:before="1"/>
              <w:ind w:left="153" w:firstLine="69"/>
              <w:rPr>
                <w:rFonts w:ascii="Calibri"/>
                <w:b/>
                <w:sz w:val="20"/>
              </w:rPr>
            </w:pPr>
            <w:r>
              <w:rPr>
                <w:rFonts w:ascii="Calibri"/>
                <w:b/>
                <w:sz w:val="20"/>
              </w:rPr>
              <w:t xml:space="preserve">Workplace </w:t>
            </w:r>
            <w:r>
              <w:rPr>
                <w:rFonts w:ascii="Calibri"/>
                <w:b/>
                <w:w w:val="95"/>
                <w:sz w:val="20"/>
              </w:rPr>
              <w:t>intervention</w:t>
            </w:r>
          </w:p>
        </w:tc>
        <w:tc>
          <w:tcPr>
            <w:tcW w:w="1498" w:type="dxa"/>
          </w:tcPr>
          <w:p w:rsidR="006A18FD" w:rsidRDefault="002D29FC">
            <w:pPr>
              <w:spacing w:before="1"/>
              <w:ind w:left="103" w:right="105"/>
              <w:jc w:val="center"/>
              <w:rPr>
                <w:rFonts w:ascii="Calibri"/>
                <w:b/>
                <w:sz w:val="20"/>
              </w:rPr>
            </w:pPr>
            <w:r>
              <w:rPr>
                <w:rFonts w:ascii="Calibri"/>
                <w:b/>
                <w:spacing w:val="-1"/>
                <w:sz w:val="20"/>
              </w:rPr>
              <w:t xml:space="preserve">Physiotherapy/ </w:t>
            </w:r>
            <w:r>
              <w:rPr>
                <w:rFonts w:ascii="Calibri"/>
                <w:b/>
                <w:sz w:val="20"/>
              </w:rPr>
              <w:t>physical activity</w:t>
            </w:r>
          </w:p>
        </w:tc>
        <w:tc>
          <w:tcPr>
            <w:tcW w:w="1356" w:type="dxa"/>
          </w:tcPr>
          <w:p w:rsidR="006A18FD" w:rsidRDefault="002D29FC">
            <w:pPr>
              <w:spacing w:before="1"/>
              <w:ind w:left="249" w:right="251" w:firstLine="36"/>
              <w:jc w:val="both"/>
              <w:rPr>
                <w:rFonts w:ascii="Calibri"/>
                <w:b/>
                <w:sz w:val="20"/>
              </w:rPr>
            </w:pPr>
            <w:r>
              <w:rPr>
                <w:rFonts w:ascii="Calibri"/>
                <w:b/>
                <w:sz w:val="20"/>
              </w:rPr>
              <w:t xml:space="preserve">Cognitive </w:t>
            </w:r>
            <w:r>
              <w:rPr>
                <w:rFonts w:ascii="Calibri"/>
                <w:b/>
                <w:w w:val="95"/>
                <w:sz w:val="20"/>
              </w:rPr>
              <w:t xml:space="preserve">behaviour </w:t>
            </w:r>
            <w:r>
              <w:rPr>
                <w:rFonts w:ascii="Calibri"/>
                <w:b/>
                <w:sz w:val="20"/>
              </w:rPr>
              <w:t>therapy</w:t>
            </w:r>
          </w:p>
        </w:tc>
        <w:tc>
          <w:tcPr>
            <w:tcW w:w="1354" w:type="dxa"/>
          </w:tcPr>
          <w:p w:rsidR="006A18FD" w:rsidRDefault="002D29FC">
            <w:pPr>
              <w:spacing w:before="1"/>
              <w:ind w:left="498" w:hanging="276"/>
              <w:rPr>
                <w:rFonts w:ascii="Calibri"/>
                <w:b/>
                <w:sz w:val="20"/>
              </w:rPr>
            </w:pPr>
            <w:r>
              <w:rPr>
                <w:rFonts w:ascii="Calibri"/>
                <w:b/>
                <w:w w:val="95"/>
                <w:sz w:val="20"/>
              </w:rPr>
              <w:t xml:space="preserve">Workplace </w:t>
            </w:r>
            <w:r>
              <w:rPr>
                <w:rFonts w:ascii="Calibri"/>
                <w:b/>
                <w:sz w:val="20"/>
              </w:rPr>
              <w:t>visit</w:t>
            </w:r>
          </w:p>
        </w:tc>
        <w:tc>
          <w:tcPr>
            <w:tcW w:w="1354" w:type="dxa"/>
          </w:tcPr>
          <w:p w:rsidR="006A18FD" w:rsidRDefault="002D29FC">
            <w:pPr>
              <w:spacing w:before="1"/>
              <w:ind w:left="458"/>
              <w:rPr>
                <w:rFonts w:ascii="Calibri"/>
                <w:b/>
                <w:sz w:val="20"/>
              </w:rPr>
            </w:pPr>
            <w:r>
              <w:rPr>
                <w:rFonts w:ascii="Calibri"/>
                <w:b/>
                <w:sz w:val="20"/>
              </w:rPr>
              <w:t>Total</w:t>
            </w:r>
          </w:p>
        </w:tc>
      </w:tr>
      <w:tr w:rsidR="006A18FD">
        <w:trPr>
          <w:trHeight w:val="240"/>
        </w:trPr>
        <w:tc>
          <w:tcPr>
            <w:tcW w:w="3128" w:type="dxa"/>
          </w:tcPr>
          <w:p w:rsidR="006A18FD" w:rsidRDefault="002D29FC">
            <w:pPr>
              <w:spacing w:before="1" w:line="223" w:lineRule="exact"/>
              <w:ind w:left="103"/>
              <w:rPr>
                <w:rFonts w:ascii="Calibri"/>
                <w:sz w:val="20"/>
              </w:rPr>
            </w:pPr>
            <w:r>
              <w:rPr>
                <w:rFonts w:ascii="Calibri"/>
                <w:sz w:val="20"/>
              </w:rPr>
              <w:t>Physical activity and education</w:t>
            </w:r>
          </w:p>
        </w:tc>
        <w:tc>
          <w:tcPr>
            <w:tcW w:w="1354" w:type="dxa"/>
          </w:tcPr>
          <w:p w:rsidR="006A18FD" w:rsidRDefault="006A18FD">
            <w:pPr>
              <w:rPr>
                <w:rFonts w:ascii="Times New Roman"/>
                <w:sz w:val="16"/>
              </w:rPr>
            </w:pPr>
          </w:p>
        </w:tc>
        <w:tc>
          <w:tcPr>
            <w:tcW w:w="1498" w:type="dxa"/>
          </w:tcPr>
          <w:p w:rsidR="006A18FD" w:rsidRDefault="002D29FC">
            <w:pPr>
              <w:spacing w:before="1" w:line="223" w:lineRule="exact"/>
              <w:ind w:left="519" w:right="522"/>
              <w:jc w:val="center"/>
              <w:rPr>
                <w:rFonts w:ascii="Calibri" w:hAnsi="Calibri"/>
                <w:sz w:val="20"/>
              </w:rPr>
            </w:pPr>
            <w:r>
              <w:rPr>
                <w:rFonts w:ascii="Calibri" w:hAnsi="Calibri"/>
                <w:sz w:val="20"/>
              </w:rPr>
              <w:t>£190</w:t>
            </w:r>
          </w:p>
        </w:tc>
        <w:tc>
          <w:tcPr>
            <w:tcW w:w="1356" w:type="dxa"/>
          </w:tcPr>
          <w:p w:rsidR="006A18FD" w:rsidRDefault="002D29FC">
            <w:pPr>
              <w:spacing w:before="1" w:line="223" w:lineRule="exact"/>
              <w:ind w:left="450" w:right="450"/>
              <w:jc w:val="center"/>
              <w:rPr>
                <w:rFonts w:ascii="Calibri" w:hAnsi="Calibri"/>
                <w:sz w:val="20"/>
              </w:rPr>
            </w:pPr>
            <w:r>
              <w:rPr>
                <w:rFonts w:ascii="Calibri" w:hAnsi="Calibri"/>
                <w:sz w:val="20"/>
              </w:rPr>
              <w:t>£719</w:t>
            </w:r>
          </w:p>
        </w:tc>
        <w:tc>
          <w:tcPr>
            <w:tcW w:w="1354" w:type="dxa"/>
          </w:tcPr>
          <w:p w:rsidR="006A18FD" w:rsidRDefault="006A18FD">
            <w:pPr>
              <w:rPr>
                <w:rFonts w:ascii="Times New Roman"/>
                <w:sz w:val="16"/>
              </w:rPr>
            </w:pPr>
          </w:p>
        </w:tc>
        <w:tc>
          <w:tcPr>
            <w:tcW w:w="1354" w:type="dxa"/>
          </w:tcPr>
          <w:p w:rsidR="006A18FD" w:rsidRDefault="002D29FC">
            <w:pPr>
              <w:spacing w:before="1" w:line="223" w:lineRule="exact"/>
              <w:ind w:left="467"/>
              <w:rPr>
                <w:rFonts w:ascii="Calibri" w:hAnsi="Calibri"/>
                <w:sz w:val="20"/>
              </w:rPr>
            </w:pPr>
            <w:r>
              <w:rPr>
                <w:rFonts w:ascii="Calibri" w:hAnsi="Calibri"/>
                <w:sz w:val="20"/>
              </w:rPr>
              <w:t>£909</w:t>
            </w:r>
          </w:p>
        </w:tc>
      </w:tr>
      <w:tr w:rsidR="006A18FD">
        <w:trPr>
          <w:trHeight w:val="240"/>
        </w:trPr>
        <w:tc>
          <w:tcPr>
            <w:tcW w:w="3128" w:type="dxa"/>
          </w:tcPr>
          <w:p w:rsidR="006A18FD" w:rsidRDefault="002D29FC">
            <w:pPr>
              <w:spacing w:before="1" w:line="223" w:lineRule="exact"/>
              <w:ind w:left="103"/>
              <w:rPr>
                <w:rFonts w:ascii="Calibri"/>
                <w:sz w:val="20"/>
              </w:rPr>
            </w:pPr>
            <w:r>
              <w:rPr>
                <w:rFonts w:ascii="Calibri"/>
                <w:sz w:val="20"/>
              </w:rPr>
              <w:t>Workplace intervention</w:t>
            </w:r>
          </w:p>
        </w:tc>
        <w:tc>
          <w:tcPr>
            <w:tcW w:w="1354" w:type="dxa"/>
          </w:tcPr>
          <w:p w:rsidR="006A18FD" w:rsidRDefault="002D29FC">
            <w:pPr>
              <w:spacing w:before="1" w:line="223" w:lineRule="exact"/>
              <w:ind w:left="448" w:right="450"/>
              <w:jc w:val="center"/>
              <w:rPr>
                <w:rFonts w:ascii="Calibri" w:hAnsi="Calibri"/>
                <w:sz w:val="20"/>
              </w:rPr>
            </w:pPr>
            <w:r>
              <w:rPr>
                <w:rFonts w:ascii="Calibri" w:hAnsi="Calibri"/>
                <w:sz w:val="20"/>
              </w:rPr>
              <w:t>£612</w:t>
            </w:r>
          </w:p>
        </w:tc>
        <w:tc>
          <w:tcPr>
            <w:tcW w:w="1498" w:type="dxa"/>
          </w:tcPr>
          <w:p w:rsidR="006A18FD" w:rsidRDefault="006A18FD">
            <w:pPr>
              <w:rPr>
                <w:rFonts w:ascii="Times New Roman"/>
                <w:sz w:val="16"/>
              </w:rPr>
            </w:pPr>
          </w:p>
        </w:tc>
        <w:tc>
          <w:tcPr>
            <w:tcW w:w="1356" w:type="dxa"/>
          </w:tcPr>
          <w:p w:rsidR="006A18FD" w:rsidRDefault="006A18FD">
            <w:pPr>
              <w:rPr>
                <w:rFonts w:ascii="Times New Roman"/>
                <w:sz w:val="16"/>
              </w:rPr>
            </w:pPr>
          </w:p>
        </w:tc>
        <w:tc>
          <w:tcPr>
            <w:tcW w:w="1354" w:type="dxa"/>
          </w:tcPr>
          <w:p w:rsidR="006A18FD" w:rsidRDefault="006A18FD">
            <w:pPr>
              <w:rPr>
                <w:rFonts w:ascii="Times New Roman"/>
                <w:sz w:val="16"/>
              </w:rPr>
            </w:pPr>
          </w:p>
        </w:tc>
        <w:tc>
          <w:tcPr>
            <w:tcW w:w="1354" w:type="dxa"/>
          </w:tcPr>
          <w:p w:rsidR="006A18FD" w:rsidRDefault="002D29FC">
            <w:pPr>
              <w:spacing w:before="1" w:line="223" w:lineRule="exact"/>
              <w:ind w:left="467"/>
              <w:rPr>
                <w:rFonts w:ascii="Calibri" w:hAnsi="Calibri"/>
                <w:sz w:val="20"/>
              </w:rPr>
            </w:pPr>
            <w:r>
              <w:rPr>
                <w:rFonts w:ascii="Calibri" w:hAnsi="Calibri"/>
                <w:sz w:val="20"/>
              </w:rPr>
              <w:t>£612</w:t>
            </w:r>
          </w:p>
        </w:tc>
      </w:tr>
      <w:tr w:rsidR="006A18FD">
        <w:trPr>
          <w:trHeight w:val="480"/>
        </w:trPr>
        <w:tc>
          <w:tcPr>
            <w:tcW w:w="3128" w:type="dxa"/>
          </w:tcPr>
          <w:p w:rsidR="006A18FD" w:rsidRDefault="002D29FC">
            <w:pPr>
              <w:spacing w:before="1" w:line="240" w:lineRule="atLeast"/>
              <w:ind w:left="103" w:right="503"/>
              <w:rPr>
                <w:rFonts w:ascii="Calibri"/>
                <w:sz w:val="20"/>
              </w:rPr>
            </w:pPr>
            <w:r>
              <w:rPr>
                <w:rFonts w:ascii="Calibri"/>
                <w:sz w:val="20"/>
              </w:rPr>
              <w:t>Physical activity education and workplace visit</w:t>
            </w:r>
          </w:p>
        </w:tc>
        <w:tc>
          <w:tcPr>
            <w:tcW w:w="1354" w:type="dxa"/>
          </w:tcPr>
          <w:p w:rsidR="006A18FD" w:rsidRDefault="006A18FD">
            <w:pPr>
              <w:rPr>
                <w:rFonts w:ascii="Times New Roman"/>
                <w:sz w:val="18"/>
              </w:rPr>
            </w:pPr>
          </w:p>
        </w:tc>
        <w:tc>
          <w:tcPr>
            <w:tcW w:w="1498" w:type="dxa"/>
          </w:tcPr>
          <w:p w:rsidR="006A18FD" w:rsidRDefault="002D29FC">
            <w:pPr>
              <w:spacing w:before="1"/>
              <w:ind w:left="519" w:right="522"/>
              <w:jc w:val="center"/>
              <w:rPr>
                <w:rFonts w:ascii="Calibri" w:hAnsi="Calibri"/>
                <w:sz w:val="20"/>
              </w:rPr>
            </w:pPr>
            <w:r>
              <w:rPr>
                <w:rFonts w:ascii="Calibri" w:hAnsi="Calibri"/>
                <w:sz w:val="20"/>
              </w:rPr>
              <w:t>£190</w:t>
            </w:r>
          </w:p>
        </w:tc>
        <w:tc>
          <w:tcPr>
            <w:tcW w:w="1356" w:type="dxa"/>
          </w:tcPr>
          <w:p w:rsidR="006A18FD" w:rsidRDefault="002D29FC">
            <w:pPr>
              <w:spacing w:before="1"/>
              <w:ind w:left="450" w:right="450"/>
              <w:jc w:val="center"/>
              <w:rPr>
                <w:rFonts w:ascii="Calibri" w:hAnsi="Calibri"/>
                <w:sz w:val="20"/>
              </w:rPr>
            </w:pPr>
            <w:r>
              <w:rPr>
                <w:rFonts w:ascii="Calibri" w:hAnsi="Calibri"/>
                <w:sz w:val="20"/>
              </w:rPr>
              <w:t>£719</w:t>
            </w:r>
          </w:p>
        </w:tc>
        <w:tc>
          <w:tcPr>
            <w:tcW w:w="1354" w:type="dxa"/>
          </w:tcPr>
          <w:p w:rsidR="006A18FD" w:rsidRDefault="002D29FC">
            <w:pPr>
              <w:spacing w:before="1"/>
              <w:ind w:left="498" w:right="501"/>
              <w:jc w:val="center"/>
              <w:rPr>
                <w:rFonts w:ascii="Calibri" w:hAnsi="Calibri"/>
                <w:sz w:val="20"/>
              </w:rPr>
            </w:pPr>
            <w:r>
              <w:rPr>
                <w:rFonts w:ascii="Calibri" w:hAnsi="Calibri"/>
                <w:sz w:val="20"/>
              </w:rPr>
              <w:t>£54</w:t>
            </w:r>
          </w:p>
        </w:tc>
        <w:tc>
          <w:tcPr>
            <w:tcW w:w="1354" w:type="dxa"/>
          </w:tcPr>
          <w:p w:rsidR="006A18FD" w:rsidRDefault="002D29FC">
            <w:pPr>
              <w:spacing w:before="1"/>
              <w:ind w:left="467"/>
              <w:rPr>
                <w:rFonts w:ascii="Calibri" w:hAnsi="Calibri"/>
                <w:sz w:val="20"/>
              </w:rPr>
            </w:pPr>
            <w:r>
              <w:rPr>
                <w:rFonts w:ascii="Calibri" w:hAnsi="Calibri"/>
                <w:sz w:val="20"/>
              </w:rPr>
              <w:t>£963</w:t>
            </w:r>
          </w:p>
        </w:tc>
      </w:tr>
    </w:tbl>
    <w:p w:rsidR="006A18FD" w:rsidRDefault="002D29FC" w:rsidP="008D2D0B">
      <w:pPr>
        <w:pStyle w:val="Heading3"/>
      </w:pPr>
      <w:r>
        <w:t>Alcohol intervention</w:t>
      </w:r>
    </w:p>
    <w:p w:rsidR="006A18FD" w:rsidRDefault="002D29FC">
      <w:pPr>
        <w:spacing w:before="156" w:line="276" w:lineRule="auto"/>
        <w:ind w:left="140" w:right="223"/>
        <w:rPr>
          <w:rFonts w:ascii="Calibri" w:hAnsi="Calibri"/>
          <w:sz w:val="20"/>
        </w:rPr>
      </w:pPr>
      <w:r>
        <w:rPr>
          <w:rFonts w:ascii="Calibri" w:hAnsi="Calibri"/>
          <w:b/>
          <w:sz w:val="20"/>
        </w:rPr>
        <w:t xml:space="preserve">Brief interventions </w:t>
      </w:r>
      <w:r>
        <w:rPr>
          <w:rFonts w:ascii="Calibri" w:hAnsi="Calibri"/>
          <w:sz w:val="20"/>
        </w:rPr>
        <w:t>have proven to be effective and have become increasingly valuable for the management of individuals with increasing and high-risk drinking, filling the gap between primary prevention efforts and more intensive treatment for persons with serious alcohol use disorders. The cost of delivering ten minutes’ brief advice for alcohol ranges from £8 for a practice nurse to £43 for a GP (see Tables 10.2 and 10.3c of this publication).</w:t>
      </w:r>
    </w:p>
    <w:p w:rsidR="006A18FD" w:rsidRDefault="002D29FC" w:rsidP="008D2D0B">
      <w:pPr>
        <w:pStyle w:val="Heading3"/>
      </w:pPr>
      <w:r>
        <w:t>Reducing the incidence of sexually transmitted infections (STIs) and teenage pregnancy</w:t>
      </w:r>
    </w:p>
    <w:p w:rsidR="006A18FD" w:rsidRDefault="002D29FC">
      <w:pPr>
        <w:spacing w:before="158" w:line="276" w:lineRule="auto"/>
        <w:ind w:left="140" w:right="143"/>
        <w:rPr>
          <w:rFonts w:ascii="Calibri" w:hAnsi="Calibri"/>
          <w:sz w:val="20"/>
        </w:rPr>
      </w:pPr>
      <w:r>
        <w:rPr>
          <w:rFonts w:ascii="Calibri" w:hAnsi="Calibri"/>
          <w:b/>
          <w:sz w:val="20"/>
        </w:rPr>
        <w:t>Individual risk counselling</w:t>
      </w:r>
      <w:r>
        <w:rPr>
          <w:rFonts w:ascii="Calibri" w:hAnsi="Calibri"/>
          <w:sz w:val="20"/>
        </w:rPr>
        <w:t>, defined here as a one-to-one intervention, is delivered by a counsellor to at-risk groups with the aim of reducing incidence of STIs or risky behaviour. Individual risk counselling can be delivered through clinics (genitourinary medicine, abortion, or drug and alcohol misuse clinics), community health services, GPs and other community and non-health care settings. The review suggested that counselling interventions cost between £89 and £198 per person.</w:t>
      </w:r>
    </w:p>
    <w:p w:rsidR="006A18FD" w:rsidRDefault="002D29FC" w:rsidP="008D2D0B">
      <w:pPr>
        <w:pStyle w:val="Heading3"/>
      </w:pPr>
      <w:r>
        <w:t>Reducing smoking and the harms from smoking</w:t>
      </w:r>
    </w:p>
    <w:p w:rsidR="006A18FD" w:rsidRDefault="002D29FC">
      <w:pPr>
        <w:spacing w:before="159" w:line="276" w:lineRule="auto"/>
        <w:ind w:left="140" w:right="708"/>
        <w:rPr>
          <w:rFonts w:ascii="Calibri" w:hAnsi="Calibri"/>
          <w:sz w:val="20"/>
        </w:rPr>
      </w:pPr>
      <w:r>
        <w:rPr>
          <w:rFonts w:ascii="Calibri" w:hAnsi="Calibri"/>
          <w:sz w:val="20"/>
        </w:rPr>
        <w:t xml:space="preserve">The review suggests that there is strong evidence that </w:t>
      </w:r>
      <w:r>
        <w:rPr>
          <w:rFonts w:ascii="Calibri" w:hAnsi="Calibri"/>
          <w:b/>
          <w:sz w:val="20"/>
        </w:rPr>
        <w:t xml:space="preserve">mass media campaigns </w:t>
      </w:r>
      <w:r>
        <w:rPr>
          <w:rFonts w:ascii="Calibri" w:hAnsi="Calibri"/>
          <w:sz w:val="20"/>
        </w:rPr>
        <w:t>are effective for both young and adult populations and cost between £0.30 and £2.20 per person. Estimates of cost are higher when the unit receiving the intervention is defined as those potentially exposed to the campaign (£28-£53).</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9"/>
        <w:rPr>
          <w:rFonts w:ascii="Calibri"/>
          <w:sz w:val="21"/>
        </w:rPr>
      </w:pPr>
    </w:p>
    <w:p w:rsidR="006A18FD" w:rsidRDefault="002D29FC">
      <w:pPr>
        <w:spacing w:before="1"/>
        <w:ind w:left="423" w:right="245" w:hanging="284"/>
        <w:rPr>
          <w:rFonts w:ascii="Calibri"/>
          <w:sz w:val="16"/>
        </w:rPr>
      </w:pPr>
      <w:r>
        <w:rPr>
          <w:rFonts w:ascii="Calibri"/>
          <w:position w:val="5"/>
          <w:sz w:val="10"/>
        </w:rPr>
        <w:t xml:space="preserve">1 </w:t>
      </w:r>
      <w:r>
        <w:rPr>
          <w:rFonts w:ascii="Calibri"/>
          <w:sz w:val="16"/>
        </w:rPr>
        <w:t xml:space="preserve">North West Public Health Observatory (2011) </w:t>
      </w:r>
      <w:r>
        <w:rPr>
          <w:rFonts w:ascii="Calibri"/>
          <w:i/>
          <w:sz w:val="16"/>
        </w:rPr>
        <w:t>A review of the cost-effectiveness of individual level behaviour change interventions</w:t>
      </w:r>
      <w:r>
        <w:rPr>
          <w:rFonts w:ascii="Calibri"/>
          <w:sz w:val="16"/>
        </w:rPr>
        <w:t xml:space="preserve">, Health and Wellbeing Alliance, Manchester. </w:t>
      </w:r>
      <w:hyperlink r:id="rId260">
        <w:r>
          <w:rPr>
            <w:rFonts w:ascii="Calibri"/>
            <w:sz w:val="16"/>
            <w:u w:val="single"/>
          </w:rPr>
          <w:t>https://lx.iriss.org.uk/content/review-cost-effectiveness-individual-level-behaviour-change-interventions</w:t>
        </w:r>
      </w:hyperlink>
      <w:r>
        <w:rPr>
          <w:rFonts w:ascii="Calibri"/>
          <w:sz w:val="16"/>
        </w:rPr>
        <w:t xml:space="preserve"> [accessed 6 November 2018].</w:t>
      </w:r>
    </w:p>
    <w:p w:rsidR="006A18FD" w:rsidRDefault="002D29FC">
      <w:pPr>
        <w:spacing w:line="194" w:lineRule="exact"/>
        <w:ind w:left="140"/>
        <w:rPr>
          <w:rFonts w:ascii="Calibri"/>
          <w:sz w:val="16"/>
        </w:rPr>
      </w:pPr>
      <w:r>
        <w:rPr>
          <w:rFonts w:ascii="Calibri"/>
          <w:position w:val="5"/>
          <w:sz w:val="10"/>
        </w:rPr>
        <w:t xml:space="preserve">2  </w:t>
      </w:r>
      <w:hyperlink r:id="rId261">
        <w:r>
          <w:rPr>
            <w:rFonts w:ascii="Calibri"/>
            <w:sz w:val="16"/>
            <w:u w:val="single"/>
          </w:rPr>
          <w:t>https://www.nice.org.uk/guidance/ph19</w:t>
        </w:r>
      </w:hyperlink>
    </w:p>
    <w:p w:rsidR="006A18FD" w:rsidRDefault="006A18FD">
      <w:pPr>
        <w:spacing w:line="194" w:lineRule="exact"/>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7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72" name="Line 12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067FB" id="Group 12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LmWMnZ/AgAAgQUA&#10;AA4AAAAAAAAAAAAAAAAALgIAAGRycy9lMm9Eb2MueG1sUEsBAi0AFAAGAAgAAAAhAC135FzaAAAA&#10;BAEAAA8AAAAAAAAAAAAAAAAA2QQAAGRycy9kb3ducmV2LnhtbFBLBQYAAAAABAAEAPMAAADgBQAA&#10;AAA=&#10;">
                <v:line id="Line 12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w10:anchorlock/>
              </v:group>
            </w:pict>
          </mc:Fallback>
        </mc:AlternateContent>
      </w:r>
    </w:p>
    <w:p w:rsidR="006A18FD" w:rsidRDefault="002D29FC">
      <w:pPr>
        <w:spacing w:line="276" w:lineRule="auto"/>
        <w:ind w:left="152" w:right="291"/>
        <w:rPr>
          <w:rFonts w:ascii="Calibri" w:hAnsi="Calibri"/>
          <w:sz w:val="20"/>
        </w:rPr>
      </w:pPr>
      <w:r>
        <w:rPr>
          <w:rFonts w:ascii="Calibri" w:hAnsi="Calibri"/>
          <w:b/>
          <w:sz w:val="20"/>
        </w:rPr>
        <w:t xml:space="preserve">Drug therapies for smoking cessation </w:t>
      </w:r>
      <w:r>
        <w:rPr>
          <w:rFonts w:ascii="Calibri" w:hAnsi="Calibri"/>
          <w:sz w:val="20"/>
        </w:rPr>
        <w:t>can include nicotine replacement therapy (NRT: such as nicotine patches and gum), nicotine receptor partial antagonists (such as varenicline), opioid antagonists (such as naltrexone), clonidine, lobeline, or antidepressants (such as bupropion). There is evidence that drug therapy (bupropion, nicotine replacement therapy and varenicline) has a moderate effect on smoking cessation, particularly in people motivated to quit. There is economic evidence from the UK on the cost of NRT (£50-£172 per person), bupriopion (£93-£99 per person), and combinations of NRT and bupriopion (£188-£195 per person).</w:t>
      </w:r>
    </w:p>
    <w:p w:rsidR="006A18FD" w:rsidRDefault="002D29FC">
      <w:pPr>
        <w:spacing w:before="120"/>
        <w:ind w:left="152"/>
        <w:rPr>
          <w:rFonts w:ascii="Calibri" w:hAnsi="Calibri"/>
          <w:sz w:val="20"/>
        </w:rPr>
      </w:pPr>
      <w:r>
        <w:rPr>
          <w:rFonts w:ascii="Calibri" w:hAnsi="Calibri"/>
          <w:b/>
          <w:sz w:val="20"/>
        </w:rPr>
        <w:t xml:space="preserve">A ten-minute opportunistic brief advice session </w:t>
      </w:r>
      <w:r>
        <w:rPr>
          <w:rFonts w:ascii="Calibri" w:hAnsi="Calibri"/>
          <w:sz w:val="20"/>
        </w:rPr>
        <w:t>for smoking costs £37 with a GP and £8 with a practice nurse (see Tables</w:t>
      </w:r>
    </w:p>
    <w:p w:rsidR="006A18FD" w:rsidRDefault="002D29FC">
      <w:pPr>
        <w:spacing w:before="36"/>
        <w:ind w:left="152"/>
        <w:rPr>
          <w:rFonts w:ascii="Calibri"/>
          <w:sz w:val="20"/>
        </w:rPr>
      </w:pPr>
      <w:r>
        <w:rPr>
          <w:rFonts w:ascii="Calibri"/>
          <w:sz w:val="20"/>
        </w:rPr>
        <w:t>10.2 and 10.3c of this publication).</w:t>
      </w:r>
    </w:p>
    <w:p w:rsidR="006A18FD" w:rsidRDefault="002D29FC" w:rsidP="008D2D0B">
      <w:pPr>
        <w:pStyle w:val="Heading3"/>
      </w:pPr>
      <w:r>
        <w:t>Health action area – community programme</w:t>
      </w:r>
    </w:p>
    <w:p w:rsidR="006A18FD" w:rsidRDefault="002D29FC">
      <w:pPr>
        <w:spacing w:before="156" w:line="276" w:lineRule="auto"/>
        <w:ind w:left="152" w:right="219"/>
        <w:rPr>
          <w:rFonts w:ascii="Calibri" w:hAnsi="Calibri"/>
          <w:sz w:val="20"/>
        </w:rPr>
      </w:pPr>
      <w:r>
        <w:rPr>
          <w:rFonts w:ascii="Calibri" w:hAnsi="Calibri"/>
          <w:sz w:val="20"/>
        </w:rPr>
        <w:t>Within the Wirral health action area, specialist lifestyle advisory staff are co-located with health trainers and community health development staff. These teams work with individuals and groups and provide (or commission) a programme of community-based lifestyle activities including mental wellbeing. They work closely with employability programmes such as the Condition Management Programme and Wirral Working 4 Health. The teams are based in a variety of community venues including a children’s centre, and they also work closely with a wide network of other partner agencies, particularly where there is a common interest, e.g. in accessing particular groups such as men aged over 50 or homeless people. This is a model of wellness which takes a network approach within a particular neighbourhood potentially involving all aspects of the wellbeing of an individual or family through joint working rather than a discrete wellness service.</w:t>
      </w:r>
    </w:p>
    <w:p w:rsidR="006A18FD" w:rsidRDefault="006A18FD">
      <w:pPr>
        <w:spacing w:before="3"/>
        <w:rPr>
          <w:rFonts w:ascii="Calibri"/>
          <w:sz w:val="16"/>
        </w:rPr>
      </w:pPr>
    </w:p>
    <w:p w:rsidR="006A18FD" w:rsidRDefault="002D29FC">
      <w:pPr>
        <w:spacing w:before="1"/>
        <w:ind w:left="152"/>
        <w:rPr>
          <w:rFonts w:ascii="Calibri" w:hAnsi="Calibri"/>
          <w:sz w:val="20"/>
        </w:rPr>
      </w:pPr>
      <w:r>
        <w:rPr>
          <w:rFonts w:ascii="Calibri" w:hAnsi="Calibri"/>
          <w:sz w:val="20"/>
        </w:rPr>
        <w:t>An evaluation of the community programme showed the average cost per client is £38.</w:t>
      </w:r>
    </w:p>
    <w:p w:rsidR="006A18FD" w:rsidRDefault="006A18FD">
      <w:pPr>
        <w:rPr>
          <w:rFonts w:ascii="Calibri" w:hAnsi="Calibri"/>
          <w:sz w:val="20"/>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6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70" name="Line 12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95426" id="Group 12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BEo3/IgAIAAIEF&#10;AAAOAAAAAAAAAAAAAAAAAC4CAABkcnMvZTJvRG9jLnhtbFBLAQItABQABgAIAAAAIQAtd+Rc2gAA&#10;AAQBAAAPAAAAAAAAAAAAAAAAANoEAABkcnMvZG93bnJldi54bWxQSwUGAAAAAAQABADzAAAA4QUA&#10;AAAA&#10;">
                <v:line id="Line 12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w10:anchorlock/>
              </v:group>
            </w:pict>
          </mc:Fallback>
        </mc:AlternateContent>
      </w:r>
    </w:p>
    <w:p w:rsidR="006A18FD" w:rsidRDefault="008D2D0B" w:rsidP="008D2D0B">
      <w:pPr>
        <w:pStyle w:val="Heading2"/>
      </w:pPr>
      <w:r>
        <w:t xml:space="preserve">7.5 </w:t>
      </w:r>
      <w:r w:rsidR="002D29FC">
        <w:t>Self-management</w:t>
      </w:r>
      <w:r w:rsidR="002D29FC">
        <w:rPr>
          <w:spacing w:val="-14"/>
        </w:rPr>
        <w:t xml:space="preserve"> </w:t>
      </w:r>
      <w:r w:rsidR="002D29FC">
        <w:t>programmes</w:t>
      </w:r>
    </w:p>
    <w:p w:rsidR="006A18FD" w:rsidRDefault="002D29FC">
      <w:pPr>
        <w:spacing w:before="172" w:line="276" w:lineRule="auto"/>
        <w:ind w:left="140" w:right="277"/>
        <w:rPr>
          <w:rFonts w:ascii="Calibri" w:hAnsi="Calibri"/>
          <w:sz w:val="20"/>
        </w:rPr>
      </w:pPr>
      <w:r>
        <w:rPr>
          <w:rFonts w:ascii="Calibri" w:hAnsi="Calibri"/>
          <w:sz w:val="20"/>
        </w:rPr>
        <w:t xml:space="preserve">Empowering patients is one of the key priorities listed for the </w:t>
      </w:r>
      <w:r>
        <w:rPr>
          <w:rFonts w:ascii="Calibri" w:hAnsi="Calibri"/>
          <w:i/>
          <w:sz w:val="20"/>
        </w:rPr>
        <w:t xml:space="preserve">Five Year Forward View </w:t>
      </w:r>
      <w:r>
        <w:rPr>
          <w:rFonts w:ascii="Calibri" w:hAnsi="Calibri"/>
          <w:sz w:val="20"/>
        </w:rPr>
        <w:t xml:space="preserve">and the King’s Fund have provided a summary of a number of well-established self-management programmes that aim to empower people to improve their </w:t>
      </w:r>
      <w:r>
        <w:rPr>
          <w:rFonts w:ascii="Calibri" w:hAnsi="Calibri"/>
          <w:w w:val="95"/>
          <w:sz w:val="20"/>
        </w:rPr>
        <w:t xml:space="preserve">health           </w:t>
      </w:r>
      <w:hyperlink r:id="rId262">
        <w:r>
          <w:rPr>
            <w:rFonts w:ascii="Calibri" w:hAnsi="Calibri"/>
            <w:w w:val="95"/>
            <w:sz w:val="20"/>
          </w:rPr>
          <w:t>(</w:t>
        </w:r>
        <w:r>
          <w:rPr>
            <w:rFonts w:ascii="Calibri" w:hAnsi="Calibri"/>
            <w:w w:val="95"/>
            <w:sz w:val="20"/>
            <w:u w:val="single"/>
          </w:rPr>
          <w:t>https://www.kingsfund.org.uk/projects/gp-commissioning/ten-priorities-for-commissioners/self-management</w:t>
        </w:r>
        <w:r>
          <w:rPr>
            <w:rFonts w:ascii="Calibri" w:hAnsi="Calibri"/>
            <w:w w:val="95"/>
            <w:sz w:val="20"/>
          </w:rPr>
          <w:t>)</w:t>
        </w:r>
      </w:hyperlink>
      <w:r>
        <w:rPr>
          <w:rFonts w:ascii="Calibri" w:hAnsi="Calibri"/>
          <w:w w:val="95"/>
          <w:sz w:val="20"/>
        </w:rPr>
        <w:t>.</w:t>
      </w:r>
    </w:p>
    <w:p w:rsidR="006A18FD" w:rsidRDefault="002D29FC">
      <w:pPr>
        <w:spacing w:line="276" w:lineRule="auto"/>
        <w:ind w:left="140" w:right="178"/>
        <w:rPr>
          <w:rFonts w:ascii="Calibri"/>
          <w:sz w:val="20"/>
        </w:rPr>
      </w:pPr>
      <w:r>
        <w:rPr>
          <w:rFonts w:ascii="Calibri"/>
          <w:sz w:val="20"/>
        </w:rPr>
        <w:t>Here we draw from studies that have provided the costs of the programmes. We will continue to add to this section as new costs become available.</w:t>
      </w:r>
    </w:p>
    <w:p w:rsidR="006A18FD" w:rsidRDefault="002D29FC" w:rsidP="008D2D0B">
      <w:pPr>
        <w:pStyle w:val="Heading3"/>
      </w:pPr>
      <w:r>
        <w:t>Self-management support using digital health system for chronic obstructive pulmonary disease (COPD)</w:t>
      </w:r>
    </w:p>
    <w:p w:rsidR="006A18FD" w:rsidRDefault="002D29FC">
      <w:pPr>
        <w:spacing w:before="118" w:line="276" w:lineRule="auto"/>
        <w:ind w:left="140" w:right="224"/>
        <w:rPr>
          <w:rFonts w:ascii="Calibri"/>
          <w:sz w:val="20"/>
        </w:rPr>
      </w:pPr>
      <w:r>
        <w:rPr>
          <w:rFonts w:ascii="Calibri"/>
          <w:sz w:val="20"/>
        </w:rPr>
        <w:t>Andrew Farmer and colleagues (2017)</w:t>
      </w:r>
      <w:r>
        <w:rPr>
          <w:rFonts w:ascii="Calibri"/>
          <w:position w:val="5"/>
          <w:sz w:val="12"/>
        </w:rPr>
        <w:t xml:space="preserve">1 </w:t>
      </w:r>
      <w:r>
        <w:rPr>
          <w:rFonts w:ascii="Calibri"/>
          <w:sz w:val="20"/>
        </w:rPr>
        <w:t>conducted a randomised controlled trial of a digital health system supporting clinical care through monitoring and self-management support in community-based patients with moderate to very severe chronic obstructive pulmonary disease. The aim of the study was to determine the efficacy of a fully automated internet- linked, tablet computer-based system of monitoring and self-management support (EDGE, sElf-management anD support proGrammE) in improving quality of life and clinical outcomes. Patients were informed that the EDGE platform was not a replacement for their usual clinical care, and the conclusion drawn was that there appears to be an overall benefit in generic health status. The effect sizes for improved depression score, reductions in hospital admissions, and general practice visits, warrant further evaluation.</w:t>
      </w:r>
    </w:p>
    <w:p w:rsidR="006A18FD" w:rsidRDefault="002D29FC">
      <w:pPr>
        <w:spacing w:before="120" w:line="276" w:lineRule="auto"/>
        <w:ind w:left="140" w:right="251"/>
        <w:rPr>
          <w:rFonts w:ascii="Calibri" w:hAnsi="Calibri"/>
          <w:sz w:val="20"/>
        </w:rPr>
      </w:pPr>
      <w:r>
        <w:rPr>
          <w:rFonts w:ascii="Calibri" w:hAnsi="Calibri"/>
          <w:sz w:val="20"/>
        </w:rPr>
        <w:t>The costs provided below are for self-management support only; patients will undergo their usual appointments which could be a hospital admission estimated as £2,517, a GP appointment as (£37) and a half-hour practice nurse appointment (£18). To provide an annual cost, we have used the costs provided by Farmer &amp; colleagues (2017)</w:t>
      </w:r>
      <w:r>
        <w:rPr>
          <w:rFonts w:ascii="Calibri" w:hAnsi="Calibri"/>
          <w:position w:val="7"/>
          <w:sz w:val="13"/>
        </w:rPr>
        <w:t xml:space="preserve">1 </w:t>
      </w:r>
      <w:r>
        <w:rPr>
          <w:rFonts w:ascii="Calibri" w:hAnsi="Calibri"/>
          <w:sz w:val="20"/>
        </w:rPr>
        <w:t>and assumed that the equipment would be replaced every 5 years.</w:t>
      </w:r>
    </w:p>
    <w:p w:rsidR="006A18FD" w:rsidRDefault="002D29FC">
      <w:pPr>
        <w:spacing w:before="120"/>
        <w:ind w:left="140"/>
        <w:rPr>
          <w:rFonts w:ascii="Calibri"/>
          <w:b/>
          <w:sz w:val="20"/>
        </w:rPr>
      </w:pPr>
      <w:r>
        <w:rPr>
          <w:rFonts w:ascii="Calibri"/>
          <w:b/>
          <w:sz w:val="20"/>
        </w:rPr>
        <w:t>Table 1 Costs of self-management support using a digital health system for chronic obstructive pulmonary disease.</w:t>
      </w:r>
    </w:p>
    <w:p w:rsidR="006A18FD" w:rsidRDefault="006A18FD">
      <w:pPr>
        <w:spacing w:before="7" w:after="1"/>
        <w:rPr>
          <w:rFonts w:ascii="Calibri"/>
          <w:b/>
          <w:sz w:val="2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7"/>
        <w:gridCol w:w="1702"/>
        <w:gridCol w:w="1558"/>
      </w:tblGrid>
      <w:tr w:rsidR="006A18FD" w:rsidTr="001B7F44">
        <w:trPr>
          <w:trHeight w:val="480"/>
          <w:tblHeader/>
        </w:trPr>
        <w:tc>
          <w:tcPr>
            <w:tcW w:w="6517" w:type="dxa"/>
          </w:tcPr>
          <w:p w:rsidR="006A18FD" w:rsidRDefault="006A18FD">
            <w:pPr>
              <w:rPr>
                <w:rFonts w:ascii="Times New Roman"/>
                <w:sz w:val="18"/>
              </w:rPr>
            </w:pPr>
          </w:p>
        </w:tc>
        <w:tc>
          <w:tcPr>
            <w:tcW w:w="1702" w:type="dxa"/>
          </w:tcPr>
          <w:p w:rsidR="006A18FD" w:rsidRDefault="002D29FC">
            <w:pPr>
              <w:spacing w:before="124"/>
              <w:ind w:left="103"/>
              <w:rPr>
                <w:rFonts w:ascii="Calibri"/>
                <w:sz w:val="20"/>
              </w:rPr>
            </w:pPr>
            <w:r>
              <w:rPr>
                <w:rFonts w:ascii="Calibri"/>
                <w:sz w:val="20"/>
              </w:rPr>
              <w:t>Fixed costs</w:t>
            </w:r>
          </w:p>
        </w:tc>
        <w:tc>
          <w:tcPr>
            <w:tcW w:w="1558" w:type="dxa"/>
          </w:tcPr>
          <w:p w:rsidR="006A18FD" w:rsidRDefault="002D29FC">
            <w:pPr>
              <w:spacing w:before="124"/>
              <w:ind w:left="103"/>
              <w:rPr>
                <w:rFonts w:ascii="Calibri"/>
                <w:sz w:val="20"/>
              </w:rPr>
            </w:pPr>
            <w:r>
              <w:rPr>
                <w:rFonts w:ascii="Calibri"/>
                <w:sz w:val="20"/>
              </w:rPr>
              <w:t>Annual costs</w:t>
            </w:r>
          </w:p>
        </w:tc>
      </w:tr>
      <w:tr w:rsidR="006A18FD">
        <w:trPr>
          <w:trHeight w:val="620"/>
        </w:trPr>
        <w:tc>
          <w:tcPr>
            <w:tcW w:w="6517" w:type="dxa"/>
            <w:tcBorders>
              <w:bottom w:val="nil"/>
            </w:tcBorders>
          </w:tcPr>
          <w:p w:rsidR="006A18FD" w:rsidRDefault="002D29FC">
            <w:pPr>
              <w:spacing w:before="123"/>
              <w:ind w:left="103"/>
              <w:rPr>
                <w:rFonts w:ascii="Calibri"/>
                <w:b/>
                <w:sz w:val="20"/>
              </w:rPr>
            </w:pPr>
            <w:r>
              <w:rPr>
                <w:rFonts w:ascii="Calibri"/>
                <w:b/>
                <w:sz w:val="20"/>
              </w:rPr>
              <w:t>Equipment costs</w:t>
            </w:r>
          </w:p>
        </w:tc>
        <w:tc>
          <w:tcPr>
            <w:tcW w:w="1702" w:type="dxa"/>
            <w:tcBorders>
              <w:bottom w:val="nil"/>
            </w:tcBorders>
          </w:tcPr>
          <w:p w:rsidR="006A18FD" w:rsidRDefault="006A18FD">
            <w:pPr>
              <w:rPr>
                <w:rFonts w:ascii="Times New Roman"/>
                <w:sz w:val="18"/>
              </w:rPr>
            </w:pPr>
          </w:p>
        </w:tc>
        <w:tc>
          <w:tcPr>
            <w:tcW w:w="1558" w:type="dxa"/>
            <w:tcBorders>
              <w:bottom w:val="nil"/>
            </w:tcBorders>
          </w:tcPr>
          <w:p w:rsidR="006A18FD" w:rsidRDefault="006A18FD">
            <w:pPr>
              <w:rPr>
                <w:rFonts w:ascii="Times New Roman"/>
                <w:sz w:val="18"/>
              </w:rPr>
            </w:pPr>
          </w:p>
        </w:tc>
      </w:tr>
      <w:tr w:rsidR="006A18FD">
        <w:trPr>
          <w:trHeight w:val="540"/>
        </w:trPr>
        <w:tc>
          <w:tcPr>
            <w:tcW w:w="6517" w:type="dxa"/>
            <w:tcBorders>
              <w:top w:val="nil"/>
              <w:bottom w:val="nil"/>
            </w:tcBorders>
          </w:tcPr>
          <w:p w:rsidR="006A18FD" w:rsidRDefault="006A18FD">
            <w:pPr>
              <w:spacing w:before="3"/>
              <w:rPr>
                <w:rFonts w:ascii="Calibri"/>
                <w:b/>
                <w:sz w:val="18"/>
              </w:rPr>
            </w:pPr>
          </w:p>
          <w:p w:rsidR="006A18FD" w:rsidRDefault="002D29FC">
            <w:pPr>
              <w:ind w:left="103"/>
              <w:rPr>
                <w:rFonts w:ascii="Calibri"/>
                <w:sz w:val="20"/>
              </w:rPr>
            </w:pPr>
            <w:r>
              <w:rPr>
                <w:rFonts w:ascii="Calibri"/>
                <w:sz w:val="20"/>
              </w:rPr>
              <w:t>Tablet computer (Android tablet computer (Samsung Galaxy Tab)</w:t>
            </w:r>
          </w:p>
        </w:tc>
        <w:tc>
          <w:tcPr>
            <w:tcW w:w="1702" w:type="dxa"/>
            <w:tcBorders>
              <w:top w:val="nil"/>
              <w:bottom w:val="nil"/>
            </w:tcBorders>
          </w:tcPr>
          <w:p w:rsidR="006A18FD" w:rsidRDefault="006A18FD">
            <w:pPr>
              <w:spacing w:before="3"/>
              <w:rPr>
                <w:rFonts w:ascii="Calibri"/>
                <w:b/>
                <w:sz w:val="18"/>
              </w:rPr>
            </w:pPr>
          </w:p>
          <w:p w:rsidR="006A18FD" w:rsidRDefault="002D29FC">
            <w:pPr>
              <w:ind w:right="645"/>
              <w:jc w:val="right"/>
              <w:rPr>
                <w:rFonts w:ascii="Calibri" w:hAnsi="Calibri"/>
                <w:sz w:val="20"/>
              </w:rPr>
            </w:pPr>
            <w:r>
              <w:rPr>
                <w:rFonts w:ascii="Calibri" w:hAnsi="Calibri"/>
                <w:sz w:val="20"/>
              </w:rPr>
              <w:t>£338</w:t>
            </w:r>
          </w:p>
        </w:tc>
        <w:tc>
          <w:tcPr>
            <w:tcW w:w="1558" w:type="dxa"/>
            <w:tcBorders>
              <w:top w:val="nil"/>
              <w:bottom w:val="nil"/>
            </w:tcBorders>
          </w:tcPr>
          <w:p w:rsidR="006A18FD" w:rsidRDefault="006A18FD">
            <w:pPr>
              <w:spacing w:before="3"/>
              <w:rPr>
                <w:rFonts w:ascii="Calibri"/>
                <w:b/>
                <w:sz w:val="18"/>
              </w:rPr>
            </w:pPr>
          </w:p>
          <w:p w:rsidR="006A18FD" w:rsidRDefault="002D29FC">
            <w:pPr>
              <w:ind w:left="551" w:right="551"/>
              <w:jc w:val="center"/>
              <w:rPr>
                <w:rFonts w:ascii="Calibri" w:hAnsi="Calibri"/>
                <w:sz w:val="20"/>
              </w:rPr>
            </w:pPr>
            <w:r>
              <w:rPr>
                <w:rFonts w:ascii="Calibri" w:hAnsi="Calibri"/>
                <w:sz w:val="20"/>
              </w:rPr>
              <w:t>£75</w:t>
            </w:r>
          </w:p>
        </w:tc>
      </w:tr>
      <w:tr w:rsidR="006A18FD">
        <w:trPr>
          <w:trHeight w:val="760"/>
        </w:trPr>
        <w:tc>
          <w:tcPr>
            <w:tcW w:w="6517" w:type="dxa"/>
            <w:tcBorders>
              <w:top w:val="nil"/>
            </w:tcBorders>
          </w:tcPr>
          <w:p w:rsidR="006A18FD" w:rsidRDefault="002D29FC">
            <w:pPr>
              <w:spacing w:before="41"/>
              <w:ind w:left="103"/>
              <w:rPr>
                <w:rFonts w:ascii="Calibri"/>
                <w:sz w:val="20"/>
              </w:rPr>
            </w:pPr>
            <w:r>
              <w:rPr>
                <w:rFonts w:ascii="Calibri"/>
                <w:sz w:val="20"/>
              </w:rPr>
              <w:t>Bluetooth-enabled pulse oximeter probe</w:t>
            </w:r>
          </w:p>
        </w:tc>
        <w:tc>
          <w:tcPr>
            <w:tcW w:w="1702" w:type="dxa"/>
            <w:tcBorders>
              <w:top w:val="nil"/>
            </w:tcBorders>
          </w:tcPr>
          <w:p w:rsidR="006A18FD" w:rsidRDefault="002D29FC">
            <w:pPr>
              <w:spacing w:before="41"/>
              <w:ind w:right="645"/>
              <w:jc w:val="right"/>
              <w:rPr>
                <w:rFonts w:ascii="Calibri" w:hAnsi="Calibri"/>
                <w:sz w:val="20"/>
              </w:rPr>
            </w:pPr>
            <w:r>
              <w:rPr>
                <w:rFonts w:ascii="Calibri" w:hAnsi="Calibri"/>
                <w:sz w:val="20"/>
              </w:rPr>
              <w:t>£423</w:t>
            </w:r>
          </w:p>
        </w:tc>
        <w:tc>
          <w:tcPr>
            <w:tcW w:w="1558" w:type="dxa"/>
            <w:tcBorders>
              <w:top w:val="nil"/>
            </w:tcBorders>
          </w:tcPr>
          <w:p w:rsidR="006A18FD" w:rsidRDefault="002D29FC">
            <w:pPr>
              <w:spacing w:before="41"/>
              <w:ind w:left="551" w:right="551"/>
              <w:jc w:val="center"/>
              <w:rPr>
                <w:rFonts w:ascii="Calibri" w:hAnsi="Calibri"/>
                <w:sz w:val="20"/>
              </w:rPr>
            </w:pPr>
            <w:r>
              <w:rPr>
                <w:rFonts w:ascii="Calibri" w:hAnsi="Calibri"/>
                <w:sz w:val="20"/>
              </w:rPr>
              <w:t>£94</w:t>
            </w:r>
          </w:p>
        </w:tc>
      </w:tr>
      <w:tr w:rsidR="006A18FD">
        <w:trPr>
          <w:trHeight w:val="720"/>
        </w:trPr>
        <w:tc>
          <w:tcPr>
            <w:tcW w:w="6517" w:type="dxa"/>
          </w:tcPr>
          <w:p w:rsidR="006A18FD" w:rsidRDefault="002D29FC">
            <w:pPr>
              <w:spacing w:before="121"/>
              <w:ind w:left="103"/>
              <w:rPr>
                <w:rFonts w:ascii="Calibri"/>
                <w:sz w:val="20"/>
              </w:rPr>
            </w:pPr>
            <w:r>
              <w:rPr>
                <w:rFonts w:ascii="Calibri"/>
                <w:sz w:val="20"/>
              </w:rPr>
              <w:t>Clinician reviewing summary of the oxygen saturation, heart rate, and symptom diary module, twice weekly.</w:t>
            </w:r>
          </w:p>
        </w:tc>
        <w:tc>
          <w:tcPr>
            <w:tcW w:w="1702" w:type="dxa"/>
          </w:tcPr>
          <w:p w:rsidR="006A18FD" w:rsidRDefault="006A18FD">
            <w:pPr>
              <w:rPr>
                <w:rFonts w:ascii="Times New Roman"/>
                <w:sz w:val="18"/>
              </w:rPr>
            </w:pPr>
          </w:p>
        </w:tc>
        <w:tc>
          <w:tcPr>
            <w:tcW w:w="1558" w:type="dxa"/>
          </w:tcPr>
          <w:p w:rsidR="006A18FD" w:rsidRDefault="002D29FC">
            <w:pPr>
              <w:spacing w:before="121"/>
              <w:ind w:left="551" w:right="551"/>
              <w:jc w:val="center"/>
              <w:rPr>
                <w:rFonts w:ascii="Calibri" w:hAnsi="Calibri"/>
                <w:sz w:val="20"/>
              </w:rPr>
            </w:pPr>
            <w:r>
              <w:rPr>
                <w:rFonts w:ascii="Calibri" w:hAnsi="Calibri"/>
                <w:sz w:val="20"/>
              </w:rPr>
              <w:t>£478</w:t>
            </w:r>
          </w:p>
        </w:tc>
      </w:tr>
      <w:tr w:rsidR="006A18FD">
        <w:trPr>
          <w:trHeight w:val="480"/>
        </w:trPr>
        <w:tc>
          <w:tcPr>
            <w:tcW w:w="6517" w:type="dxa"/>
          </w:tcPr>
          <w:p w:rsidR="006A18FD" w:rsidRDefault="002D29FC">
            <w:pPr>
              <w:spacing w:before="122"/>
              <w:ind w:left="103"/>
              <w:rPr>
                <w:rFonts w:ascii="Calibri"/>
                <w:b/>
                <w:sz w:val="20"/>
              </w:rPr>
            </w:pPr>
            <w:r>
              <w:rPr>
                <w:rFonts w:ascii="Calibri"/>
                <w:b/>
                <w:sz w:val="20"/>
              </w:rPr>
              <w:t>Total costs</w:t>
            </w:r>
          </w:p>
        </w:tc>
        <w:tc>
          <w:tcPr>
            <w:tcW w:w="1702" w:type="dxa"/>
          </w:tcPr>
          <w:p w:rsidR="006A18FD" w:rsidRDefault="006A18FD">
            <w:pPr>
              <w:rPr>
                <w:rFonts w:ascii="Times New Roman"/>
                <w:sz w:val="18"/>
              </w:rPr>
            </w:pPr>
          </w:p>
        </w:tc>
        <w:tc>
          <w:tcPr>
            <w:tcW w:w="1558" w:type="dxa"/>
          </w:tcPr>
          <w:p w:rsidR="006A18FD" w:rsidRDefault="002D29FC">
            <w:pPr>
              <w:spacing w:before="122"/>
              <w:ind w:left="551" w:right="551"/>
              <w:jc w:val="center"/>
              <w:rPr>
                <w:rFonts w:ascii="Calibri" w:hAnsi="Calibri"/>
                <w:b/>
                <w:sz w:val="20"/>
              </w:rPr>
            </w:pPr>
            <w:r>
              <w:rPr>
                <w:rFonts w:ascii="Calibri" w:hAnsi="Calibri"/>
                <w:b/>
                <w:sz w:val="20"/>
              </w:rPr>
              <w:t>£646</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2D29FC">
      <w:pPr>
        <w:spacing w:before="130"/>
        <w:ind w:left="423" w:right="240" w:hanging="284"/>
        <w:rPr>
          <w:rFonts w:ascii="Calibri"/>
          <w:sz w:val="16"/>
        </w:rPr>
      </w:pPr>
      <w:r>
        <w:rPr>
          <w:rFonts w:ascii="Calibri"/>
          <w:position w:val="5"/>
          <w:sz w:val="10"/>
        </w:rPr>
        <w:t xml:space="preserve">1 </w:t>
      </w:r>
      <w:r>
        <w:rPr>
          <w:rFonts w:ascii="Calibri"/>
          <w:sz w:val="16"/>
        </w:rPr>
        <w:t xml:space="preserve">Farmer, A., Williams, V., Verlardo, C., Ahmar Shah, S. Mee Yu, L.., Rutter, H., Jones, L., Williams, N., Heneghan, C., Price, J., Hardinge, M. &amp; Tarassenko, L. (2017) Self-management support using a digital health system compared with usual care for chronic obstructive pulmonary disease: randomized controlled trial, </w:t>
      </w:r>
      <w:r>
        <w:rPr>
          <w:rFonts w:ascii="Calibri"/>
          <w:i/>
          <w:sz w:val="16"/>
        </w:rPr>
        <w:t>Journal of Medical Internet Research</w:t>
      </w:r>
      <w:r>
        <w:rPr>
          <w:rFonts w:ascii="Calibri"/>
          <w:sz w:val="16"/>
        </w:rPr>
        <w:t xml:space="preserve">, </w:t>
      </w:r>
      <w:hyperlink r:id="rId263">
        <w:r>
          <w:rPr>
            <w:rFonts w:ascii="Calibri"/>
            <w:sz w:val="16"/>
            <w:u w:val="single"/>
          </w:rPr>
          <w:t>https://www.jmir.org/article/viewFile/jmir_v19i5e144/2</w:t>
        </w:r>
        <w:r>
          <w:rPr>
            <w:rFonts w:ascii="Calibri"/>
            <w:sz w:val="16"/>
          </w:rPr>
          <w:t>.</w:t>
        </w:r>
      </w:hyperlink>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6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68" name="Line 12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51E7A" id="Group 12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CJTc1XgAIAAIEF&#10;AAAOAAAAAAAAAAAAAAAAAC4CAABkcnMvZTJvRG9jLnhtbFBLAQItABQABgAIAAAAIQAtd+Rc2gAA&#10;AAQBAAAPAAAAAAAAAAAAAAAAANoEAABkcnMvZG93bnJldi54bWxQSwUGAAAAAAQABADzAAAA4QUA&#10;AAAA&#10;">
                <v:line id="Line 12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w10:anchorlock/>
              </v:group>
            </w:pict>
          </mc:Fallback>
        </mc:AlternateContent>
      </w:r>
    </w:p>
    <w:p w:rsidR="006A18FD" w:rsidRDefault="008D2D0B" w:rsidP="008D2D0B">
      <w:pPr>
        <w:pStyle w:val="Heading2"/>
      </w:pPr>
      <w:r>
        <w:t xml:space="preserve">7.6 </w:t>
      </w:r>
      <w:r w:rsidR="002D29FC">
        <w:t>Hospice Rapid Response</w:t>
      </w:r>
      <w:r w:rsidR="002D29FC">
        <w:rPr>
          <w:spacing w:val="-12"/>
        </w:rPr>
        <w:t xml:space="preserve"> </w:t>
      </w:r>
      <w:r w:rsidR="002D29FC">
        <w:t>Service</w:t>
      </w:r>
    </w:p>
    <w:p w:rsidR="006A18FD" w:rsidRDefault="002D29FC">
      <w:pPr>
        <w:spacing w:before="170" w:line="276" w:lineRule="auto"/>
        <w:ind w:left="152" w:right="159"/>
        <w:rPr>
          <w:rFonts w:ascii="Calibri" w:hAnsi="Calibri"/>
          <w:sz w:val="11"/>
        </w:rPr>
      </w:pPr>
      <w:r>
        <w:rPr>
          <w:rFonts w:ascii="Calibri" w:hAnsi="Calibri"/>
          <w:sz w:val="17"/>
        </w:rPr>
        <w:t>This table is based on a Rapid Response Service (RRS) introduced by Pilgrims Hospices in East Kent in 2010. RRSs provide intensive care over relatively short periods when crises arise, and work alongside regular domiciliary services that offer longer-term support, to help avoid admission to hospice or hospital.</w:t>
      </w:r>
      <w:r>
        <w:rPr>
          <w:rFonts w:ascii="Calibri" w:hAnsi="Calibri"/>
          <w:position w:val="5"/>
          <w:sz w:val="11"/>
        </w:rPr>
        <w:t xml:space="preserve">1 </w:t>
      </w:r>
      <w:r>
        <w:rPr>
          <w:rFonts w:ascii="Calibri" w:hAnsi="Calibri"/>
          <w:sz w:val="17"/>
        </w:rPr>
        <w:t xml:space="preserve">This team serves three areas and has access to a service co-ordinator, medical advice and equipment that can be carried by car. The team responds rapidly 24/7 to crises in patients’ own homes (including care homes); undertakes a robust assessment which takes account of patient and carer/family preferences, patient needs, and patient prognosis; provides hands-on care; and works in co-ordination with other community services. See also </w:t>
      </w:r>
      <w:r>
        <w:rPr>
          <w:rFonts w:ascii="Calibri" w:hAnsi="Calibri"/>
          <w:i/>
          <w:sz w:val="17"/>
        </w:rPr>
        <w:t xml:space="preserve">National Survey of Patient Activity Data </w:t>
      </w:r>
      <w:r>
        <w:rPr>
          <w:rFonts w:ascii="Calibri" w:hAnsi="Calibri"/>
          <w:sz w:val="17"/>
        </w:rPr>
        <w:t>for more information on specialist palliative care services.</w:t>
      </w:r>
      <w:r>
        <w:rPr>
          <w:rFonts w:ascii="Calibri" w:hAnsi="Calibri"/>
          <w:position w:val="5"/>
          <w:sz w:val="11"/>
        </w:rPr>
        <w:t>2</w:t>
      </w:r>
    </w:p>
    <w:p w:rsidR="006A18FD" w:rsidRDefault="006A18FD">
      <w:pPr>
        <w:spacing w:before="6"/>
        <w:rPr>
          <w:rFonts w:ascii="Calibri"/>
          <w:sz w:val="2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1467"/>
        <w:gridCol w:w="6517"/>
      </w:tblGrid>
      <w:tr w:rsidR="006A18FD" w:rsidTr="001B7F44">
        <w:trPr>
          <w:trHeight w:val="400"/>
          <w:tblHeader/>
        </w:trPr>
        <w:tc>
          <w:tcPr>
            <w:tcW w:w="2079" w:type="dxa"/>
          </w:tcPr>
          <w:p w:rsidR="006A18FD" w:rsidRDefault="002D29FC">
            <w:pPr>
              <w:spacing w:line="206" w:lineRule="exact"/>
              <w:ind w:left="105"/>
              <w:rPr>
                <w:rFonts w:ascii="Calibri"/>
                <w:b/>
                <w:sz w:val="17"/>
              </w:rPr>
            </w:pPr>
            <w:r>
              <w:rPr>
                <w:rFonts w:ascii="Calibri"/>
                <w:b/>
                <w:sz w:val="17"/>
              </w:rPr>
              <w:t>Costs and unit</w:t>
            </w:r>
          </w:p>
          <w:p w:rsidR="006A18FD" w:rsidRDefault="002D29FC">
            <w:pPr>
              <w:spacing w:before="1" w:line="187" w:lineRule="exact"/>
              <w:ind w:left="105"/>
              <w:rPr>
                <w:rFonts w:ascii="Calibri"/>
                <w:b/>
                <w:sz w:val="17"/>
              </w:rPr>
            </w:pPr>
            <w:r>
              <w:rPr>
                <w:rFonts w:ascii="Calibri"/>
                <w:b/>
                <w:sz w:val="17"/>
              </w:rPr>
              <w:t>Estimation</w:t>
            </w:r>
          </w:p>
        </w:tc>
        <w:tc>
          <w:tcPr>
            <w:tcW w:w="1467" w:type="dxa"/>
          </w:tcPr>
          <w:p w:rsidR="006A18FD" w:rsidRDefault="002D29FC">
            <w:pPr>
              <w:spacing w:line="206" w:lineRule="exact"/>
              <w:ind w:left="103"/>
              <w:rPr>
                <w:rFonts w:ascii="Calibri"/>
                <w:b/>
                <w:sz w:val="17"/>
              </w:rPr>
            </w:pPr>
            <w:r>
              <w:rPr>
                <w:rFonts w:ascii="Calibri"/>
                <w:b/>
                <w:sz w:val="17"/>
              </w:rPr>
              <w:t>2018/2019</w:t>
            </w:r>
          </w:p>
          <w:p w:rsidR="006A18FD" w:rsidRDefault="002D29FC">
            <w:pPr>
              <w:spacing w:before="1" w:line="187" w:lineRule="exact"/>
              <w:ind w:left="103"/>
              <w:rPr>
                <w:rFonts w:ascii="Calibri"/>
                <w:b/>
                <w:sz w:val="17"/>
              </w:rPr>
            </w:pPr>
            <w:r>
              <w:rPr>
                <w:rFonts w:ascii="Calibri"/>
                <w:b/>
                <w:sz w:val="17"/>
              </w:rPr>
              <w:t>value</w:t>
            </w:r>
          </w:p>
        </w:tc>
        <w:tc>
          <w:tcPr>
            <w:tcW w:w="6517" w:type="dxa"/>
          </w:tcPr>
          <w:p w:rsidR="006A18FD" w:rsidRDefault="002D29FC">
            <w:pPr>
              <w:spacing w:line="206" w:lineRule="exact"/>
              <w:ind w:left="105"/>
              <w:rPr>
                <w:rFonts w:ascii="Calibri"/>
                <w:b/>
                <w:sz w:val="17"/>
              </w:rPr>
            </w:pPr>
            <w:r>
              <w:rPr>
                <w:rFonts w:ascii="Calibri"/>
                <w:b/>
                <w:sz w:val="17"/>
              </w:rPr>
              <w:t>Notes</w:t>
            </w:r>
          </w:p>
        </w:tc>
      </w:tr>
      <w:tr w:rsidR="006A18FD">
        <w:trPr>
          <w:trHeight w:val="400"/>
        </w:trPr>
        <w:tc>
          <w:tcPr>
            <w:tcW w:w="2079" w:type="dxa"/>
          </w:tcPr>
          <w:p w:rsidR="006A18FD" w:rsidRDefault="002D29FC">
            <w:pPr>
              <w:spacing w:line="206" w:lineRule="exact"/>
              <w:ind w:left="105"/>
              <w:rPr>
                <w:rFonts w:ascii="Calibri"/>
                <w:sz w:val="17"/>
              </w:rPr>
            </w:pPr>
            <w:r>
              <w:rPr>
                <w:rFonts w:ascii="Calibri"/>
                <w:sz w:val="17"/>
              </w:rPr>
              <w:t>A. Wages/salary</w:t>
            </w:r>
          </w:p>
        </w:tc>
        <w:tc>
          <w:tcPr>
            <w:tcW w:w="1467" w:type="dxa"/>
          </w:tcPr>
          <w:p w:rsidR="006A18FD" w:rsidRDefault="002D29FC">
            <w:pPr>
              <w:spacing w:line="206" w:lineRule="exact"/>
              <w:ind w:left="103"/>
              <w:rPr>
                <w:rFonts w:ascii="Calibri" w:hAnsi="Calibri"/>
                <w:sz w:val="17"/>
              </w:rPr>
            </w:pPr>
            <w:r>
              <w:rPr>
                <w:rFonts w:ascii="Calibri" w:hAnsi="Calibri"/>
                <w:sz w:val="17"/>
              </w:rPr>
              <w:t>£285,406</w:t>
            </w:r>
          </w:p>
          <w:p w:rsidR="006A18FD" w:rsidRDefault="002D29FC">
            <w:pPr>
              <w:spacing w:before="1" w:line="187" w:lineRule="exact"/>
              <w:ind w:left="103"/>
              <w:rPr>
                <w:rFonts w:ascii="Calibri"/>
                <w:sz w:val="17"/>
              </w:rPr>
            </w:pPr>
            <w:r>
              <w:rPr>
                <w:rFonts w:ascii="Calibri"/>
                <w:sz w:val="17"/>
              </w:rPr>
              <w:t>per year</w:t>
            </w:r>
          </w:p>
        </w:tc>
        <w:tc>
          <w:tcPr>
            <w:tcW w:w="6517" w:type="dxa"/>
          </w:tcPr>
          <w:p w:rsidR="006A18FD" w:rsidRDefault="002D29FC">
            <w:pPr>
              <w:spacing w:line="206" w:lineRule="exact"/>
              <w:ind w:left="105"/>
              <w:rPr>
                <w:rFonts w:ascii="Calibri"/>
                <w:sz w:val="17"/>
              </w:rPr>
            </w:pPr>
            <w:r>
              <w:rPr>
                <w:rFonts w:ascii="Calibri"/>
                <w:sz w:val="17"/>
              </w:rPr>
              <w:t>Based on mean Agenda for Change (AfC) salaries for 18 band 3 health care</w:t>
            </w:r>
          </w:p>
          <w:p w:rsidR="006A18FD" w:rsidRDefault="002D29FC">
            <w:pPr>
              <w:spacing w:before="1" w:line="187" w:lineRule="exact"/>
              <w:ind w:left="105"/>
              <w:rPr>
                <w:rFonts w:ascii="Calibri"/>
                <w:sz w:val="17"/>
              </w:rPr>
            </w:pPr>
            <w:r>
              <w:rPr>
                <w:rFonts w:ascii="Calibri"/>
                <w:sz w:val="17"/>
              </w:rPr>
              <w:t xml:space="preserve">assistants (HCAs) </w:t>
            </w:r>
            <w:r>
              <w:rPr>
                <w:rFonts w:ascii="Calibri"/>
                <w:position w:val="5"/>
                <w:sz w:val="11"/>
              </w:rPr>
              <w:t xml:space="preserve">3 </w:t>
            </w:r>
            <w:r>
              <w:rPr>
                <w:rFonts w:ascii="Calibri"/>
                <w:sz w:val="17"/>
              </w:rPr>
              <w:t>who spend 85 per cent of their time on duties related to the RRS.</w:t>
            </w:r>
          </w:p>
        </w:tc>
      </w:tr>
      <w:tr w:rsidR="006A18FD">
        <w:trPr>
          <w:trHeight w:val="400"/>
        </w:trPr>
        <w:tc>
          <w:tcPr>
            <w:tcW w:w="2079" w:type="dxa"/>
          </w:tcPr>
          <w:p w:rsidR="006A18FD" w:rsidRDefault="002D29FC">
            <w:pPr>
              <w:spacing w:before="1"/>
              <w:ind w:left="105"/>
              <w:rPr>
                <w:rFonts w:ascii="Calibri"/>
                <w:sz w:val="17"/>
              </w:rPr>
            </w:pPr>
            <w:r>
              <w:rPr>
                <w:rFonts w:ascii="Calibri"/>
                <w:sz w:val="17"/>
              </w:rPr>
              <w:t>B. Salary oncosts</w:t>
            </w:r>
          </w:p>
        </w:tc>
        <w:tc>
          <w:tcPr>
            <w:tcW w:w="1467" w:type="dxa"/>
          </w:tcPr>
          <w:p w:rsidR="006A18FD" w:rsidRDefault="002D29FC">
            <w:pPr>
              <w:spacing w:before="1" w:line="207" w:lineRule="exact"/>
              <w:ind w:left="103"/>
              <w:rPr>
                <w:rFonts w:ascii="Calibri" w:hAnsi="Calibri"/>
                <w:sz w:val="17"/>
              </w:rPr>
            </w:pPr>
            <w:r>
              <w:rPr>
                <w:rFonts w:ascii="Calibri" w:hAnsi="Calibri"/>
                <w:sz w:val="17"/>
              </w:rPr>
              <w:t>£62,641</w:t>
            </w:r>
          </w:p>
          <w:p w:rsidR="006A18FD" w:rsidRDefault="002D29FC">
            <w:pPr>
              <w:spacing w:line="187" w:lineRule="exact"/>
              <w:ind w:left="103"/>
              <w:rPr>
                <w:rFonts w:ascii="Calibri"/>
                <w:sz w:val="17"/>
              </w:rPr>
            </w:pPr>
            <w:r>
              <w:rPr>
                <w:rFonts w:ascii="Calibri"/>
                <w:sz w:val="17"/>
              </w:rPr>
              <w:t>per year</w:t>
            </w:r>
          </w:p>
        </w:tc>
        <w:tc>
          <w:tcPr>
            <w:tcW w:w="6517" w:type="dxa"/>
          </w:tcPr>
          <w:p w:rsidR="006A18FD" w:rsidRDefault="002D29FC">
            <w:pPr>
              <w:spacing w:before="1" w:line="207" w:lineRule="exact"/>
              <w:ind w:left="105"/>
              <w:rPr>
                <w:rFonts w:ascii="Calibri" w:hAnsi="Calibri"/>
                <w:sz w:val="17"/>
              </w:rPr>
            </w:pPr>
            <w:r>
              <w:rPr>
                <w:rFonts w:ascii="Calibri" w:hAnsi="Calibri"/>
                <w:sz w:val="17"/>
              </w:rPr>
              <w:t>Employer’s national insurance is included plus 14.38 per cent of salary for</w:t>
            </w:r>
          </w:p>
          <w:p w:rsidR="006A18FD" w:rsidRDefault="002D29FC">
            <w:pPr>
              <w:spacing w:line="187" w:lineRule="exact"/>
              <w:ind w:left="105"/>
              <w:rPr>
                <w:rFonts w:ascii="Calibri" w:hAnsi="Calibri"/>
                <w:sz w:val="17"/>
              </w:rPr>
            </w:pPr>
            <w:r>
              <w:rPr>
                <w:rFonts w:ascii="Calibri" w:hAnsi="Calibri"/>
                <w:sz w:val="17"/>
              </w:rPr>
              <w:t>employer’s contribution to superannuation.</w:t>
            </w:r>
          </w:p>
        </w:tc>
      </w:tr>
      <w:tr w:rsidR="006A18FD">
        <w:trPr>
          <w:trHeight w:val="200"/>
        </w:trPr>
        <w:tc>
          <w:tcPr>
            <w:tcW w:w="2079" w:type="dxa"/>
          </w:tcPr>
          <w:p w:rsidR="006A18FD" w:rsidRDefault="002D29FC">
            <w:pPr>
              <w:spacing w:before="1" w:line="187" w:lineRule="exact"/>
              <w:ind w:left="105"/>
              <w:rPr>
                <w:rFonts w:ascii="Calibri"/>
                <w:sz w:val="17"/>
              </w:rPr>
            </w:pPr>
            <w:r>
              <w:rPr>
                <w:rFonts w:ascii="Calibri"/>
                <w:sz w:val="17"/>
              </w:rPr>
              <w:t>C. Qualifications</w:t>
            </w:r>
          </w:p>
        </w:tc>
        <w:tc>
          <w:tcPr>
            <w:tcW w:w="1467" w:type="dxa"/>
          </w:tcPr>
          <w:p w:rsidR="006A18FD" w:rsidRDefault="006A18FD">
            <w:pPr>
              <w:rPr>
                <w:rFonts w:ascii="Times New Roman"/>
                <w:sz w:val="14"/>
              </w:rPr>
            </w:pPr>
          </w:p>
        </w:tc>
        <w:tc>
          <w:tcPr>
            <w:tcW w:w="6517" w:type="dxa"/>
          </w:tcPr>
          <w:p w:rsidR="006A18FD" w:rsidRDefault="002D29FC">
            <w:pPr>
              <w:spacing w:before="1" w:line="187" w:lineRule="exact"/>
              <w:ind w:left="105"/>
              <w:rPr>
                <w:rFonts w:ascii="Calibri"/>
                <w:sz w:val="17"/>
              </w:rPr>
            </w:pPr>
            <w:r>
              <w:rPr>
                <w:rFonts w:ascii="Calibri"/>
                <w:sz w:val="17"/>
              </w:rPr>
              <w:t>HCAs required NVQ 2/3 or equivalent and community end-of-life care experience.</w:t>
            </w:r>
          </w:p>
        </w:tc>
      </w:tr>
      <w:tr w:rsidR="006A18FD">
        <w:trPr>
          <w:trHeight w:val="1020"/>
        </w:trPr>
        <w:tc>
          <w:tcPr>
            <w:tcW w:w="2079" w:type="dxa"/>
          </w:tcPr>
          <w:p w:rsidR="006A18FD" w:rsidRDefault="002D29FC">
            <w:pPr>
              <w:spacing w:line="207" w:lineRule="exact"/>
              <w:ind w:left="105"/>
              <w:rPr>
                <w:rFonts w:ascii="Calibri"/>
                <w:sz w:val="17"/>
              </w:rPr>
            </w:pPr>
            <w:r>
              <w:rPr>
                <w:rFonts w:ascii="Calibri"/>
                <w:sz w:val="17"/>
              </w:rPr>
              <w:t>D. Training</w:t>
            </w:r>
          </w:p>
        </w:tc>
        <w:tc>
          <w:tcPr>
            <w:tcW w:w="1467" w:type="dxa"/>
          </w:tcPr>
          <w:p w:rsidR="006A18FD" w:rsidRDefault="006A18FD">
            <w:pPr>
              <w:rPr>
                <w:rFonts w:ascii="Times New Roman"/>
                <w:sz w:val="16"/>
              </w:rPr>
            </w:pPr>
          </w:p>
        </w:tc>
        <w:tc>
          <w:tcPr>
            <w:tcW w:w="6517" w:type="dxa"/>
          </w:tcPr>
          <w:p w:rsidR="006A18FD" w:rsidRDefault="002D29FC">
            <w:pPr>
              <w:ind w:left="105" w:right="603"/>
              <w:rPr>
                <w:rFonts w:ascii="Calibri" w:hAnsi="Calibri"/>
                <w:sz w:val="17"/>
              </w:rPr>
            </w:pPr>
            <w:r>
              <w:rPr>
                <w:rFonts w:ascii="Calibri" w:hAnsi="Calibri"/>
                <w:sz w:val="17"/>
              </w:rPr>
              <w:t>The HCAs were provided with an initial orientation training programme covering introduction to the hospice and clinical work on wards and in the community. They also attended a 5-day hospice palliative care course costing approximately £755. Staff have continued to access in-house development training, statutory and</w:t>
            </w:r>
          </w:p>
          <w:p w:rsidR="006A18FD" w:rsidRDefault="002D29FC">
            <w:pPr>
              <w:spacing w:line="189" w:lineRule="exact"/>
              <w:ind w:left="105"/>
              <w:rPr>
                <w:rFonts w:ascii="Calibri"/>
                <w:sz w:val="17"/>
              </w:rPr>
            </w:pPr>
            <w:r>
              <w:rPr>
                <w:rFonts w:ascii="Calibri"/>
                <w:sz w:val="17"/>
              </w:rPr>
              <w:t>mandatory annual training.</w:t>
            </w:r>
          </w:p>
        </w:tc>
      </w:tr>
      <w:tr w:rsidR="006A18FD">
        <w:trPr>
          <w:trHeight w:val="3120"/>
        </w:trPr>
        <w:tc>
          <w:tcPr>
            <w:tcW w:w="2079" w:type="dxa"/>
          </w:tcPr>
          <w:p w:rsidR="006A18FD" w:rsidRDefault="002D29FC">
            <w:pPr>
              <w:spacing w:line="206" w:lineRule="exact"/>
              <w:ind w:left="105"/>
              <w:rPr>
                <w:rFonts w:ascii="Calibri"/>
                <w:sz w:val="17"/>
              </w:rPr>
            </w:pPr>
            <w:r>
              <w:rPr>
                <w:rFonts w:ascii="Calibri"/>
                <w:sz w:val="17"/>
              </w:rPr>
              <w:t>E. Overheads</w:t>
            </w:r>
          </w:p>
          <w:p w:rsidR="006A18FD" w:rsidRDefault="006A18FD">
            <w:pPr>
              <w:spacing w:before="8"/>
              <w:rPr>
                <w:rFonts w:ascii="Calibri"/>
                <w:sz w:val="13"/>
              </w:rPr>
            </w:pPr>
          </w:p>
          <w:p w:rsidR="006A18FD" w:rsidRDefault="002D29FC">
            <w:pPr>
              <w:ind w:left="105" w:right="605"/>
              <w:rPr>
                <w:rFonts w:ascii="Calibri"/>
                <w:sz w:val="17"/>
              </w:rPr>
            </w:pPr>
            <w:r>
              <w:rPr>
                <w:rFonts w:ascii="Calibri"/>
                <w:sz w:val="17"/>
              </w:rPr>
              <w:t>Service co- ordinator and day to day co-ordinator</w:t>
            </w:r>
          </w:p>
          <w:p w:rsidR="006A18FD" w:rsidRDefault="006A18FD">
            <w:pPr>
              <w:rPr>
                <w:rFonts w:ascii="Calibri"/>
                <w:sz w:val="16"/>
              </w:rPr>
            </w:pPr>
          </w:p>
          <w:p w:rsidR="006A18FD" w:rsidRDefault="006A18FD">
            <w:pPr>
              <w:spacing w:before="11"/>
              <w:rPr>
                <w:rFonts w:ascii="Calibri"/>
                <w:sz w:val="17"/>
              </w:rPr>
            </w:pPr>
          </w:p>
          <w:p w:rsidR="006A18FD" w:rsidRDefault="002D29FC">
            <w:pPr>
              <w:ind w:left="105" w:right="632"/>
              <w:rPr>
                <w:rFonts w:ascii="Calibri"/>
                <w:sz w:val="17"/>
              </w:rPr>
            </w:pPr>
            <w:r>
              <w:rPr>
                <w:rFonts w:ascii="Calibri"/>
                <w:sz w:val="17"/>
              </w:rPr>
              <w:t>Management, administration and estates staff</w:t>
            </w:r>
          </w:p>
          <w:p w:rsidR="006A18FD" w:rsidRDefault="002D29FC">
            <w:pPr>
              <w:spacing w:before="66"/>
              <w:ind w:left="105"/>
              <w:rPr>
                <w:rFonts w:ascii="Calibri"/>
                <w:sz w:val="17"/>
              </w:rPr>
            </w:pPr>
            <w:r>
              <w:rPr>
                <w:rFonts w:ascii="Calibri"/>
                <w:sz w:val="17"/>
              </w:rPr>
              <w:t>Non-staff</w:t>
            </w:r>
          </w:p>
        </w:tc>
        <w:tc>
          <w:tcPr>
            <w:tcW w:w="1467" w:type="dxa"/>
          </w:tcPr>
          <w:p w:rsidR="006A18FD" w:rsidRDefault="006A18FD">
            <w:pPr>
              <w:rPr>
                <w:rFonts w:ascii="Calibri"/>
                <w:sz w:val="16"/>
              </w:rPr>
            </w:pPr>
          </w:p>
          <w:p w:rsidR="006A18FD" w:rsidRDefault="006A18FD">
            <w:pPr>
              <w:spacing w:before="6"/>
              <w:rPr>
                <w:rFonts w:ascii="Calibri"/>
                <w:sz w:val="14"/>
              </w:rPr>
            </w:pPr>
          </w:p>
          <w:p w:rsidR="006A18FD" w:rsidRDefault="002D29FC">
            <w:pPr>
              <w:spacing w:before="1" w:line="207" w:lineRule="exact"/>
              <w:ind w:left="103"/>
              <w:rPr>
                <w:rFonts w:ascii="Calibri" w:hAnsi="Calibri"/>
                <w:sz w:val="17"/>
              </w:rPr>
            </w:pPr>
            <w:r>
              <w:rPr>
                <w:rFonts w:ascii="Calibri" w:hAnsi="Calibri"/>
                <w:sz w:val="17"/>
              </w:rPr>
              <w:t>£40,386</w:t>
            </w:r>
          </w:p>
          <w:p w:rsidR="006A18FD" w:rsidRDefault="002D29FC">
            <w:pPr>
              <w:spacing w:line="207" w:lineRule="exact"/>
              <w:ind w:left="103"/>
              <w:rPr>
                <w:rFonts w:ascii="Calibri"/>
                <w:sz w:val="17"/>
              </w:rPr>
            </w:pPr>
            <w:r>
              <w:rPr>
                <w:rFonts w:ascii="Calibri"/>
                <w:sz w:val="17"/>
              </w:rPr>
              <w:t>per year</w:t>
            </w:r>
          </w:p>
          <w:p w:rsidR="006A18FD" w:rsidRDefault="006A18FD">
            <w:pPr>
              <w:rPr>
                <w:rFonts w:ascii="Calibri"/>
                <w:sz w:val="16"/>
              </w:rPr>
            </w:pPr>
          </w:p>
          <w:p w:rsidR="006A18FD" w:rsidRDefault="006A18FD">
            <w:pPr>
              <w:rPr>
                <w:rFonts w:ascii="Calibri"/>
                <w:sz w:val="16"/>
              </w:rPr>
            </w:pPr>
          </w:p>
          <w:p w:rsidR="006A18FD" w:rsidRDefault="006A18FD">
            <w:pPr>
              <w:rPr>
                <w:rFonts w:ascii="Calibri"/>
                <w:sz w:val="19"/>
              </w:rPr>
            </w:pPr>
          </w:p>
          <w:p w:rsidR="006A18FD" w:rsidRDefault="002D29FC">
            <w:pPr>
              <w:spacing w:line="207" w:lineRule="exact"/>
              <w:ind w:left="103"/>
              <w:rPr>
                <w:rFonts w:ascii="Calibri" w:hAnsi="Calibri"/>
                <w:sz w:val="17"/>
              </w:rPr>
            </w:pPr>
            <w:r>
              <w:rPr>
                <w:rFonts w:ascii="Calibri" w:hAnsi="Calibri"/>
                <w:sz w:val="17"/>
              </w:rPr>
              <w:t>£17,402</w:t>
            </w:r>
          </w:p>
          <w:p w:rsidR="006A18FD" w:rsidRDefault="002D29FC">
            <w:pPr>
              <w:spacing w:line="207" w:lineRule="exact"/>
              <w:ind w:left="103"/>
              <w:rPr>
                <w:rFonts w:ascii="Calibri"/>
                <w:sz w:val="17"/>
              </w:rPr>
            </w:pPr>
            <w:r>
              <w:rPr>
                <w:rFonts w:ascii="Calibri"/>
                <w:sz w:val="17"/>
              </w:rPr>
              <w:t>per year</w:t>
            </w:r>
          </w:p>
          <w:p w:rsidR="006A18FD" w:rsidRDefault="006A18FD">
            <w:pPr>
              <w:spacing w:before="6"/>
              <w:rPr>
                <w:rFonts w:ascii="Calibri"/>
              </w:rPr>
            </w:pPr>
          </w:p>
          <w:p w:rsidR="006A18FD" w:rsidRDefault="002D29FC">
            <w:pPr>
              <w:spacing w:line="207" w:lineRule="exact"/>
              <w:ind w:left="103"/>
              <w:rPr>
                <w:rFonts w:ascii="Calibri" w:hAnsi="Calibri"/>
                <w:sz w:val="17"/>
              </w:rPr>
            </w:pPr>
            <w:r>
              <w:rPr>
                <w:rFonts w:ascii="Calibri" w:hAnsi="Calibri"/>
                <w:sz w:val="17"/>
              </w:rPr>
              <w:t>£150,008</w:t>
            </w:r>
          </w:p>
          <w:p w:rsidR="006A18FD" w:rsidRDefault="002D29FC">
            <w:pPr>
              <w:spacing w:line="207" w:lineRule="exact"/>
              <w:ind w:left="103"/>
              <w:rPr>
                <w:rFonts w:ascii="Calibri"/>
                <w:sz w:val="17"/>
              </w:rPr>
            </w:pPr>
            <w:r>
              <w:rPr>
                <w:rFonts w:ascii="Calibri"/>
                <w:sz w:val="17"/>
              </w:rPr>
              <w:t>per year</w:t>
            </w:r>
          </w:p>
        </w:tc>
        <w:tc>
          <w:tcPr>
            <w:tcW w:w="6517" w:type="dxa"/>
          </w:tcPr>
          <w:p w:rsidR="006A18FD" w:rsidRDefault="006A18FD">
            <w:pPr>
              <w:rPr>
                <w:rFonts w:ascii="Calibri"/>
                <w:sz w:val="16"/>
              </w:rPr>
            </w:pPr>
          </w:p>
          <w:p w:rsidR="006A18FD" w:rsidRDefault="006A18FD">
            <w:pPr>
              <w:spacing w:before="6"/>
              <w:rPr>
                <w:rFonts w:ascii="Calibri"/>
                <w:sz w:val="14"/>
              </w:rPr>
            </w:pPr>
          </w:p>
          <w:p w:rsidR="006A18FD" w:rsidRDefault="002D29FC">
            <w:pPr>
              <w:spacing w:before="1"/>
              <w:ind w:left="105" w:right="690"/>
              <w:rPr>
                <w:rFonts w:ascii="Calibri"/>
                <w:sz w:val="17"/>
              </w:rPr>
            </w:pPr>
            <w:r>
              <w:rPr>
                <w:rFonts w:ascii="Calibri"/>
                <w:sz w:val="17"/>
              </w:rPr>
              <w:t>Based on information provided by the hospice, supervision was provided by an Agenda for Change band 8 nurse (40% of WTE) plus a day-to-day coordinator (80% of WTE Agenda for Change band 3). Salary and oncosts are included in this calculation.</w:t>
            </w:r>
          </w:p>
          <w:p w:rsidR="006A18FD" w:rsidRDefault="006A18FD">
            <w:pPr>
              <w:rPr>
                <w:rFonts w:ascii="Calibri"/>
                <w:sz w:val="17"/>
              </w:rPr>
            </w:pPr>
          </w:p>
          <w:p w:rsidR="006A18FD" w:rsidRDefault="002D29FC">
            <w:pPr>
              <w:ind w:left="105" w:right="801"/>
              <w:rPr>
                <w:rFonts w:ascii="Calibri"/>
                <w:sz w:val="17"/>
              </w:rPr>
            </w:pPr>
            <w:r>
              <w:rPr>
                <w:rFonts w:ascii="Calibri"/>
                <w:sz w:val="17"/>
              </w:rPr>
              <w:t>Based on information provided by the hospice, estates and indirect care staff are assumed to be approximately 5 per cent of direct care salary costs.</w:t>
            </w:r>
          </w:p>
          <w:p w:rsidR="006A18FD" w:rsidRDefault="006A18FD">
            <w:pPr>
              <w:spacing w:before="6"/>
              <w:rPr>
                <w:rFonts w:ascii="Calibri"/>
              </w:rPr>
            </w:pPr>
          </w:p>
          <w:p w:rsidR="006A18FD" w:rsidRDefault="002D29FC">
            <w:pPr>
              <w:ind w:left="105" w:right="603"/>
              <w:rPr>
                <w:rFonts w:ascii="Calibri"/>
                <w:sz w:val="17"/>
              </w:rPr>
            </w:pPr>
            <w:r>
              <w:rPr>
                <w:rFonts w:ascii="Calibri"/>
                <w:sz w:val="17"/>
              </w:rPr>
              <w:t xml:space="preserve">Taken from </w:t>
            </w:r>
            <w:r>
              <w:rPr>
                <w:rFonts w:ascii="Calibri"/>
                <w:i/>
                <w:sz w:val="17"/>
              </w:rPr>
              <w:t>NHS foundation trusts accounts: consolidated (FTC) files 2014/15</w:t>
            </w:r>
            <w:r>
              <w:rPr>
                <w:rFonts w:ascii="Calibri"/>
                <w:sz w:val="17"/>
              </w:rPr>
              <w:t>.</w:t>
            </w:r>
            <w:r>
              <w:rPr>
                <w:rFonts w:ascii="Calibri"/>
                <w:position w:val="5"/>
                <w:sz w:val="11"/>
              </w:rPr>
              <w:t xml:space="preserve">4 </w:t>
            </w:r>
            <w:r>
              <w:rPr>
                <w:rFonts w:ascii="Calibri"/>
                <w:sz w:val="17"/>
              </w:rPr>
              <w:t>Hospice overheads are broadly similar to those applied to NHS staff. Non-staff costs were 43.1 per cent of direct care salary costs. They include costs to the provider for drugs, office, travel/transport and telephone, education and training, supplies and</w:t>
            </w:r>
          </w:p>
          <w:p w:rsidR="006A18FD" w:rsidRDefault="002D29FC">
            <w:pPr>
              <w:spacing w:line="189" w:lineRule="exact"/>
              <w:ind w:left="105"/>
              <w:rPr>
                <w:rFonts w:ascii="Calibri"/>
                <w:sz w:val="17"/>
              </w:rPr>
            </w:pPr>
            <w:r>
              <w:rPr>
                <w:rFonts w:ascii="Calibri"/>
                <w:sz w:val="17"/>
              </w:rPr>
              <w:t>services (clinical and general), as well as utilities such as water, gas and electricity.</w:t>
            </w:r>
          </w:p>
        </w:tc>
      </w:tr>
      <w:tr w:rsidR="006A18FD">
        <w:trPr>
          <w:trHeight w:val="820"/>
        </w:trPr>
        <w:tc>
          <w:tcPr>
            <w:tcW w:w="2079" w:type="dxa"/>
          </w:tcPr>
          <w:p w:rsidR="006A18FD" w:rsidRDefault="002D29FC">
            <w:pPr>
              <w:ind w:left="105" w:right="1222"/>
              <w:rPr>
                <w:rFonts w:ascii="Calibri"/>
                <w:sz w:val="17"/>
              </w:rPr>
            </w:pPr>
            <w:r>
              <w:rPr>
                <w:rFonts w:ascii="Calibri"/>
                <w:sz w:val="17"/>
              </w:rPr>
              <w:t>F. Capital overheads</w:t>
            </w:r>
          </w:p>
        </w:tc>
        <w:tc>
          <w:tcPr>
            <w:tcW w:w="1467" w:type="dxa"/>
          </w:tcPr>
          <w:p w:rsidR="006A18FD" w:rsidRDefault="002D29FC">
            <w:pPr>
              <w:ind w:left="103" w:right="589"/>
              <w:rPr>
                <w:rFonts w:ascii="Calibri" w:hAnsi="Calibri"/>
                <w:sz w:val="17"/>
              </w:rPr>
            </w:pPr>
            <w:r>
              <w:rPr>
                <w:rFonts w:ascii="Calibri" w:hAnsi="Calibri"/>
                <w:sz w:val="17"/>
              </w:rPr>
              <w:t>£1,553 per year</w:t>
            </w:r>
          </w:p>
        </w:tc>
        <w:tc>
          <w:tcPr>
            <w:tcW w:w="6517" w:type="dxa"/>
          </w:tcPr>
          <w:p w:rsidR="006A18FD" w:rsidRDefault="002D29FC">
            <w:pPr>
              <w:ind w:left="105" w:right="691"/>
              <w:rPr>
                <w:rFonts w:ascii="Calibri"/>
                <w:sz w:val="17"/>
              </w:rPr>
            </w:pPr>
            <w:r>
              <w:rPr>
                <w:rFonts w:ascii="Calibri"/>
                <w:sz w:val="17"/>
              </w:rPr>
              <w:t>Based on the new-build and land requirements of NHS facilities.</w:t>
            </w:r>
            <w:r>
              <w:rPr>
                <w:rFonts w:ascii="Calibri"/>
                <w:position w:val="5"/>
                <w:sz w:val="11"/>
              </w:rPr>
              <w:t xml:space="preserve">5,6 </w:t>
            </w:r>
            <w:r>
              <w:rPr>
                <w:rFonts w:ascii="Calibri"/>
                <w:sz w:val="17"/>
              </w:rPr>
              <w:t>It is assumed that each HCA uses one-sixth of an office. Six HCAs are on duty at any one time. Capital costs have been annuitised over 60 years at a discount rate of 3.5 per cent,</w:t>
            </w:r>
          </w:p>
          <w:p w:rsidR="006A18FD" w:rsidRDefault="002D29FC">
            <w:pPr>
              <w:spacing w:before="1" w:line="189" w:lineRule="exact"/>
              <w:ind w:left="105"/>
              <w:rPr>
                <w:rFonts w:ascii="Calibri"/>
                <w:sz w:val="17"/>
              </w:rPr>
            </w:pPr>
            <w:r>
              <w:rPr>
                <w:rFonts w:ascii="Calibri"/>
                <w:sz w:val="17"/>
              </w:rPr>
              <w:t>declining to 3 per cent after 30 years.</w:t>
            </w:r>
          </w:p>
        </w:tc>
      </w:tr>
      <w:tr w:rsidR="006A18FD">
        <w:trPr>
          <w:trHeight w:val="400"/>
        </w:trPr>
        <w:tc>
          <w:tcPr>
            <w:tcW w:w="2079" w:type="dxa"/>
          </w:tcPr>
          <w:p w:rsidR="006A18FD" w:rsidRDefault="002D29FC">
            <w:pPr>
              <w:spacing w:line="206" w:lineRule="exact"/>
              <w:ind w:left="105"/>
              <w:rPr>
                <w:rFonts w:ascii="Calibri"/>
                <w:sz w:val="17"/>
              </w:rPr>
            </w:pPr>
            <w:r>
              <w:rPr>
                <w:rFonts w:ascii="Calibri"/>
                <w:sz w:val="17"/>
              </w:rPr>
              <w:t>H. Travel</w:t>
            </w:r>
          </w:p>
        </w:tc>
        <w:tc>
          <w:tcPr>
            <w:tcW w:w="1467" w:type="dxa"/>
          </w:tcPr>
          <w:p w:rsidR="006A18FD" w:rsidRDefault="002D29FC">
            <w:pPr>
              <w:spacing w:line="206" w:lineRule="exact"/>
              <w:ind w:left="103"/>
              <w:rPr>
                <w:rFonts w:ascii="Calibri" w:hAnsi="Calibri"/>
                <w:sz w:val="17"/>
              </w:rPr>
            </w:pPr>
            <w:r>
              <w:rPr>
                <w:rFonts w:ascii="Calibri" w:hAnsi="Calibri"/>
                <w:sz w:val="17"/>
              </w:rPr>
              <w:t>£121,512</w:t>
            </w:r>
          </w:p>
          <w:p w:rsidR="006A18FD" w:rsidRDefault="002D29FC">
            <w:pPr>
              <w:spacing w:before="1" w:line="187" w:lineRule="exact"/>
              <w:ind w:left="103"/>
              <w:rPr>
                <w:rFonts w:ascii="Calibri"/>
                <w:sz w:val="17"/>
              </w:rPr>
            </w:pPr>
            <w:r>
              <w:rPr>
                <w:rFonts w:ascii="Calibri"/>
                <w:sz w:val="17"/>
              </w:rPr>
              <w:t>per year</w:t>
            </w:r>
          </w:p>
        </w:tc>
        <w:tc>
          <w:tcPr>
            <w:tcW w:w="6517" w:type="dxa"/>
          </w:tcPr>
          <w:p w:rsidR="006A18FD" w:rsidRDefault="002D29FC">
            <w:pPr>
              <w:spacing w:line="206" w:lineRule="exact"/>
              <w:ind w:left="105"/>
              <w:rPr>
                <w:rFonts w:ascii="Calibri" w:hAnsi="Calibri"/>
                <w:sz w:val="17"/>
              </w:rPr>
            </w:pPr>
            <w:r>
              <w:rPr>
                <w:rFonts w:ascii="Calibri" w:hAnsi="Calibri"/>
                <w:sz w:val="17"/>
              </w:rPr>
              <w:t>£12.30 per visit. Based on the average number of visits per patient in 2012 (16.6).</w:t>
            </w:r>
          </w:p>
        </w:tc>
      </w:tr>
      <w:tr w:rsidR="006A18FD">
        <w:trPr>
          <w:trHeight w:val="400"/>
        </w:trPr>
        <w:tc>
          <w:tcPr>
            <w:tcW w:w="2079" w:type="dxa"/>
          </w:tcPr>
          <w:p w:rsidR="006A18FD" w:rsidRDefault="002D29FC">
            <w:pPr>
              <w:spacing w:line="206" w:lineRule="exact"/>
              <w:ind w:left="105"/>
              <w:rPr>
                <w:rFonts w:ascii="Calibri"/>
                <w:sz w:val="17"/>
              </w:rPr>
            </w:pPr>
            <w:r>
              <w:rPr>
                <w:rFonts w:ascii="Calibri"/>
                <w:sz w:val="17"/>
              </w:rPr>
              <w:t>Caseload</w:t>
            </w:r>
          </w:p>
        </w:tc>
        <w:tc>
          <w:tcPr>
            <w:tcW w:w="1467" w:type="dxa"/>
          </w:tcPr>
          <w:p w:rsidR="006A18FD" w:rsidRDefault="002D29FC">
            <w:pPr>
              <w:spacing w:line="206" w:lineRule="exact"/>
              <w:ind w:left="103"/>
              <w:rPr>
                <w:rFonts w:ascii="Calibri"/>
                <w:sz w:val="17"/>
              </w:rPr>
            </w:pPr>
            <w:r>
              <w:rPr>
                <w:rFonts w:ascii="Calibri"/>
                <w:sz w:val="17"/>
              </w:rPr>
              <w:t>610 per</w:t>
            </w:r>
          </w:p>
          <w:p w:rsidR="006A18FD" w:rsidRDefault="002D29FC">
            <w:pPr>
              <w:spacing w:before="1" w:line="187" w:lineRule="exact"/>
              <w:ind w:left="103"/>
              <w:rPr>
                <w:rFonts w:ascii="Calibri"/>
                <w:sz w:val="17"/>
              </w:rPr>
            </w:pPr>
            <w:r>
              <w:rPr>
                <w:rFonts w:ascii="Calibri"/>
                <w:sz w:val="17"/>
              </w:rPr>
              <w:t>year</w:t>
            </w:r>
          </w:p>
        </w:tc>
        <w:tc>
          <w:tcPr>
            <w:tcW w:w="6517" w:type="dxa"/>
          </w:tcPr>
          <w:p w:rsidR="006A18FD" w:rsidRDefault="002D29FC">
            <w:pPr>
              <w:spacing w:line="206" w:lineRule="exact"/>
              <w:ind w:left="105"/>
              <w:rPr>
                <w:rFonts w:ascii="Calibri"/>
                <w:sz w:val="17"/>
              </w:rPr>
            </w:pPr>
            <w:r>
              <w:rPr>
                <w:rFonts w:ascii="Calibri"/>
                <w:sz w:val="17"/>
              </w:rPr>
              <w:t>Number of patients</w:t>
            </w:r>
          </w:p>
        </w:tc>
      </w:tr>
      <w:tr w:rsidR="006A18FD">
        <w:trPr>
          <w:trHeight w:val="400"/>
        </w:trPr>
        <w:tc>
          <w:tcPr>
            <w:tcW w:w="2079" w:type="dxa"/>
          </w:tcPr>
          <w:p w:rsidR="006A18FD" w:rsidRDefault="002D29FC">
            <w:pPr>
              <w:spacing w:line="206" w:lineRule="exact"/>
              <w:ind w:left="105"/>
              <w:rPr>
                <w:rFonts w:ascii="Calibri"/>
                <w:sz w:val="17"/>
              </w:rPr>
            </w:pPr>
            <w:r>
              <w:rPr>
                <w:rFonts w:ascii="Calibri"/>
                <w:sz w:val="17"/>
              </w:rPr>
              <w:t>Hours and length of</w:t>
            </w:r>
          </w:p>
          <w:p w:rsidR="006A18FD" w:rsidRDefault="002D29FC">
            <w:pPr>
              <w:spacing w:before="1" w:line="187" w:lineRule="exact"/>
              <w:ind w:left="105"/>
              <w:rPr>
                <w:rFonts w:ascii="Calibri"/>
                <w:sz w:val="17"/>
              </w:rPr>
            </w:pPr>
            <w:r>
              <w:rPr>
                <w:rFonts w:ascii="Calibri"/>
                <w:sz w:val="17"/>
              </w:rPr>
              <w:t>service</w:t>
            </w:r>
          </w:p>
        </w:tc>
        <w:tc>
          <w:tcPr>
            <w:tcW w:w="1467" w:type="dxa"/>
          </w:tcPr>
          <w:p w:rsidR="006A18FD" w:rsidRDefault="006A18FD">
            <w:pPr>
              <w:rPr>
                <w:rFonts w:ascii="Times New Roman"/>
                <w:sz w:val="16"/>
              </w:rPr>
            </w:pPr>
          </w:p>
        </w:tc>
        <w:tc>
          <w:tcPr>
            <w:tcW w:w="6517" w:type="dxa"/>
          </w:tcPr>
          <w:p w:rsidR="006A18FD" w:rsidRDefault="002D29FC">
            <w:pPr>
              <w:spacing w:line="206" w:lineRule="exact"/>
              <w:ind w:left="105"/>
              <w:rPr>
                <w:rFonts w:ascii="Calibri"/>
                <w:sz w:val="17"/>
              </w:rPr>
            </w:pPr>
            <w:r>
              <w:rPr>
                <w:rFonts w:ascii="Calibri"/>
                <w:sz w:val="17"/>
              </w:rPr>
              <w:t>The service is available 24 hours each day, seven days per week.</w:t>
            </w:r>
          </w:p>
        </w:tc>
      </w:tr>
      <w:tr w:rsidR="006A18FD">
        <w:trPr>
          <w:trHeight w:val="400"/>
        </w:trPr>
        <w:tc>
          <w:tcPr>
            <w:tcW w:w="2079" w:type="dxa"/>
          </w:tcPr>
          <w:p w:rsidR="006A18FD" w:rsidRDefault="002D29FC">
            <w:pPr>
              <w:spacing w:line="206" w:lineRule="exact"/>
              <w:ind w:left="105"/>
              <w:rPr>
                <w:rFonts w:ascii="Calibri"/>
                <w:sz w:val="17"/>
              </w:rPr>
            </w:pPr>
            <w:r>
              <w:rPr>
                <w:rFonts w:ascii="Calibri"/>
                <w:sz w:val="17"/>
              </w:rPr>
              <w:t>Ratio of indirect</w:t>
            </w:r>
          </w:p>
          <w:p w:rsidR="006A18FD" w:rsidRDefault="002D29FC">
            <w:pPr>
              <w:spacing w:before="2" w:line="187" w:lineRule="exact"/>
              <w:ind w:left="105"/>
              <w:rPr>
                <w:rFonts w:ascii="Calibri"/>
                <w:sz w:val="17"/>
              </w:rPr>
            </w:pPr>
            <w:r>
              <w:rPr>
                <w:rFonts w:ascii="Calibri"/>
                <w:sz w:val="17"/>
              </w:rPr>
              <w:t>time to direct time</w:t>
            </w:r>
          </w:p>
        </w:tc>
        <w:tc>
          <w:tcPr>
            <w:tcW w:w="1467" w:type="dxa"/>
          </w:tcPr>
          <w:p w:rsidR="006A18FD" w:rsidRDefault="006A18FD">
            <w:pPr>
              <w:rPr>
                <w:rFonts w:ascii="Times New Roman"/>
                <w:sz w:val="16"/>
              </w:rPr>
            </w:pPr>
          </w:p>
        </w:tc>
        <w:tc>
          <w:tcPr>
            <w:tcW w:w="6517" w:type="dxa"/>
          </w:tcPr>
          <w:p w:rsidR="006A18FD" w:rsidRDefault="002D29FC">
            <w:pPr>
              <w:spacing w:line="206" w:lineRule="exact"/>
              <w:ind w:left="105"/>
              <w:rPr>
                <w:rFonts w:ascii="Calibri"/>
                <w:sz w:val="17"/>
              </w:rPr>
            </w:pPr>
            <w:r>
              <w:rPr>
                <w:rFonts w:ascii="Calibri"/>
                <w:sz w:val="17"/>
              </w:rPr>
              <w:t>No estimates available for percentage of service time spent with patients. Travel</w:t>
            </w:r>
          </w:p>
          <w:p w:rsidR="006A18FD" w:rsidRDefault="002D29FC">
            <w:pPr>
              <w:spacing w:before="2" w:line="187" w:lineRule="exact"/>
              <w:ind w:left="105"/>
              <w:rPr>
                <w:rFonts w:ascii="Calibri"/>
                <w:sz w:val="17"/>
              </w:rPr>
            </w:pPr>
            <w:r>
              <w:rPr>
                <w:rFonts w:ascii="Calibri"/>
                <w:sz w:val="17"/>
              </w:rPr>
              <w:t>time is high given the area covered by the service (approx 20% of total time).</w:t>
            </w:r>
          </w:p>
        </w:tc>
      </w:tr>
      <w:tr w:rsidR="006A18FD">
        <w:trPr>
          <w:trHeight w:val="620"/>
        </w:trPr>
        <w:tc>
          <w:tcPr>
            <w:tcW w:w="2079" w:type="dxa"/>
          </w:tcPr>
          <w:p w:rsidR="006A18FD" w:rsidRDefault="002D29FC">
            <w:pPr>
              <w:spacing w:before="1"/>
              <w:ind w:left="105" w:right="799"/>
              <w:rPr>
                <w:rFonts w:ascii="Calibri"/>
                <w:sz w:val="17"/>
              </w:rPr>
            </w:pPr>
            <w:r>
              <w:rPr>
                <w:rFonts w:ascii="Calibri"/>
                <w:sz w:val="17"/>
              </w:rPr>
              <w:t>Number of rapid response visits</w:t>
            </w:r>
          </w:p>
        </w:tc>
        <w:tc>
          <w:tcPr>
            <w:tcW w:w="1467" w:type="dxa"/>
          </w:tcPr>
          <w:p w:rsidR="006A18FD" w:rsidRDefault="002D29FC">
            <w:pPr>
              <w:spacing w:before="1"/>
              <w:ind w:left="103" w:right="760"/>
              <w:rPr>
                <w:rFonts w:ascii="Calibri"/>
                <w:sz w:val="17"/>
              </w:rPr>
            </w:pPr>
            <w:r>
              <w:rPr>
                <w:rFonts w:ascii="Calibri"/>
                <w:sz w:val="17"/>
              </w:rPr>
              <w:t>16.6 per patient</w:t>
            </w:r>
          </w:p>
        </w:tc>
        <w:tc>
          <w:tcPr>
            <w:tcW w:w="6517" w:type="dxa"/>
          </w:tcPr>
          <w:p w:rsidR="006A18FD" w:rsidRDefault="002D29FC">
            <w:pPr>
              <w:spacing w:before="1"/>
              <w:ind w:left="105" w:right="625"/>
              <w:rPr>
                <w:rFonts w:ascii="Calibri"/>
                <w:sz w:val="17"/>
              </w:rPr>
            </w:pPr>
            <w:r>
              <w:rPr>
                <w:rFonts w:ascii="Calibri"/>
                <w:sz w:val="17"/>
              </w:rPr>
              <w:t>Based on the average number of visits per patient in 2012 (610). Episodes vary according to need. The average number of referrals was 670, although this includes</w:t>
            </w:r>
          </w:p>
          <w:p w:rsidR="006A18FD" w:rsidRDefault="002D29FC">
            <w:pPr>
              <w:spacing w:line="189" w:lineRule="exact"/>
              <w:ind w:left="105"/>
              <w:rPr>
                <w:rFonts w:ascii="Calibri"/>
                <w:sz w:val="17"/>
              </w:rPr>
            </w:pPr>
            <w:r>
              <w:rPr>
                <w:rFonts w:ascii="Calibri"/>
                <w:sz w:val="17"/>
              </w:rPr>
              <w:t>multiple referrals for some people.</w:t>
            </w:r>
          </w:p>
        </w:tc>
      </w:tr>
      <w:tr w:rsidR="006A18FD">
        <w:trPr>
          <w:trHeight w:val="200"/>
        </w:trPr>
        <w:tc>
          <w:tcPr>
            <w:tcW w:w="10063" w:type="dxa"/>
            <w:gridSpan w:val="3"/>
          </w:tcPr>
          <w:p w:rsidR="006A18FD" w:rsidRDefault="002D29FC">
            <w:pPr>
              <w:spacing w:line="188" w:lineRule="exact"/>
              <w:ind w:left="105"/>
              <w:rPr>
                <w:rFonts w:ascii="Calibri"/>
                <w:b/>
                <w:sz w:val="17"/>
              </w:rPr>
            </w:pPr>
            <w:r>
              <w:rPr>
                <w:rFonts w:ascii="Calibri"/>
                <w:b/>
                <w:sz w:val="17"/>
              </w:rPr>
              <w:t>Unit costs available 2018/2019</w:t>
            </w:r>
          </w:p>
        </w:tc>
      </w:tr>
      <w:tr w:rsidR="006A18FD">
        <w:trPr>
          <w:trHeight w:val="200"/>
        </w:trPr>
        <w:tc>
          <w:tcPr>
            <w:tcW w:w="10063" w:type="dxa"/>
            <w:gridSpan w:val="3"/>
          </w:tcPr>
          <w:p w:rsidR="006A18FD" w:rsidRDefault="002D29FC">
            <w:pPr>
              <w:spacing w:line="186" w:lineRule="exact"/>
              <w:ind w:left="105"/>
              <w:rPr>
                <w:rFonts w:ascii="Calibri" w:hAnsi="Calibri"/>
                <w:sz w:val="17"/>
              </w:rPr>
            </w:pPr>
            <w:r>
              <w:rPr>
                <w:rFonts w:ascii="Calibri" w:hAnsi="Calibri"/>
                <w:sz w:val="17"/>
              </w:rPr>
              <w:t>Total annual costs £709,761; cost per hour of service £81; average cost per patient (referral) £1,164 (£1,059).</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6"/>
        <w:rPr>
          <w:rFonts w:ascii="Calibri"/>
          <w:sz w:val="17"/>
        </w:rPr>
      </w:pPr>
    </w:p>
    <w:p w:rsidR="006A18FD" w:rsidRDefault="002D29FC">
      <w:pPr>
        <w:ind w:left="436" w:hanging="284"/>
        <w:rPr>
          <w:rFonts w:ascii="Calibri"/>
          <w:sz w:val="16"/>
        </w:rPr>
      </w:pPr>
      <w:r>
        <w:rPr>
          <w:rFonts w:ascii="Calibri"/>
          <w:position w:val="5"/>
          <w:sz w:val="10"/>
        </w:rPr>
        <w:t xml:space="preserve">1 </w:t>
      </w:r>
      <w:r>
        <w:rPr>
          <w:rFonts w:ascii="Calibri"/>
          <w:sz w:val="16"/>
        </w:rPr>
        <w:t xml:space="preserve">Butler, C., Holdsworth, L. Coulton, S. &amp; Gage, H. (2012) Evaluation of a hospice rapid response community service: a controlled evaluation, </w:t>
      </w:r>
      <w:r>
        <w:rPr>
          <w:rFonts w:ascii="Calibri"/>
          <w:i/>
          <w:sz w:val="16"/>
        </w:rPr>
        <w:t>BMC Palliative Care</w:t>
      </w:r>
      <w:r>
        <w:rPr>
          <w:rFonts w:ascii="Calibri"/>
          <w:sz w:val="16"/>
        </w:rPr>
        <w:t>, 11, 11, doi:10.1186/1472-684X-11-11.</w:t>
      </w:r>
    </w:p>
    <w:p w:rsidR="006A18FD" w:rsidRDefault="002D29FC">
      <w:pPr>
        <w:ind w:left="436" w:right="263" w:hanging="284"/>
        <w:rPr>
          <w:rFonts w:ascii="Calibri"/>
          <w:sz w:val="16"/>
        </w:rPr>
      </w:pPr>
      <w:r>
        <w:rPr>
          <w:rFonts w:ascii="Calibri"/>
          <w:position w:val="5"/>
          <w:sz w:val="10"/>
        </w:rPr>
        <w:t xml:space="preserve">2 </w:t>
      </w:r>
      <w:r>
        <w:rPr>
          <w:rFonts w:ascii="Calibri"/>
          <w:sz w:val="16"/>
        </w:rPr>
        <w:t xml:space="preserve">National Survey of Patient Activity Data for Specialist Palliative Care Services (2014) </w:t>
      </w:r>
      <w:r>
        <w:rPr>
          <w:rFonts w:ascii="Calibri"/>
          <w:i/>
          <w:sz w:val="16"/>
        </w:rPr>
        <w:t>National Survey of Patient Activity Data for Specialist Palliative Care Services, MDS Full Report for the year 2012-2013</w:t>
      </w:r>
      <w:r>
        <w:rPr>
          <w:rFonts w:ascii="Calibri"/>
          <w:sz w:val="16"/>
        </w:rPr>
        <w:t>, Public Health England.</w:t>
      </w:r>
    </w:p>
    <w:p w:rsidR="006A18FD" w:rsidRDefault="002D29FC">
      <w:pPr>
        <w:spacing w:before="1" w:line="194" w:lineRule="exact"/>
        <w:ind w:left="152"/>
        <w:rPr>
          <w:rFonts w:ascii="Times New Roman" w:hAnsi="Times New Roman"/>
          <w:sz w:val="16"/>
        </w:rPr>
      </w:pPr>
      <w:r>
        <w:rPr>
          <w:rFonts w:ascii="Calibri" w:hAnsi="Calibri"/>
          <w:position w:val="4"/>
          <w:sz w:val="10"/>
        </w:rPr>
        <w:t xml:space="preserve">3 </w:t>
      </w:r>
      <w:r>
        <w:rPr>
          <w:rFonts w:ascii="Calibri" w:hAnsi="Calibri"/>
          <w:sz w:val="16"/>
        </w:rPr>
        <w:t xml:space="preserve">NHS Digital (2018) </w:t>
      </w:r>
      <w:r>
        <w:rPr>
          <w:rFonts w:ascii="Calibri" w:hAnsi="Calibri"/>
          <w:i/>
          <w:sz w:val="16"/>
        </w:rPr>
        <w:t xml:space="preserve">NHS staff earnings estimates, 12-month period from May 2017 – April 2018 </w:t>
      </w:r>
      <w:r>
        <w:rPr>
          <w:rFonts w:ascii="Calibri" w:hAnsi="Calibri"/>
          <w:sz w:val="16"/>
        </w:rPr>
        <w:t>(not publicly available), NHS Digital, Leeds</w:t>
      </w:r>
      <w:r>
        <w:rPr>
          <w:rFonts w:ascii="Times New Roman" w:hAnsi="Times New Roman"/>
          <w:sz w:val="16"/>
        </w:rPr>
        <w:t>.</w:t>
      </w:r>
    </w:p>
    <w:p w:rsidR="006A18FD" w:rsidRDefault="002D29FC">
      <w:pPr>
        <w:ind w:left="436" w:right="173" w:hanging="284"/>
        <w:rPr>
          <w:rFonts w:ascii="Calibri"/>
          <w:sz w:val="16"/>
        </w:rPr>
      </w:pPr>
      <w:r>
        <w:rPr>
          <w:rFonts w:ascii="Calibri"/>
          <w:position w:val="5"/>
          <w:sz w:val="10"/>
        </w:rPr>
        <w:t xml:space="preserve">4 </w:t>
      </w:r>
      <w:r>
        <w:rPr>
          <w:rFonts w:ascii="Calibri"/>
          <w:sz w:val="16"/>
        </w:rPr>
        <w:t xml:space="preserve">Monitor (2016) </w:t>
      </w:r>
      <w:r>
        <w:rPr>
          <w:rFonts w:ascii="Calibri"/>
          <w:i/>
          <w:sz w:val="16"/>
        </w:rPr>
        <w:t>NHS Foundation Trusts: Consolidation (FTC) files 2014/15</w:t>
      </w:r>
      <w:r>
        <w:rPr>
          <w:rFonts w:ascii="Calibri"/>
          <w:sz w:val="16"/>
        </w:rPr>
        <w:t xml:space="preserve">, </w:t>
      </w:r>
      <w:hyperlink r:id="rId264">
        <w:r>
          <w:rPr>
            <w:rFonts w:ascii="Calibri"/>
            <w:sz w:val="16"/>
            <w:u w:val="single"/>
          </w:rPr>
          <w:t>https://www.gov.uk/government/publications/nhs-foundation-trust-accounts-</w:t>
        </w:r>
      </w:hyperlink>
      <w:r>
        <w:rPr>
          <w:rFonts w:ascii="Calibri"/>
          <w:sz w:val="16"/>
        </w:rPr>
        <w:t xml:space="preserve"> </w:t>
      </w:r>
      <w:hyperlink r:id="rId265">
        <w:r>
          <w:rPr>
            <w:rFonts w:ascii="Calibri"/>
            <w:sz w:val="16"/>
            <w:u w:val="single"/>
          </w:rPr>
          <w:t>consolidation-ftc-files-201415</w:t>
        </w:r>
        <w:r>
          <w:rPr>
            <w:rFonts w:ascii="Calibri"/>
            <w:sz w:val="16"/>
          </w:rPr>
          <w:t xml:space="preserve">. </w:t>
        </w:r>
      </w:hyperlink>
      <w:r>
        <w:rPr>
          <w:rFonts w:ascii="Calibri"/>
          <w:sz w:val="16"/>
        </w:rPr>
        <w:t>[accessed 17 October 2016]</w:t>
      </w:r>
    </w:p>
    <w:p w:rsidR="006A18FD" w:rsidRDefault="002D29FC">
      <w:pPr>
        <w:spacing w:before="1" w:line="194" w:lineRule="exact"/>
        <w:ind w:left="152"/>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8"/>
        <w:ind w:left="436" w:right="192" w:hanging="284"/>
        <w:rPr>
          <w:rFonts w:ascii="Calibri"/>
          <w:sz w:val="15"/>
        </w:rPr>
      </w:pPr>
      <w:r>
        <w:rPr>
          <w:rFonts w:ascii="Calibri"/>
          <w:position w:val="5"/>
          <w:sz w:val="10"/>
        </w:rPr>
        <w:t xml:space="preserve">6 </w:t>
      </w:r>
      <w:r>
        <w:rPr>
          <w:rFonts w:ascii="Calibri"/>
          <w:sz w:val="15"/>
        </w:rPr>
        <w:t xml:space="preserve">Ministry of Housing, Communities &amp; Local Government (2018) </w:t>
      </w:r>
      <w:r>
        <w:rPr>
          <w:rFonts w:ascii="Calibri"/>
          <w:i/>
          <w:sz w:val="15"/>
        </w:rPr>
        <w:t>Land value estimates for policy appraisal 2017</w:t>
      </w:r>
      <w:r>
        <w:rPr>
          <w:rFonts w:ascii="Calibri"/>
          <w:sz w:val="15"/>
        </w:rPr>
        <w:t xml:space="preserve">, </w:t>
      </w:r>
      <w:hyperlink r:id="rId266">
        <w:r>
          <w:rPr>
            <w:rFonts w:ascii="Calibri"/>
            <w:sz w:val="15"/>
            <w:u w:val="single"/>
          </w:rPr>
          <w:t>https://www.gov.uk/government/publications/land-</w:t>
        </w:r>
      </w:hyperlink>
      <w:r>
        <w:rPr>
          <w:rFonts w:ascii="Calibri"/>
          <w:sz w:val="15"/>
        </w:rPr>
        <w:t xml:space="preserve"> </w:t>
      </w:r>
      <w:hyperlink r:id="rId267">
        <w:r>
          <w:rPr>
            <w:rFonts w:ascii="Calibri"/>
            <w:sz w:val="15"/>
            <w:u w:val="single"/>
          </w:rPr>
          <w:t xml:space="preserve">value-estimates-for-policy-appraisal-2017 </w:t>
        </w:r>
      </w:hyperlink>
      <w:r>
        <w:rPr>
          <w:rFonts w:ascii="Calibri"/>
          <w:sz w:val="15"/>
          <w:u w:val="single"/>
        </w:rPr>
        <w:t>[accessed 25 September 2018]</w:t>
      </w:r>
      <w:r>
        <w:rPr>
          <w:rFonts w:ascii="Calibri"/>
          <w:sz w:val="15"/>
        </w:rPr>
        <w:t>.</w:t>
      </w:r>
    </w:p>
    <w:p w:rsidR="006A18FD" w:rsidRDefault="006A18FD">
      <w:pPr>
        <w:rPr>
          <w:rFonts w:ascii="Calibri"/>
          <w:sz w:val="15"/>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6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66" name="Line 12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42C76" id="Group 12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igOhoX4CAACBBQAA&#10;DgAAAAAAAAAAAAAAAAAuAgAAZHJzL2Uyb0RvYy54bWxQSwECLQAUAAYACAAAACEALXfkXNoAAAAE&#10;AQAADwAAAAAAAAAAAAAAAADYBAAAZHJzL2Rvd25yZXYueG1sUEsFBgAAAAAEAAQA8wAAAN8FAAAA&#10;AA==&#10;">
                <v:line id="Line 12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w10:anchorlock/>
              </v:group>
            </w:pict>
          </mc:Fallback>
        </mc:AlternateContent>
      </w:r>
    </w:p>
    <w:p w:rsidR="006A18FD" w:rsidRDefault="008D2D0B" w:rsidP="008D2D0B">
      <w:pPr>
        <w:pStyle w:val="Heading2"/>
      </w:pPr>
      <w:r>
        <w:t xml:space="preserve">7.7 </w:t>
      </w:r>
      <w:r w:rsidR="002D29FC">
        <w:t>Specialist neuro-rehabilitation</w:t>
      </w:r>
      <w:r w:rsidR="002D29FC">
        <w:rPr>
          <w:spacing w:val="-23"/>
        </w:rPr>
        <w:t xml:space="preserve"> </w:t>
      </w:r>
      <w:r w:rsidR="002D29FC">
        <w:t>services</w:t>
      </w:r>
    </w:p>
    <w:p w:rsidR="006A18FD" w:rsidRDefault="002D29FC">
      <w:pPr>
        <w:spacing w:before="169" w:line="273" w:lineRule="auto"/>
        <w:ind w:left="140" w:right="599"/>
        <w:rPr>
          <w:rFonts w:ascii="Calibri"/>
          <w:sz w:val="13"/>
        </w:rPr>
      </w:pPr>
      <w:r>
        <w:rPr>
          <w:rFonts w:ascii="Calibri"/>
          <w:sz w:val="20"/>
        </w:rPr>
        <w:t>Specialist rehabilitation services</w:t>
      </w:r>
      <w:r>
        <w:rPr>
          <w:rFonts w:ascii="Calibri"/>
          <w:position w:val="7"/>
          <w:sz w:val="13"/>
        </w:rPr>
        <w:t xml:space="preserve">1 </w:t>
      </w:r>
      <w:r>
        <w:rPr>
          <w:rFonts w:ascii="Calibri"/>
          <w:sz w:val="20"/>
        </w:rPr>
        <w:t>play a vital role in management of patients admitted to hospital by ensuring that their immediate medical needs have been met, and supporting safe transition back to the community. They are consultant-led and supported by a multi-professional team who have undergone recognised specialist training in rehabilitation.</w:t>
      </w:r>
      <w:r>
        <w:rPr>
          <w:rFonts w:ascii="Calibri"/>
          <w:position w:val="7"/>
          <w:sz w:val="13"/>
        </w:rPr>
        <w:t>2,3</w:t>
      </w:r>
    </w:p>
    <w:p w:rsidR="006A18FD" w:rsidRDefault="002D29FC">
      <w:pPr>
        <w:spacing w:before="121" w:line="276" w:lineRule="auto"/>
        <w:ind w:left="140" w:right="456"/>
        <w:rPr>
          <w:rFonts w:ascii="Calibri" w:hAnsi="Calibri"/>
          <w:sz w:val="20"/>
        </w:rPr>
      </w:pPr>
      <w:r>
        <w:rPr>
          <w:rFonts w:ascii="Calibri" w:hAnsi="Calibri"/>
          <w:sz w:val="20"/>
        </w:rPr>
        <w:t>The following table provides the costs of two service models: tertiary ‘specialised’ rehabilitation services (level 1); and local (district) specialist rehabilitation services (level 2). Also, a new hyper-acute specialist rehabilitation service has been introduced as a result of the development of Major Trauma Networks.</w:t>
      </w:r>
      <w:r>
        <w:rPr>
          <w:rFonts w:ascii="Calibri" w:hAnsi="Calibri"/>
          <w:position w:val="7"/>
          <w:sz w:val="13"/>
        </w:rPr>
        <w:t xml:space="preserve">4 </w:t>
      </w:r>
      <w:r>
        <w:rPr>
          <w:rFonts w:ascii="Calibri" w:hAnsi="Calibri"/>
          <w:sz w:val="20"/>
        </w:rPr>
        <w:t>To be designated and commissioned as a specialist rehabilitation service, all Level 1 and 2 services must be registered with UK Rehabilitation Outcomes Collaborative (UKROC).</w:t>
      </w:r>
      <w:r>
        <w:rPr>
          <w:rFonts w:ascii="Calibri" w:hAnsi="Calibri"/>
          <w:position w:val="7"/>
          <w:sz w:val="13"/>
        </w:rPr>
        <w:t xml:space="preserve">5 </w:t>
      </w:r>
      <w:r>
        <w:rPr>
          <w:rFonts w:ascii="Calibri" w:hAnsi="Calibri"/>
          <w:sz w:val="20"/>
        </w:rPr>
        <w:t xml:space="preserve">Two costs are provided for each service: the mean cost per occupied bed day, calculated by taking the total annual costs and dividing by the number of patient bed days; and the mean cost per weighted occupied bed day, which takes into account the number of days patients spend at five identified sub-levels of complexity. See </w:t>
      </w:r>
      <w:hyperlink r:id="rId268">
        <w:r>
          <w:rPr>
            <w:rFonts w:ascii="Calibri" w:hAnsi="Calibri"/>
            <w:sz w:val="20"/>
            <w:u w:val="single"/>
          </w:rPr>
          <w:t>http://www.kcl.ac.uk/lsm/research/divisions/cicelysaunders/research/studies/ukroc/Commissioning-Tools.aspx</w:t>
        </w:r>
        <w:r>
          <w:rPr>
            <w:rFonts w:ascii="Calibri" w:hAnsi="Calibri"/>
            <w:sz w:val="20"/>
          </w:rPr>
          <w:t xml:space="preserve"> </w:t>
        </w:r>
      </w:hyperlink>
      <w:r>
        <w:rPr>
          <w:rFonts w:ascii="Calibri" w:hAnsi="Calibri"/>
          <w:sz w:val="20"/>
        </w:rPr>
        <w:t>for more information on how the weighted costs have been calculated.</w:t>
      </w:r>
    </w:p>
    <w:p w:rsidR="006A18FD" w:rsidRDefault="002D29FC">
      <w:pPr>
        <w:spacing w:before="119"/>
        <w:ind w:left="140" w:right="1166"/>
        <w:rPr>
          <w:rFonts w:ascii="Calibri"/>
          <w:b/>
          <w:sz w:val="20"/>
        </w:rPr>
      </w:pPr>
      <w:r>
        <w:rPr>
          <w:rFonts w:ascii="Calibri"/>
          <w:b/>
          <w:sz w:val="20"/>
        </w:rPr>
        <w:t>Table 1 2018/2019 mean costs per occupied bed day and weighted occupied bed day for each service level from participating UKROC Services</w:t>
      </w:r>
    </w:p>
    <w:p w:rsidR="006A18FD" w:rsidRDefault="006A18FD">
      <w:pPr>
        <w:rPr>
          <w:rFonts w:ascii="Calibri"/>
          <w:b/>
          <w:sz w:val="20"/>
        </w:rPr>
      </w:pPr>
    </w:p>
    <w:p w:rsidR="006A18FD" w:rsidRDefault="006A18FD">
      <w:pPr>
        <w:spacing w:before="5"/>
        <w:rPr>
          <w:rFonts w:ascii="Calibri"/>
          <w:b/>
          <w:sz w:val="19"/>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2552"/>
        <w:gridCol w:w="2410"/>
      </w:tblGrid>
      <w:tr w:rsidR="006A18FD" w:rsidTr="001B7F44">
        <w:trPr>
          <w:trHeight w:val="720"/>
          <w:tblHeader/>
        </w:trPr>
        <w:tc>
          <w:tcPr>
            <w:tcW w:w="5360" w:type="dxa"/>
          </w:tcPr>
          <w:p w:rsidR="006A18FD" w:rsidRDefault="006A18FD">
            <w:pPr>
              <w:spacing w:before="2"/>
              <w:rPr>
                <w:rFonts w:ascii="Calibri"/>
                <w:b/>
                <w:sz w:val="20"/>
              </w:rPr>
            </w:pPr>
          </w:p>
          <w:p w:rsidR="006A18FD" w:rsidRDefault="002D29FC">
            <w:pPr>
              <w:ind w:left="102"/>
              <w:rPr>
                <w:rFonts w:ascii="Calibri"/>
                <w:b/>
                <w:sz w:val="20"/>
              </w:rPr>
            </w:pPr>
            <w:r>
              <w:rPr>
                <w:rFonts w:ascii="Calibri"/>
                <w:b/>
                <w:sz w:val="20"/>
              </w:rPr>
              <w:t>Service level</w:t>
            </w:r>
          </w:p>
        </w:tc>
        <w:tc>
          <w:tcPr>
            <w:tcW w:w="2552" w:type="dxa"/>
          </w:tcPr>
          <w:p w:rsidR="006A18FD" w:rsidRDefault="002D29FC">
            <w:pPr>
              <w:spacing w:before="1"/>
              <w:ind w:left="100" w:right="507"/>
              <w:rPr>
                <w:rFonts w:ascii="Calibri"/>
                <w:b/>
                <w:sz w:val="20"/>
              </w:rPr>
            </w:pPr>
            <w:r>
              <w:rPr>
                <w:rFonts w:ascii="Calibri"/>
                <w:b/>
                <w:sz w:val="20"/>
              </w:rPr>
              <w:t>Mean cost (ranges) per occupied bed day</w:t>
            </w:r>
          </w:p>
          <w:p w:rsidR="006A18FD" w:rsidRDefault="002D29FC">
            <w:pPr>
              <w:spacing w:line="221" w:lineRule="exact"/>
              <w:ind w:left="100"/>
              <w:rPr>
                <w:rFonts w:ascii="Calibri"/>
                <w:b/>
                <w:sz w:val="20"/>
              </w:rPr>
            </w:pPr>
            <w:r>
              <w:rPr>
                <w:rFonts w:ascii="Calibri"/>
                <w:b/>
                <w:sz w:val="20"/>
              </w:rPr>
              <w:t xml:space="preserve">(excluding </w:t>
            </w:r>
            <w:r>
              <w:rPr>
                <w:rFonts w:ascii="Calibri"/>
                <w:b/>
                <w:position w:val="7"/>
                <w:sz w:val="13"/>
              </w:rPr>
              <w:t>b</w:t>
            </w:r>
            <w:r>
              <w:rPr>
                <w:rFonts w:ascii="Calibri"/>
                <w:b/>
                <w:sz w:val="20"/>
              </w:rPr>
              <w:t>)</w:t>
            </w:r>
          </w:p>
        </w:tc>
        <w:tc>
          <w:tcPr>
            <w:tcW w:w="2410" w:type="dxa"/>
          </w:tcPr>
          <w:p w:rsidR="006A18FD" w:rsidRDefault="002D29FC">
            <w:pPr>
              <w:spacing w:before="1"/>
              <w:ind w:left="102" w:right="347"/>
              <w:rPr>
                <w:rFonts w:ascii="Calibri"/>
                <w:b/>
                <w:sz w:val="20"/>
              </w:rPr>
            </w:pPr>
            <w:r>
              <w:rPr>
                <w:rFonts w:ascii="Calibri"/>
                <w:b/>
                <w:sz w:val="20"/>
              </w:rPr>
              <w:t>Mean cost (ranges) per weighted occupied bed</w:t>
            </w:r>
          </w:p>
          <w:p w:rsidR="006A18FD" w:rsidRDefault="002D29FC">
            <w:pPr>
              <w:spacing w:line="221" w:lineRule="exact"/>
              <w:ind w:left="102"/>
              <w:rPr>
                <w:rFonts w:ascii="Calibri"/>
                <w:b/>
                <w:sz w:val="20"/>
              </w:rPr>
            </w:pPr>
            <w:r>
              <w:rPr>
                <w:rFonts w:ascii="Calibri"/>
                <w:b/>
                <w:sz w:val="20"/>
              </w:rPr>
              <w:t xml:space="preserve">day (excluding </w:t>
            </w:r>
            <w:r>
              <w:rPr>
                <w:rFonts w:ascii="Calibri"/>
                <w:b/>
                <w:position w:val="7"/>
                <w:sz w:val="13"/>
              </w:rPr>
              <w:t>b</w:t>
            </w:r>
            <w:r>
              <w:rPr>
                <w:rFonts w:ascii="Calibri"/>
                <w:b/>
                <w:sz w:val="20"/>
              </w:rPr>
              <w:t>)</w:t>
            </w:r>
          </w:p>
        </w:tc>
      </w:tr>
      <w:tr w:rsidR="006A18FD">
        <w:trPr>
          <w:trHeight w:val="960"/>
        </w:trPr>
        <w:tc>
          <w:tcPr>
            <w:tcW w:w="10322" w:type="dxa"/>
            <w:gridSpan w:val="3"/>
          </w:tcPr>
          <w:p w:rsidR="006A18FD" w:rsidRDefault="002D29FC">
            <w:pPr>
              <w:spacing w:before="1" w:line="240" w:lineRule="atLeast"/>
              <w:ind w:left="102" w:right="267"/>
              <w:rPr>
                <w:rFonts w:ascii="Calibri" w:hAnsi="Calibri"/>
                <w:sz w:val="20"/>
              </w:rPr>
            </w:pPr>
            <w:r>
              <w:rPr>
                <w:rFonts w:ascii="Calibri" w:hAnsi="Calibri"/>
                <w:b/>
                <w:sz w:val="20"/>
              </w:rPr>
              <w:t>Level 1 - Tertiary ‘specialised’ rehabilitation services</w:t>
            </w:r>
            <w:r>
              <w:rPr>
                <w:rFonts w:ascii="Calibri" w:hAnsi="Calibri"/>
                <w:sz w:val="20"/>
              </w:rPr>
              <w:t>: high cost / low volume services for patients with highly complex rehabilitation needs that are beyond the scope of their local and district specialist services. These are normally provided in co-ordinated service networks planned over a regional population of 1,000,000-5,000,000 through specialised commissioning arrangements.</w:t>
            </w:r>
          </w:p>
        </w:tc>
      </w:tr>
      <w:tr w:rsidR="006A18FD">
        <w:trPr>
          <w:trHeight w:val="519"/>
        </w:trPr>
        <w:tc>
          <w:tcPr>
            <w:tcW w:w="5360" w:type="dxa"/>
          </w:tcPr>
          <w:p w:rsidR="006A18FD" w:rsidRDefault="002D29FC">
            <w:pPr>
              <w:spacing w:before="136"/>
              <w:ind w:left="102"/>
              <w:rPr>
                <w:rFonts w:ascii="Calibri"/>
                <w:sz w:val="20"/>
              </w:rPr>
            </w:pPr>
            <w:r>
              <w:rPr>
                <w:rFonts w:ascii="Calibri"/>
                <w:b/>
                <w:sz w:val="20"/>
              </w:rPr>
              <w:t xml:space="preserve">Level 1a </w:t>
            </w:r>
            <w:r>
              <w:rPr>
                <w:rFonts w:ascii="Calibri"/>
                <w:sz w:val="20"/>
              </w:rPr>
              <w:t>- for patients with high physical dependency</w:t>
            </w:r>
          </w:p>
        </w:tc>
        <w:tc>
          <w:tcPr>
            <w:tcW w:w="2552" w:type="dxa"/>
          </w:tcPr>
          <w:p w:rsidR="006A18FD" w:rsidRDefault="002D29FC">
            <w:pPr>
              <w:spacing w:before="120"/>
              <w:ind w:left="501"/>
              <w:rPr>
                <w:rFonts w:ascii="Calibri" w:hAnsi="Calibri"/>
                <w:sz w:val="20"/>
              </w:rPr>
            </w:pPr>
            <w:r>
              <w:rPr>
                <w:rFonts w:ascii="Calibri" w:hAnsi="Calibri"/>
                <w:sz w:val="20"/>
              </w:rPr>
              <w:t>£602 (£523 - £691)</w:t>
            </w:r>
          </w:p>
        </w:tc>
        <w:tc>
          <w:tcPr>
            <w:tcW w:w="2410" w:type="dxa"/>
          </w:tcPr>
          <w:p w:rsidR="006A18FD" w:rsidRDefault="002D29FC">
            <w:pPr>
              <w:spacing w:before="120"/>
              <w:ind w:left="412" w:right="413"/>
              <w:jc w:val="center"/>
              <w:rPr>
                <w:rFonts w:ascii="Calibri" w:hAnsi="Calibri"/>
                <w:sz w:val="20"/>
              </w:rPr>
            </w:pPr>
            <w:r>
              <w:rPr>
                <w:rFonts w:ascii="Calibri" w:hAnsi="Calibri"/>
                <w:sz w:val="20"/>
              </w:rPr>
              <w:t>£451 (£388 - £496)</w:t>
            </w:r>
          </w:p>
        </w:tc>
      </w:tr>
      <w:tr w:rsidR="006A18FD">
        <w:trPr>
          <w:trHeight w:val="520"/>
        </w:trPr>
        <w:tc>
          <w:tcPr>
            <w:tcW w:w="5360" w:type="dxa"/>
          </w:tcPr>
          <w:p w:rsidR="006A18FD" w:rsidRDefault="002D29FC">
            <w:pPr>
              <w:spacing w:before="138"/>
              <w:ind w:left="102"/>
              <w:rPr>
                <w:rFonts w:ascii="Calibri"/>
                <w:sz w:val="20"/>
              </w:rPr>
            </w:pPr>
            <w:r>
              <w:rPr>
                <w:rFonts w:ascii="Calibri"/>
                <w:b/>
                <w:sz w:val="20"/>
              </w:rPr>
              <w:t xml:space="preserve">Level 1b </w:t>
            </w:r>
            <w:r>
              <w:rPr>
                <w:rFonts w:ascii="Calibri"/>
                <w:sz w:val="20"/>
              </w:rPr>
              <w:t>- mixed dependency</w:t>
            </w:r>
          </w:p>
        </w:tc>
        <w:tc>
          <w:tcPr>
            <w:tcW w:w="2552" w:type="dxa"/>
          </w:tcPr>
          <w:p w:rsidR="006A18FD" w:rsidRDefault="002D29FC">
            <w:pPr>
              <w:spacing w:before="121"/>
              <w:ind w:left="501"/>
              <w:rPr>
                <w:rFonts w:ascii="Calibri" w:hAnsi="Calibri"/>
                <w:sz w:val="20"/>
              </w:rPr>
            </w:pPr>
            <w:r>
              <w:rPr>
                <w:rFonts w:ascii="Calibri" w:hAnsi="Calibri"/>
                <w:sz w:val="20"/>
              </w:rPr>
              <w:t>£537 (£484 - £580)</w:t>
            </w:r>
          </w:p>
        </w:tc>
        <w:tc>
          <w:tcPr>
            <w:tcW w:w="2410" w:type="dxa"/>
          </w:tcPr>
          <w:p w:rsidR="006A18FD" w:rsidRDefault="002D29FC">
            <w:pPr>
              <w:spacing w:before="121"/>
              <w:ind w:left="412" w:right="413"/>
              <w:jc w:val="center"/>
              <w:rPr>
                <w:rFonts w:ascii="Calibri" w:hAnsi="Calibri"/>
                <w:sz w:val="20"/>
              </w:rPr>
            </w:pPr>
            <w:r>
              <w:rPr>
                <w:rFonts w:ascii="Calibri" w:hAnsi="Calibri"/>
                <w:sz w:val="20"/>
              </w:rPr>
              <w:t>£401 (£344 - £439)</w:t>
            </w:r>
          </w:p>
        </w:tc>
      </w:tr>
      <w:tr w:rsidR="006A18FD">
        <w:trPr>
          <w:trHeight w:val="520"/>
        </w:trPr>
        <w:tc>
          <w:tcPr>
            <w:tcW w:w="5360" w:type="dxa"/>
          </w:tcPr>
          <w:p w:rsidR="006A18FD" w:rsidRDefault="002D29FC">
            <w:pPr>
              <w:spacing w:before="11" w:line="244" w:lineRule="exact"/>
              <w:ind w:left="102" w:right="1389"/>
              <w:rPr>
                <w:rFonts w:ascii="Calibri"/>
                <w:sz w:val="13"/>
              </w:rPr>
            </w:pPr>
            <w:r>
              <w:rPr>
                <w:rFonts w:ascii="Calibri"/>
                <w:b/>
                <w:sz w:val="20"/>
              </w:rPr>
              <w:t xml:space="preserve">Level 1c </w:t>
            </w:r>
            <w:r>
              <w:rPr>
                <w:rFonts w:ascii="Calibri"/>
                <w:sz w:val="20"/>
              </w:rPr>
              <w:t>- mainly physically stable patients with cognitive/behavioural disabilities.</w:t>
            </w:r>
            <w:r>
              <w:rPr>
                <w:rFonts w:ascii="Calibri"/>
                <w:position w:val="7"/>
                <w:sz w:val="13"/>
              </w:rPr>
              <w:t>a</w:t>
            </w:r>
          </w:p>
        </w:tc>
        <w:tc>
          <w:tcPr>
            <w:tcW w:w="2552" w:type="dxa"/>
          </w:tcPr>
          <w:p w:rsidR="006A18FD" w:rsidRDefault="002D29FC">
            <w:pPr>
              <w:spacing w:before="121"/>
              <w:ind w:left="501"/>
              <w:rPr>
                <w:rFonts w:ascii="Calibri" w:hAnsi="Calibri"/>
                <w:sz w:val="20"/>
              </w:rPr>
            </w:pPr>
            <w:r>
              <w:rPr>
                <w:rFonts w:ascii="Calibri" w:hAnsi="Calibri"/>
                <w:sz w:val="20"/>
              </w:rPr>
              <w:t>£717 (£653 - £804)</w:t>
            </w:r>
          </w:p>
        </w:tc>
        <w:tc>
          <w:tcPr>
            <w:tcW w:w="2410" w:type="dxa"/>
          </w:tcPr>
          <w:p w:rsidR="006A18FD" w:rsidRDefault="002D29FC">
            <w:pPr>
              <w:spacing w:before="121"/>
              <w:ind w:left="412" w:right="413"/>
              <w:jc w:val="center"/>
              <w:rPr>
                <w:rFonts w:ascii="Calibri" w:hAnsi="Calibri"/>
                <w:sz w:val="20"/>
              </w:rPr>
            </w:pPr>
            <w:r>
              <w:rPr>
                <w:rFonts w:ascii="Calibri" w:hAnsi="Calibri"/>
                <w:sz w:val="20"/>
              </w:rPr>
              <w:t>£540 (£488 - £601)</w:t>
            </w:r>
          </w:p>
        </w:tc>
      </w:tr>
      <w:tr w:rsidR="006A18FD">
        <w:trPr>
          <w:trHeight w:val="960"/>
        </w:trPr>
        <w:tc>
          <w:tcPr>
            <w:tcW w:w="10322" w:type="dxa"/>
            <w:gridSpan w:val="3"/>
          </w:tcPr>
          <w:p w:rsidR="006A18FD" w:rsidRDefault="002D29FC">
            <w:pPr>
              <w:spacing w:before="1"/>
              <w:ind w:left="102" w:right="233"/>
              <w:jc w:val="both"/>
              <w:rPr>
                <w:rFonts w:ascii="Calibri" w:hAnsi="Calibri"/>
                <w:sz w:val="20"/>
              </w:rPr>
            </w:pPr>
            <w:r>
              <w:rPr>
                <w:rFonts w:ascii="Calibri" w:hAnsi="Calibri"/>
                <w:b/>
                <w:sz w:val="20"/>
              </w:rPr>
              <w:t>Level 2 – Local (district) specialist services</w:t>
            </w:r>
            <w:r>
              <w:rPr>
                <w:rFonts w:ascii="Calibri" w:hAnsi="Calibri"/>
                <w:sz w:val="20"/>
              </w:rPr>
              <w:t>: typically planned over a district-level population of 350,000-500,000 providing advice and support for local general rehabilitation teams. As tertiary specialised rehabilitation services are thinly spread, in some areas of the UK where access is poor, local specialist rehabilitation services have extended to support a supra-district</w:t>
            </w:r>
          </w:p>
          <w:p w:rsidR="006A18FD" w:rsidRDefault="002D29FC">
            <w:pPr>
              <w:spacing w:line="223" w:lineRule="exact"/>
              <w:ind w:left="102"/>
              <w:jc w:val="both"/>
              <w:rPr>
                <w:rFonts w:ascii="Calibri"/>
                <w:sz w:val="20"/>
              </w:rPr>
            </w:pPr>
            <w:r>
              <w:rPr>
                <w:rFonts w:ascii="Calibri"/>
                <w:sz w:val="20"/>
              </w:rPr>
              <w:t>catchment of 750,000-1,000,000, and take a higher proportion (at least 50%) of patients with very complex needs.</w:t>
            </w:r>
          </w:p>
        </w:tc>
      </w:tr>
      <w:tr w:rsidR="006A18FD">
        <w:trPr>
          <w:trHeight w:val="520"/>
        </w:trPr>
        <w:tc>
          <w:tcPr>
            <w:tcW w:w="5360" w:type="dxa"/>
          </w:tcPr>
          <w:p w:rsidR="006A18FD" w:rsidRDefault="002D29FC">
            <w:pPr>
              <w:spacing w:before="140"/>
              <w:ind w:left="102"/>
              <w:rPr>
                <w:rFonts w:ascii="Calibri"/>
                <w:sz w:val="20"/>
              </w:rPr>
            </w:pPr>
            <w:r>
              <w:rPr>
                <w:rFonts w:ascii="Calibri"/>
                <w:b/>
                <w:sz w:val="20"/>
              </w:rPr>
              <w:t xml:space="preserve">Level 2a -  </w:t>
            </w:r>
            <w:r>
              <w:rPr>
                <w:rFonts w:ascii="Calibri"/>
                <w:sz w:val="20"/>
              </w:rPr>
              <w:t>supra-district specialist rehabilitation services</w:t>
            </w:r>
          </w:p>
        </w:tc>
        <w:tc>
          <w:tcPr>
            <w:tcW w:w="2552" w:type="dxa"/>
          </w:tcPr>
          <w:p w:rsidR="006A18FD" w:rsidRDefault="002D29FC">
            <w:pPr>
              <w:spacing w:before="121"/>
              <w:ind w:left="501"/>
              <w:rPr>
                <w:rFonts w:ascii="Calibri" w:hAnsi="Calibri"/>
                <w:sz w:val="20"/>
              </w:rPr>
            </w:pPr>
            <w:r>
              <w:rPr>
                <w:rFonts w:ascii="Calibri" w:hAnsi="Calibri"/>
                <w:sz w:val="20"/>
              </w:rPr>
              <w:t>£487 (£357 - £578)</w:t>
            </w:r>
          </w:p>
        </w:tc>
        <w:tc>
          <w:tcPr>
            <w:tcW w:w="2410" w:type="dxa"/>
          </w:tcPr>
          <w:p w:rsidR="006A18FD" w:rsidRDefault="002D29FC">
            <w:pPr>
              <w:spacing w:before="121"/>
              <w:ind w:left="412" w:right="413"/>
              <w:jc w:val="center"/>
              <w:rPr>
                <w:rFonts w:ascii="Calibri" w:hAnsi="Calibri"/>
                <w:sz w:val="20"/>
              </w:rPr>
            </w:pPr>
            <w:r>
              <w:rPr>
                <w:rFonts w:ascii="Calibri" w:hAnsi="Calibri"/>
                <w:sz w:val="20"/>
              </w:rPr>
              <w:t>£389 (£255 - £492)</w:t>
            </w:r>
          </w:p>
        </w:tc>
      </w:tr>
      <w:tr w:rsidR="006A18FD">
        <w:trPr>
          <w:trHeight w:val="520"/>
        </w:trPr>
        <w:tc>
          <w:tcPr>
            <w:tcW w:w="5360" w:type="dxa"/>
          </w:tcPr>
          <w:p w:rsidR="006A18FD" w:rsidRDefault="002D29FC">
            <w:pPr>
              <w:spacing w:before="140"/>
              <w:ind w:left="102"/>
              <w:rPr>
                <w:rFonts w:ascii="Calibri"/>
                <w:sz w:val="20"/>
              </w:rPr>
            </w:pPr>
            <w:r>
              <w:rPr>
                <w:rFonts w:ascii="Calibri"/>
                <w:b/>
                <w:sz w:val="20"/>
              </w:rPr>
              <w:t xml:space="preserve">Level 2b - </w:t>
            </w:r>
            <w:r>
              <w:rPr>
                <w:rFonts w:ascii="Calibri"/>
                <w:sz w:val="20"/>
              </w:rPr>
              <w:t>local specialist rehabilitation services</w:t>
            </w:r>
          </w:p>
        </w:tc>
        <w:tc>
          <w:tcPr>
            <w:tcW w:w="2552" w:type="dxa"/>
          </w:tcPr>
          <w:p w:rsidR="006A18FD" w:rsidRDefault="002D29FC">
            <w:pPr>
              <w:spacing w:before="121"/>
              <w:ind w:left="523"/>
              <w:rPr>
                <w:rFonts w:ascii="Calibri" w:hAnsi="Calibri"/>
                <w:sz w:val="20"/>
              </w:rPr>
            </w:pPr>
            <w:r>
              <w:rPr>
                <w:rFonts w:ascii="Calibri" w:hAnsi="Calibri"/>
                <w:sz w:val="20"/>
              </w:rPr>
              <w:t>£459 (£348- £564)</w:t>
            </w:r>
          </w:p>
        </w:tc>
        <w:tc>
          <w:tcPr>
            <w:tcW w:w="2410" w:type="dxa"/>
          </w:tcPr>
          <w:p w:rsidR="006A18FD" w:rsidRDefault="002D29FC">
            <w:pPr>
              <w:spacing w:before="121"/>
              <w:ind w:left="412" w:right="413"/>
              <w:jc w:val="center"/>
              <w:rPr>
                <w:rFonts w:ascii="Calibri" w:hAnsi="Calibri"/>
                <w:sz w:val="20"/>
              </w:rPr>
            </w:pPr>
            <w:r>
              <w:rPr>
                <w:rFonts w:ascii="Calibri" w:hAnsi="Calibri"/>
                <w:sz w:val="20"/>
              </w:rPr>
              <w:t>£383 (£327 - £468)</w:t>
            </w:r>
          </w:p>
        </w:tc>
      </w:tr>
      <w:tr w:rsidR="006A18FD">
        <w:trPr>
          <w:trHeight w:val="960"/>
        </w:trPr>
        <w:tc>
          <w:tcPr>
            <w:tcW w:w="10322" w:type="dxa"/>
            <w:gridSpan w:val="3"/>
          </w:tcPr>
          <w:p w:rsidR="006A18FD" w:rsidRDefault="002D29FC">
            <w:pPr>
              <w:spacing w:before="85" w:line="280" w:lineRule="atLeast"/>
              <w:ind w:left="102" w:right="152"/>
              <w:rPr>
                <w:rFonts w:ascii="Calibri"/>
                <w:sz w:val="20"/>
              </w:rPr>
            </w:pPr>
            <w:r>
              <w:rPr>
                <w:rFonts w:ascii="Calibri"/>
                <w:b/>
                <w:sz w:val="20"/>
              </w:rPr>
              <w:t xml:space="preserve">Hyper-acute </w:t>
            </w:r>
            <w:r>
              <w:rPr>
                <w:rFonts w:ascii="Calibri"/>
                <w:sz w:val="20"/>
              </w:rPr>
              <w:t>- These units are sited within acute care settings. They take patients at a very early stage in the rehabilitation pathway when they still have medical and surgical needs requiring continued active support from the trauma, neuroscience or acute medical services.</w:t>
            </w:r>
          </w:p>
        </w:tc>
      </w:tr>
      <w:tr w:rsidR="006A18FD">
        <w:trPr>
          <w:trHeight w:val="520"/>
        </w:trPr>
        <w:tc>
          <w:tcPr>
            <w:tcW w:w="5360" w:type="dxa"/>
          </w:tcPr>
          <w:p w:rsidR="006A18FD" w:rsidRDefault="002D29FC">
            <w:pPr>
              <w:spacing w:before="140"/>
              <w:ind w:left="102"/>
              <w:rPr>
                <w:rFonts w:ascii="Calibri"/>
                <w:b/>
                <w:sz w:val="20"/>
              </w:rPr>
            </w:pPr>
            <w:r>
              <w:rPr>
                <w:rFonts w:ascii="Calibri"/>
                <w:b/>
                <w:sz w:val="20"/>
              </w:rPr>
              <w:t>Hyper-acute</w:t>
            </w:r>
          </w:p>
        </w:tc>
        <w:tc>
          <w:tcPr>
            <w:tcW w:w="2552" w:type="dxa"/>
          </w:tcPr>
          <w:p w:rsidR="006A18FD" w:rsidRDefault="002D29FC">
            <w:pPr>
              <w:spacing w:before="123"/>
              <w:ind w:left="501"/>
              <w:rPr>
                <w:rFonts w:ascii="Calibri" w:hAnsi="Calibri"/>
                <w:sz w:val="20"/>
              </w:rPr>
            </w:pPr>
            <w:r>
              <w:rPr>
                <w:rFonts w:ascii="Calibri" w:hAnsi="Calibri"/>
                <w:sz w:val="20"/>
              </w:rPr>
              <w:t>£739 (£702 - £774)</w:t>
            </w:r>
          </w:p>
        </w:tc>
        <w:tc>
          <w:tcPr>
            <w:tcW w:w="2410" w:type="dxa"/>
          </w:tcPr>
          <w:p w:rsidR="006A18FD" w:rsidRDefault="002D29FC">
            <w:pPr>
              <w:spacing w:before="123"/>
              <w:ind w:left="412" w:right="413"/>
              <w:jc w:val="center"/>
              <w:rPr>
                <w:rFonts w:ascii="Calibri" w:hAnsi="Calibri"/>
                <w:sz w:val="20"/>
              </w:rPr>
            </w:pPr>
            <w:r>
              <w:rPr>
                <w:rFonts w:ascii="Calibri" w:hAnsi="Calibri"/>
                <w:sz w:val="20"/>
              </w:rPr>
              <w:t>£461 (£435 - £487)</w:t>
            </w:r>
          </w:p>
        </w:tc>
      </w:tr>
    </w:tbl>
    <w:p w:rsidR="006A18FD" w:rsidRDefault="002D29FC" w:rsidP="008E3FA8">
      <w:pPr>
        <w:numPr>
          <w:ilvl w:val="2"/>
          <w:numId w:val="13"/>
        </w:numPr>
        <w:tabs>
          <w:tab w:val="left" w:pos="853"/>
          <w:tab w:val="left" w:pos="854"/>
        </w:tabs>
        <w:spacing w:before="1"/>
        <w:rPr>
          <w:rFonts w:ascii="Calibri"/>
          <w:sz w:val="20"/>
        </w:rPr>
      </w:pPr>
      <w:r>
        <w:rPr>
          <w:rFonts w:ascii="Calibri"/>
          <w:sz w:val="20"/>
        </w:rPr>
        <w:t>Based on only two</w:t>
      </w:r>
      <w:r>
        <w:rPr>
          <w:rFonts w:ascii="Calibri"/>
          <w:spacing w:val="-15"/>
          <w:sz w:val="20"/>
        </w:rPr>
        <w:t xml:space="preserve"> </w:t>
      </w:r>
      <w:r>
        <w:rPr>
          <w:rFonts w:ascii="Calibri"/>
          <w:sz w:val="20"/>
        </w:rPr>
        <w:t>services</w:t>
      </w:r>
    </w:p>
    <w:p w:rsidR="006A18FD" w:rsidRDefault="002D29FC" w:rsidP="008E3FA8">
      <w:pPr>
        <w:numPr>
          <w:ilvl w:val="2"/>
          <w:numId w:val="13"/>
        </w:numPr>
        <w:tabs>
          <w:tab w:val="left" w:pos="854"/>
        </w:tabs>
        <w:spacing w:before="24"/>
        <w:rPr>
          <w:rFonts w:ascii="Calibri"/>
          <w:sz w:val="20"/>
        </w:rPr>
      </w:pPr>
      <w:r>
        <w:rPr>
          <w:rFonts w:ascii="Calibri"/>
          <w:sz w:val="20"/>
        </w:rPr>
        <w:t>MFF (Market Forces</w:t>
      </w:r>
      <w:r>
        <w:rPr>
          <w:rFonts w:ascii="Calibri"/>
          <w:spacing w:val="-18"/>
          <w:sz w:val="20"/>
        </w:rPr>
        <w:t xml:space="preserve"> </w:t>
      </w:r>
      <w:r>
        <w:rPr>
          <w:rFonts w:ascii="Calibri"/>
          <w:sz w:val="20"/>
        </w:rPr>
        <w:t>Factor)</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3"/>
        <w:rPr>
          <w:rFonts w:ascii="Calibri"/>
          <w:sz w:val="20"/>
        </w:rPr>
      </w:pPr>
    </w:p>
    <w:p w:rsidR="006A18FD" w:rsidRDefault="002D29FC">
      <w:pPr>
        <w:spacing w:before="1"/>
        <w:ind w:left="423" w:right="409" w:hanging="284"/>
        <w:rPr>
          <w:rFonts w:ascii="Calibri"/>
          <w:sz w:val="16"/>
        </w:rPr>
      </w:pPr>
      <w:r>
        <w:rPr>
          <w:rFonts w:ascii="Calibri"/>
          <w:position w:val="5"/>
          <w:sz w:val="10"/>
        </w:rPr>
        <w:t xml:space="preserve">1 </w:t>
      </w:r>
      <w:r>
        <w:rPr>
          <w:rFonts w:ascii="Calibri"/>
          <w:sz w:val="16"/>
          <w:u w:val="single"/>
        </w:rPr>
        <w:t>For more information contact: UKROC - UK Rehabilitation Outcomes Collaborative, St Marks Hospital, London North West Healthcare NHS Trust, Watford</w:t>
      </w:r>
      <w:r>
        <w:rPr>
          <w:rFonts w:ascii="Calibri"/>
          <w:sz w:val="16"/>
        </w:rPr>
        <w:t xml:space="preserve"> </w:t>
      </w:r>
      <w:r>
        <w:rPr>
          <w:rFonts w:ascii="Calibri"/>
          <w:sz w:val="16"/>
          <w:u w:val="single"/>
        </w:rPr>
        <w:t xml:space="preserve">Road, Harrow HA1 3UJ. Email: </w:t>
      </w:r>
      <w:hyperlink r:id="rId269">
        <w:r>
          <w:rPr>
            <w:rFonts w:ascii="Calibri"/>
            <w:sz w:val="16"/>
            <w:u w:val="single"/>
          </w:rPr>
          <w:t>lnwh-tr.ukroc@nhs.net.</w:t>
        </w:r>
      </w:hyperlink>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British Society of Rehabilitation Medicine (2015) </w:t>
      </w:r>
      <w:r>
        <w:rPr>
          <w:rFonts w:ascii="Calibri"/>
          <w:i/>
          <w:sz w:val="16"/>
        </w:rPr>
        <w:t>Specialised Neurorehabilitation Service Standards</w:t>
      </w:r>
      <w:r>
        <w:rPr>
          <w:rFonts w:ascii="Calibri"/>
          <w:sz w:val="16"/>
        </w:rPr>
        <w:t>, BSRM London.</w:t>
      </w:r>
    </w:p>
    <w:p w:rsidR="006A18FD" w:rsidRDefault="002D29FC">
      <w:pPr>
        <w:spacing w:before="1" w:line="195" w:lineRule="exact"/>
        <w:ind w:left="140"/>
        <w:rPr>
          <w:rFonts w:ascii="Calibri"/>
          <w:sz w:val="16"/>
        </w:rPr>
      </w:pPr>
      <w:r>
        <w:rPr>
          <w:rFonts w:ascii="Calibri"/>
          <w:position w:val="5"/>
          <w:sz w:val="10"/>
        </w:rPr>
        <w:t xml:space="preserve">3   </w:t>
      </w:r>
      <w:hyperlink r:id="rId270">
        <w:r>
          <w:rPr>
            <w:rFonts w:ascii="Calibri"/>
            <w:sz w:val="16"/>
            <w:u w:val="single"/>
          </w:rPr>
          <w:t>http://www.england.nhs.uk/commissioning/spec-services/npc-crg/group-d/d02/</w:t>
        </w:r>
      </w:hyperlink>
    </w:p>
    <w:p w:rsidR="006A18FD" w:rsidRDefault="002D29FC">
      <w:pPr>
        <w:ind w:left="423" w:right="500" w:hanging="284"/>
        <w:rPr>
          <w:rFonts w:ascii="Calibri"/>
          <w:sz w:val="16"/>
        </w:rPr>
      </w:pPr>
      <w:r>
        <w:rPr>
          <w:rFonts w:ascii="Calibri"/>
          <w:position w:val="5"/>
          <w:sz w:val="10"/>
        </w:rPr>
        <w:t xml:space="preserve">4 </w:t>
      </w:r>
      <w:r>
        <w:rPr>
          <w:rFonts w:ascii="Calibri"/>
          <w:sz w:val="16"/>
        </w:rPr>
        <w:t xml:space="preserve">British Society of Rehabilitation Medicine (2013) </w:t>
      </w:r>
      <w:r>
        <w:rPr>
          <w:rFonts w:ascii="Calibri"/>
          <w:i/>
          <w:sz w:val="16"/>
        </w:rPr>
        <w:t>Core standards and major trauma</w:t>
      </w:r>
      <w:r>
        <w:rPr>
          <w:rFonts w:ascii="Calibri"/>
          <w:sz w:val="16"/>
        </w:rPr>
        <w:t xml:space="preserve">, London: </w:t>
      </w:r>
      <w:hyperlink r:id="rId271" w:anchor="BSRMstandards">
        <w:r>
          <w:rPr>
            <w:rFonts w:ascii="Calibri"/>
            <w:sz w:val="16"/>
            <w:u w:val="single"/>
          </w:rPr>
          <w:t>http://www.bsrm.co.uk/Publications.html#BSRMstandards</w:t>
        </w:r>
      </w:hyperlink>
      <w:r>
        <w:rPr>
          <w:rFonts w:ascii="Calibri"/>
          <w:sz w:val="16"/>
        </w:rPr>
        <w:t xml:space="preserve"> </w:t>
      </w:r>
      <w:r>
        <w:rPr>
          <w:rFonts w:ascii="Calibri"/>
          <w:sz w:val="16"/>
          <w:u w:val="single"/>
        </w:rPr>
        <w:t>[accessed 10 November 2015]</w:t>
      </w:r>
    </w:p>
    <w:p w:rsidR="006A18FD" w:rsidRDefault="002D29FC">
      <w:pPr>
        <w:spacing w:before="2"/>
        <w:ind w:left="423" w:right="1571" w:hanging="284"/>
        <w:rPr>
          <w:rFonts w:ascii="Calibri"/>
          <w:sz w:val="16"/>
        </w:rPr>
      </w:pPr>
      <w:r>
        <w:rPr>
          <w:rFonts w:ascii="Calibri"/>
          <w:position w:val="5"/>
          <w:sz w:val="10"/>
        </w:rPr>
        <w:t xml:space="preserve">5 </w:t>
      </w:r>
      <w:r>
        <w:rPr>
          <w:rFonts w:ascii="Calibri"/>
          <w:sz w:val="16"/>
        </w:rPr>
        <w:t xml:space="preserve">Clinical Reference Group Specialist Services Specification (2012) </w:t>
      </w:r>
      <w:r>
        <w:rPr>
          <w:rFonts w:ascii="Calibri"/>
          <w:i/>
          <w:sz w:val="16"/>
        </w:rPr>
        <w:t xml:space="preserve">Specialist rehabilitation for patients with highly complex needs, </w:t>
      </w:r>
      <w:r>
        <w:rPr>
          <w:rFonts w:ascii="Calibri"/>
          <w:sz w:val="16"/>
        </w:rPr>
        <w:t xml:space="preserve">London </w:t>
      </w:r>
      <w:hyperlink r:id="rId272">
        <w:r>
          <w:rPr>
            <w:rFonts w:ascii="Calibri"/>
            <w:sz w:val="16"/>
            <w:u w:val="single"/>
          </w:rPr>
          <w:t>http://www.england.nhs.uk/commissioning/spec-services/npc-crg/group-d/d02/) [accessed</w:t>
        </w:r>
        <w:r>
          <w:rPr>
            <w:rFonts w:ascii="Calibri"/>
            <w:sz w:val="16"/>
          </w:rPr>
          <w:t xml:space="preserve"> </w:t>
        </w:r>
      </w:hyperlink>
      <w:r>
        <w:rPr>
          <w:rFonts w:ascii="Calibri"/>
          <w:sz w:val="16"/>
        </w:rPr>
        <w:t>10 November 2015]</w:t>
      </w:r>
    </w:p>
    <w:p w:rsidR="006A18FD" w:rsidRDefault="006A18FD">
      <w:pPr>
        <w:rPr>
          <w:rFonts w:ascii="Calibri"/>
          <w:sz w:val="16"/>
        </w:rPr>
        <w:sectPr w:rsidR="006A18FD">
          <w:headerReference w:type="even" r:id="rId273"/>
          <w:headerReference w:type="default" r:id="rId274"/>
          <w:pgSz w:w="11910" w:h="16840"/>
          <w:pgMar w:top="960" w:right="74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64" name="Line 12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2146FE" id="Group 12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qGnQjX4CAACBBQAA&#10;DgAAAAAAAAAAAAAAAAAuAgAAZHJzL2Uyb0RvYy54bWxQSwECLQAUAAYACAAAACEALXfkXNoAAAAE&#10;AQAADwAAAAAAAAAAAAAAAADYBAAAZHJzL2Rvd25yZXYueG1sUEsFBgAAAAAEAAQA8wAAAN8FAAAA&#10;AA==&#10;">
                <v:line id="Line 12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w10:anchorlock/>
              </v:group>
            </w:pict>
          </mc:Fallback>
        </mc:AlternateContent>
      </w:r>
    </w:p>
    <w:p w:rsidR="006A18FD" w:rsidRDefault="008D2D0B" w:rsidP="008D2D0B">
      <w:pPr>
        <w:pStyle w:val="Heading2"/>
      </w:pPr>
      <w:r>
        <w:t xml:space="preserve">7.8 </w:t>
      </w:r>
      <w:r w:rsidR="002D29FC">
        <w:t>NHS reference costs for sexual</w:t>
      </w:r>
      <w:r w:rsidR="002D29FC">
        <w:rPr>
          <w:spacing w:val="-16"/>
        </w:rPr>
        <w:t xml:space="preserve"> </w:t>
      </w:r>
      <w:r w:rsidR="002D29FC">
        <w:t>health</w:t>
      </w:r>
    </w:p>
    <w:p w:rsidR="006A18FD" w:rsidRDefault="002D29FC">
      <w:pPr>
        <w:spacing w:before="172" w:line="273" w:lineRule="auto"/>
        <w:ind w:left="152" w:right="284"/>
        <w:rPr>
          <w:rFonts w:ascii="Calibri" w:hAnsi="Calibri"/>
          <w:sz w:val="20"/>
        </w:rPr>
      </w:pPr>
      <w:r>
        <w:rPr>
          <w:rFonts w:ascii="Calibri" w:hAnsi="Calibri"/>
          <w:sz w:val="20"/>
        </w:rPr>
        <w:t>‘Reference costs are the average unit cost to the NHS of providing defined services to NHS patients in England in a given financial year. They show how NHS providers spend money to provide health care to patients.’</w:t>
      </w:r>
      <w:r>
        <w:rPr>
          <w:rFonts w:ascii="Calibri" w:hAnsi="Calibri"/>
          <w:position w:val="7"/>
          <w:sz w:val="13"/>
        </w:rPr>
        <w:t xml:space="preserve">1 </w:t>
      </w:r>
      <w:r>
        <w:rPr>
          <w:rFonts w:ascii="Calibri" w:hAnsi="Calibri"/>
          <w:sz w:val="20"/>
        </w:rPr>
        <w:t xml:space="preserve">We have drawn on </w:t>
      </w:r>
      <w:r>
        <w:rPr>
          <w:rFonts w:ascii="Calibri" w:hAnsi="Calibri"/>
          <w:i/>
          <w:sz w:val="20"/>
        </w:rPr>
        <w:t xml:space="preserve">NHS Improvement, Reference Costs 2017/2018 </w:t>
      </w:r>
      <w:r>
        <w:rPr>
          <w:rFonts w:ascii="Calibri" w:hAnsi="Calibri"/>
          <w:sz w:val="20"/>
        </w:rPr>
        <w:t>to report on the NHS reference costs for selected sexual health services.</w:t>
      </w:r>
      <w:r>
        <w:rPr>
          <w:rFonts w:ascii="Calibri" w:hAnsi="Calibri"/>
          <w:position w:val="7"/>
          <w:sz w:val="13"/>
        </w:rPr>
        <w:t xml:space="preserve">1 </w:t>
      </w:r>
      <w:r>
        <w:rPr>
          <w:rFonts w:ascii="Calibri" w:hAnsi="Calibri"/>
          <w:sz w:val="20"/>
        </w:rPr>
        <w:t>All costs have been uprated to 2018/2019 prices using the NHS cost inflation index. Please note the source costs no longer include figures for lower and upper quartiles.</w:t>
      </w:r>
    </w:p>
    <w:p w:rsidR="006A18FD" w:rsidRDefault="002D29FC">
      <w:pPr>
        <w:spacing w:before="122" w:line="276" w:lineRule="auto"/>
        <w:ind w:left="152" w:right="196"/>
        <w:rPr>
          <w:rFonts w:ascii="Calibri"/>
          <w:sz w:val="20"/>
        </w:rPr>
      </w:pPr>
      <w:r>
        <w:rPr>
          <w:rFonts w:ascii="Calibri"/>
          <w:sz w:val="20"/>
        </w:rPr>
        <w:t xml:space="preserve">In previous years, the reference costs have been provided by the Department of Health (now Department of Health and Social Care) using the following guidance: </w:t>
      </w:r>
      <w:hyperlink r:id="rId275">
        <w:r>
          <w:rPr>
            <w:rFonts w:ascii="Calibri"/>
            <w:sz w:val="20"/>
            <w:u w:val="single"/>
          </w:rPr>
          <w:t>https://www.gov.uk/government/collections/nhs-reference-costs</w:t>
        </w:r>
        <w:r>
          <w:rPr>
            <w:rFonts w:ascii="Calibri"/>
            <w:sz w:val="20"/>
          </w:rPr>
          <w:t xml:space="preserve">. </w:t>
        </w:r>
      </w:hyperlink>
      <w:r>
        <w:rPr>
          <w:rFonts w:ascii="Calibri"/>
          <w:sz w:val="20"/>
        </w:rPr>
        <w:t xml:space="preserve">This year NHS Improvement have published new guidance: </w:t>
      </w:r>
      <w:hyperlink r:id="rId276">
        <w:r>
          <w:rPr>
            <w:rFonts w:ascii="Calibri"/>
            <w:sz w:val="20"/>
            <w:u w:val="single"/>
          </w:rPr>
          <w:t>https://improvement.nhs.uk/resources/approved-costing-guidance/</w:t>
        </w:r>
        <w:r>
          <w:rPr>
            <w:rFonts w:ascii="Calibri"/>
            <w:sz w:val="20"/>
          </w:rPr>
          <w:t>.</w:t>
        </w:r>
      </w:hyperlink>
    </w:p>
    <w:p w:rsidR="006A18FD" w:rsidRDefault="006A18FD">
      <w:pPr>
        <w:spacing w:before="8"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8"/>
        <w:gridCol w:w="1702"/>
      </w:tblGrid>
      <w:tr w:rsidR="006A18FD" w:rsidTr="001B7F44">
        <w:trPr>
          <w:trHeight w:val="360"/>
          <w:tblHeader/>
        </w:trPr>
        <w:tc>
          <w:tcPr>
            <w:tcW w:w="8078" w:type="dxa"/>
          </w:tcPr>
          <w:p w:rsidR="006A18FD" w:rsidRDefault="002D29FC">
            <w:pPr>
              <w:spacing w:before="1"/>
              <w:ind w:left="105"/>
              <w:rPr>
                <w:rFonts w:ascii="Calibri"/>
                <w:b/>
                <w:sz w:val="20"/>
              </w:rPr>
            </w:pPr>
            <w:r>
              <w:rPr>
                <w:rFonts w:ascii="Calibri"/>
                <w:b/>
                <w:sz w:val="20"/>
              </w:rPr>
              <w:t>2018/2019 costs</w:t>
            </w:r>
          </w:p>
        </w:tc>
        <w:tc>
          <w:tcPr>
            <w:tcW w:w="1702" w:type="dxa"/>
          </w:tcPr>
          <w:p w:rsidR="006A18FD" w:rsidRDefault="002D29FC">
            <w:pPr>
              <w:spacing w:before="1"/>
              <w:ind w:left="139"/>
              <w:rPr>
                <w:rFonts w:ascii="Calibri"/>
                <w:b/>
                <w:sz w:val="20"/>
              </w:rPr>
            </w:pPr>
            <w:r>
              <w:rPr>
                <w:rFonts w:ascii="Calibri"/>
                <w:b/>
                <w:sz w:val="20"/>
              </w:rPr>
              <w:t>National average</w:t>
            </w:r>
          </w:p>
        </w:tc>
      </w:tr>
      <w:tr w:rsidR="006A18FD">
        <w:trPr>
          <w:trHeight w:val="380"/>
        </w:trPr>
        <w:tc>
          <w:tcPr>
            <w:tcW w:w="8078" w:type="dxa"/>
            <w:tcBorders>
              <w:bottom w:val="nil"/>
            </w:tcBorders>
          </w:tcPr>
          <w:p w:rsidR="006A18FD" w:rsidRDefault="002D29FC">
            <w:pPr>
              <w:spacing w:before="1"/>
              <w:ind w:left="105"/>
              <w:rPr>
                <w:rFonts w:ascii="Calibri"/>
                <w:b/>
                <w:sz w:val="20"/>
              </w:rPr>
            </w:pPr>
            <w:r>
              <w:rPr>
                <w:rFonts w:ascii="Calibri"/>
                <w:b/>
                <w:sz w:val="20"/>
              </w:rPr>
              <w:t>Genito-Urinary Medicine (GUM) infections</w:t>
            </w:r>
          </w:p>
        </w:tc>
        <w:tc>
          <w:tcPr>
            <w:tcW w:w="1702" w:type="dxa"/>
            <w:tcBorders>
              <w:bottom w:val="nil"/>
            </w:tcBorders>
          </w:tcPr>
          <w:p w:rsidR="006A18FD" w:rsidRDefault="006A18FD">
            <w:pPr>
              <w:rPr>
                <w:rFonts w:ascii="Times New Roman"/>
                <w:sz w:val="18"/>
              </w:rPr>
            </w:pPr>
          </w:p>
        </w:tc>
      </w:tr>
      <w:tr w:rsidR="006A18FD">
        <w:trPr>
          <w:trHeight w:val="360"/>
        </w:trPr>
        <w:tc>
          <w:tcPr>
            <w:tcW w:w="8078" w:type="dxa"/>
            <w:tcBorders>
              <w:top w:val="nil"/>
              <w:bottom w:val="nil"/>
            </w:tcBorders>
          </w:tcPr>
          <w:p w:rsidR="006A18FD" w:rsidRDefault="002D29FC">
            <w:pPr>
              <w:spacing w:before="103" w:line="243" w:lineRule="exact"/>
              <w:ind w:left="105"/>
              <w:rPr>
                <w:rFonts w:ascii="Calibri"/>
                <w:b/>
                <w:sz w:val="20"/>
              </w:rPr>
            </w:pPr>
            <w:r>
              <w:rPr>
                <w:rFonts w:ascii="Calibri"/>
                <w:b/>
                <w:sz w:val="20"/>
              </w:rPr>
              <w:t>Elective/non elective Health Care Resource Group (HRG) data, average cost per episode</w:t>
            </w:r>
          </w:p>
        </w:tc>
        <w:tc>
          <w:tcPr>
            <w:tcW w:w="1702" w:type="dxa"/>
            <w:tcBorders>
              <w:top w:val="nil"/>
              <w:bottom w:val="nil"/>
            </w:tcBorders>
          </w:tcPr>
          <w:p w:rsidR="006A18FD" w:rsidRDefault="006A18FD">
            <w:pPr>
              <w:rPr>
                <w:rFonts w:ascii="Times New Roman"/>
                <w:sz w:val="18"/>
              </w:rPr>
            </w:pPr>
          </w:p>
        </w:tc>
      </w:tr>
      <w:tr w:rsidR="006A18FD">
        <w:trPr>
          <w:trHeight w:val="240"/>
        </w:trPr>
        <w:tc>
          <w:tcPr>
            <w:tcW w:w="8078" w:type="dxa"/>
            <w:tcBorders>
              <w:top w:val="nil"/>
              <w:bottom w:val="nil"/>
            </w:tcBorders>
          </w:tcPr>
          <w:p w:rsidR="006A18FD" w:rsidRDefault="002D29FC">
            <w:pPr>
              <w:spacing w:line="225" w:lineRule="exact"/>
              <w:ind w:left="105"/>
              <w:rPr>
                <w:rFonts w:ascii="Calibri"/>
                <w:sz w:val="20"/>
              </w:rPr>
            </w:pPr>
            <w:r>
              <w:rPr>
                <w:rFonts w:ascii="Calibri"/>
                <w:sz w:val="20"/>
              </w:rPr>
              <w:t>Elective inpatient stays</w:t>
            </w:r>
          </w:p>
        </w:tc>
        <w:tc>
          <w:tcPr>
            <w:tcW w:w="1702" w:type="dxa"/>
            <w:tcBorders>
              <w:top w:val="nil"/>
              <w:bottom w:val="nil"/>
            </w:tcBorders>
          </w:tcPr>
          <w:p w:rsidR="006A18FD" w:rsidRDefault="002D29FC">
            <w:pPr>
              <w:spacing w:line="225" w:lineRule="exact"/>
              <w:ind w:left="508"/>
              <w:rPr>
                <w:rFonts w:ascii="Calibri" w:hAnsi="Calibri"/>
                <w:sz w:val="20"/>
              </w:rPr>
            </w:pPr>
            <w:r>
              <w:rPr>
                <w:rFonts w:ascii="Calibri" w:hAnsi="Calibri"/>
                <w:sz w:val="20"/>
              </w:rPr>
              <w:t>£2,804</w:t>
            </w:r>
          </w:p>
        </w:tc>
      </w:tr>
      <w:tr w:rsidR="006A18FD">
        <w:trPr>
          <w:trHeight w:val="240"/>
        </w:trPr>
        <w:tc>
          <w:tcPr>
            <w:tcW w:w="8078" w:type="dxa"/>
            <w:tcBorders>
              <w:top w:val="nil"/>
              <w:bottom w:val="nil"/>
            </w:tcBorders>
          </w:tcPr>
          <w:p w:rsidR="006A18FD" w:rsidRDefault="002D29FC">
            <w:pPr>
              <w:spacing w:line="224" w:lineRule="exact"/>
              <w:ind w:left="105"/>
              <w:rPr>
                <w:rFonts w:ascii="Calibri"/>
                <w:sz w:val="20"/>
              </w:rPr>
            </w:pPr>
            <w:r>
              <w:rPr>
                <w:rFonts w:ascii="Calibri"/>
                <w:sz w:val="20"/>
              </w:rPr>
              <w:t>Non-elective inpatient stays</w:t>
            </w:r>
          </w:p>
        </w:tc>
        <w:tc>
          <w:tcPr>
            <w:tcW w:w="1702" w:type="dxa"/>
            <w:tcBorders>
              <w:top w:val="nil"/>
              <w:bottom w:val="nil"/>
            </w:tcBorders>
          </w:tcPr>
          <w:p w:rsidR="006A18FD" w:rsidRDefault="002D29FC">
            <w:pPr>
              <w:spacing w:line="224" w:lineRule="exact"/>
              <w:ind w:left="508"/>
              <w:rPr>
                <w:rFonts w:ascii="Calibri" w:hAnsi="Calibri"/>
                <w:sz w:val="20"/>
              </w:rPr>
            </w:pPr>
            <w:r>
              <w:rPr>
                <w:rFonts w:ascii="Calibri" w:hAnsi="Calibri"/>
                <w:sz w:val="20"/>
              </w:rPr>
              <w:t>£2,220</w:t>
            </w:r>
          </w:p>
        </w:tc>
      </w:tr>
      <w:tr w:rsidR="006A18FD">
        <w:trPr>
          <w:trHeight w:val="360"/>
        </w:trPr>
        <w:tc>
          <w:tcPr>
            <w:tcW w:w="8078" w:type="dxa"/>
            <w:tcBorders>
              <w:top w:val="nil"/>
              <w:bottom w:val="nil"/>
            </w:tcBorders>
          </w:tcPr>
          <w:p w:rsidR="006A18FD" w:rsidRDefault="002D29FC">
            <w:pPr>
              <w:spacing w:line="225" w:lineRule="exact"/>
              <w:ind w:left="105"/>
              <w:rPr>
                <w:rFonts w:ascii="Calibri"/>
                <w:sz w:val="20"/>
              </w:rPr>
            </w:pPr>
            <w:r>
              <w:rPr>
                <w:rFonts w:ascii="Calibri"/>
                <w:sz w:val="20"/>
              </w:rPr>
              <w:t>Non-elective inpatient stays (short stays)</w:t>
            </w:r>
          </w:p>
        </w:tc>
        <w:tc>
          <w:tcPr>
            <w:tcW w:w="1702" w:type="dxa"/>
            <w:tcBorders>
              <w:top w:val="nil"/>
              <w:bottom w:val="nil"/>
            </w:tcBorders>
          </w:tcPr>
          <w:p w:rsidR="006A18FD" w:rsidRDefault="002D29FC">
            <w:pPr>
              <w:spacing w:line="225" w:lineRule="exact"/>
              <w:ind w:left="185" w:right="154"/>
              <w:jc w:val="center"/>
              <w:rPr>
                <w:rFonts w:ascii="Calibri" w:hAnsi="Calibri"/>
                <w:sz w:val="20"/>
              </w:rPr>
            </w:pPr>
            <w:r>
              <w:rPr>
                <w:rFonts w:ascii="Calibri" w:hAnsi="Calibri"/>
                <w:sz w:val="20"/>
              </w:rPr>
              <w:t>£480</w:t>
            </w:r>
          </w:p>
        </w:tc>
      </w:tr>
      <w:tr w:rsidR="006A18FD">
        <w:trPr>
          <w:trHeight w:val="720"/>
        </w:trPr>
        <w:tc>
          <w:tcPr>
            <w:tcW w:w="8078" w:type="dxa"/>
            <w:tcBorders>
              <w:top w:val="nil"/>
              <w:bottom w:val="nil"/>
            </w:tcBorders>
          </w:tcPr>
          <w:p w:rsidR="006A18FD" w:rsidRDefault="002D29FC">
            <w:pPr>
              <w:spacing w:before="104"/>
              <w:ind w:left="105"/>
              <w:rPr>
                <w:rFonts w:ascii="Calibri"/>
                <w:b/>
                <w:sz w:val="20"/>
              </w:rPr>
            </w:pPr>
            <w:r>
              <w:rPr>
                <w:rFonts w:ascii="Calibri"/>
                <w:b/>
                <w:sz w:val="20"/>
              </w:rPr>
              <w:t>Day cases</w:t>
            </w:r>
          </w:p>
        </w:tc>
        <w:tc>
          <w:tcPr>
            <w:tcW w:w="1702" w:type="dxa"/>
            <w:tcBorders>
              <w:top w:val="nil"/>
              <w:bottom w:val="nil"/>
            </w:tcBorders>
          </w:tcPr>
          <w:p w:rsidR="006A18FD" w:rsidRDefault="006A18FD">
            <w:pPr>
              <w:spacing w:before="4"/>
              <w:rPr>
                <w:rFonts w:ascii="Calibri"/>
                <w:sz w:val="18"/>
              </w:rPr>
            </w:pPr>
          </w:p>
          <w:p w:rsidR="006A18FD" w:rsidRDefault="002D29FC">
            <w:pPr>
              <w:ind w:left="185" w:right="183"/>
              <w:jc w:val="center"/>
              <w:rPr>
                <w:rFonts w:ascii="Calibri" w:hAnsi="Calibri"/>
                <w:sz w:val="20"/>
              </w:rPr>
            </w:pPr>
            <w:r>
              <w:rPr>
                <w:rFonts w:ascii="Calibri" w:hAnsi="Calibri"/>
                <w:sz w:val="20"/>
              </w:rPr>
              <w:t>£300</w:t>
            </w:r>
          </w:p>
        </w:tc>
      </w:tr>
      <w:tr w:rsidR="006A18FD">
        <w:trPr>
          <w:trHeight w:val="480"/>
        </w:trPr>
        <w:tc>
          <w:tcPr>
            <w:tcW w:w="8078" w:type="dxa"/>
            <w:tcBorders>
              <w:top w:val="nil"/>
              <w:bottom w:val="nil"/>
            </w:tcBorders>
          </w:tcPr>
          <w:p w:rsidR="006A18FD" w:rsidRDefault="006A18FD">
            <w:pPr>
              <w:spacing w:before="3"/>
              <w:rPr>
                <w:rFonts w:ascii="Calibri"/>
                <w:sz w:val="18"/>
              </w:rPr>
            </w:pPr>
          </w:p>
          <w:p w:rsidR="006A18FD" w:rsidRDefault="002D29FC">
            <w:pPr>
              <w:spacing w:line="243" w:lineRule="exact"/>
              <w:ind w:left="105"/>
              <w:rPr>
                <w:rFonts w:ascii="Calibri"/>
                <w:b/>
                <w:sz w:val="20"/>
              </w:rPr>
            </w:pPr>
            <w:r>
              <w:rPr>
                <w:rFonts w:ascii="Calibri"/>
                <w:b/>
                <w:sz w:val="20"/>
              </w:rPr>
              <w:t>Consultant-led (Multi-professional)</w:t>
            </w:r>
          </w:p>
        </w:tc>
        <w:tc>
          <w:tcPr>
            <w:tcW w:w="1702" w:type="dxa"/>
            <w:tcBorders>
              <w:top w:val="nil"/>
              <w:bottom w:val="nil"/>
            </w:tcBorders>
          </w:tcPr>
          <w:p w:rsidR="006A18FD" w:rsidRDefault="006A18FD">
            <w:pPr>
              <w:rPr>
                <w:rFonts w:ascii="Times New Roman"/>
                <w:sz w:val="18"/>
              </w:rPr>
            </w:pPr>
          </w:p>
        </w:tc>
      </w:tr>
      <w:tr w:rsidR="006A18FD">
        <w:trPr>
          <w:trHeight w:val="600"/>
        </w:trPr>
        <w:tc>
          <w:tcPr>
            <w:tcW w:w="8078" w:type="dxa"/>
            <w:tcBorders>
              <w:top w:val="nil"/>
              <w:bottom w:val="nil"/>
            </w:tcBorders>
          </w:tcPr>
          <w:p w:rsidR="006A18FD" w:rsidRDefault="002D29FC">
            <w:pPr>
              <w:spacing w:line="226" w:lineRule="exact"/>
              <w:ind w:left="105"/>
              <w:rPr>
                <w:rFonts w:ascii="Calibri"/>
                <w:sz w:val="20"/>
              </w:rPr>
            </w:pPr>
            <w:r>
              <w:rPr>
                <w:rFonts w:ascii="Calibri"/>
                <w:sz w:val="20"/>
              </w:rPr>
              <w:t>Non-admitted, face-to-face, first</w:t>
            </w:r>
          </w:p>
        </w:tc>
        <w:tc>
          <w:tcPr>
            <w:tcW w:w="1702" w:type="dxa"/>
            <w:tcBorders>
              <w:top w:val="nil"/>
              <w:bottom w:val="nil"/>
            </w:tcBorders>
          </w:tcPr>
          <w:p w:rsidR="006A18FD" w:rsidRDefault="002D29FC">
            <w:pPr>
              <w:spacing w:before="101"/>
              <w:ind w:left="185" w:right="183"/>
              <w:jc w:val="center"/>
              <w:rPr>
                <w:rFonts w:ascii="Calibri" w:hAnsi="Calibri"/>
                <w:sz w:val="20"/>
              </w:rPr>
            </w:pPr>
            <w:r>
              <w:rPr>
                <w:rFonts w:ascii="Calibri" w:hAnsi="Calibri"/>
                <w:sz w:val="20"/>
              </w:rPr>
              <w:t>£169</w:t>
            </w:r>
          </w:p>
        </w:tc>
      </w:tr>
      <w:tr w:rsidR="006A18FD">
        <w:trPr>
          <w:trHeight w:val="480"/>
        </w:trPr>
        <w:tc>
          <w:tcPr>
            <w:tcW w:w="8078" w:type="dxa"/>
            <w:tcBorders>
              <w:top w:val="nil"/>
              <w:bottom w:val="nil"/>
            </w:tcBorders>
          </w:tcPr>
          <w:p w:rsidR="006A18FD" w:rsidRDefault="006A18FD">
            <w:pPr>
              <w:spacing w:before="3"/>
              <w:rPr>
                <w:rFonts w:ascii="Calibri"/>
                <w:sz w:val="18"/>
              </w:rPr>
            </w:pPr>
          </w:p>
          <w:p w:rsidR="006A18FD" w:rsidRDefault="002D29FC">
            <w:pPr>
              <w:spacing w:line="243" w:lineRule="exact"/>
              <w:ind w:left="105"/>
              <w:rPr>
                <w:rFonts w:ascii="Calibri"/>
                <w:b/>
                <w:sz w:val="20"/>
              </w:rPr>
            </w:pPr>
            <w:r>
              <w:rPr>
                <w:rFonts w:ascii="Calibri"/>
                <w:b/>
                <w:sz w:val="20"/>
              </w:rPr>
              <w:t>Non-consultant-led</w:t>
            </w:r>
          </w:p>
        </w:tc>
        <w:tc>
          <w:tcPr>
            <w:tcW w:w="1702" w:type="dxa"/>
            <w:tcBorders>
              <w:top w:val="nil"/>
              <w:bottom w:val="nil"/>
            </w:tcBorders>
          </w:tcPr>
          <w:p w:rsidR="006A18FD" w:rsidRDefault="006A18FD">
            <w:pPr>
              <w:rPr>
                <w:rFonts w:ascii="Times New Roman"/>
                <w:sz w:val="18"/>
              </w:rPr>
            </w:pPr>
          </w:p>
        </w:tc>
      </w:tr>
      <w:tr w:rsidR="006A18FD">
        <w:trPr>
          <w:trHeight w:val="480"/>
        </w:trPr>
        <w:tc>
          <w:tcPr>
            <w:tcW w:w="8078" w:type="dxa"/>
            <w:tcBorders>
              <w:top w:val="nil"/>
              <w:bottom w:val="nil"/>
            </w:tcBorders>
          </w:tcPr>
          <w:p w:rsidR="006A18FD" w:rsidRDefault="002D29FC">
            <w:pPr>
              <w:spacing w:line="226" w:lineRule="exact"/>
              <w:ind w:left="105"/>
              <w:rPr>
                <w:rFonts w:ascii="Calibri"/>
                <w:sz w:val="20"/>
              </w:rPr>
            </w:pPr>
            <w:r>
              <w:rPr>
                <w:rFonts w:ascii="Calibri"/>
                <w:sz w:val="20"/>
              </w:rPr>
              <w:t>Non-admitted,face-to-face, first</w:t>
            </w:r>
          </w:p>
          <w:p w:rsidR="006A18FD" w:rsidRDefault="002D29FC">
            <w:pPr>
              <w:spacing w:line="241" w:lineRule="exact"/>
              <w:ind w:left="105"/>
              <w:rPr>
                <w:rFonts w:ascii="Calibri"/>
                <w:sz w:val="20"/>
              </w:rPr>
            </w:pPr>
            <w:r>
              <w:rPr>
                <w:rFonts w:ascii="Calibri"/>
                <w:sz w:val="20"/>
              </w:rPr>
              <w:t>Non-admitted, face-to-face, follow-up</w:t>
            </w:r>
          </w:p>
        </w:tc>
        <w:tc>
          <w:tcPr>
            <w:tcW w:w="1702" w:type="dxa"/>
            <w:tcBorders>
              <w:top w:val="nil"/>
              <w:bottom w:val="nil"/>
            </w:tcBorders>
          </w:tcPr>
          <w:p w:rsidR="006A18FD" w:rsidRDefault="002D29FC">
            <w:pPr>
              <w:spacing w:before="101"/>
              <w:ind w:left="185" w:right="183"/>
              <w:jc w:val="center"/>
              <w:rPr>
                <w:rFonts w:ascii="Calibri" w:hAnsi="Calibri"/>
                <w:sz w:val="20"/>
              </w:rPr>
            </w:pPr>
            <w:r>
              <w:rPr>
                <w:rFonts w:ascii="Calibri" w:hAnsi="Calibri"/>
                <w:sz w:val="20"/>
              </w:rPr>
              <w:t>£146</w:t>
            </w:r>
          </w:p>
        </w:tc>
      </w:tr>
      <w:tr w:rsidR="006A18FD">
        <w:trPr>
          <w:trHeight w:val="340"/>
        </w:trPr>
        <w:tc>
          <w:tcPr>
            <w:tcW w:w="8078" w:type="dxa"/>
            <w:tcBorders>
              <w:top w:val="nil"/>
            </w:tcBorders>
          </w:tcPr>
          <w:p w:rsidR="006A18FD" w:rsidRDefault="006A18FD">
            <w:pPr>
              <w:rPr>
                <w:rFonts w:ascii="Times New Roman"/>
                <w:sz w:val="18"/>
              </w:rPr>
            </w:pPr>
          </w:p>
        </w:tc>
        <w:tc>
          <w:tcPr>
            <w:tcW w:w="1702" w:type="dxa"/>
            <w:tcBorders>
              <w:top w:val="nil"/>
            </w:tcBorders>
          </w:tcPr>
          <w:p w:rsidR="006A18FD" w:rsidRDefault="002D29FC">
            <w:pPr>
              <w:spacing w:line="224" w:lineRule="exact"/>
              <w:ind w:left="185" w:right="183"/>
              <w:jc w:val="center"/>
              <w:rPr>
                <w:rFonts w:ascii="Calibri" w:hAnsi="Calibri"/>
                <w:sz w:val="20"/>
              </w:rPr>
            </w:pPr>
            <w:r>
              <w:rPr>
                <w:rFonts w:ascii="Calibri" w:hAnsi="Calibri"/>
                <w:sz w:val="20"/>
              </w:rPr>
              <w:t>£120</w:t>
            </w:r>
          </w:p>
        </w:tc>
      </w:tr>
      <w:tr w:rsidR="006A18FD">
        <w:trPr>
          <w:trHeight w:val="320"/>
        </w:trPr>
        <w:tc>
          <w:tcPr>
            <w:tcW w:w="8078" w:type="dxa"/>
            <w:tcBorders>
              <w:bottom w:val="nil"/>
            </w:tcBorders>
          </w:tcPr>
          <w:p w:rsidR="006A18FD" w:rsidRDefault="002D29FC">
            <w:pPr>
              <w:spacing w:before="1"/>
              <w:ind w:left="105"/>
              <w:rPr>
                <w:rFonts w:ascii="Calibri"/>
                <w:b/>
                <w:sz w:val="20"/>
              </w:rPr>
            </w:pPr>
            <w:r>
              <w:rPr>
                <w:rFonts w:ascii="Calibri"/>
                <w:b/>
                <w:sz w:val="20"/>
              </w:rPr>
              <w:t>Community health services</w:t>
            </w:r>
          </w:p>
        </w:tc>
        <w:tc>
          <w:tcPr>
            <w:tcW w:w="1702" w:type="dxa"/>
            <w:tcBorders>
              <w:bottom w:val="nil"/>
            </w:tcBorders>
          </w:tcPr>
          <w:p w:rsidR="006A18FD" w:rsidRDefault="006A18FD">
            <w:pPr>
              <w:rPr>
                <w:rFonts w:ascii="Times New Roman"/>
                <w:sz w:val="18"/>
              </w:rPr>
            </w:pPr>
          </w:p>
        </w:tc>
      </w:tr>
      <w:tr w:rsidR="006A18FD">
        <w:trPr>
          <w:trHeight w:val="300"/>
        </w:trPr>
        <w:tc>
          <w:tcPr>
            <w:tcW w:w="8078" w:type="dxa"/>
            <w:tcBorders>
              <w:top w:val="nil"/>
              <w:bottom w:val="nil"/>
            </w:tcBorders>
          </w:tcPr>
          <w:p w:rsidR="006A18FD" w:rsidRDefault="002D29FC">
            <w:pPr>
              <w:spacing w:before="52" w:line="243" w:lineRule="exact"/>
              <w:ind w:left="105"/>
              <w:rPr>
                <w:rFonts w:ascii="Calibri"/>
                <w:sz w:val="20"/>
              </w:rPr>
            </w:pPr>
            <w:r>
              <w:rPr>
                <w:rFonts w:ascii="Calibri"/>
                <w:sz w:val="20"/>
              </w:rPr>
              <w:t>HIV/AIDS specialist nursing (adult)</w:t>
            </w:r>
          </w:p>
        </w:tc>
        <w:tc>
          <w:tcPr>
            <w:tcW w:w="1702" w:type="dxa"/>
            <w:tcBorders>
              <w:top w:val="nil"/>
              <w:bottom w:val="nil"/>
            </w:tcBorders>
          </w:tcPr>
          <w:p w:rsidR="006A18FD" w:rsidRDefault="006A18FD">
            <w:pPr>
              <w:rPr>
                <w:rFonts w:ascii="Times New Roman"/>
                <w:sz w:val="18"/>
              </w:rPr>
            </w:pPr>
          </w:p>
        </w:tc>
      </w:tr>
      <w:tr w:rsidR="006A18FD">
        <w:trPr>
          <w:trHeight w:val="240"/>
        </w:trPr>
        <w:tc>
          <w:tcPr>
            <w:tcW w:w="8078" w:type="dxa"/>
            <w:tcBorders>
              <w:top w:val="nil"/>
              <w:bottom w:val="nil"/>
            </w:tcBorders>
          </w:tcPr>
          <w:p w:rsidR="006A18FD" w:rsidRDefault="002D29FC">
            <w:pPr>
              <w:spacing w:line="225" w:lineRule="exact"/>
              <w:ind w:left="105"/>
              <w:rPr>
                <w:rFonts w:ascii="Calibri"/>
                <w:sz w:val="20"/>
              </w:rPr>
            </w:pPr>
            <w:r>
              <w:rPr>
                <w:rFonts w:ascii="Calibri"/>
                <w:sz w:val="20"/>
              </w:rPr>
              <w:t>Face-to-face</w:t>
            </w:r>
          </w:p>
        </w:tc>
        <w:tc>
          <w:tcPr>
            <w:tcW w:w="1702" w:type="dxa"/>
            <w:tcBorders>
              <w:top w:val="nil"/>
              <w:bottom w:val="nil"/>
            </w:tcBorders>
          </w:tcPr>
          <w:p w:rsidR="006A18FD" w:rsidRDefault="002D29FC">
            <w:pPr>
              <w:spacing w:line="225" w:lineRule="exact"/>
              <w:ind w:left="185" w:right="82"/>
              <w:jc w:val="center"/>
              <w:rPr>
                <w:rFonts w:ascii="Calibri" w:hAnsi="Calibri"/>
                <w:sz w:val="20"/>
              </w:rPr>
            </w:pPr>
            <w:r>
              <w:rPr>
                <w:rFonts w:ascii="Calibri" w:hAnsi="Calibri"/>
                <w:sz w:val="20"/>
              </w:rPr>
              <w:t>£110</w:t>
            </w:r>
          </w:p>
        </w:tc>
      </w:tr>
      <w:tr w:rsidR="006A18FD">
        <w:trPr>
          <w:trHeight w:val="420"/>
        </w:trPr>
        <w:tc>
          <w:tcPr>
            <w:tcW w:w="8078" w:type="dxa"/>
            <w:tcBorders>
              <w:top w:val="nil"/>
              <w:bottom w:val="nil"/>
            </w:tcBorders>
          </w:tcPr>
          <w:p w:rsidR="006A18FD" w:rsidRDefault="002D29FC">
            <w:pPr>
              <w:spacing w:line="226" w:lineRule="exact"/>
              <w:ind w:left="105"/>
              <w:rPr>
                <w:rFonts w:ascii="Calibri"/>
                <w:sz w:val="20"/>
              </w:rPr>
            </w:pPr>
            <w:r>
              <w:rPr>
                <w:rFonts w:ascii="Calibri"/>
                <w:sz w:val="20"/>
              </w:rPr>
              <w:t>Non face-to-face</w:t>
            </w:r>
          </w:p>
        </w:tc>
        <w:tc>
          <w:tcPr>
            <w:tcW w:w="1702" w:type="dxa"/>
            <w:tcBorders>
              <w:top w:val="nil"/>
              <w:bottom w:val="nil"/>
            </w:tcBorders>
          </w:tcPr>
          <w:p w:rsidR="006A18FD" w:rsidRDefault="002D29FC">
            <w:pPr>
              <w:spacing w:before="101"/>
              <w:ind w:left="185" w:right="183"/>
              <w:jc w:val="center"/>
              <w:rPr>
                <w:rFonts w:ascii="Calibri" w:hAnsi="Calibri"/>
                <w:sz w:val="20"/>
              </w:rPr>
            </w:pPr>
            <w:r>
              <w:rPr>
                <w:rFonts w:ascii="Calibri" w:hAnsi="Calibri"/>
                <w:sz w:val="20"/>
              </w:rPr>
              <w:t>£63</w:t>
            </w:r>
          </w:p>
        </w:tc>
      </w:tr>
      <w:tr w:rsidR="006A18FD">
        <w:trPr>
          <w:trHeight w:val="360"/>
        </w:trPr>
        <w:tc>
          <w:tcPr>
            <w:tcW w:w="8078" w:type="dxa"/>
            <w:tcBorders>
              <w:top w:val="nil"/>
              <w:bottom w:val="nil"/>
            </w:tcBorders>
          </w:tcPr>
          <w:p w:rsidR="006A18FD" w:rsidRDefault="002D29FC">
            <w:pPr>
              <w:spacing w:before="43"/>
              <w:ind w:left="105"/>
              <w:rPr>
                <w:rFonts w:ascii="Calibri"/>
                <w:b/>
                <w:sz w:val="20"/>
              </w:rPr>
            </w:pPr>
            <w:r>
              <w:rPr>
                <w:rFonts w:ascii="Calibri"/>
                <w:b/>
                <w:sz w:val="20"/>
              </w:rPr>
              <w:t>Outpatient attendances</w:t>
            </w:r>
          </w:p>
        </w:tc>
        <w:tc>
          <w:tcPr>
            <w:tcW w:w="1702" w:type="dxa"/>
            <w:tcBorders>
              <w:top w:val="nil"/>
              <w:bottom w:val="nil"/>
            </w:tcBorders>
          </w:tcPr>
          <w:p w:rsidR="006A18FD" w:rsidRDefault="006A18FD">
            <w:pPr>
              <w:rPr>
                <w:rFonts w:ascii="Times New Roman"/>
                <w:sz w:val="18"/>
              </w:rPr>
            </w:pPr>
          </w:p>
        </w:tc>
      </w:tr>
      <w:tr w:rsidR="006A18FD">
        <w:trPr>
          <w:trHeight w:val="420"/>
        </w:trPr>
        <w:tc>
          <w:tcPr>
            <w:tcW w:w="8078" w:type="dxa"/>
            <w:tcBorders>
              <w:top w:val="nil"/>
              <w:bottom w:val="nil"/>
            </w:tcBorders>
          </w:tcPr>
          <w:p w:rsidR="006A18FD" w:rsidRDefault="002D29FC">
            <w:pPr>
              <w:spacing w:before="166" w:line="239" w:lineRule="exact"/>
              <w:ind w:left="105"/>
              <w:rPr>
                <w:rFonts w:ascii="Calibri"/>
                <w:sz w:val="20"/>
              </w:rPr>
            </w:pPr>
            <w:r>
              <w:rPr>
                <w:rFonts w:ascii="Calibri"/>
                <w:sz w:val="20"/>
              </w:rPr>
              <w:t>Family planning clinic, consultant led</w:t>
            </w:r>
          </w:p>
        </w:tc>
        <w:tc>
          <w:tcPr>
            <w:tcW w:w="1702" w:type="dxa"/>
            <w:tcBorders>
              <w:top w:val="nil"/>
              <w:bottom w:val="nil"/>
            </w:tcBorders>
          </w:tcPr>
          <w:p w:rsidR="006A18FD" w:rsidRDefault="002D29FC">
            <w:pPr>
              <w:spacing w:before="39"/>
              <w:ind w:left="185" w:right="183"/>
              <w:jc w:val="center"/>
              <w:rPr>
                <w:rFonts w:ascii="Calibri" w:hAnsi="Calibri"/>
                <w:sz w:val="20"/>
              </w:rPr>
            </w:pPr>
            <w:r>
              <w:rPr>
                <w:rFonts w:ascii="Calibri" w:hAnsi="Calibri"/>
                <w:sz w:val="20"/>
              </w:rPr>
              <w:t>£92</w:t>
            </w:r>
          </w:p>
        </w:tc>
      </w:tr>
      <w:tr w:rsidR="006A18FD">
        <w:trPr>
          <w:trHeight w:val="460"/>
        </w:trPr>
        <w:tc>
          <w:tcPr>
            <w:tcW w:w="8078" w:type="dxa"/>
            <w:tcBorders>
              <w:top w:val="nil"/>
            </w:tcBorders>
          </w:tcPr>
          <w:p w:rsidR="006A18FD" w:rsidRDefault="002D29FC">
            <w:pPr>
              <w:spacing w:line="230" w:lineRule="exact"/>
              <w:ind w:left="105"/>
              <w:rPr>
                <w:rFonts w:ascii="Calibri"/>
                <w:sz w:val="20"/>
              </w:rPr>
            </w:pPr>
            <w:r>
              <w:rPr>
                <w:rFonts w:ascii="Calibri"/>
                <w:sz w:val="20"/>
              </w:rPr>
              <w:t>Family planning clinic, non-consultant led</w:t>
            </w:r>
          </w:p>
        </w:tc>
        <w:tc>
          <w:tcPr>
            <w:tcW w:w="1702" w:type="dxa"/>
            <w:tcBorders>
              <w:top w:val="nil"/>
            </w:tcBorders>
          </w:tcPr>
          <w:p w:rsidR="006A18FD" w:rsidRDefault="002D29FC">
            <w:pPr>
              <w:spacing w:line="222" w:lineRule="exact"/>
              <w:ind w:left="185" w:right="183"/>
              <w:jc w:val="center"/>
              <w:rPr>
                <w:rFonts w:ascii="Calibri" w:hAnsi="Calibri"/>
                <w:sz w:val="20"/>
              </w:rPr>
            </w:pPr>
            <w:r>
              <w:rPr>
                <w:rFonts w:ascii="Calibri" w:hAnsi="Calibri"/>
                <w:sz w:val="20"/>
              </w:rPr>
              <w:t>£84</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8"/>
        <w:rPr>
          <w:rFonts w:ascii="Calibri"/>
          <w:sz w:val="20"/>
        </w:rPr>
      </w:pPr>
    </w:p>
    <w:p w:rsidR="006A18FD" w:rsidRDefault="002D29FC">
      <w:pPr>
        <w:ind w:left="436"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w:t>
      </w:r>
      <w:hyperlink r:id="rId277">
        <w:r>
          <w:rPr>
            <w:rFonts w:ascii="Calibri"/>
            <w:sz w:val="16"/>
            <w:u w:val="single"/>
          </w:rPr>
          <w:t>https://improvement.nhs.uk/resources/reference-costs/</w:t>
        </w:r>
      </w:hyperlink>
      <w:r>
        <w:rPr>
          <w:rFonts w:ascii="Calibri"/>
          <w:sz w:val="16"/>
        </w:rPr>
        <w:t xml:space="preserve"> [accessed 1 November 2019].</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6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62" name="Line 11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A7758" id="Group 11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MH9N8F/AgAAgQUA&#10;AA4AAAAAAAAAAAAAAAAALgIAAGRycy9lMm9Eb2MueG1sUEsBAi0AFAAGAAgAAAAhAC135FzaAAAA&#10;BAEAAA8AAAAAAAAAAAAAAAAA2QQAAGRycy9kb3ducmV2LnhtbFBLBQYAAAAABAAEAPMAAADgBQAA&#10;AAA=&#10;">
                <v:line id="Line 11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w10:anchorlock/>
              </v:group>
            </w:pict>
          </mc:Fallback>
        </mc:AlternateContent>
      </w:r>
    </w:p>
    <w:p w:rsidR="006A18FD" w:rsidRDefault="008D2D0B" w:rsidP="008D2D0B">
      <w:pPr>
        <w:pStyle w:val="Heading2"/>
      </w:pPr>
      <w:r>
        <w:t xml:space="preserve">7.9 </w:t>
      </w:r>
      <w:r w:rsidR="002D29FC">
        <w:t>Screening interventions for sexually transmitted infection</w:t>
      </w:r>
      <w:r w:rsidR="002D29FC">
        <w:rPr>
          <w:spacing w:val="-23"/>
        </w:rPr>
        <w:t xml:space="preserve"> </w:t>
      </w:r>
      <w:r w:rsidR="002D29FC">
        <w:t>(STI)</w:t>
      </w:r>
    </w:p>
    <w:p w:rsidR="006A18FD" w:rsidRDefault="002D29FC">
      <w:pPr>
        <w:spacing w:before="169" w:line="276" w:lineRule="auto"/>
        <w:ind w:left="140" w:right="192"/>
        <w:rPr>
          <w:rFonts w:ascii="Calibri"/>
          <w:sz w:val="20"/>
        </w:rPr>
      </w:pPr>
      <w:r>
        <w:rPr>
          <w:rFonts w:ascii="Calibri"/>
          <w:sz w:val="20"/>
        </w:rPr>
        <w:t>In 2013, Louise Jackson and colleagues (2014)</w:t>
      </w:r>
      <w:r>
        <w:rPr>
          <w:rFonts w:ascii="Calibri"/>
          <w:position w:val="7"/>
          <w:sz w:val="13"/>
        </w:rPr>
        <w:t xml:space="preserve">1 </w:t>
      </w:r>
      <w:r>
        <w:rPr>
          <w:rFonts w:ascii="Calibri"/>
          <w:sz w:val="20"/>
        </w:rPr>
        <w:t>carried out a study to compare the costs and outcomes of two sexually transmitted infection (STI) screening interventions (SPORTSMART pilot trial). The participants were men aged 18 years and over within six amateur football clubs in London. Eligible football clubs were grouped by similar characteristics into three pairs, and each of the pairs was randomised to a study arm (captain-led, sexual health advisor-led and poster-only), after which resource use data were collected prospectively and unit costs were applied. In total, 153 men received the screening offer; 50 per cent of the men in the captain-led arm accepted the offer, 67 per cent in the sexual health advisor-led arm and 61 per cent in the poster-only arm.</w:t>
      </w:r>
    </w:p>
    <w:p w:rsidR="006A18FD" w:rsidRDefault="002D29FC">
      <w:pPr>
        <w:spacing w:before="120" w:line="276" w:lineRule="auto"/>
        <w:ind w:left="140" w:right="498"/>
        <w:rPr>
          <w:rFonts w:ascii="Calibri"/>
          <w:sz w:val="20"/>
        </w:rPr>
      </w:pPr>
      <w:r>
        <w:rPr>
          <w:rFonts w:ascii="Calibri"/>
          <w:sz w:val="20"/>
        </w:rPr>
        <w:t>The costs of each intervention are shown in Table 1. Forgone leisure time or any informal costs were excluded from the study. All costs have been uprated from 2012/2013 costs using the appropriate inflators.</w:t>
      </w:r>
    </w:p>
    <w:p w:rsidR="006A18FD" w:rsidRDefault="002D29FC">
      <w:pPr>
        <w:spacing w:before="120"/>
        <w:ind w:left="140"/>
        <w:rPr>
          <w:rFonts w:ascii="Calibri"/>
          <w:b/>
          <w:sz w:val="20"/>
        </w:rPr>
      </w:pPr>
      <w:r>
        <w:rPr>
          <w:rFonts w:ascii="Calibri"/>
          <w:b/>
          <w:sz w:val="20"/>
        </w:rPr>
        <w:t>Table 1: Health service costs per intervention and player</w:t>
      </w:r>
    </w:p>
    <w:p w:rsidR="006A18FD" w:rsidRDefault="006A18FD">
      <w:pPr>
        <w:spacing w:before="8"/>
        <w:rPr>
          <w:rFonts w:ascii="Calibri"/>
          <w:b/>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277"/>
        <w:gridCol w:w="2268"/>
        <w:gridCol w:w="1985"/>
        <w:gridCol w:w="2125"/>
      </w:tblGrid>
      <w:tr w:rsidR="006A18FD" w:rsidTr="001B7F44">
        <w:trPr>
          <w:trHeight w:val="220"/>
          <w:tblHeader/>
        </w:trPr>
        <w:tc>
          <w:tcPr>
            <w:tcW w:w="2122" w:type="dxa"/>
          </w:tcPr>
          <w:p w:rsidR="006A18FD" w:rsidRDefault="002D29FC">
            <w:pPr>
              <w:spacing w:before="1" w:line="207" w:lineRule="exact"/>
              <w:ind w:left="477"/>
              <w:rPr>
                <w:rFonts w:ascii="Calibri"/>
                <w:b/>
                <w:sz w:val="18"/>
              </w:rPr>
            </w:pPr>
            <w:r>
              <w:rPr>
                <w:rFonts w:ascii="Calibri"/>
                <w:b/>
                <w:sz w:val="18"/>
              </w:rPr>
              <w:t>Resources used</w:t>
            </w:r>
          </w:p>
        </w:tc>
        <w:tc>
          <w:tcPr>
            <w:tcW w:w="1277" w:type="dxa"/>
          </w:tcPr>
          <w:p w:rsidR="006A18FD" w:rsidRDefault="002D29FC">
            <w:pPr>
              <w:spacing w:before="1" w:line="207" w:lineRule="exact"/>
              <w:ind w:left="275"/>
              <w:rPr>
                <w:rFonts w:ascii="Calibri"/>
                <w:b/>
                <w:sz w:val="18"/>
              </w:rPr>
            </w:pPr>
            <w:r>
              <w:rPr>
                <w:rFonts w:ascii="Calibri"/>
                <w:b/>
                <w:sz w:val="18"/>
              </w:rPr>
              <w:t>Cost item</w:t>
            </w:r>
          </w:p>
        </w:tc>
        <w:tc>
          <w:tcPr>
            <w:tcW w:w="2268" w:type="dxa"/>
          </w:tcPr>
          <w:p w:rsidR="006A18FD" w:rsidRDefault="002D29FC">
            <w:pPr>
              <w:spacing w:before="1" w:line="207" w:lineRule="exact"/>
              <w:ind w:left="729"/>
              <w:rPr>
                <w:rFonts w:ascii="Calibri" w:hAnsi="Calibri"/>
                <w:b/>
                <w:sz w:val="18"/>
              </w:rPr>
            </w:pPr>
            <w:r>
              <w:rPr>
                <w:rFonts w:ascii="Calibri" w:hAnsi="Calibri"/>
                <w:b/>
                <w:sz w:val="18"/>
              </w:rPr>
              <w:t>Unit cost £</w:t>
            </w:r>
          </w:p>
        </w:tc>
        <w:tc>
          <w:tcPr>
            <w:tcW w:w="1985" w:type="dxa"/>
          </w:tcPr>
          <w:p w:rsidR="006A18FD" w:rsidRDefault="002D29FC">
            <w:pPr>
              <w:spacing w:before="1" w:line="207" w:lineRule="exact"/>
              <w:ind w:right="1"/>
              <w:jc w:val="center"/>
              <w:rPr>
                <w:rFonts w:ascii="Calibri"/>
                <w:b/>
                <w:sz w:val="18"/>
              </w:rPr>
            </w:pPr>
            <w:r>
              <w:rPr>
                <w:rFonts w:ascii="Calibri"/>
                <w:b/>
                <w:sz w:val="18"/>
              </w:rPr>
              <w:t>N</w:t>
            </w:r>
          </w:p>
        </w:tc>
        <w:tc>
          <w:tcPr>
            <w:tcW w:w="2125" w:type="dxa"/>
          </w:tcPr>
          <w:p w:rsidR="006A18FD" w:rsidRDefault="002D29FC">
            <w:pPr>
              <w:spacing w:before="1" w:line="207" w:lineRule="exact"/>
              <w:ind w:left="629"/>
              <w:rPr>
                <w:rFonts w:ascii="Calibri" w:hAnsi="Calibri"/>
                <w:b/>
                <w:sz w:val="18"/>
              </w:rPr>
            </w:pPr>
            <w:r>
              <w:rPr>
                <w:rFonts w:ascii="Calibri" w:hAnsi="Calibri"/>
                <w:b/>
                <w:sz w:val="18"/>
              </w:rPr>
              <w:t>Total cost £</w:t>
            </w:r>
          </w:p>
        </w:tc>
      </w:tr>
      <w:tr w:rsidR="006A18FD">
        <w:trPr>
          <w:trHeight w:val="220"/>
        </w:trPr>
        <w:tc>
          <w:tcPr>
            <w:tcW w:w="2122" w:type="dxa"/>
          </w:tcPr>
          <w:p w:rsidR="006A18FD" w:rsidRDefault="002D29FC">
            <w:pPr>
              <w:spacing w:line="205" w:lineRule="exact"/>
              <w:ind w:left="103"/>
              <w:rPr>
                <w:rFonts w:ascii="Calibri"/>
                <w:b/>
                <w:i/>
                <w:sz w:val="18"/>
              </w:rPr>
            </w:pPr>
            <w:r>
              <w:rPr>
                <w:rFonts w:ascii="Calibri"/>
                <w:b/>
                <w:i/>
                <w:sz w:val="18"/>
              </w:rPr>
              <w:t>Intervention costs</w:t>
            </w:r>
          </w:p>
        </w:tc>
        <w:tc>
          <w:tcPr>
            <w:tcW w:w="1277" w:type="dxa"/>
          </w:tcPr>
          <w:p w:rsidR="006A18FD" w:rsidRDefault="006A18FD">
            <w:pPr>
              <w:rPr>
                <w:rFonts w:ascii="Times New Roman"/>
                <w:sz w:val="16"/>
              </w:rPr>
            </w:pPr>
          </w:p>
        </w:tc>
        <w:tc>
          <w:tcPr>
            <w:tcW w:w="2268" w:type="dxa"/>
          </w:tcPr>
          <w:p w:rsidR="006A18FD" w:rsidRDefault="006A18FD">
            <w:pPr>
              <w:rPr>
                <w:rFonts w:ascii="Times New Roman"/>
                <w:sz w:val="16"/>
              </w:rPr>
            </w:pPr>
          </w:p>
        </w:tc>
        <w:tc>
          <w:tcPr>
            <w:tcW w:w="1985" w:type="dxa"/>
          </w:tcPr>
          <w:p w:rsidR="006A18FD" w:rsidRDefault="006A18FD">
            <w:pPr>
              <w:rPr>
                <w:rFonts w:ascii="Times New Roman"/>
                <w:sz w:val="16"/>
              </w:rPr>
            </w:pPr>
          </w:p>
        </w:tc>
        <w:tc>
          <w:tcPr>
            <w:tcW w:w="2125" w:type="dxa"/>
          </w:tcPr>
          <w:p w:rsidR="006A18FD" w:rsidRDefault="006A18FD">
            <w:pPr>
              <w:rPr>
                <w:rFonts w:ascii="Times New Roman"/>
                <w:sz w:val="16"/>
              </w:rPr>
            </w:pPr>
          </w:p>
        </w:tc>
      </w:tr>
      <w:tr w:rsidR="006A18FD">
        <w:trPr>
          <w:trHeight w:val="220"/>
        </w:trPr>
        <w:tc>
          <w:tcPr>
            <w:tcW w:w="2122" w:type="dxa"/>
          </w:tcPr>
          <w:p w:rsidR="006A18FD" w:rsidRDefault="002D29FC">
            <w:pPr>
              <w:spacing w:before="1" w:line="206" w:lineRule="exact"/>
              <w:ind w:left="103"/>
              <w:rPr>
                <w:rFonts w:ascii="Calibri"/>
                <w:sz w:val="18"/>
              </w:rPr>
            </w:pPr>
            <w:r>
              <w:rPr>
                <w:rFonts w:ascii="Calibri"/>
                <w:sz w:val="18"/>
              </w:rPr>
              <w:t>Recruitment of club</w:t>
            </w:r>
          </w:p>
        </w:tc>
        <w:tc>
          <w:tcPr>
            <w:tcW w:w="1277" w:type="dxa"/>
          </w:tcPr>
          <w:p w:rsidR="006A18FD" w:rsidRDefault="002D29FC">
            <w:pPr>
              <w:spacing w:before="1" w:line="206" w:lineRule="exact"/>
              <w:ind w:right="105"/>
              <w:jc w:val="right"/>
              <w:rPr>
                <w:rFonts w:ascii="Calibri"/>
                <w:sz w:val="18"/>
              </w:rPr>
            </w:pPr>
            <w:r>
              <w:rPr>
                <w:rFonts w:ascii="Calibri"/>
                <w:sz w:val="18"/>
              </w:rPr>
              <w:t>Per club</w:t>
            </w:r>
          </w:p>
        </w:tc>
        <w:tc>
          <w:tcPr>
            <w:tcW w:w="2268" w:type="dxa"/>
          </w:tcPr>
          <w:p w:rsidR="006A18FD" w:rsidRDefault="002D29FC">
            <w:pPr>
              <w:spacing w:before="1" w:line="206" w:lineRule="exact"/>
              <w:ind w:right="101"/>
              <w:jc w:val="right"/>
              <w:rPr>
                <w:rFonts w:ascii="Calibri" w:hAnsi="Calibri"/>
                <w:sz w:val="18"/>
              </w:rPr>
            </w:pPr>
            <w:r>
              <w:rPr>
                <w:rFonts w:ascii="Calibri" w:hAnsi="Calibri"/>
                <w:sz w:val="18"/>
              </w:rPr>
              <w:t>£610</w:t>
            </w:r>
          </w:p>
        </w:tc>
        <w:tc>
          <w:tcPr>
            <w:tcW w:w="1985" w:type="dxa"/>
          </w:tcPr>
          <w:p w:rsidR="006A18FD" w:rsidRDefault="002D29FC">
            <w:pPr>
              <w:spacing w:before="1" w:line="206" w:lineRule="exact"/>
              <w:ind w:right="103"/>
              <w:jc w:val="right"/>
              <w:rPr>
                <w:rFonts w:ascii="Calibri"/>
                <w:sz w:val="18"/>
              </w:rPr>
            </w:pPr>
            <w:r>
              <w:rPr>
                <w:rFonts w:ascii="Calibri"/>
                <w:sz w:val="18"/>
              </w:rPr>
              <w:t>2</w:t>
            </w:r>
          </w:p>
        </w:tc>
        <w:tc>
          <w:tcPr>
            <w:tcW w:w="2125" w:type="dxa"/>
          </w:tcPr>
          <w:p w:rsidR="006A18FD" w:rsidRDefault="002D29FC">
            <w:pPr>
              <w:spacing w:before="1" w:line="206" w:lineRule="exact"/>
              <w:ind w:right="98"/>
              <w:jc w:val="right"/>
              <w:rPr>
                <w:rFonts w:ascii="Calibri" w:hAnsi="Calibri"/>
                <w:sz w:val="18"/>
              </w:rPr>
            </w:pPr>
            <w:r>
              <w:rPr>
                <w:rFonts w:ascii="Calibri" w:hAnsi="Calibri"/>
                <w:sz w:val="18"/>
              </w:rPr>
              <w:t>£1,221</w:t>
            </w:r>
          </w:p>
        </w:tc>
      </w:tr>
      <w:tr w:rsidR="006A18FD">
        <w:trPr>
          <w:trHeight w:val="220"/>
        </w:trPr>
        <w:tc>
          <w:tcPr>
            <w:tcW w:w="2122" w:type="dxa"/>
          </w:tcPr>
          <w:p w:rsidR="006A18FD" w:rsidRDefault="002D29FC">
            <w:pPr>
              <w:spacing w:before="1" w:line="206" w:lineRule="exact"/>
              <w:ind w:left="103"/>
              <w:rPr>
                <w:rFonts w:ascii="Calibri"/>
                <w:sz w:val="18"/>
              </w:rPr>
            </w:pPr>
            <w:r>
              <w:rPr>
                <w:rFonts w:ascii="Calibri"/>
                <w:sz w:val="18"/>
              </w:rPr>
              <w:t>Poster pack</w:t>
            </w:r>
          </w:p>
        </w:tc>
        <w:tc>
          <w:tcPr>
            <w:tcW w:w="1277" w:type="dxa"/>
          </w:tcPr>
          <w:p w:rsidR="006A18FD" w:rsidRDefault="002D29FC">
            <w:pPr>
              <w:spacing w:before="1" w:line="206" w:lineRule="exact"/>
              <w:ind w:right="103"/>
              <w:jc w:val="right"/>
              <w:rPr>
                <w:rFonts w:ascii="Calibri"/>
                <w:sz w:val="18"/>
              </w:rPr>
            </w:pPr>
            <w:r>
              <w:rPr>
                <w:rFonts w:ascii="Calibri"/>
                <w:sz w:val="18"/>
              </w:rPr>
              <w:t>Per pack</w:t>
            </w:r>
          </w:p>
        </w:tc>
        <w:tc>
          <w:tcPr>
            <w:tcW w:w="2268" w:type="dxa"/>
          </w:tcPr>
          <w:p w:rsidR="006A18FD" w:rsidRDefault="002D29FC">
            <w:pPr>
              <w:spacing w:before="1" w:line="206" w:lineRule="exact"/>
              <w:ind w:right="101"/>
              <w:jc w:val="right"/>
              <w:rPr>
                <w:rFonts w:ascii="Calibri" w:hAnsi="Calibri"/>
                <w:sz w:val="18"/>
              </w:rPr>
            </w:pPr>
            <w:r>
              <w:rPr>
                <w:rFonts w:ascii="Calibri" w:hAnsi="Calibri"/>
                <w:sz w:val="18"/>
              </w:rPr>
              <w:t>£59</w:t>
            </w:r>
          </w:p>
        </w:tc>
        <w:tc>
          <w:tcPr>
            <w:tcW w:w="1985" w:type="dxa"/>
          </w:tcPr>
          <w:p w:rsidR="006A18FD" w:rsidRDefault="002D29FC">
            <w:pPr>
              <w:spacing w:before="1" w:line="206" w:lineRule="exact"/>
              <w:ind w:right="103"/>
              <w:jc w:val="right"/>
              <w:rPr>
                <w:rFonts w:ascii="Calibri"/>
                <w:sz w:val="18"/>
              </w:rPr>
            </w:pPr>
            <w:r>
              <w:rPr>
                <w:rFonts w:ascii="Calibri"/>
                <w:sz w:val="18"/>
              </w:rPr>
              <w:t>2</w:t>
            </w:r>
          </w:p>
        </w:tc>
        <w:tc>
          <w:tcPr>
            <w:tcW w:w="2125" w:type="dxa"/>
          </w:tcPr>
          <w:p w:rsidR="006A18FD" w:rsidRDefault="002D29FC">
            <w:pPr>
              <w:spacing w:before="1" w:line="206" w:lineRule="exact"/>
              <w:ind w:right="98"/>
              <w:jc w:val="right"/>
              <w:rPr>
                <w:rFonts w:ascii="Calibri" w:hAnsi="Calibri"/>
                <w:sz w:val="18"/>
              </w:rPr>
            </w:pPr>
            <w:r>
              <w:rPr>
                <w:rFonts w:ascii="Calibri" w:hAnsi="Calibri"/>
                <w:sz w:val="18"/>
              </w:rPr>
              <w:t>£119</w:t>
            </w:r>
          </w:p>
        </w:tc>
      </w:tr>
      <w:tr w:rsidR="006A18FD">
        <w:trPr>
          <w:trHeight w:val="220"/>
        </w:trPr>
        <w:tc>
          <w:tcPr>
            <w:tcW w:w="2122" w:type="dxa"/>
          </w:tcPr>
          <w:p w:rsidR="006A18FD" w:rsidRDefault="002D29FC">
            <w:pPr>
              <w:spacing w:before="1" w:line="206" w:lineRule="exact"/>
              <w:ind w:left="103"/>
              <w:rPr>
                <w:rFonts w:ascii="Calibri"/>
                <w:sz w:val="18"/>
              </w:rPr>
            </w:pPr>
            <w:r>
              <w:rPr>
                <w:rFonts w:ascii="Calibri"/>
                <w:sz w:val="18"/>
              </w:rPr>
              <w:t>Test kit</w:t>
            </w:r>
          </w:p>
        </w:tc>
        <w:tc>
          <w:tcPr>
            <w:tcW w:w="1277" w:type="dxa"/>
          </w:tcPr>
          <w:p w:rsidR="006A18FD" w:rsidRDefault="002D29FC">
            <w:pPr>
              <w:spacing w:before="1" w:line="206" w:lineRule="exact"/>
              <w:ind w:right="106"/>
              <w:jc w:val="right"/>
              <w:rPr>
                <w:rFonts w:ascii="Calibri"/>
                <w:sz w:val="18"/>
              </w:rPr>
            </w:pPr>
            <w:r>
              <w:rPr>
                <w:rFonts w:ascii="Calibri"/>
                <w:sz w:val="18"/>
              </w:rPr>
              <w:t>Per player</w:t>
            </w:r>
          </w:p>
        </w:tc>
        <w:tc>
          <w:tcPr>
            <w:tcW w:w="2268" w:type="dxa"/>
          </w:tcPr>
          <w:p w:rsidR="006A18FD" w:rsidRDefault="002D29FC">
            <w:pPr>
              <w:spacing w:before="1" w:line="206" w:lineRule="exact"/>
              <w:ind w:right="101"/>
              <w:jc w:val="right"/>
              <w:rPr>
                <w:rFonts w:ascii="Calibri" w:hAnsi="Calibri"/>
                <w:sz w:val="18"/>
              </w:rPr>
            </w:pPr>
            <w:r>
              <w:rPr>
                <w:rFonts w:ascii="Calibri" w:hAnsi="Calibri"/>
                <w:sz w:val="18"/>
              </w:rPr>
              <w:t>£6.20</w:t>
            </w:r>
          </w:p>
        </w:tc>
        <w:tc>
          <w:tcPr>
            <w:tcW w:w="1985" w:type="dxa"/>
          </w:tcPr>
          <w:p w:rsidR="006A18FD" w:rsidRDefault="002D29FC">
            <w:pPr>
              <w:spacing w:before="1" w:line="206" w:lineRule="exact"/>
              <w:ind w:right="103"/>
              <w:jc w:val="right"/>
              <w:rPr>
                <w:rFonts w:ascii="Calibri"/>
                <w:sz w:val="18"/>
              </w:rPr>
            </w:pPr>
            <w:r>
              <w:rPr>
                <w:rFonts w:ascii="Calibri"/>
                <w:sz w:val="18"/>
              </w:rPr>
              <w:t>46</w:t>
            </w:r>
          </w:p>
        </w:tc>
        <w:tc>
          <w:tcPr>
            <w:tcW w:w="2125" w:type="dxa"/>
          </w:tcPr>
          <w:p w:rsidR="006A18FD" w:rsidRDefault="002D29FC">
            <w:pPr>
              <w:spacing w:before="1" w:line="206" w:lineRule="exact"/>
              <w:ind w:right="98"/>
              <w:jc w:val="right"/>
              <w:rPr>
                <w:rFonts w:ascii="Calibri" w:hAnsi="Calibri"/>
                <w:sz w:val="18"/>
              </w:rPr>
            </w:pPr>
            <w:r>
              <w:rPr>
                <w:rFonts w:ascii="Calibri" w:hAnsi="Calibri"/>
                <w:sz w:val="18"/>
              </w:rPr>
              <w:t>£287</w:t>
            </w:r>
          </w:p>
        </w:tc>
      </w:tr>
      <w:tr w:rsidR="006A18FD">
        <w:trPr>
          <w:trHeight w:val="640"/>
        </w:trPr>
        <w:tc>
          <w:tcPr>
            <w:tcW w:w="2122" w:type="dxa"/>
          </w:tcPr>
          <w:p w:rsidR="006A18FD" w:rsidRDefault="002D29FC">
            <w:pPr>
              <w:spacing w:line="219" w:lineRule="exact"/>
              <w:ind w:left="103"/>
              <w:rPr>
                <w:rFonts w:ascii="Calibri"/>
                <w:sz w:val="18"/>
              </w:rPr>
            </w:pPr>
            <w:r>
              <w:rPr>
                <w:rFonts w:ascii="Calibri"/>
                <w:sz w:val="18"/>
              </w:rPr>
              <w:t>Promotion</w:t>
            </w:r>
          </w:p>
        </w:tc>
        <w:tc>
          <w:tcPr>
            <w:tcW w:w="1277" w:type="dxa"/>
          </w:tcPr>
          <w:p w:rsidR="006A18FD" w:rsidRDefault="002D29FC">
            <w:pPr>
              <w:spacing w:line="219" w:lineRule="exact"/>
              <w:ind w:right="105"/>
              <w:jc w:val="right"/>
              <w:rPr>
                <w:rFonts w:ascii="Calibri"/>
                <w:sz w:val="18"/>
              </w:rPr>
            </w:pPr>
            <w:r>
              <w:rPr>
                <w:rFonts w:ascii="Calibri"/>
                <w:sz w:val="18"/>
              </w:rPr>
              <w:t>Per club</w:t>
            </w:r>
          </w:p>
        </w:tc>
        <w:tc>
          <w:tcPr>
            <w:tcW w:w="2268" w:type="dxa"/>
          </w:tcPr>
          <w:p w:rsidR="006A18FD" w:rsidRDefault="002D29FC">
            <w:pPr>
              <w:spacing w:line="219" w:lineRule="exact"/>
              <w:ind w:right="103"/>
              <w:jc w:val="right"/>
              <w:rPr>
                <w:rFonts w:ascii="Calibri" w:hAnsi="Calibri"/>
                <w:sz w:val="18"/>
              </w:rPr>
            </w:pPr>
            <w:r>
              <w:rPr>
                <w:rFonts w:ascii="Calibri" w:hAnsi="Calibri"/>
                <w:sz w:val="18"/>
              </w:rPr>
              <w:t xml:space="preserve">Captain-led </w:t>
            </w:r>
            <w:r>
              <w:rPr>
                <w:rFonts w:ascii="Calibri" w:hAnsi="Calibri"/>
                <w:position w:val="5"/>
                <w:sz w:val="12"/>
              </w:rPr>
              <w:t>1</w:t>
            </w:r>
            <w:r>
              <w:rPr>
                <w:rFonts w:ascii="Calibri" w:hAnsi="Calibri"/>
                <w:sz w:val="18"/>
              </w:rPr>
              <w:t>£148</w:t>
            </w:r>
          </w:p>
          <w:p w:rsidR="006A18FD" w:rsidRDefault="002D29FC">
            <w:pPr>
              <w:spacing w:before="1" w:line="220" w:lineRule="atLeast"/>
              <w:ind w:left="849" w:right="103" w:hanging="538"/>
              <w:jc w:val="right"/>
              <w:rPr>
                <w:rFonts w:ascii="Calibri" w:hAnsi="Calibri"/>
                <w:sz w:val="18"/>
              </w:rPr>
            </w:pPr>
            <w:r>
              <w:rPr>
                <w:rFonts w:ascii="Calibri" w:hAnsi="Calibri"/>
                <w:sz w:val="18"/>
              </w:rPr>
              <w:t xml:space="preserve">Health advisor-led </w:t>
            </w:r>
            <w:r>
              <w:rPr>
                <w:rFonts w:ascii="Calibri" w:hAnsi="Calibri"/>
                <w:position w:val="5"/>
                <w:sz w:val="12"/>
              </w:rPr>
              <w:t>2</w:t>
            </w:r>
            <w:r>
              <w:rPr>
                <w:rFonts w:ascii="Calibri" w:hAnsi="Calibri"/>
                <w:sz w:val="18"/>
              </w:rPr>
              <w:t xml:space="preserve">£266 Poster-only </w:t>
            </w:r>
            <w:r>
              <w:rPr>
                <w:rFonts w:ascii="Calibri" w:hAnsi="Calibri"/>
                <w:position w:val="5"/>
                <w:sz w:val="12"/>
              </w:rPr>
              <w:t>3</w:t>
            </w:r>
            <w:r>
              <w:rPr>
                <w:rFonts w:ascii="Calibri" w:hAnsi="Calibri"/>
                <w:sz w:val="18"/>
              </w:rPr>
              <w:t>£148</w:t>
            </w:r>
          </w:p>
        </w:tc>
        <w:tc>
          <w:tcPr>
            <w:tcW w:w="1985" w:type="dxa"/>
          </w:tcPr>
          <w:p w:rsidR="006A18FD" w:rsidRDefault="002D29FC">
            <w:pPr>
              <w:spacing w:line="219" w:lineRule="exact"/>
              <w:ind w:right="103"/>
              <w:jc w:val="right"/>
              <w:rPr>
                <w:rFonts w:ascii="Calibri"/>
                <w:sz w:val="18"/>
              </w:rPr>
            </w:pPr>
            <w:r>
              <w:rPr>
                <w:rFonts w:ascii="Calibri"/>
                <w:sz w:val="18"/>
              </w:rPr>
              <w:t>2</w:t>
            </w:r>
          </w:p>
        </w:tc>
        <w:tc>
          <w:tcPr>
            <w:tcW w:w="2125" w:type="dxa"/>
          </w:tcPr>
          <w:p w:rsidR="006A18FD" w:rsidRDefault="002D29FC">
            <w:pPr>
              <w:spacing w:line="219" w:lineRule="exact"/>
              <w:ind w:right="98"/>
              <w:jc w:val="right"/>
              <w:rPr>
                <w:rFonts w:ascii="Calibri" w:hAnsi="Calibri"/>
                <w:sz w:val="18"/>
              </w:rPr>
            </w:pPr>
            <w:r>
              <w:rPr>
                <w:rFonts w:ascii="Calibri" w:hAnsi="Calibri"/>
                <w:position w:val="5"/>
                <w:sz w:val="12"/>
              </w:rPr>
              <w:t>1</w:t>
            </w:r>
            <w:r>
              <w:rPr>
                <w:rFonts w:ascii="Calibri" w:hAnsi="Calibri"/>
                <w:sz w:val="18"/>
              </w:rPr>
              <w:t>£287</w:t>
            </w:r>
          </w:p>
          <w:p w:rsidR="006A18FD" w:rsidRDefault="002D29FC">
            <w:pPr>
              <w:spacing w:before="1"/>
              <w:ind w:right="98"/>
              <w:jc w:val="right"/>
              <w:rPr>
                <w:rFonts w:ascii="Calibri" w:hAnsi="Calibri"/>
                <w:sz w:val="18"/>
              </w:rPr>
            </w:pPr>
            <w:r>
              <w:rPr>
                <w:rFonts w:ascii="Calibri" w:hAnsi="Calibri"/>
                <w:position w:val="5"/>
                <w:sz w:val="12"/>
              </w:rPr>
              <w:t>2</w:t>
            </w:r>
            <w:r>
              <w:rPr>
                <w:rFonts w:ascii="Calibri" w:hAnsi="Calibri"/>
                <w:sz w:val="18"/>
              </w:rPr>
              <w:t>£531</w:t>
            </w:r>
          </w:p>
          <w:p w:rsidR="006A18FD" w:rsidRDefault="002D29FC">
            <w:pPr>
              <w:spacing w:before="1" w:line="199" w:lineRule="exact"/>
              <w:ind w:right="98"/>
              <w:jc w:val="right"/>
              <w:rPr>
                <w:rFonts w:ascii="Calibri" w:hAnsi="Calibri"/>
                <w:sz w:val="18"/>
              </w:rPr>
            </w:pPr>
            <w:r>
              <w:rPr>
                <w:rFonts w:ascii="Calibri" w:hAnsi="Calibri"/>
                <w:position w:val="5"/>
                <w:sz w:val="12"/>
              </w:rPr>
              <w:t>3</w:t>
            </w:r>
            <w:r>
              <w:rPr>
                <w:rFonts w:ascii="Calibri" w:hAnsi="Calibri"/>
                <w:sz w:val="18"/>
              </w:rPr>
              <w:t>£295</w:t>
            </w:r>
          </w:p>
        </w:tc>
      </w:tr>
      <w:tr w:rsidR="006A18FD">
        <w:trPr>
          <w:trHeight w:val="220"/>
        </w:trPr>
        <w:tc>
          <w:tcPr>
            <w:tcW w:w="2122" w:type="dxa"/>
          </w:tcPr>
          <w:p w:rsidR="006A18FD" w:rsidRDefault="002D29FC">
            <w:pPr>
              <w:spacing w:line="205" w:lineRule="exact"/>
              <w:ind w:left="103"/>
              <w:rPr>
                <w:rFonts w:ascii="Calibri"/>
                <w:sz w:val="12"/>
              </w:rPr>
            </w:pPr>
            <w:r>
              <w:rPr>
                <w:rFonts w:ascii="Calibri"/>
                <w:sz w:val="18"/>
              </w:rPr>
              <w:t xml:space="preserve">Specimen collection box </w:t>
            </w:r>
            <w:r>
              <w:rPr>
                <w:rFonts w:ascii="Calibri"/>
                <w:position w:val="5"/>
                <w:sz w:val="12"/>
              </w:rPr>
              <w:t>4</w:t>
            </w:r>
          </w:p>
        </w:tc>
        <w:tc>
          <w:tcPr>
            <w:tcW w:w="1277" w:type="dxa"/>
          </w:tcPr>
          <w:p w:rsidR="006A18FD" w:rsidRDefault="002D29FC">
            <w:pPr>
              <w:spacing w:line="205" w:lineRule="exact"/>
              <w:ind w:right="105"/>
              <w:jc w:val="right"/>
              <w:rPr>
                <w:rFonts w:ascii="Calibri"/>
                <w:sz w:val="18"/>
              </w:rPr>
            </w:pPr>
            <w:r>
              <w:rPr>
                <w:rFonts w:ascii="Calibri"/>
                <w:sz w:val="18"/>
              </w:rPr>
              <w:t>Per club</w:t>
            </w:r>
          </w:p>
        </w:tc>
        <w:tc>
          <w:tcPr>
            <w:tcW w:w="2268" w:type="dxa"/>
          </w:tcPr>
          <w:p w:rsidR="006A18FD" w:rsidRDefault="002D29FC">
            <w:pPr>
              <w:spacing w:line="205" w:lineRule="exact"/>
              <w:ind w:right="101"/>
              <w:jc w:val="right"/>
              <w:rPr>
                <w:rFonts w:ascii="Calibri" w:hAnsi="Calibri"/>
                <w:sz w:val="18"/>
              </w:rPr>
            </w:pPr>
            <w:r>
              <w:rPr>
                <w:rFonts w:ascii="Calibri" w:hAnsi="Calibri"/>
                <w:sz w:val="18"/>
              </w:rPr>
              <w:t>£61</w:t>
            </w:r>
          </w:p>
        </w:tc>
        <w:tc>
          <w:tcPr>
            <w:tcW w:w="1985" w:type="dxa"/>
          </w:tcPr>
          <w:p w:rsidR="006A18FD" w:rsidRDefault="006A18FD">
            <w:pPr>
              <w:rPr>
                <w:rFonts w:ascii="Times New Roman"/>
                <w:sz w:val="16"/>
              </w:rPr>
            </w:pPr>
          </w:p>
        </w:tc>
        <w:tc>
          <w:tcPr>
            <w:tcW w:w="2125" w:type="dxa"/>
          </w:tcPr>
          <w:p w:rsidR="006A18FD" w:rsidRDefault="002D29FC">
            <w:pPr>
              <w:spacing w:line="205" w:lineRule="exact"/>
              <w:ind w:right="98"/>
              <w:jc w:val="right"/>
              <w:rPr>
                <w:rFonts w:ascii="Calibri" w:hAnsi="Calibri"/>
                <w:sz w:val="18"/>
              </w:rPr>
            </w:pPr>
            <w:r>
              <w:rPr>
                <w:rFonts w:ascii="Calibri" w:hAnsi="Calibri"/>
                <w:sz w:val="18"/>
              </w:rPr>
              <w:t>£122</w:t>
            </w:r>
          </w:p>
        </w:tc>
      </w:tr>
      <w:tr w:rsidR="006A18FD">
        <w:trPr>
          <w:trHeight w:val="440"/>
        </w:trPr>
        <w:tc>
          <w:tcPr>
            <w:tcW w:w="2122" w:type="dxa"/>
          </w:tcPr>
          <w:p w:rsidR="006A18FD" w:rsidRDefault="002D29FC">
            <w:pPr>
              <w:spacing w:before="1" w:line="220" w:lineRule="atLeast"/>
              <w:ind w:left="103" w:right="343"/>
              <w:rPr>
                <w:rFonts w:ascii="Calibri"/>
                <w:sz w:val="18"/>
              </w:rPr>
            </w:pPr>
            <w:r>
              <w:rPr>
                <w:rFonts w:ascii="Calibri"/>
                <w:sz w:val="18"/>
              </w:rPr>
              <w:t>Transport of specimen collection box</w:t>
            </w:r>
          </w:p>
        </w:tc>
        <w:tc>
          <w:tcPr>
            <w:tcW w:w="1277" w:type="dxa"/>
          </w:tcPr>
          <w:p w:rsidR="006A18FD" w:rsidRDefault="002D29FC">
            <w:pPr>
              <w:spacing w:before="1"/>
              <w:ind w:right="105"/>
              <w:jc w:val="right"/>
              <w:rPr>
                <w:rFonts w:ascii="Calibri"/>
                <w:sz w:val="18"/>
              </w:rPr>
            </w:pPr>
            <w:r>
              <w:rPr>
                <w:rFonts w:ascii="Calibri"/>
                <w:sz w:val="18"/>
              </w:rPr>
              <w:t>Per club</w:t>
            </w:r>
          </w:p>
        </w:tc>
        <w:tc>
          <w:tcPr>
            <w:tcW w:w="2268" w:type="dxa"/>
          </w:tcPr>
          <w:p w:rsidR="006A18FD" w:rsidRDefault="002D29FC">
            <w:pPr>
              <w:spacing w:before="1"/>
              <w:ind w:right="101"/>
              <w:jc w:val="right"/>
              <w:rPr>
                <w:rFonts w:ascii="Calibri" w:hAnsi="Calibri"/>
                <w:sz w:val="18"/>
              </w:rPr>
            </w:pPr>
            <w:r>
              <w:rPr>
                <w:rFonts w:ascii="Calibri" w:hAnsi="Calibri"/>
                <w:sz w:val="18"/>
              </w:rPr>
              <w:t>£149</w:t>
            </w:r>
          </w:p>
        </w:tc>
        <w:tc>
          <w:tcPr>
            <w:tcW w:w="1985" w:type="dxa"/>
          </w:tcPr>
          <w:p w:rsidR="006A18FD" w:rsidRDefault="006A18FD">
            <w:pPr>
              <w:rPr>
                <w:rFonts w:ascii="Times New Roman"/>
                <w:sz w:val="18"/>
              </w:rPr>
            </w:pPr>
          </w:p>
        </w:tc>
        <w:tc>
          <w:tcPr>
            <w:tcW w:w="2125" w:type="dxa"/>
          </w:tcPr>
          <w:p w:rsidR="006A18FD" w:rsidRDefault="002D29FC">
            <w:pPr>
              <w:spacing w:before="1"/>
              <w:ind w:right="98"/>
              <w:jc w:val="right"/>
              <w:rPr>
                <w:rFonts w:ascii="Calibri" w:hAnsi="Calibri"/>
                <w:sz w:val="18"/>
              </w:rPr>
            </w:pPr>
            <w:r>
              <w:rPr>
                <w:rFonts w:ascii="Calibri" w:hAnsi="Calibri"/>
                <w:sz w:val="18"/>
              </w:rPr>
              <w:t>£299</w:t>
            </w:r>
          </w:p>
        </w:tc>
      </w:tr>
      <w:tr w:rsidR="006A18FD">
        <w:trPr>
          <w:trHeight w:val="220"/>
        </w:trPr>
        <w:tc>
          <w:tcPr>
            <w:tcW w:w="2122" w:type="dxa"/>
          </w:tcPr>
          <w:p w:rsidR="006A18FD" w:rsidRDefault="002D29FC">
            <w:pPr>
              <w:spacing w:line="205" w:lineRule="exact"/>
              <w:ind w:left="103"/>
              <w:rPr>
                <w:rFonts w:ascii="Calibri"/>
                <w:b/>
                <w:i/>
                <w:sz w:val="18"/>
              </w:rPr>
            </w:pPr>
            <w:r>
              <w:rPr>
                <w:rFonts w:ascii="Calibri"/>
                <w:b/>
                <w:i/>
                <w:sz w:val="18"/>
              </w:rPr>
              <w:t>Processing costs</w:t>
            </w:r>
          </w:p>
        </w:tc>
        <w:tc>
          <w:tcPr>
            <w:tcW w:w="1277" w:type="dxa"/>
          </w:tcPr>
          <w:p w:rsidR="006A18FD" w:rsidRDefault="006A18FD">
            <w:pPr>
              <w:rPr>
                <w:rFonts w:ascii="Times New Roman"/>
                <w:sz w:val="16"/>
              </w:rPr>
            </w:pPr>
          </w:p>
        </w:tc>
        <w:tc>
          <w:tcPr>
            <w:tcW w:w="2268" w:type="dxa"/>
          </w:tcPr>
          <w:p w:rsidR="006A18FD" w:rsidRDefault="006A18FD">
            <w:pPr>
              <w:rPr>
                <w:rFonts w:ascii="Times New Roman"/>
                <w:sz w:val="16"/>
              </w:rPr>
            </w:pPr>
          </w:p>
        </w:tc>
        <w:tc>
          <w:tcPr>
            <w:tcW w:w="1985" w:type="dxa"/>
          </w:tcPr>
          <w:p w:rsidR="006A18FD" w:rsidRDefault="006A18FD">
            <w:pPr>
              <w:rPr>
                <w:rFonts w:ascii="Times New Roman"/>
                <w:sz w:val="16"/>
              </w:rPr>
            </w:pPr>
          </w:p>
        </w:tc>
        <w:tc>
          <w:tcPr>
            <w:tcW w:w="2125" w:type="dxa"/>
          </w:tcPr>
          <w:p w:rsidR="006A18FD" w:rsidRDefault="006A18FD">
            <w:pPr>
              <w:rPr>
                <w:rFonts w:ascii="Times New Roman"/>
                <w:sz w:val="16"/>
              </w:rPr>
            </w:pPr>
          </w:p>
        </w:tc>
      </w:tr>
      <w:tr w:rsidR="006A18FD">
        <w:trPr>
          <w:trHeight w:val="440"/>
        </w:trPr>
        <w:tc>
          <w:tcPr>
            <w:tcW w:w="2122" w:type="dxa"/>
          </w:tcPr>
          <w:p w:rsidR="006A18FD" w:rsidRDefault="002D29FC">
            <w:pPr>
              <w:spacing w:before="1" w:line="220" w:lineRule="atLeast"/>
              <w:ind w:left="103" w:right="646"/>
              <w:rPr>
                <w:rFonts w:ascii="Calibri"/>
                <w:sz w:val="12"/>
              </w:rPr>
            </w:pPr>
            <w:r>
              <w:rPr>
                <w:rFonts w:ascii="Calibri"/>
                <w:sz w:val="18"/>
              </w:rPr>
              <w:t>Additional storage facilities</w:t>
            </w:r>
            <w:r>
              <w:rPr>
                <w:rFonts w:ascii="Calibri"/>
                <w:position w:val="5"/>
                <w:sz w:val="12"/>
              </w:rPr>
              <w:t>4</w:t>
            </w:r>
          </w:p>
        </w:tc>
        <w:tc>
          <w:tcPr>
            <w:tcW w:w="1277" w:type="dxa"/>
          </w:tcPr>
          <w:p w:rsidR="006A18FD" w:rsidRDefault="006A18FD">
            <w:pPr>
              <w:rPr>
                <w:rFonts w:ascii="Times New Roman"/>
                <w:sz w:val="18"/>
              </w:rPr>
            </w:pPr>
          </w:p>
        </w:tc>
        <w:tc>
          <w:tcPr>
            <w:tcW w:w="2268" w:type="dxa"/>
          </w:tcPr>
          <w:p w:rsidR="006A18FD" w:rsidRDefault="002D29FC">
            <w:pPr>
              <w:spacing w:before="1"/>
              <w:ind w:right="101"/>
              <w:jc w:val="right"/>
              <w:rPr>
                <w:rFonts w:ascii="Calibri" w:hAnsi="Calibri"/>
                <w:sz w:val="18"/>
              </w:rPr>
            </w:pPr>
            <w:r>
              <w:rPr>
                <w:rFonts w:ascii="Calibri" w:hAnsi="Calibri"/>
                <w:sz w:val="18"/>
              </w:rPr>
              <w:t>£13</w:t>
            </w:r>
          </w:p>
        </w:tc>
        <w:tc>
          <w:tcPr>
            <w:tcW w:w="1985" w:type="dxa"/>
          </w:tcPr>
          <w:p w:rsidR="006A18FD" w:rsidRDefault="006A18FD">
            <w:pPr>
              <w:rPr>
                <w:rFonts w:ascii="Times New Roman"/>
                <w:sz w:val="18"/>
              </w:rPr>
            </w:pPr>
          </w:p>
        </w:tc>
        <w:tc>
          <w:tcPr>
            <w:tcW w:w="2125" w:type="dxa"/>
          </w:tcPr>
          <w:p w:rsidR="006A18FD" w:rsidRDefault="002D29FC">
            <w:pPr>
              <w:spacing w:before="1"/>
              <w:ind w:right="98"/>
              <w:jc w:val="right"/>
              <w:rPr>
                <w:rFonts w:ascii="Calibri" w:hAnsi="Calibri"/>
                <w:sz w:val="18"/>
              </w:rPr>
            </w:pPr>
            <w:r>
              <w:rPr>
                <w:rFonts w:ascii="Calibri" w:hAnsi="Calibri"/>
                <w:sz w:val="18"/>
              </w:rPr>
              <w:t>£26</w:t>
            </w:r>
          </w:p>
        </w:tc>
      </w:tr>
      <w:tr w:rsidR="006A18FD">
        <w:trPr>
          <w:trHeight w:val="640"/>
        </w:trPr>
        <w:tc>
          <w:tcPr>
            <w:tcW w:w="2122" w:type="dxa"/>
          </w:tcPr>
          <w:p w:rsidR="006A18FD" w:rsidRDefault="002D29FC">
            <w:pPr>
              <w:spacing w:line="218" w:lineRule="exact"/>
              <w:ind w:left="103"/>
              <w:rPr>
                <w:rFonts w:ascii="Calibri"/>
                <w:sz w:val="18"/>
              </w:rPr>
            </w:pPr>
            <w:r>
              <w:rPr>
                <w:rFonts w:ascii="Calibri"/>
                <w:sz w:val="18"/>
              </w:rPr>
              <w:t>Sample processing</w:t>
            </w:r>
          </w:p>
        </w:tc>
        <w:tc>
          <w:tcPr>
            <w:tcW w:w="1277" w:type="dxa"/>
          </w:tcPr>
          <w:p w:rsidR="006A18FD" w:rsidRDefault="002D29FC">
            <w:pPr>
              <w:spacing w:line="218" w:lineRule="exact"/>
              <w:ind w:left="422"/>
              <w:rPr>
                <w:rFonts w:ascii="Calibri"/>
                <w:sz w:val="18"/>
              </w:rPr>
            </w:pPr>
            <w:r>
              <w:rPr>
                <w:rFonts w:ascii="Calibri"/>
                <w:sz w:val="18"/>
              </w:rPr>
              <w:t>Per player</w:t>
            </w:r>
          </w:p>
          <w:p w:rsidR="006A18FD" w:rsidRDefault="002D29FC">
            <w:pPr>
              <w:spacing w:before="1"/>
              <w:ind w:left="695"/>
              <w:rPr>
                <w:rFonts w:ascii="Calibri"/>
                <w:sz w:val="18"/>
              </w:rPr>
            </w:pPr>
            <w:r>
              <w:rPr>
                <w:rFonts w:ascii="Calibri"/>
                <w:sz w:val="18"/>
              </w:rPr>
              <w:t>tested</w:t>
            </w:r>
          </w:p>
        </w:tc>
        <w:tc>
          <w:tcPr>
            <w:tcW w:w="2268" w:type="dxa"/>
          </w:tcPr>
          <w:p w:rsidR="006A18FD" w:rsidRDefault="002D29FC">
            <w:pPr>
              <w:spacing w:line="218" w:lineRule="exact"/>
              <w:ind w:right="101"/>
              <w:jc w:val="right"/>
              <w:rPr>
                <w:rFonts w:ascii="Calibri" w:hAnsi="Calibri"/>
                <w:sz w:val="18"/>
              </w:rPr>
            </w:pPr>
            <w:r>
              <w:rPr>
                <w:rFonts w:ascii="Calibri" w:hAnsi="Calibri"/>
                <w:sz w:val="18"/>
              </w:rPr>
              <w:t>£12</w:t>
            </w:r>
          </w:p>
        </w:tc>
        <w:tc>
          <w:tcPr>
            <w:tcW w:w="1985" w:type="dxa"/>
          </w:tcPr>
          <w:p w:rsidR="006A18FD" w:rsidRDefault="002D29FC">
            <w:pPr>
              <w:spacing w:line="218" w:lineRule="exact"/>
              <w:ind w:left="765"/>
              <w:rPr>
                <w:rFonts w:ascii="Calibri"/>
                <w:sz w:val="18"/>
              </w:rPr>
            </w:pPr>
            <w:r>
              <w:rPr>
                <w:rFonts w:ascii="Calibri"/>
                <w:sz w:val="18"/>
              </w:rPr>
              <w:t>Captain-led 28</w:t>
            </w:r>
          </w:p>
          <w:p w:rsidR="006A18FD" w:rsidRDefault="002D29FC">
            <w:pPr>
              <w:spacing w:before="1" w:line="219" w:lineRule="exact"/>
              <w:ind w:left="309"/>
              <w:rPr>
                <w:rFonts w:ascii="Calibri"/>
                <w:sz w:val="18"/>
              </w:rPr>
            </w:pPr>
            <w:r>
              <w:rPr>
                <w:rFonts w:ascii="Calibri"/>
                <w:sz w:val="18"/>
              </w:rPr>
              <w:t>Health advisor-led 31</w:t>
            </w:r>
          </w:p>
          <w:p w:rsidR="006A18FD" w:rsidRDefault="002D29FC">
            <w:pPr>
              <w:spacing w:line="199" w:lineRule="exact"/>
              <w:ind w:left="808"/>
              <w:rPr>
                <w:rFonts w:ascii="Calibri"/>
                <w:sz w:val="18"/>
              </w:rPr>
            </w:pPr>
            <w:r>
              <w:rPr>
                <w:rFonts w:ascii="Calibri"/>
                <w:sz w:val="18"/>
              </w:rPr>
              <w:t>Poster-only 31</w:t>
            </w:r>
          </w:p>
        </w:tc>
        <w:tc>
          <w:tcPr>
            <w:tcW w:w="2125" w:type="dxa"/>
          </w:tcPr>
          <w:p w:rsidR="006A18FD" w:rsidRDefault="002D29FC">
            <w:pPr>
              <w:spacing w:line="218" w:lineRule="exact"/>
              <w:ind w:right="98"/>
              <w:jc w:val="right"/>
              <w:rPr>
                <w:rFonts w:ascii="Calibri" w:hAnsi="Calibri"/>
                <w:sz w:val="18"/>
              </w:rPr>
            </w:pPr>
            <w:r>
              <w:rPr>
                <w:rFonts w:ascii="Calibri" w:hAnsi="Calibri"/>
                <w:sz w:val="18"/>
              </w:rPr>
              <w:t>£332</w:t>
            </w:r>
          </w:p>
          <w:p w:rsidR="006A18FD" w:rsidRDefault="002D29FC">
            <w:pPr>
              <w:spacing w:before="1" w:line="219" w:lineRule="exact"/>
              <w:ind w:right="98"/>
              <w:jc w:val="right"/>
              <w:rPr>
                <w:rFonts w:ascii="Calibri" w:hAnsi="Calibri"/>
                <w:sz w:val="18"/>
              </w:rPr>
            </w:pPr>
            <w:r>
              <w:rPr>
                <w:rFonts w:ascii="Calibri" w:hAnsi="Calibri"/>
                <w:sz w:val="18"/>
              </w:rPr>
              <w:t>£368</w:t>
            </w:r>
          </w:p>
          <w:p w:rsidR="006A18FD" w:rsidRDefault="002D29FC">
            <w:pPr>
              <w:spacing w:line="199" w:lineRule="exact"/>
              <w:ind w:right="98"/>
              <w:jc w:val="right"/>
              <w:rPr>
                <w:rFonts w:ascii="Calibri" w:hAnsi="Calibri"/>
                <w:sz w:val="18"/>
              </w:rPr>
            </w:pPr>
            <w:r>
              <w:rPr>
                <w:rFonts w:ascii="Calibri" w:hAnsi="Calibri"/>
                <w:sz w:val="18"/>
              </w:rPr>
              <w:t>£368</w:t>
            </w:r>
          </w:p>
        </w:tc>
      </w:tr>
      <w:tr w:rsidR="006A18FD">
        <w:trPr>
          <w:trHeight w:val="640"/>
        </w:trPr>
        <w:tc>
          <w:tcPr>
            <w:tcW w:w="2122" w:type="dxa"/>
          </w:tcPr>
          <w:p w:rsidR="006A18FD" w:rsidRDefault="002D29FC">
            <w:pPr>
              <w:spacing w:before="1"/>
              <w:ind w:left="103" w:right="427"/>
              <w:rPr>
                <w:rFonts w:ascii="Calibri"/>
                <w:sz w:val="18"/>
              </w:rPr>
            </w:pPr>
            <w:r>
              <w:rPr>
                <w:rFonts w:ascii="Calibri"/>
                <w:sz w:val="18"/>
              </w:rPr>
              <w:t>Patient admin and notification of results</w:t>
            </w:r>
          </w:p>
        </w:tc>
        <w:tc>
          <w:tcPr>
            <w:tcW w:w="1277" w:type="dxa"/>
          </w:tcPr>
          <w:p w:rsidR="006A18FD" w:rsidRDefault="002D29FC">
            <w:pPr>
              <w:spacing w:before="1"/>
              <w:ind w:left="422"/>
              <w:rPr>
                <w:rFonts w:ascii="Calibri"/>
                <w:sz w:val="18"/>
              </w:rPr>
            </w:pPr>
            <w:r>
              <w:rPr>
                <w:rFonts w:ascii="Calibri"/>
                <w:sz w:val="18"/>
              </w:rPr>
              <w:t>Per player</w:t>
            </w:r>
          </w:p>
          <w:p w:rsidR="006A18FD" w:rsidRDefault="002D29FC">
            <w:pPr>
              <w:spacing w:before="1"/>
              <w:ind w:left="695"/>
              <w:rPr>
                <w:rFonts w:ascii="Calibri"/>
                <w:sz w:val="18"/>
              </w:rPr>
            </w:pPr>
            <w:r>
              <w:rPr>
                <w:rFonts w:ascii="Calibri"/>
                <w:sz w:val="18"/>
              </w:rPr>
              <w:t>tested</w:t>
            </w:r>
          </w:p>
        </w:tc>
        <w:tc>
          <w:tcPr>
            <w:tcW w:w="2268" w:type="dxa"/>
          </w:tcPr>
          <w:p w:rsidR="006A18FD" w:rsidRDefault="002D29FC">
            <w:pPr>
              <w:spacing w:before="1"/>
              <w:ind w:right="101"/>
              <w:jc w:val="right"/>
              <w:rPr>
                <w:rFonts w:ascii="Calibri" w:hAnsi="Calibri"/>
                <w:sz w:val="18"/>
              </w:rPr>
            </w:pPr>
            <w:r>
              <w:rPr>
                <w:rFonts w:ascii="Calibri" w:hAnsi="Calibri"/>
                <w:sz w:val="18"/>
              </w:rPr>
              <w:t>£5.60</w:t>
            </w:r>
          </w:p>
        </w:tc>
        <w:tc>
          <w:tcPr>
            <w:tcW w:w="1985" w:type="dxa"/>
          </w:tcPr>
          <w:p w:rsidR="006A18FD" w:rsidRDefault="002D29FC">
            <w:pPr>
              <w:spacing w:before="1"/>
              <w:ind w:left="806"/>
              <w:rPr>
                <w:rFonts w:ascii="Calibri"/>
                <w:sz w:val="18"/>
              </w:rPr>
            </w:pPr>
            <w:r>
              <w:rPr>
                <w:rFonts w:ascii="Calibri"/>
                <w:sz w:val="18"/>
              </w:rPr>
              <w:t>Captain-led 28</w:t>
            </w:r>
          </w:p>
          <w:p w:rsidR="006A18FD" w:rsidRDefault="002D29FC">
            <w:pPr>
              <w:spacing w:before="1" w:line="219" w:lineRule="exact"/>
              <w:ind w:left="309"/>
              <w:rPr>
                <w:rFonts w:ascii="Calibri"/>
                <w:sz w:val="18"/>
              </w:rPr>
            </w:pPr>
            <w:r>
              <w:rPr>
                <w:rFonts w:ascii="Calibri"/>
                <w:sz w:val="18"/>
              </w:rPr>
              <w:t>Health advisor-led 31</w:t>
            </w:r>
          </w:p>
          <w:p w:rsidR="006A18FD" w:rsidRDefault="002D29FC">
            <w:pPr>
              <w:spacing w:line="199" w:lineRule="exact"/>
              <w:ind w:left="808"/>
              <w:rPr>
                <w:rFonts w:ascii="Calibri"/>
                <w:sz w:val="18"/>
              </w:rPr>
            </w:pPr>
            <w:r>
              <w:rPr>
                <w:rFonts w:ascii="Calibri"/>
                <w:sz w:val="18"/>
              </w:rPr>
              <w:t>Poster-only 31</w:t>
            </w:r>
          </w:p>
        </w:tc>
        <w:tc>
          <w:tcPr>
            <w:tcW w:w="2125" w:type="dxa"/>
          </w:tcPr>
          <w:p w:rsidR="006A18FD" w:rsidRDefault="002D29FC">
            <w:pPr>
              <w:spacing w:before="1"/>
              <w:ind w:right="98"/>
              <w:jc w:val="right"/>
              <w:rPr>
                <w:rFonts w:ascii="Calibri" w:hAnsi="Calibri"/>
                <w:sz w:val="18"/>
              </w:rPr>
            </w:pPr>
            <w:r>
              <w:rPr>
                <w:rFonts w:ascii="Calibri" w:hAnsi="Calibri"/>
                <w:sz w:val="18"/>
              </w:rPr>
              <w:t>£156</w:t>
            </w:r>
          </w:p>
          <w:p w:rsidR="006A18FD" w:rsidRDefault="002D29FC">
            <w:pPr>
              <w:spacing w:before="1" w:line="219" w:lineRule="exact"/>
              <w:ind w:right="98"/>
              <w:jc w:val="right"/>
              <w:rPr>
                <w:rFonts w:ascii="Calibri" w:hAnsi="Calibri"/>
                <w:sz w:val="18"/>
              </w:rPr>
            </w:pPr>
            <w:r>
              <w:rPr>
                <w:rFonts w:ascii="Calibri" w:hAnsi="Calibri"/>
                <w:sz w:val="18"/>
              </w:rPr>
              <w:t>£172</w:t>
            </w:r>
          </w:p>
          <w:p w:rsidR="006A18FD" w:rsidRDefault="002D29FC">
            <w:pPr>
              <w:spacing w:line="199" w:lineRule="exact"/>
              <w:ind w:right="98"/>
              <w:jc w:val="right"/>
              <w:rPr>
                <w:rFonts w:ascii="Calibri" w:hAnsi="Calibri"/>
                <w:sz w:val="18"/>
              </w:rPr>
            </w:pPr>
            <w:r>
              <w:rPr>
                <w:rFonts w:ascii="Calibri" w:hAnsi="Calibri"/>
                <w:sz w:val="18"/>
              </w:rPr>
              <w:t>£172</w:t>
            </w:r>
          </w:p>
        </w:tc>
      </w:tr>
      <w:tr w:rsidR="006A18FD">
        <w:trPr>
          <w:trHeight w:val="640"/>
        </w:trPr>
        <w:tc>
          <w:tcPr>
            <w:tcW w:w="2122" w:type="dxa"/>
          </w:tcPr>
          <w:p w:rsidR="006A18FD" w:rsidRDefault="002D29FC">
            <w:pPr>
              <w:spacing w:before="1"/>
              <w:ind w:left="103" w:right="968"/>
              <w:rPr>
                <w:rFonts w:ascii="Calibri"/>
                <w:b/>
                <w:sz w:val="18"/>
              </w:rPr>
            </w:pPr>
            <w:r>
              <w:rPr>
                <w:rFonts w:ascii="Calibri"/>
                <w:b/>
                <w:sz w:val="18"/>
              </w:rPr>
              <w:t>Total cost per intervention</w:t>
            </w:r>
          </w:p>
        </w:tc>
        <w:tc>
          <w:tcPr>
            <w:tcW w:w="1277" w:type="dxa"/>
          </w:tcPr>
          <w:p w:rsidR="006A18FD" w:rsidRDefault="006A18FD">
            <w:pPr>
              <w:rPr>
                <w:rFonts w:ascii="Times New Roman"/>
                <w:sz w:val="18"/>
              </w:rPr>
            </w:pPr>
          </w:p>
        </w:tc>
        <w:tc>
          <w:tcPr>
            <w:tcW w:w="2268" w:type="dxa"/>
          </w:tcPr>
          <w:p w:rsidR="006A18FD" w:rsidRDefault="006A18FD">
            <w:pPr>
              <w:rPr>
                <w:rFonts w:ascii="Times New Roman"/>
                <w:sz w:val="18"/>
              </w:rPr>
            </w:pPr>
          </w:p>
        </w:tc>
        <w:tc>
          <w:tcPr>
            <w:tcW w:w="1985" w:type="dxa"/>
          </w:tcPr>
          <w:p w:rsidR="006A18FD" w:rsidRDefault="006A18FD">
            <w:pPr>
              <w:rPr>
                <w:rFonts w:ascii="Times New Roman"/>
                <w:sz w:val="18"/>
              </w:rPr>
            </w:pPr>
          </w:p>
        </w:tc>
        <w:tc>
          <w:tcPr>
            <w:tcW w:w="2125" w:type="dxa"/>
          </w:tcPr>
          <w:p w:rsidR="006A18FD" w:rsidRDefault="002D29FC">
            <w:pPr>
              <w:spacing w:before="1"/>
              <w:ind w:left="124" w:right="98" w:firstLine="487"/>
              <w:jc w:val="right"/>
              <w:rPr>
                <w:rFonts w:ascii="Calibri" w:hAnsi="Calibri"/>
                <w:b/>
                <w:sz w:val="18"/>
              </w:rPr>
            </w:pPr>
            <w:r>
              <w:rPr>
                <w:rFonts w:ascii="Calibri" w:hAnsi="Calibri"/>
                <w:b/>
                <w:sz w:val="18"/>
              </w:rPr>
              <w:t>Captain-led £2,857 Health advisor-led 3,145</w:t>
            </w:r>
          </w:p>
          <w:p w:rsidR="006A18FD" w:rsidRDefault="002D29FC">
            <w:pPr>
              <w:spacing w:before="1" w:line="199" w:lineRule="exact"/>
              <w:ind w:right="98"/>
              <w:jc w:val="right"/>
              <w:rPr>
                <w:rFonts w:ascii="Calibri" w:hAnsi="Calibri"/>
                <w:b/>
                <w:sz w:val="18"/>
              </w:rPr>
            </w:pPr>
            <w:r>
              <w:rPr>
                <w:rFonts w:ascii="Calibri" w:hAnsi="Calibri"/>
                <w:b/>
                <w:sz w:val="18"/>
              </w:rPr>
              <w:t>Poster-only £2,909</w:t>
            </w:r>
          </w:p>
        </w:tc>
      </w:tr>
      <w:tr w:rsidR="006A18FD">
        <w:trPr>
          <w:trHeight w:val="640"/>
        </w:trPr>
        <w:tc>
          <w:tcPr>
            <w:tcW w:w="2122" w:type="dxa"/>
          </w:tcPr>
          <w:p w:rsidR="006A18FD" w:rsidRDefault="002D29FC">
            <w:pPr>
              <w:spacing w:before="1"/>
              <w:ind w:left="103" w:right="226"/>
              <w:rPr>
                <w:rFonts w:ascii="Calibri"/>
                <w:b/>
                <w:sz w:val="18"/>
              </w:rPr>
            </w:pPr>
            <w:r>
              <w:rPr>
                <w:rFonts w:ascii="Calibri"/>
                <w:b/>
                <w:sz w:val="18"/>
              </w:rPr>
              <w:t>Average cost per player screened</w:t>
            </w:r>
          </w:p>
        </w:tc>
        <w:tc>
          <w:tcPr>
            <w:tcW w:w="1277" w:type="dxa"/>
          </w:tcPr>
          <w:p w:rsidR="006A18FD" w:rsidRDefault="006A18FD">
            <w:pPr>
              <w:rPr>
                <w:rFonts w:ascii="Times New Roman"/>
                <w:sz w:val="18"/>
              </w:rPr>
            </w:pPr>
          </w:p>
        </w:tc>
        <w:tc>
          <w:tcPr>
            <w:tcW w:w="2268" w:type="dxa"/>
          </w:tcPr>
          <w:p w:rsidR="006A18FD" w:rsidRDefault="006A18FD">
            <w:pPr>
              <w:rPr>
                <w:rFonts w:ascii="Times New Roman"/>
                <w:sz w:val="18"/>
              </w:rPr>
            </w:pPr>
          </w:p>
        </w:tc>
        <w:tc>
          <w:tcPr>
            <w:tcW w:w="1985" w:type="dxa"/>
          </w:tcPr>
          <w:p w:rsidR="006A18FD" w:rsidRDefault="002D29FC">
            <w:pPr>
              <w:spacing w:before="1" w:line="219" w:lineRule="exact"/>
              <w:ind w:left="786"/>
              <w:rPr>
                <w:rFonts w:ascii="Calibri"/>
                <w:b/>
                <w:sz w:val="18"/>
              </w:rPr>
            </w:pPr>
            <w:r>
              <w:rPr>
                <w:rFonts w:ascii="Calibri"/>
                <w:b/>
                <w:sz w:val="18"/>
              </w:rPr>
              <w:t>Captain-led 28</w:t>
            </w:r>
          </w:p>
          <w:p w:rsidR="006A18FD" w:rsidRDefault="002D29FC">
            <w:pPr>
              <w:spacing w:line="219" w:lineRule="exact"/>
              <w:ind w:left="275"/>
              <w:rPr>
                <w:rFonts w:ascii="Calibri"/>
                <w:b/>
                <w:sz w:val="18"/>
              </w:rPr>
            </w:pPr>
            <w:r>
              <w:rPr>
                <w:rFonts w:ascii="Calibri"/>
                <w:b/>
                <w:sz w:val="18"/>
              </w:rPr>
              <w:t>Health advisor-led 31</w:t>
            </w:r>
          </w:p>
          <w:p w:rsidR="006A18FD" w:rsidRDefault="002D29FC">
            <w:pPr>
              <w:spacing w:before="1" w:line="199" w:lineRule="exact"/>
              <w:ind w:left="786"/>
              <w:rPr>
                <w:rFonts w:ascii="Calibri"/>
                <w:b/>
                <w:sz w:val="18"/>
              </w:rPr>
            </w:pPr>
            <w:r>
              <w:rPr>
                <w:rFonts w:ascii="Calibri"/>
                <w:b/>
                <w:sz w:val="18"/>
              </w:rPr>
              <w:t>Poster-only 31</w:t>
            </w:r>
          </w:p>
        </w:tc>
        <w:tc>
          <w:tcPr>
            <w:tcW w:w="2125" w:type="dxa"/>
          </w:tcPr>
          <w:p w:rsidR="006A18FD" w:rsidRDefault="002D29FC">
            <w:pPr>
              <w:spacing w:before="1"/>
              <w:ind w:left="237" w:right="81" w:firstLine="511"/>
              <w:rPr>
                <w:rFonts w:ascii="Calibri" w:hAnsi="Calibri"/>
                <w:b/>
                <w:sz w:val="18"/>
              </w:rPr>
            </w:pPr>
            <w:r>
              <w:rPr>
                <w:rFonts w:ascii="Calibri" w:hAnsi="Calibri"/>
                <w:b/>
                <w:sz w:val="18"/>
              </w:rPr>
              <w:t>Captain-led £102 Health advisor-led £101</w:t>
            </w:r>
          </w:p>
          <w:p w:rsidR="006A18FD" w:rsidRDefault="002D29FC">
            <w:pPr>
              <w:spacing w:before="1" w:line="199" w:lineRule="exact"/>
              <w:ind w:left="840"/>
              <w:rPr>
                <w:rFonts w:ascii="Calibri" w:hAnsi="Calibri"/>
                <w:b/>
                <w:sz w:val="18"/>
              </w:rPr>
            </w:pPr>
            <w:r>
              <w:rPr>
                <w:rFonts w:ascii="Calibri" w:hAnsi="Calibri"/>
                <w:b/>
                <w:sz w:val="18"/>
              </w:rPr>
              <w:t>Poster-only £94</w:t>
            </w:r>
          </w:p>
        </w:tc>
      </w:tr>
    </w:tbl>
    <w:p w:rsidR="006A18FD" w:rsidRDefault="002D29FC" w:rsidP="008E3FA8">
      <w:pPr>
        <w:numPr>
          <w:ilvl w:val="0"/>
          <w:numId w:val="12"/>
        </w:numPr>
        <w:tabs>
          <w:tab w:val="left" w:pos="328"/>
        </w:tabs>
        <w:spacing w:before="119" w:line="276" w:lineRule="auto"/>
        <w:ind w:right="235" w:firstLine="0"/>
        <w:rPr>
          <w:rFonts w:ascii="Calibri"/>
          <w:sz w:val="18"/>
        </w:rPr>
      </w:pPr>
      <w:r>
        <w:rPr>
          <w:rFonts w:ascii="Calibri"/>
          <w:sz w:val="18"/>
        </w:rPr>
        <w:t>Captain-led and poster STI screening promotion; includes the costs for a member of staff (healthcare assistant) from the clinic to undertake the sample processing, notification, preparing of materials and safe return of samples to the clinic. The forgone time taken by the team captain to prepare for and deliver the intervention was</w:t>
      </w:r>
      <w:r>
        <w:rPr>
          <w:rFonts w:ascii="Calibri"/>
          <w:spacing w:val="-24"/>
          <w:sz w:val="18"/>
        </w:rPr>
        <w:t xml:space="preserve"> </w:t>
      </w:r>
      <w:r>
        <w:rPr>
          <w:rFonts w:ascii="Calibri"/>
          <w:sz w:val="18"/>
        </w:rPr>
        <w:t>excluded.</w:t>
      </w:r>
    </w:p>
    <w:p w:rsidR="006A18FD" w:rsidRDefault="002D29FC" w:rsidP="008E3FA8">
      <w:pPr>
        <w:numPr>
          <w:ilvl w:val="0"/>
          <w:numId w:val="12"/>
        </w:numPr>
        <w:tabs>
          <w:tab w:val="left" w:pos="327"/>
        </w:tabs>
        <w:spacing w:before="120" w:line="276" w:lineRule="auto"/>
        <w:ind w:right="195" w:firstLine="0"/>
        <w:rPr>
          <w:rFonts w:ascii="Calibri"/>
          <w:sz w:val="18"/>
        </w:rPr>
      </w:pPr>
      <w:r>
        <w:rPr>
          <w:rFonts w:ascii="Calibri"/>
          <w:sz w:val="18"/>
        </w:rPr>
        <w:t>Sexual health advisor-led and poster STI screening promotion; included a sexual health advisor to lead the screening promotion. It was assumed that the health advisor would also take the materials to the club, prepare the promotion and ensure the safe return of completed specimen samples to the clinic in accordance with trial processes and clinical governance requirements. Travel costs are included.</w:t>
      </w:r>
    </w:p>
    <w:p w:rsidR="006A18FD" w:rsidRDefault="002D29FC" w:rsidP="008E3FA8">
      <w:pPr>
        <w:numPr>
          <w:ilvl w:val="0"/>
          <w:numId w:val="12"/>
        </w:numPr>
        <w:tabs>
          <w:tab w:val="left" w:pos="327"/>
        </w:tabs>
        <w:spacing w:before="119" w:line="276" w:lineRule="auto"/>
        <w:ind w:right="512" w:firstLine="0"/>
        <w:rPr>
          <w:rFonts w:ascii="Calibri"/>
          <w:sz w:val="18"/>
        </w:rPr>
      </w:pPr>
      <w:r>
        <w:rPr>
          <w:rFonts w:ascii="Calibri"/>
          <w:sz w:val="18"/>
        </w:rPr>
        <w:t>Poster-only STI screening promotion (control/comparator). It was assumed that a member of staff (healthcare assistant) from the clinic</w:t>
      </w:r>
      <w:r>
        <w:rPr>
          <w:rFonts w:ascii="Calibri"/>
          <w:spacing w:val="-2"/>
          <w:sz w:val="18"/>
        </w:rPr>
        <w:t xml:space="preserve"> </w:t>
      </w:r>
      <w:r>
        <w:rPr>
          <w:rFonts w:ascii="Calibri"/>
          <w:sz w:val="18"/>
        </w:rPr>
        <w:t>undertaking</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testing</w:t>
      </w:r>
      <w:r>
        <w:rPr>
          <w:rFonts w:ascii="Calibri"/>
          <w:spacing w:val="-3"/>
          <w:sz w:val="18"/>
        </w:rPr>
        <w:t xml:space="preserve"> </w:t>
      </w:r>
      <w:r>
        <w:rPr>
          <w:rFonts w:ascii="Calibri"/>
          <w:sz w:val="18"/>
        </w:rPr>
        <w:t>and</w:t>
      </w:r>
      <w:r>
        <w:rPr>
          <w:rFonts w:ascii="Calibri"/>
          <w:spacing w:val="-1"/>
          <w:sz w:val="18"/>
        </w:rPr>
        <w:t xml:space="preserve"> </w:t>
      </w:r>
      <w:r>
        <w:rPr>
          <w:rFonts w:ascii="Calibri"/>
          <w:sz w:val="18"/>
        </w:rPr>
        <w:t>notification</w:t>
      </w:r>
      <w:r>
        <w:rPr>
          <w:rFonts w:ascii="Calibri"/>
          <w:spacing w:val="-3"/>
          <w:sz w:val="18"/>
        </w:rPr>
        <w:t xml:space="preserve"> </w:t>
      </w:r>
      <w:r>
        <w:rPr>
          <w:rFonts w:ascii="Calibri"/>
          <w:sz w:val="18"/>
        </w:rPr>
        <w:t>would</w:t>
      </w:r>
      <w:r>
        <w:rPr>
          <w:rFonts w:ascii="Calibri"/>
          <w:spacing w:val="-3"/>
          <w:sz w:val="18"/>
        </w:rPr>
        <w:t xml:space="preserve"> </w:t>
      </w:r>
      <w:r>
        <w:rPr>
          <w:rFonts w:ascii="Calibri"/>
          <w:sz w:val="18"/>
        </w:rPr>
        <w:t>need</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be</w:t>
      </w:r>
      <w:r>
        <w:rPr>
          <w:rFonts w:ascii="Calibri"/>
          <w:spacing w:val="-3"/>
          <w:sz w:val="18"/>
        </w:rPr>
        <w:t xml:space="preserve"> </w:t>
      </w:r>
      <w:r>
        <w:rPr>
          <w:rFonts w:ascii="Calibri"/>
          <w:sz w:val="18"/>
        </w:rPr>
        <w:t>on-site</w:t>
      </w:r>
      <w:r>
        <w:rPr>
          <w:rFonts w:ascii="Calibri"/>
          <w:spacing w:val="-4"/>
          <w:sz w:val="18"/>
        </w:rPr>
        <w:t xml:space="preserve"> </w:t>
      </w:r>
      <w:r>
        <w:rPr>
          <w:rFonts w:ascii="Calibri"/>
          <w:sz w:val="18"/>
        </w:rPr>
        <w:t>before</w:t>
      </w:r>
      <w:r>
        <w:rPr>
          <w:rFonts w:ascii="Calibri"/>
          <w:spacing w:val="-4"/>
          <w:sz w:val="18"/>
        </w:rPr>
        <w:t xml:space="preserve"> </w:t>
      </w:r>
      <w:r>
        <w:rPr>
          <w:rFonts w:ascii="Calibri"/>
          <w:sz w:val="18"/>
        </w:rPr>
        <w:t>and</w:t>
      </w:r>
      <w:r>
        <w:rPr>
          <w:rFonts w:ascii="Calibri"/>
          <w:spacing w:val="-3"/>
          <w:sz w:val="18"/>
        </w:rPr>
        <w:t xml:space="preserve"> </w:t>
      </w:r>
      <w:r>
        <w:rPr>
          <w:rFonts w:ascii="Calibri"/>
          <w:sz w:val="18"/>
        </w:rPr>
        <w:t>after</w:t>
      </w:r>
      <w:r>
        <w:rPr>
          <w:rFonts w:ascii="Calibri"/>
          <w:spacing w:val="-2"/>
          <w:sz w:val="18"/>
        </w:rPr>
        <w:t xml:space="preserve"> </w:t>
      </w:r>
      <w:r>
        <w:rPr>
          <w:rFonts w:ascii="Calibri"/>
          <w:sz w:val="18"/>
        </w:rPr>
        <w:t>the</w:t>
      </w:r>
      <w:r>
        <w:rPr>
          <w:rFonts w:ascii="Calibri"/>
          <w:spacing w:val="-1"/>
          <w:sz w:val="18"/>
        </w:rPr>
        <w:t xml:space="preserve"> </w:t>
      </w:r>
      <w:r>
        <w:rPr>
          <w:rFonts w:ascii="Calibri"/>
          <w:sz w:val="18"/>
        </w:rPr>
        <w:t>promotion.</w:t>
      </w:r>
    </w:p>
    <w:p w:rsidR="006A18FD" w:rsidRDefault="002D29FC" w:rsidP="008E3FA8">
      <w:pPr>
        <w:numPr>
          <w:ilvl w:val="0"/>
          <w:numId w:val="12"/>
        </w:numPr>
        <w:tabs>
          <w:tab w:val="left" w:pos="328"/>
        </w:tabs>
        <w:spacing w:before="121" w:line="276" w:lineRule="auto"/>
        <w:ind w:right="516" w:firstLine="0"/>
        <w:rPr>
          <w:rFonts w:ascii="Calibri"/>
          <w:sz w:val="18"/>
        </w:rPr>
      </w:pPr>
      <w:r>
        <w:rPr>
          <w:rFonts w:ascii="Calibri"/>
          <w:sz w:val="18"/>
        </w:rPr>
        <w:t>Includes costs for the first year of the design elements of the posters, test kit, pens and specimen collection boxes and for the first year of the storage facilities, annuitised at three per cent over three</w:t>
      </w:r>
      <w:r>
        <w:rPr>
          <w:rFonts w:ascii="Calibri"/>
          <w:spacing w:val="-23"/>
          <w:sz w:val="18"/>
        </w:rPr>
        <w:t xml:space="preserve"> </w:t>
      </w:r>
      <w:r>
        <w:rPr>
          <w:rFonts w:ascii="Calibri"/>
          <w:sz w:val="18"/>
        </w:rPr>
        <w:t>years</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7"/>
        <w:rPr>
          <w:rFonts w:ascii="Calibri"/>
          <w:sz w:val="26"/>
        </w:rPr>
      </w:pPr>
    </w:p>
    <w:p w:rsidR="006A18FD" w:rsidRDefault="002D29FC">
      <w:pPr>
        <w:ind w:left="423" w:right="147" w:hanging="284"/>
        <w:rPr>
          <w:rFonts w:ascii="Calibri"/>
          <w:sz w:val="16"/>
        </w:rPr>
      </w:pPr>
      <w:r>
        <w:rPr>
          <w:rFonts w:ascii="Calibri"/>
          <w:position w:val="5"/>
          <w:sz w:val="10"/>
        </w:rPr>
        <w:t xml:space="preserve">1 </w:t>
      </w:r>
      <w:r>
        <w:rPr>
          <w:rFonts w:ascii="Calibri"/>
          <w:sz w:val="16"/>
        </w:rPr>
        <w:t xml:space="preserve">Jackson, L., Roberts, T., Fuller, T., Sebastian, S., Sutcliffe, L., Saunders, J., Copas, A., Mercer, C., Cassell, J. &amp; Estcourt, C. (2014) Exploring the costs and outcomes of sexually transmitted infection (STI) screening interventions targeting men in football club settings: preliminary cost-consequence analysis of the SPORTSMART pilot randomised controlled trial. </w:t>
      </w:r>
      <w:r>
        <w:rPr>
          <w:rFonts w:ascii="Calibri"/>
          <w:i/>
          <w:sz w:val="16"/>
        </w:rPr>
        <w:t>Sexually Transmitted Infections</w:t>
      </w:r>
      <w:r>
        <w:rPr>
          <w:rFonts w:ascii="Calibri"/>
          <w:sz w:val="16"/>
        </w:rPr>
        <w:t xml:space="preserve">, 91 (2). Pp. 100-105. </w:t>
      </w:r>
      <w:hyperlink r:id="rId278">
        <w:r>
          <w:rPr>
            <w:rFonts w:ascii="Calibri"/>
            <w:sz w:val="16"/>
            <w:u w:val="single"/>
          </w:rPr>
          <w:t>http://sro.sussex.ac.uk/53486/1/100.full.pdf</w:t>
        </w:r>
        <w:r>
          <w:rPr>
            <w:rFonts w:ascii="Calibri"/>
            <w:sz w:val="16"/>
          </w:rPr>
          <w:t xml:space="preserve"> </w:t>
        </w:r>
      </w:hyperlink>
      <w:r>
        <w:rPr>
          <w:rFonts w:ascii="Calibri"/>
          <w:sz w:val="16"/>
        </w:rPr>
        <w:t>[accessed 27 November 2018].</w:t>
      </w:r>
    </w:p>
    <w:p w:rsidR="006A18FD" w:rsidRDefault="006A18FD">
      <w:pPr>
        <w:rPr>
          <w:rFonts w:ascii="Calibri"/>
          <w:sz w:val="16"/>
        </w:rPr>
        <w:sectPr w:rsidR="006A18FD">
          <w:headerReference w:type="even" r:id="rId279"/>
          <w:headerReference w:type="default" r:id="rId280"/>
          <w:pgSz w:w="11910" w:h="16840"/>
          <w:pgMar w:top="960" w:right="980" w:bottom="280" w:left="580" w:header="751" w:footer="0" w:gutter="0"/>
          <w:pgNumType w:start="92"/>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5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60" name="Line 11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B31BB" id="Group 11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BEwTELgAIAAIEF&#10;AAAOAAAAAAAAAAAAAAAAAC4CAABkcnMvZTJvRG9jLnhtbFBLAQItABQABgAIAAAAIQAtd+Rc2gAA&#10;AAQBAAAPAAAAAAAAAAAAAAAAANoEAABkcnMvZG93bnJldi54bWxQSwUGAAAAAAQABADzAAAA4QUA&#10;AAAA&#10;">
                <v:line id="Line 11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w10:anchorlock/>
              </v:group>
            </w:pict>
          </mc:Fallback>
        </mc:AlternateContent>
      </w:r>
    </w:p>
    <w:p w:rsidR="006A18FD" w:rsidRDefault="008D2D0B" w:rsidP="008D2D0B">
      <w:pPr>
        <w:pStyle w:val="Heading2"/>
      </w:pPr>
      <w:r>
        <w:t xml:space="preserve">7.10 </w:t>
      </w:r>
      <w:r w:rsidR="002D29FC">
        <w:t>Abortion reference</w:t>
      </w:r>
      <w:r w:rsidR="002D29FC">
        <w:rPr>
          <w:spacing w:val="-10"/>
        </w:rPr>
        <w:t xml:space="preserve"> </w:t>
      </w:r>
      <w:r w:rsidR="002D29FC">
        <w:t>costs</w:t>
      </w:r>
    </w:p>
    <w:p w:rsidR="006A18FD" w:rsidRDefault="002D29FC">
      <w:pPr>
        <w:spacing w:before="172" w:line="273" w:lineRule="auto"/>
        <w:ind w:left="152" w:right="442"/>
        <w:jc w:val="both"/>
        <w:rPr>
          <w:rFonts w:ascii="Calibri" w:hAnsi="Calibri"/>
          <w:sz w:val="20"/>
        </w:rPr>
      </w:pPr>
      <w:r>
        <w:rPr>
          <w:rFonts w:ascii="Calibri" w:hAnsi="Calibri"/>
          <w:sz w:val="20"/>
        </w:rPr>
        <w:t>‘Reference costs are the average unit cost to the NHS of providing defined services to NHS patients in England in a given financial year. They show how NHS providers spend money to provide health care to patients.’</w:t>
      </w:r>
      <w:r>
        <w:rPr>
          <w:rFonts w:ascii="Calibri" w:hAnsi="Calibri"/>
          <w:position w:val="7"/>
          <w:sz w:val="13"/>
        </w:rPr>
        <w:t xml:space="preserve">1 </w:t>
      </w:r>
      <w:r>
        <w:rPr>
          <w:rFonts w:ascii="Calibri" w:hAnsi="Calibri"/>
          <w:sz w:val="20"/>
        </w:rPr>
        <w:t xml:space="preserve">We have drawn on </w:t>
      </w:r>
      <w:r>
        <w:rPr>
          <w:rFonts w:ascii="Calibri" w:hAnsi="Calibri"/>
          <w:i/>
          <w:sz w:val="20"/>
        </w:rPr>
        <w:t xml:space="preserve">NHS Improvement, Reference Costs 2017/2018 </w:t>
      </w:r>
      <w:r>
        <w:rPr>
          <w:rFonts w:ascii="Calibri" w:hAnsi="Calibri"/>
          <w:sz w:val="20"/>
        </w:rPr>
        <w:t>to report on the NHS reference costs for selected abortion services.</w:t>
      </w:r>
      <w:r>
        <w:rPr>
          <w:rFonts w:ascii="Calibri" w:hAnsi="Calibri"/>
          <w:position w:val="7"/>
          <w:sz w:val="13"/>
        </w:rPr>
        <w:t xml:space="preserve">1 </w:t>
      </w:r>
      <w:r>
        <w:rPr>
          <w:rFonts w:ascii="Calibri" w:hAnsi="Calibri"/>
          <w:sz w:val="20"/>
        </w:rPr>
        <w:t>All costs have been uprated to 2018/2019 prices using the NHS cost inflation index.</w:t>
      </w:r>
    </w:p>
    <w:p w:rsidR="006A18FD" w:rsidRDefault="002D29FC">
      <w:pPr>
        <w:spacing w:before="122" w:line="276" w:lineRule="auto"/>
        <w:ind w:left="152" w:right="196"/>
        <w:rPr>
          <w:rFonts w:ascii="Calibri"/>
          <w:sz w:val="20"/>
        </w:rPr>
      </w:pPr>
      <w:r>
        <w:rPr>
          <w:rFonts w:ascii="Calibri"/>
          <w:sz w:val="20"/>
        </w:rPr>
        <w:t xml:space="preserve">In previous years, the reference costs have been provided by the Department of Health (now Department of Health and Social Care) using the following guidance: </w:t>
      </w:r>
      <w:hyperlink r:id="rId281">
        <w:r>
          <w:rPr>
            <w:rFonts w:ascii="Calibri"/>
            <w:sz w:val="20"/>
            <w:u w:val="single"/>
          </w:rPr>
          <w:t>https://www.gov.uk/government/collections/nhs-reference-costs</w:t>
        </w:r>
        <w:r>
          <w:rPr>
            <w:rFonts w:ascii="Calibri"/>
            <w:sz w:val="20"/>
          </w:rPr>
          <w:t xml:space="preserve">. </w:t>
        </w:r>
      </w:hyperlink>
      <w:r>
        <w:rPr>
          <w:rFonts w:ascii="Calibri"/>
          <w:sz w:val="20"/>
        </w:rPr>
        <w:t xml:space="preserve">This year NHS Improvement have published new guidance: </w:t>
      </w:r>
      <w:hyperlink r:id="rId282">
        <w:r>
          <w:rPr>
            <w:rFonts w:ascii="Calibri"/>
            <w:sz w:val="20"/>
            <w:u w:val="single"/>
          </w:rPr>
          <w:t>https://improvement.nhs.uk/resources/approved-costing-guidance/</w:t>
        </w:r>
        <w:r>
          <w:rPr>
            <w:rFonts w:ascii="Calibri"/>
            <w:sz w:val="20"/>
          </w:rPr>
          <w:t>.</w:t>
        </w:r>
      </w:hyperlink>
    </w:p>
    <w:p w:rsidR="006A18FD" w:rsidRDefault="006A18FD">
      <w:pPr>
        <w:spacing w:before="11" w:after="1"/>
        <w:rPr>
          <w:rFonts w:ascii="Calibri"/>
          <w:sz w:val="1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2835"/>
      </w:tblGrid>
      <w:tr w:rsidR="006A18FD" w:rsidTr="00E2663F">
        <w:trPr>
          <w:trHeight w:val="800"/>
          <w:tblHeader/>
        </w:trPr>
        <w:tc>
          <w:tcPr>
            <w:tcW w:w="6801" w:type="dxa"/>
          </w:tcPr>
          <w:p w:rsidR="006A18FD" w:rsidRDefault="006A18FD">
            <w:pPr>
              <w:spacing w:before="9"/>
              <w:rPr>
                <w:rFonts w:ascii="Calibri"/>
                <w:sz w:val="21"/>
              </w:rPr>
            </w:pPr>
          </w:p>
          <w:p w:rsidR="006A18FD" w:rsidRDefault="002D29FC">
            <w:pPr>
              <w:ind w:left="105"/>
              <w:rPr>
                <w:rFonts w:ascii="Calibri" w:hAnsi="Calibri"/>
                <w:b/>
              </w:rPr>
            </w:pPr>
            <w:r>
              <w:rPr>
                <w:rFonts w:ascii="Calibri" w:hAnsi="Calibri"/>
                <w:b/>
              </w:rPr>
              <w:t>Abortion Services – Day Case</w:t>
            </w:r>
          </w:p>
        </w:tc>
        <w:tc>
          <w:tcPr>
            <w:tcW w:w="2835" w:type="dxa"/>
          </w:tcPr>
          <w:p w:rsidR="006A18FD" w:rsidRDefault="006A18FD">
            <w:pPr>
              <w:spacing w:before="9"/>
              <w:rPr>
                <w:rFonts w:ascii="Calibri"/>
                <w:sz w:val="21"/>
              </w:rPr>
            </w:pPr>
          </w:p>
          <w:p w:rsidR="006A18FD" w:rsidRDefault="002D29FC">
            <w:pPr>
              <w:ind w:left="1141" w:right="1141"/>
              <w:jc w:val="center"/>
              <w:rPr>
                <w:rFonts w:ascii="Calibri"/>
                <w:b/>
              </w:rPr>
            </w:pPr>
            <w:r>
              <w:rPr>
                <w:rFonts w:ascii="Calibri"/>
                <w:b/>
              </w:rPr>
              <w:t>2019</w:t>
            </w:r>
          </w:p>
          <w:p w:rsidR="006A18FD" w:rsidRDefault="002D29FC">
            <w:pPr>
              <w:spacing w:line="249" w:lineRule="exact"/>
              <w:jc w:val="center"/>
              <w:rPr>
                <w:rFonts w:ascii="Calibri" w:hAnsi="Calibri"/>
                <w:b/>
              </w:rPr>
            </w:pPr>
            <w:r>
              <w:rPr>
                <w:rFonts w:ascii="Calibri" w:hAnsi="Calibri"/>
                <w:b/>
              </w:rPr>
              <w:t>£</w:t>
            </w:r>
          </w:p>
        </w:tc>
      </w:tr>
      <w:tr w:rsidR="006A18FD">
        <w:trPr>
          <w:trHeight w:val="260"/>
        </w:trPr>
        <w:tc>
          <w:tcPr>
            <w:tcW w:w="6801" w:type="dxa"/>
          </w:tcPr>
          <w:p w:rsidR="006A18FD" w:rsidRDefault="002D29FC">
            <w:pPr>
              <w:spacing w:line="249" w:lineRule="exact"/>
              <w:ind w:left="105"/>
              <w:rPr>
                <w:rFonts w:ascii="Calibri"/>
              </w:rPr>
            </w:pPr>
            <w:r>
              <w:rPr>
                <w:rFonts w:ascii="Calibri"/>
              </w:rPr>
              <w:t>Dilation and Evacuation, less than 14 weeks gestation</w:t>
            </w:r>
          </w:p>
        </w:tc>
        <w:tc>
          <w:tcPr>
            <w:tcW w:w="2835" w:type="dxa"/>
          </w:tcPr>
          <w:p w:rsidR="006A18FD" w:rsidRDefault="002D29FC">
            <w:pPr>
              <w:spacing w:line="249" w:lineRule="exact"/>
              <w:ind w:left="1142" w:right="1140"/>
              <w:jc w:val="center"/>
              <w:rPr>
                <w:rFonts w:ascii="Calibri"/>
              </w:rPr>
            </w:pPr>
            <w:r>
              <w:rPr>
                <w:rFonts w:ascii="Calibri"/>
              </w:rPr>
              <w:t>1,023</w:t>
            </w:r>
          </w:p>
        </w:tc>
      </w:tr>
      <w:tr w:rsidR="006A18FD">
        <w:trPr>
          <w:trHeight w:val="260"/>
        </w:trPr>
        <w:tc>
          <w:tcPr>
            <w:tcW w:w="6801" w:type="dxa"/>
          </w:tcPr>
          <w:p w:rsidR="006A18FD" w:rsidRDefault="002D29FC">
            <w:pPr>
              <w:spacing w:line="248" w:lineRule="exact"/>
              <w:ind w:left="105"/>
              <w:rPr>
                <w:rFonts w:ascii="Calibri"/>
              </w:rPr>
            </w:pPr>
            <w:r>
              <w:rPr>
                <w:rFonts w:ascii="Calibri"/>
              </w:rPr>
              <w:t>Dilation and Evacuation, 14 to 20 weeks gestation</w:t>
            </w:r>
          </w:p>
        </w:tc>
        <w:tc>
          <w:tcPr>
            <w:tcW w:w="2835" w:type="dxa"/>
          </w:tcPr>
          <w:p w:rsidR="006A18FD" w:rsidRDefault="002D29FC">
            <w:pPr>
              <w:spacing w:line="248" w:lineRule="exact"/>
              <w:ind w:left="1142" w:right="1140"/>
              <w:jc w:val="center"/>
              <w:rPr>
                <w:rFonts w:ascii="Calibri"/>
              </w:rPr>
            </w:pPr>
            <w:r>
              <w:rPr>
                <w:rFonts w:ascii="Calibri"/>
              </w:rPr>
              <w:t>872</w:t>
            </w:r>
          </w:p>
        </w:tc>
      </w:tr>
      <w:tr w:rsidR="006A18FD">
        <w:trPr>
          <w:trHeight w:val="260"/>
        </w:trPr>
        <w:tc>
          <w:tcPr>
            <w:tcW w:w="6801" w:type="dxa"/>
          </w:tcPr>
          <w:p w:rsidR="006A18FD" w:rsidRDefault="002D29FC">
            <w:pPr>
              <w:spacing w:before="1" w:line="249" w:lineRule="exact"/>
              <w:ind w:left="105"/>
              <w:rPr>
                <w:rFonts w:ascii="Calibri"/>
              </w:rPr>
            </w:pPr>
            <w:r>
              <w:rPr>
                <w:rFonts w:ascii="Calibri"/>
              </w:rPr>
              <w:t>Medical Termination of Pregnancy, less than 14 weeks gestation</w:t>
            </w:r>
          </w:p>
        </w:tc>
        <w:tc>
          <w:tcPr>
            <w:tcW w:w="2835" w:type="dxa"/>
          </w:tcPr>
          <w:p w:rsidR="006A18FD" w:rsidRDefault="002D29FC">
            <w:pPr>
              <w:spacing w:before="1" w:line="249" w:lineRule="exact"/>
              <w:ind w:left="1142" w:right="1141"/>
              <w:jc w:val="center"/>
              <w:rPr>
                <w:rFonts w:ascii="Calibri"/>
              </w:rPr>
            </w:pPr>
            <w:r>
              <w:rPr>
                <w:rFonts w:ascii="Calibri"/>
              </w:rPr>
              <w:t>419</w:t>
            </w:r>
          </w:p>
        </w:tc>
      </w:tr>
      <w:tr w:rsidR="006A18FD">
        <w:trPr>
          <w:trHeight w:val="260"/>
        </w:trPr>
        <w:tc>
          <w:tcPr>
            <w:tcW w:w="6801" w:type="dxa"/>
          </w:tcPr>
          <w:p w:rsidR="006A18FD" w:rsidRDefault="002D29FC">
            <w:pPr>
              <w:spacing w:line="248" w:lineRule="exact"/>
              <w:ind w:left="105"/>
              <w:rPr>
                <w:rFonts w:ascii="Calibri"/>
              </w:rPr>
            </w:pPr>
            <w:r>
              <w:rPr>
                <w:rFonts w:ascii="Calibri"/>
              </w:rPr>
              <w:t>Medical Termination of Pregnancy, 14 to 20 weeks gestation</w:t>
            </w:r>
          </w:p>
        </w:tc>
        <w:tc>
          <w:tcPr>
            <w:tcW w:w="2835" w:type="dxa"/>
          </w:tcPr>
          <w:p w:rsidR="006A18FD" w:rsidRDefault="002D29FC">
            <w:pPr>
              <w:spacing w:line="248" w:lineRule="exact"/>
              <w:ind w:left="1142" w:right="1140"/>
              <w:jc w:val="center"/>
              <w:rPr>
                <w:rFonts w:ascii="Calibri"/>
              </w:rPr>
            </w:pPr>
            <w:r>
              <w:rPr>
                <w:rFonts w:ascii="Calibri"/>
              </w:rPr>
              <w:t>609</w:t>
            </w:r>
          </w:p>
        </w:tc>
      </w:tr>
      <w:tr w:rsidR="006A18FD">
        <w:trPr>
          <w:trHeight w:val="260"/>
        </w:trPr>
        <w:tc>
          <w:tcPr>
            <w:tcW w:w="6801" w:type="dxa"/>
          </w:tcPr>
          <w:p w:rsidR="006A18FD" w:rsidRDefault="002D29FC">
            <w:pPr>
              <w:spacing w:line="248" w:lineRule="exact"/>
              <w:ind w:left="105"/>
              <w:rPr>
                <w:rFonts w:ascii="Calibri"/>
              </w:rPr>
            </w:pPr>
            <w:r>
              <w:rPr>
                <w:rFonts w:ascii="Calibri"/>
              </w:rPr>
              <w:t>Vacuum Aspiration with Cannula, less than 14 weeks gestation</w:t>
            </w:r>
          </w:p>
        </w:tc>
        <w:tc>
          <w:tcPr>
            <w:tcW w:w="2835" w:type="dxa"/>
          </w:tcPr>
          <w:p w:rsidR="006A18FD" w:rsidRDefault="002D29FC">
            <w:pPr>
              <w:spacing w:line="248" w:lineRule="exact"/>
              <w:ind w:left="1142" w:right="1140"/>
              <w:jc w:val="center"/>
              <w:rPr>
                <w:rFonts w:ascii="Calibri"/>
              </w:rPr>
            </w:pPr>
            <w:r>
              <w:rPr>
                <w:rFonts w:ascii="Calibri"/>
              </w:rPr>
              <w:t>899</w:t>
            </w:r>
          </w:p>
        </w:tc>
      </w:tr>
      <w:tr w:rsidR="006A18FD">
        <w:trPr>
          <w:trHeight w:val="260"/>
        </w:trPr>
        <w:tc>
          <w:tcPr>
            <w:tcW w:w="6801" w:type="dxa"/>
          </w:tcPr>
          <w:p w:rsidR="006A18FD" w:rsidRDefault="002D29FC">
            <w:pPr>
              <w:spacing w:line="248" w:lineRule="exact"/>
              <w:ind w:left="105"/>
              <w:rPr>
                <w:rFonts w:ascii="Calibri"/>
              </w:rPr>
            </w:pPr>
            <w:r>
              <w:rPr>
                <w:rFonts w:ascii="Calibri"/>
              </w:rPr>
              <w:t>Vacuum Aspiration with Cannula, 14 to 20 weeks gestation</w:t>
            </w:r>
          </w:p>
        </w:tc>
        <w:tc>
          <w:tcPr>
            <w:tcW w:w="2835" w:type="dxa"/>
          </w:tcPr>
          <w:p w:rsidR="006A18FD" w:rsidRDefault="002D29FC">
            <w:pPr>
              <w:spacing w:line="248" w:lineRule="exact"/>
              <w:ind w:left="1142" w:right="1140"/>
              <w:jc w:val="center"/>
              <w:rPr>
                <w:rFonts w:ascii="Calibri"/>
              </w:rPr>
            </w:pPr>
            <w:r>
              <w:rPr>
                <w:rFonts w:ascii="Calibri"/>
              </w:rPr>
              <w:t>971</w:t>
            </w:r>
          </w:p>
        </w:tc>
      </w:tr>
      <w:tr w:rsidR="006A18FD">
        <w:trPr>
          <w:trHeight w:val="260"/>
        </w:trPr>
        <w:tc>
          <w:tcPr>
            <w:tcW w:w="6801" w:type="dxa"/>
          </w:tcPr>
          <w:p w:rsidR="006A18FD" w:rsidRDefault="002D29FC">
            <w:pPr>
              <w:spacing w:line="248" w:lineRule="exact"/>
              <w:ind w:left="105"/>
              <w:rPr>
                <w:rFonts w:ascii="Calibri"/>
              </w:rPr>
            </w:pPr>
            <w:r>
              <w:rPr>
                <w:rFonts w:ascii="Calibri"/>
              </w:rPr>
              <w:t>Medical or Surgical Termination of Pregnancy, over 20 weeks gestation</w:t>
            </w:r>
          </w:p>
        </w:tc>
        <w:tc>
          <w:tcPr>
            <w:tcW w:w="2835" w:type="dxa"/>
          </w:tcPr>
          <w:p w:rsidR="006A18FD" w:rsidRDefault="002D29FC">
            <w:pPr>
              <w:spacing w:line="248" w:lineRule="exact"/>
              <w:ind w:left="1142" w:right="1140"/>
              <w:jc w:val="center"/>
              <w:rPr>
                <w:rFonts w:ascii="Calibri"/>
              </w:rPr>
            </w:pPr>
            <w:r>
              <w:rPr>
                <w:rFonts w:ascii="Calibri"/>
              </w:rPr>
              <w:t>1,002</w:t>
            </w:r>
          </w:p>
        </w:tc>
      </w:tr>
    </w:tbl>
    <w:p w:rsidR="006A18FD" w:rsidRDefault="006A18FD">
      <w:pPr>
        <w:rPr>
          <w:rFonts w:ascii="Calibri"/>
          <w:sz w:val="20"/>
        </w:rPr>
      </w:pPr>
    </w:p>
    <w:p w:rsidR="006A18FD" w:rsidRDefault="006A18FD">
      <w:pPr>
        <w:rPr>
          <w:rFonts w:ascii="Calibri"/>
          <w:sz w:val="24"/>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2835"/>
      </w:tblGrid>
      <w:tr w:rsidR="006A18FD" w:rsidTr="00E2663F">
        <w:trPr>
          <w:trHeight w:val="800"/>
          <w:tblHeader/>
        </w:trPr>
        <w:tc>
          <w:tcPr>
            <w:tcW w:w="6801" w:type="dxa"/>
          </w:tcPr>
          <w:p w:rsidR="006A18FD" w:rsidRDefault="006A18FD">
            <w:pPr>
              <w:spacing w:before="11"/>
              <w:rPr>
                <w:rFonts w:ascii="Calibri"/>
                <w:sz w:val="21"/>
              </w:rPr>
            </w:pPr>
          </w:p>
          <w:p w:rsidR="006A18FD" w:rsidRDefault="002D29FC">
            <w:pPr>
              <w:ind w:left="105"/>
              <w:rPr>
                <w:rFonts w:ascii="Calibri" w:hAnsi="Calibri"/>
                <w:b/>
              </w:rPr>
            </w:pPr>
            <w:r>
              <w:rPr>
                <w:rFonts w:ascii="Calibri" w:hAnsi="Calibri"/>
                <w:b/>
              </w:rPr>
              <w:t>Abortion services – non elective long stay</w:t>
            </w:r>
          </w:p>
        </w:tc>
        <w:tc>
          <w:tcPr>
            <w:tcW w:w="2835" w:type="dxa"/>
          </w:tcPr>
          <w:p w:rsidR="006A18FD" w:rsidRDefault="006A18FD">
            <w:pPr>
              <w:spacing w:before="11"/>
              <w:rPr>
                <w:rFonts w:ascii="Calibri"/>
                <w:sz w:val="21"/>
              </w:rPr>
            </w:pPr>
          </w:p>
          <w:p w:rsidR="006A18FD" w:rsidRDefault="002D29FC">
            <w:pPr>
              <w:ind w:left="1141" w:right="1141"/>
              <w:jc w:val="center"/>
              <w:rPr>
                <w:rFonts w:ascii="Calibri"/>
                <w:b/>
              </w:rPr>
            </w:pPr>
            <w:r>
              <w:rPr>
                <w:rFonts w:ascii="Calibri"/>
                <w:b/>
              </w:rPr>
              <w:t>2019</w:t>
            </w:r>
          </w:p>
          <w:p w:rsidR="006A18FD" w:rsidRDefault="002D29FC">
            <w:pPr>
              <w:spacing w:line="249" w:lineRule="exact"/>
              <w:jc w:val="center"/>
              <w:rPr>
                <w:rFonts w:ascii="Calibri" w:hAnsi="Calibri"/>
                <w:b/>
              </w:rPr>
            </w:pPr>
            <w:r>
              <w:rPr>
                <w:rFonts w:ascii="Calibri" w:hAnsi="Calibri"/>
                <w:b/>
              </w:rPr>
              <w:t>£</w:t>
            </w:r>
          </w:p>
        </w:tc>
      </w:tr>
      <w:tr w:rsidR="006A18FD">
        <w:trPr>
          <w:trHeight w:val="260"/>
        </w:trPr>
        <w:tc>
          <w:tcPr>
            <w:tcW w:w="6801" w:type="dxa"/>
          </w:tcPr>
          <w:p w:rsidR="006A18FD" w:rsidRDefault="002D29FC">
            <w:pPr>
              <w:spacing w:line="249" w:lineRule="exact"/>
              <w:ind w:left="105"/>
              <w:rPr>
                <w:rFonts w:ascii="Calibri"/>
              </w:rPr>
            </w:pPr>
            <w:r>
              <w:rPr>
                <w:rFonts w:ascii="Calibri"/>
              </w:rPr>
              <w:t>Dilation and Evacuation, less than 14 weeks gestation</w:t>
            </w:r>
          </w:p>
        </w:tc>
        <w:tc>
          <w:tcPr>
            <w:tcW w:w="2835" w:type="dxa"/>
          </w:tcPr>
          <w:p w:rsidR="006A18FD" w:rsidRDefault="002D29FC">
            <w:pPr>
              <w:spacing w:line="249" w:lineRule="exact"/>
              <w:ind w:left="1142" w:right="1140"/>
              <w:jc w:val="center"/>
              <w:rPr>
                <w:rFonts w:ascii="Calibri"/>
              </w:rPr>
            </w:pPr>
            <w:r>
              <w:rPr>
                <w:rFonts w:ascii="Calibri"/>
              </w:rPr>
              <w:t>2,667</w:t>
            </w:r>
          </w:p>
        </w:tc>
      </w:tr>
      <w:tr w:rsidR="006A18FD">
        <w:trPr>
          <w:trHeight w:val="260"/>
        </w:trPr>
        <w:tc>
          <w:tcPr>
            <w:tcW w:w="6801" w:type="dxa"/>
          </w:tcPr>
          <w:p w:rsidR="006A18FD" w:rsidRDefault="002D29FC">
            <w:pPr>
              <w:spacing w:line="248" w:lineRule="exact"/>
              <w:ind w:left="105"/>
              <w:rPr>
                <w:rFonts w:ascii="Calibri"/>
              </w:rPr>
            </w:pPr>
            <w:r>
              <w:rPr>
                <w:rFonts w:ascii="Calibri"/>
              </w:rPr>
              <w:t>Dilation and Evacuation, 14 to 20 weeks gestation</w:t>
            </w:r>
          </w:p>
        </w:tc>
        <w:tc>
          <w:tcPr>
            <w:tcW w:w="2835" w:type="dxa"/>
          </w:tcPr>
          <w:p w:rsidR="006A18FD" w:rsidRDefault="002D29FC">
            <w:pPr>
              <w:spacing w:line="248" w:lineRule="exact"/>
              <w:ind w:left="1142" w:right="1141"/>
              <w:jc w:val="center"/>
              <w:rPr>
                <w:rFonts w:ascii="Calibri"/>
              </w:rPr>
            </w:pPr>
            <w:r>
              <w:rPr>
                <w:rFonts w:ascii="Calibri"/>
              </w:rPr>
              <w:t>4,060</w:t>
            </w:r>
          </w:p>
        </w:tc>
      </w:tr>
      <w:tr w:rsidR="006A18FD">
        <w:trPr>
          <w:trHeight w:val="260"/>
        </w:trPr>
        <w:tc>
          <w:tcPr>
            <w:tcW w:w="6801" w:type="dxa"/>
          </w:tcPr>
          <w:p w:rsidR="006A18FD" w:rsidRDefault="002D29FC">
            <w:pPr>
              <w:spacing w:line="248" w:lineRule="exact"/>
              <w:ind w:left="105"/>
              <w:rPr>
                <w:rFonts w:ascii="Calibri"/>
              </w:rPr>
            </w:pPr>
            <w:r>
              <w:rPr>
                <w:rFonts w:ascii="Calibri"/>
              </w:rPr>
              <w:t>Medical Termination of Pregnancy, less than 14 weeks gestation</w:t>
            </w:r>
          </w:p>
        </w:tc>
        <w:tc>
          <w:tcPr>
            <w:tcW w:w="2835" w:type="dxa"/>
          </w:tcPr>
          <w:p w:rsidR="006A18FD" w:rsidRDefault="002D29FC">
            <w:pPr>
              <w:spacing w:line="248" w:lineRule="exact"/>
              <w:ind w:left="1142" w:right="1140"/>
              <w:jc w:val="center"/>
              <w:rPr>
                <w:rFonts w:ascii="Calibri"/>
              </w:rPr>
            </w:pPr>
            <w:r>
              <w:rPr>
                <w:rFonts w:ascii="Calibri"/>
              </w:rPr>
              <w:t>1,884</w:t>
            </w:r>
          </w:p>
        </w:tc>
      </w:tr>
      <w:tr w:rsidR="006A18FD">
        <w:trPr>
          <w:trHeight w:val="260"/>
        </w:trPr>
        <w:tc>
          <w:tcPr>
            <w:tcW w:w="6801" w:type="dxa"/>
          </w:tcPr>
          <w:p w:rsidR="006A18FD" w:rsidRDefault="002D29FC">
            <w:pPr>
              <w:spacing w:line="248" w:lineRule="exact"/>
              <w:ind w:left="105"/>
              <w:rPr>
                <w:rFonts w:ascii="Calibri"/>
              </w:rPr>
            </w:pPr>
            <w:r>
              <w:rPr>
                <w:rFonts w:ascii="Calibri"/>
              </w:rPr>
              <w:t>Medical Termination of Pregnancy, 14 to 20 weeks gestation</w:t>
            </w:r>
          </w:p>
        </w:tc>
        <w:tc>
          <w:tcPr>
            <w:tcW w:w="2835" w:type="dxa"/>
          </w:tcPr>
          <w:p w:rsidR="006A18FD" w:rsidRDefault="002D29FC">
            <w:pPr>
              <w:spacing w:line="248" w:lineRule="exact"/>
              <w:ind w:left="1142" w:right="1140"/>
              <w:jc w:val="center"/>
              <w:rPr>
                <w:rFonts w:ascii="Calibri"/>
              </w:rPr>
            </w:pPr>
            <w:r>
              <w:rPr>
                <w:rFonts w:ascii="Calibri"/>
              </w:rPr>
              <w:t>1,499</w:t>
            </w:r>
          </w:p>
        </w:tc>
      </w:tr>
      <w:tr w:rsidR="006A18FD">
        <w:trPr>
          <w:trHeight w:val="260"/>
        </w:trPr>
        <w:tc>
          <w:tcPr>
            <w:tcW w:w="6801" w:type="dxa"/>
          </w:tcPr>
          <w:p w:rsidR="006A18FD" w:rsidRDefault="002D29FC">
            <w:pPr>
              <w:spacing w:line="248" w:lineRule="exact"/>
              <w:ind w:left="105"/>
              <w:rPr>
                <w:rFonts w:ascii="Calibri"/>
              </w:rPr>
            </w:pPr>
            <w:r>
              <w:rPr>
                <w:rFonts w:ascii="Calibri"/>
              </w:rPr>
              <w:t>Vacuum Aspiration with Cannula, less than 14 weeks gestation</w:t>
            </w:r>
          </w:p>
        </w:tc>
        <w:tc>
          <w:tcPr>
            <w:tcW w:w="2835" w:type="dxa"/>
          </w:tcPr>
          <w:p w:rsidR="006A18FD" w:rsidRDefault="002D29FC">
            <w:pPr>
              <w:spacing w:line="248" w:lineRule="exact"/>
              <w:ind w:left="1142" w:right="1140"/>
              <w:jc w:val="center"/>
              <w:rPr>
                <w:rFonts w:ascii="Calibri"/>
              </w:rPr>
            </w:pPr>
            <w:r>
              <w:rPr>
                <w:rFonts w:ascii="Calibri"/>
              </w:rPr>
              <w:t>2,628</w:t>
            </w:r>
          </w:p>
        </w:tc>
      </w:tr>
      <w:tr w:rsidR="006A18FD">
        <w:trPr>
          <w:trHeight w:val="260"/>
        </w:trPr>
        <w:tc>
          <w:tcPr>
            <w:tcW w:w="6801" w:type="dxa"/>
          </w:tcPr>
          <w:p w:rsidR="006A18FD" w:rsidRDefault="002D29FC">
            <w:pPr>
              <w:spacing w:line="248" w:lineRule="exact"/>
              <w:ind w:left="105"/>
              <w:rPr>
                <w:rFonts w:ascii="Calibri"/>
              </w:rPr>
            </w:pPr>
            <w:r>
              <w:rPr>
                <w:rFonts w:ascii="Calibri"/>
              </w:rPr>
              <w:t>Vacuum Aspiration with Cannula, 14 to 20 weeks gestation</w:t>
            </w:r>
          </w:p>
        </w:tc>
        <w:tc>
          <w:tcPr>
            <w:tcW w:w="2835" w:type="dxa"/>
          </w:tcPr>
          <w:p w:rsidR="006A18FD" w:rsidRDefault="002D29FC">
            <w:pPr>
              <w:spacing w:line="248" w:lineRule="exact"/>
              <w:ind w:left="1142" w:right="1140"/>
              <w:jc w:val="center"/>
              <w:rPr>
                <w:rFonts w:ascii="Calibri"/>
              </w:rPr>
            </w:pPr>
            <w:r>
              <w:rPr>
                <w:rFonts w:ascii="Calibri"/>
              </w:rPr>
              <w:t>3,672</w:t>
            </w:r>
          </w:p>
        </w:tc>
      </w:tr>
      <w:tr w:rsidR="006A18FD">
        <w:trPr>
          <w:trHeight w:val="260"/>
        </w:trPr>
        <w:tc>
          <w:tcPr>
            <w:tcW w:w="6801" w:type="dxa"/>
          </w:tcPr>
          <w:p w:rsidR="006A18FD" w:rsidRDefault="002D29FC">
            <w:pPr>
              <w:spacing w:line="248" w:lineRule="exact"/>
              <w:ind w:left="105"/>
              <w:rPr>
                <w:rFonts w:ascii="Calibri"/>
              </w:rPr>
            </w:pPr>
            <w:r>
              <w:rPr>
                <w:rFonts w:ascii="Calibri"/>
              </w:rPr>
              <w:t>Medical or Surgical Termination of Pregnancy, over 20 weeks gestation</w:t>
            </w:r>
          </w:p>
        </w:tc>
        <w:tc>
          <w:tcPr>
            <w:tcW w:w="2835" w:type="dxa"/>
          </w:tcPr>
          <w:p w:rsidR="006A18FD" w:rsidRDefault="002D29FC">
            <w:pPr>
              <w:spacing w:line="248" w:lineRule="exact"/>
              <w:ind w:left="1142" w:right="1140"/>
              <w:jc w:val="center"/>
              <w:rPr>
                <w:rFonts w:ascii="Calibri"/>
              </w:rPr>
            </w:pPr>
            <w:r>
              <w:rPr>
                <w:rFonts w:ascii="Calibri"/>
              </w:rPr>
              <w:t>4,029</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23"/>
        <w:ind w:left="436" w:hanging="284"/>
        <w:rPr>
          <w:rFonts w:ascii="Calibri"/>
          <w:sz w:val="16"/>
        </w:rPr>
      </w:pPr>
      <w:r>
        <w:rPr>
          <w:rFonts w:ascii="Calibri"/>
          <w:position w:val="5"/>
          <w:sz w:val="10"/>
        </w:rPr>
        <w:t xml:space="preserve">1 </w:t>
      </w:r>
      <w:r>
        <w:rPr>
          <w:rFonts w:ascii="Calibri"/>
          <w:sz w:val="16"/>
        </w:rPr>
        <w:t xml:space="preserve">NHS Improvement (2018) </w:t>
      </w:r>
      <w:r>
        <w:rPr>
          <w:rFonts w:ascii="Calibri"/>
          <w:i/>
          <w:sz w:val="16"/>
        </w:rPr>
        <w:t>National Schedule of Reference Costs 2017-18</w:t>
      </w:r>
      <w:r>
        <w:rPr>
          <w:rFonts w:ascii="Calibri"/>
          <w:sz w:val="16"/>
        </w:rPr>
        <w:t xml:space="preserve">, NHS Improvement, </w:t>
      </w:r>
      <w:hyperlink r:id="rId283">
        <w:r>
          <w:rPr>
            <w:rFonts w:ascii="Calibri"/>
            <w:sz w:val="16"/>
            <w:u w:val="single"/>
          </w:rPr>
          <w:t>https://improvement.nhs.uk/resources/reference-costs/</w:t>
        </w:r>
      </w:hyperlink>
      <w:r>
        <w:rPr>
          <w:rFonts w:ascii="Calibri"/>
          <w:sz w:val="16"/>
        </w:rPr>
        <w:t xml:space="preserve"> [accessed 1 November 2019].</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5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58" name="Line 11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914CE9" id="Group 11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Mh++nR/AgAAgQUA&#10;AA4AAAAAAAAAAAAAAAAALgIAAGRycy9lMm9Eb2MueG1sUEsBAi0AFAAGAAgAAAAhAC135FzaAAAA&#10;BAEAAA8AAAAAAAAAAAAAAAAA2QQAAGRycy9kb3ducmV2LnhtbFBLBQYAAAAABAAEAPMAAADgBQAA&#10;AAA=&#10;">
                <v:line id="Line 11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w10:anchorlock/>
              </v:group>
            </w:pict>
          </mc:Fallback>
        </mc:AlternateContent>
      </w:r>
    </w:p>
    <w:p w:rsidR="006A18FD" w:rsidRDefault="008D2D0B" w:rsidP="008D2D0B">
      <w:pPr>
        <w:pStyle w:val="Heading2"/>
      </w:pPr>
      <w:r>
        <w:t xml:space="preserve">7.11 </w:t>
      </w:r>
      <w:r w:rsidR="002D29FC">
        <w:t>Cost of private abortion</w:t>
      </w:r>
      <w:r w:rsidR="002D29FC">
        <w:rPr>
          <w:spacing w:val="-16"/>
        </w:rPr>
        <w:t xml:space="preserve"> </w:t>
      </w:r>
      <w:r w:rsidR="002D29FC">
        <w:t>treatment</w:t>
      </w:r>
    </w:p>
    <w:p w:rsidR="006A18FD" w:rsidRDefault="002D29FC">
      <w:pPr>
        <w:spacing w:before="169" w:line="273" w:lineRule="auto"/>
        <w:ind w:left="140" w:right="296"/>
        <w:jc w:val="both"/>
        <w:rPr>
          <w:rFonts w:ascii="Calibri"/>
          <w:sz w:val="20"/>
        </w:rPr>
      </w:pPr>
      <w:r>
        <w:rPr>
          <w:rFonts w:ascii="Calibri"/>
          <w:sz w:val="20"/>
        </w:rPr>
        <w:t>The costs are taken from The British Pregnancy Advisory Service</w:t>
      </w:r>
      <w:r>
        <w:rPr>
          <w:rFonts w:ascii="Calibri"/>
          <w:position w:val="7"/>
          <w:sz w:val="13"/>
        </w:rPr>
        <w:t xml:space="preserve">1 </w:t>
      </w:r>
      <w:r>
        <w:rPr>
          <w:rFonts w:ascii="Calibri"/>
          <w:sz w:val="20"/>
        </w:rPr>
        <w:t>information on prices for treatment for those who chose to be treated privately. The BPAS notes that 97% of women they see have their treatment paid for by the NHS (or another government department). Prices are from 10</w:t>
      </w:r>
      <w:r>
        <w:rPr>
          <w:rFonts w:ascii="Calibri"/>
          <w:position w:val="7"/>
          <w:sz w:val="13"/>
        </w:rPr>
        <w:t xml:space="preserve">th </w:t>
      </w:r>
      <w:r>
        <w:rPr>
          <w:rFonts w:ascii="Calibri"/>
          <w:sz w:val="20"/>
        </w:rPr>
        <w:t>April 2019. For costs of some NHS treatments see Schema 7.10.</w:t>
      </w:r>
    </w:p>
    <w:p w:rsidR="006A18FD" w:rsidRDefault="006A18FD">
      <w:pPr>
        <w:spacing w:before="10"/>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2269"/>
        <w:gridCol w:w="2410"/>
        <w:gridCol w:w="2413"/>
      </w:tblGrid>
      <w:tr w:rsidR="006A18FD" w:rsidTr="00E2663F">
        <w:trPr>
          <w:trHeight w:val="240"/>
          <w:tblHeader/>
        </w:trPr>
        <w:tc>
          <w:tcPr>
            <w:tcW w:w="2830" w:type="dxa"/>
          </w:tcPr>
          <w:p w:rsidR="006A18FD" w:rsidRDefault="002D29FC">
            <w:pPr>
              <w:spacing w:before="1" w:line="223" w:lineRule="exact"/>
              <w:ind w:left="103"/>
              <w:rPr>
                <w:rFonts w:ascii="Calibri"/>
                <w:b/>
                <w:sz w:val="20"/>
              </w:rPr>
            </w:pPr>
            <w:r>
              <w:rPr>
                <w:rFonts w:ascii="Calibri"/>
                <w:b/>
                <w:sz w:val="20"/>
              </w:rPr>
              <w:t>Prices</w:t>
            </w:r>
          </w:p>
        </w:tc>
        <w:tc>
          <w:tcPr>
            <w:tcW w:w="2269" w:type="dxa"/>
          </w:tcPr>
          <w:p w:rsidR="006A18FD" w:rsidRDefault="002D29FC">
            <w:pPr>
              <w:spacing w:before="1" w:line="223" w:lineRule="exact"/>
              <w:ind w:left="102"/>
              <w:rPr>
                <w:rFonts w:ascii="Calibri"/>
                <w:b/>
                <w:sz w:val="20"/>
              </w:rPr>
            </w:pPr>
            <w:r>
              <w:rPr>
                <w:rFonts w:ascii="Calibri"/>
                <w:b/>
                <w:sz w:val="20"/>
              </w:rPr>
              <w:t>Initial consultation</w:t>
            </w:r>
          </w:p>
        </w:tc>
        <w:tc>
          <w:tcPr>
            <w:tcW w:w="2410" w:type="dxa"/>
          </w:tcPr>
          <w:p w:rsidR="006A18FD" w:rsidRDefault="002D29FC">
            <w:pPr>
              <w:spacing w:before="1" w:line="223" w:lineRule="exact"/>
              <w:ind w:right="960"/>
              <w:jc w:val="right"/>
              <w:rPr>
                <w:rFonts w:ascii="Calibri"/>
                <w:b/>
                <w:sz w:val="20"/>
              </w:rPr>
            </w:pPr>
            <w:r>
              <w:rPr>
                <w:rFonts w:ascii="Calibri"/>
                <w:b/>
                <w:sz w:val="20"/>
              </w:rPr>
              <w:t>Treatment price</w:t>
            </w:r>
          </w:p>
        </w:tc>
        <w:tc>
          <w:tcPr>
            <w:tcW w:w="2413" w:type="dxa"/>
          </w:tcPr>
          <w:p w:rsidR="006A18FD" w:rsidRDefault="002D29FC">
            <w:pPr>
              <w:spacing w:before="1" w:line="223" w:lineRule="exact"/>
              <w:ind w:left="102"/>
              <w:rPr>
                <w:rFonts w:ascii="Calibri"/>
                <w:b/>
                <w:sz w:val="20"/>
              </w:rPr>
            </w:pPr>
            <w:r>
              <w:rPr>
                <w:rFonts w:ascii="Calibri"/>
                <w:b/>
                <w:sz w:val="20"/>
              </w:rPr>
              <w:t>Total payable</w:t>
            </w:r>
          </w:p>
        </w:tc>
      </w:tr>
      <w:tr w:rsidR="006A18FD">
        <w:trPr>
          <w:trHeight w:val="240"/>
        </w:trPr>
        <w:tc>
          <w:tcPr>
            <w:tcW w:w="2830" w:type="dxa"/>
          </w:tcPr>
          <w:p w:rsidR="006A18FD" w:rsidRDefault="002D29FC">
            <w:pPr>
              <w:spacing w:before="1" w:line="223" w:lineRule="exact"/>
              <w:ind w:left="103"/>
              <w:rPr>
                <w:rFonts w:ascii="Calibri"/>
                <w:b/>
                <w:sz w:val="20"/>
              </w:rPr>
            </w:pPr>
            <w:r>
              <w:rPr>
                <w:rFonts w:ascii="Calibri"/>
                <w:b/>
                <w:sz w:val="20"/>
              </w:rPr>
              <w:t>Abortion services</w:t>
            </w:r>
          </w:p>
        </w:tc>
        <w:tc>
          <w:tcPr>
            <w:tcW w:w="2269" w:type="dxa"/>
          </w:tcPr>
          <w:p w:rsidR="006A18FD" w:rsidRDefault="002D29FC">
            <w:pPr>
              <w:spacing w:before="1" w:line="223" w:lineRule="exact"/>
              <w:ind w:right="1"/>
              <w:jc w:val="center"/>
              <w:rPr>
                <w:rFonts w:ascii="Calibri" w:hAnsi="Calibri"/>
                <w:sz w:val="20"/>
              </w:rPr>
            </w:pPr>
            <w:r>
              <w:rPr>
                <w:rFonts w:ascii="Calibri" w:hAnsi="Calibri"/>
                <w:w w:val="99"/>
                <w:sz w:val="20"/>
              </w:rPr>
              <w:t>£</w:t>
            </w:r>
          </w:p>
        </w:tc>
        <w:tc>
          <w:tcPr>
            <w:tcW w:w="2410" w:type="dxa"/>
          </w:tcPr>
          <w:p w:rsidR="006A18FD" w:rsidRDefault="002D29FC">
            <w:pPr>
              <w:spacing w:before="1" w:line="223" w:lineRule="exact"/>
              <w:jc w:val="center"/>
              <w:rPr>
                <w:rFonts w:ascii="Calibri" w:hAnsi="Calibri"/>
                <w:sz w:val="20"/>
              </w:rPr>
            </w:pPr>
            <w:r>
              <w:rPr>
                <w:rFonts w:ascii="Calibri" w:hAnsi="Calibri"/>
                <w:w w:val="99"/>
                <w:sz w:val="20"/>
              </w:rPr>
              <w:t>£</w:t>
            </w:r>
          </w:p>
        </w:tc>
        <w:tc>
          <w:tcPr>
            <w:tcW w:w="2413" w:type="dxa"/>
          </w:tcPr>
          <w:p w:rsidR="006A18FD" w:rsidRDefault="002D29FC">
            <w:pPr>
              <w:spacing w:before="1" w:line="223" w:lineRule="exact"/>
              <w:ind w:right="1"/>
              <w:jc w:val="center"/>
              <w:rPr>
                <w:rFonts w:ascii="Calibri" w:hAnsi="Calibri"/>
                <w:sz w:val="20"/>
              </w:rPr>
            </w:pPr>
            <w:r>
              <w:rPr>
                <w:rFonts w:ascii="Calibri" w:hAnsi="Calibri"/>
                <w:w w:val="99"/>
                <w:sz w:val="20"/>
              </w:rPr>
              <w:t>£</w:t>
            </w:r>
          </w:p>
        </w:tc>
      </w:tr>
      <w:tr w:rsidR="006A18FD">
        <w:trPr>
          <w:trHeight w:val="480"/>
        </w:trPr>
        <w:tc>
          <w:tcPr>
            <w:tcW w:w="2830" w:type="dxa"/>
          </w:tcPr>
          <w:p w:rsidR="006A18FD" w:rsidRDefault="002D29FC">
            <w:pPr>
              <w:spacing w:before="1" w:line="243" w:lineRule="exact"/>
              <w:ind w:left="103"/>
              <w:rPr>
                <w:rFonts w:ascii="Calibri" w:hAnsi="Calibri"/>
                <w:sz w:val="20"/>
              </w:rPr>
            </w:pPr>
            <w:r>
              <w:rPr>
                <w:rFonts w:ascii="Calibri" w:hAnsi="Calibri"/>
                <w:sz w:val="20"/>
              </w:rPr>
              <w:t>Under 10 weeks – Abortion pill</w:t>
            </w:r>
          </w:p>
          <w:p w:rsidR="006A18FD" w:rsidRDefault="002D29FC">
            <w:pPr>
              <w:spacing w:line="222" w:lineRule="exact"/>
              <w:ind w:left="103"/>
              <w:rPr>
                <w:rFonts w:ascii="Calibri"/>
                <w:sz w:val="20"/>
              </w:rPr>
            </w:pPr>
            <w:r>
              <w:rPr>
                <w:rFonts w:ascii="Calibri"/>
                <w:sz w:val="20"/>
              </w:rPr>
              <w:t>only</w:t>
            </w:r>
          </w:p>
        </w:tc>
        <w:tc>
          <w:tcPr>
            <w:tcW w:w="2269" w:type="dxa"/>
          </w:tcPr>
          <w:p w:rsidR="006A18FD" w:rsidRDefault="002D29FC">
            <w:pPr>
              <w:spacing w:before="1"/>
              <w:ind w:left="262" w:right="263"/>
              <w:jc w:val="center"/>
              <w:rPr>
                <w:rFonts w:ascii="Calibri"/>
                <w:sz w:val="20"/>
              </w:rPr>
            </w:pPr>
            <w:r>
              <w:rPr>
                <w:rFonts w:ascii="Calibri"/>
                <w:sz w:val="20"/>
              </w:rPr>
              <w:t>110</w:t>
            </w:r>
          </w:p>
        </w:tc>
        <w:tc>
          <w:tcPr>
            <w:tcW w:w="2410" w:type="dxa"/>
          </w:tcPr>
          <w:p w:rsidR="006A18FD" w:rsidRDefault="002D29FC">
            <w:pPr>
              <w:spacing w:before="1"/>
              <w:ind w:right="1049"/>
              <w:jc w:val="right"/>
              <w:rPr>
                <w:rFonts w:ascii="Calibri"/>
                <w:sz w:val="20"/>
              </w:rPr>
            </w:pPr>
            <w:r>
              <w:rPr>
                <w:rFonts w:ascii="Calibri"/>
                <w:sz w:val="20"/>
              </w:rPr>
              <w:t>370</w:t>
            </w:r>
          </w:p>
        </w:tc>
        <w:tc>
          <w:tcPr>
            <w:tcW w:w="2413" w:type="dxa"/>
          </w:tcPr>
          <w:p w:rsidR="006A18FD" w:rsidRDefault="002D29FC">
            <w:pPr>
              <w:spacing w:before="1"/>
              <w:ind w:right="1051"/>
              <w:jc w:val="right"/>
              <w:rPr>
                <w:rFonts w:ascii="Calibri"/>
                <w:sz w:val="20"/>
              </w:rPr>
            </w:pPr>
            <w:r>
              <w:rPr>
                <w:rFonts w:ascii="Calibri"/>
                <w:sz w:val="20"/>
              </w:rPr>
              <w:t>480</w:t>
            </w:r>
          </w:p>
        </w:tc>
      </w:tr>
      <w:tr w:rsidR="006A18FD">
        <w:trPr>
          <w:trHeight w:val="240"/>
        </w:trPr>
        <w:tc>
          <w:tcPr>
            <w:tcW w:w="2830" w:type="dxa"/>
          </w:tcPr>
          <w:p w:rsidR="006A18FD" w:rsidRDefault="002D29FC">
            <w:pPr>
              <w:spacing w:before="1" w:line="223" w:lineRule="exact"/>
              <w:ind w:left="103"/>
              <w:rPr>
                <w:rFonts w:ascii="Calibri"/>
                <w:sz w:val="20"/>
              </w:rPr>
            </w:pPr>
            <w:r>
              <w:rPr>
                <w:rFonts w:ascii="Calibri"/>
                <w:sz w:val="20"/>
              </w:rPr>
              <w:t>Surgical up to 14 weeks</w:t>
            </w:r>
          </w:p>
        </w:tc>
        <w:tc>
          <w:tcPr>
            <w:tcW w:w="2269" w:type="dxa"/>
          </w:tcPr>
          <w:p w:rsidR="006A18FD" w:rsidRDefault="002D29FC">
            <w:pPr>
              <w:spacing w:before="1" w:line="223" w:lineRule="exact"/>
              <w:ind w:left="262" w:right="263"/>
              <w:jc w:val="center"/>
              <w:rPr>
                <w:rFonts w:ascii="Calibri"/>
                <w:sz w:val="20"/>
              </w:rPr>
            </w:pPr>
            <w:r>
              <w:rPr>
                <w:rFonts w:ascii="Calibri"/>
                <w:sz w:val="20"/>
              </w:rPr>
              <w:t>110</w:t>
            </w:r>
          </w:p>
        </w:tc>
        <w:tc>
          <w:tcPr>
            <w:tcW w:w="2410" w:type="dxa"/>
          </w:tcPr>
          <w:p w:rsidR="006A18FD" w:rsidRDefault="002D29FC">
            <w:pPr>
              <w:spacing w:before="1" w:line="223" w:lineRule="exact"/>
              <w:ind w:right="1049"/>
              <w:jc w:val="right"/>
              <w:rPr>
                <w:rFonts w:ascii="Calibri"/>
                <w:sz w:val="20"/>
              </w:rPr>
            </w:pPr>
            <w:r>
              <w:rPr>
                <w:rFonts w:ascii="Calibri"/>
                <w:sz w:val="20"/>
              </w:rPr>
              <w:t>570</w:t>
            </w:r>
          </w:p>
        </w:tc>
        <w:tc>
          <w:tcPr>
            <w:tcW w:w="2413" w:type="dxa"/>
          </w:tcPr>
          <w:p w:rsidR="006A18FD" w:rsidRDefault="002D29FC">
            <w:pPr>
              <w:spacing w:before="1" w:line="223" w:lineRule="exact"/>
              <w:ind w:right="1051"/>
              <w:jc w:val="right"/>
              <w:rPr>
                <w:rFonts w:ascii="Calibri"/>
                <w:sz w:val="20"/>
              </w:rPr>
            </w:pPr>
            <w:r>
              <w:rPr>
                <w:rFonts w:ascii="Calibri"/>
                <w:sz w:val="20"/>
              </w:rPr>
              <w:t>680</w:t>
            </w:r>
          </w:p>
        </w:tc>
      </w:tr>
      <w:tr w:rsidR="006A18FD">
        <w:trPr>
          <w:trHeight w:val="480"/>
        </w:trPr>
        <w:tc>
          <w:tcPr>
            <w:tcW w:w="2830" w:type="dxa"/>
          </w:tcPr>
          <w:p w:rsidR="006A18FD" w:rsidRDefault="002D29FC">
            <w:pPr>
              <w:spacing w:before="1" w:line="240" w:lineRule="atLeast"/>
              <w:ind w:left="103" w:right="150"/>
              <w:rPr>
                <w:rFonts w:ascii="Calibri"/>
                <w:sz w:val="20"/>
              </w:rPr>
            </w:pPr>
            <w:r>
              <w:rPr>
                <w:rFonts w:ascii="Calibri"/>
                <w:sz w:val="20"/>
              </w:rPr>
              <w:t>Surgical 19-24 weeks &amp; medical 11-24 weeks</w:t>
            </w:r>
          </w:p>
        </w:tc>
        <w:tc>
          <w:tcPr>
            <w:tcW w:w="2269" w:type="dxa"/>
          </w:tcPr>
          <w:p w:rsidR="006A18FD" w:rsidRDefault="002D29FC">
            <w:pPr>
              <w:spacing w:before="1"/>
              <w:ind w:left="262" w:right="263"/>
              <w:jc w:val="center"/>
              <w:rPr>
                <w:rFonts w:ascii="Calibri"/>
                <w:sz w:val="20"/>
              </w:rPr>
            </w:pPr>
            <w:r>
              <w:rPr>
                <w:rFonts w:ascii="Calibri"/>
                <w:sz w:val="20"/>
              </w:rPr>
              <w:t>110</w:t>
            </w:r>
          </w:p>
        </w:tc>
        <w:tc>
          <w:tcPr>
            <w:tcW w:w="2410" w:type="dxa"/>
          </w:tcPr>
          <w:p w:rsidR="006A18FD" w:rsidRDefault="002D29FC">
            <w:pPr>
              <w:spacing w:before="1"/>
              <w:ind w:right="1049"/>
              <w:jc w:val="right"/>
              <w:rPr>
                <w:rFonts w:ascii="Calibri"/>
                <w:sz w:val="20"/>
              </w:rPr>
            </w:pPr>
            <w:r>
              <w:rPr>
                <w:rFonts w:ascii="Calibri"/>
                <w:sz w:val="20"/>
              </w:rPr>
              <w:t>790</w:t>
            </w:r>
          </w:p>
        </w:tc>
        <w:tc>
          <w:tcPr>
            <w:tcW w:w="2413" w:type="dxa"/>
          </w:tcPr>
          <w:p w:rsidR="006A18FD" w:rsidRDefault="002D29FC">
            <w:pPr>
              <w:spacing w:before="1"/>
              <w:ind w:right="1051"/>
              <w:jc w:val="right"/>
              <w:rPr>
                <w:rFonts w:ascii="Calibri"/>
                <w:sz w:val="20"/>
              </w:rPr>
            </w:pPr>
            <w:r>
              <w:rPr>
                <w:rFonts w:ascii="Calibri"/>
                <w:sz w:val="20"/>
              </w:rPr>
              <w:t>900</w:t>
            </w:r>
          </w:p>
        </w:tc>
      </w:tr>
      <w:tr w:rsidR="006A18FD">
        <w:trPr>
          <w:trHeight w:val="239"/>
        </w:trPr>
        <w:tc>
          <w:tcPr>
            <w:tcW w:w="2830" w:type="dxa"/>
          </w:tcPr>
          <w:p w:rsidR="006A18FD" w:rsidRDefault="002D29FC">
            <w:pPr>
              <w:spacing w:line="223" w:lineRule="exact"/>
              <w:ind w:left="103"/>
              <w:rPr>
                <w:rFonts w:ascii="Calibri"/>
                <w:sz w:val="20"/>
              </w:rPr>
            </w:pPr>
            <w:r>
              <w:rPr>
                <w:rFonts w:ascii="Calibri"/>
                <w:sz w:val="20"/>
              </w:rPr>
              <w:t>Vasectomy services</w:t>
            </w:r>
          </w:p>
        </w:tc>
        <w:tc>
          <w:tcPr>
            <w:tcW w:w="2269" w:type="dxa"/>
          </w:tcPr>
          <w:p w:rsidR="006A18FD" w:rsidRDefault="002D29FC">
            <w:pPr>
              <w:spacing w:line="223" w:lineRule="exact"/>
              <w:ind w:left="262" w:right="263"/>
              <w:jc w:val="center"/>
              <w:rPr>
                <w:rFonts w:ascii="Calibri"/>
                <w:sz w:val="20"/>
              </w:rPr>
            </w:pPr>
            <w:r>
              <w:rPr>
                <w:rFonts w:ascii="Calibri"/>
                <w:sz w:val="20"/>
              </w:rPr>
              <w:t>110</w:t>
            </w:r>
          </w:p>
        </w:tc>
        <w:tc>
          <w:tcPr>
            <w:tcW w:w="2410" w:type="dxa"/>
          </w:tcPr>
          <w:p w:rsidR="006A18FD" w:rsidRDefault="002D29FC">
            <w:pPr>
              <w:spacing w:line="223" w:lineRule="exact"/>
              <w:ind w:right="998"/>
              <w:jc w:val="right"/>
              <w:rPr>
                <w:rFonts w:ascii="Calibri"/>
                <w:sz w:val="20"/>
              </w:rPr>
            </w:pPr>
            <w:r>
              <w:rPr>
                <w:rFonts w:ascii="Calibri"/>
                <w:sz w:val="20"/>
              </w:rPr>
              <w:t>1400</w:t>
            </w:r>
          </w:p>
        </w:tc>
        <w:tc>
          <w:tcPr>
            <w:tcW w:w="2413" w:type="dxa"/>
          </w:tcPr>
          <w:p w:rsidR="006A18FD" w:rsidRDefault="002D29FC">
            <w:pPr>
              <w:spacing w:line="223" w:lineRule="exact"/>
              <w:ind w:right="1002"/>
              <w:jc w:val="right"/>
              <w:rPr>
                <w:rFonts w:ascii="Calibri"/>
                <w:sz w:val="20"/>
              </w:rPr>
            </w:pPr>
            <w:r>
              <w:rPr>
                <w:rFonts w:ascii="Calibri"/>
                <w:sz w:val="20"/>
              </w:rPr>
              <w:t>1510</w:t>
            </w:r>
          </w:p>
        </w:tc>
      </w:tr>
      <w:tr w:rsidR="006A18FD">
        <w:trPr>
          <w:trHeight w:val="240"/>
        </w:trPr>
        <w:tc>
          <w:tcPr>
            <w:tcW w:w="2830" w:type="dxa"/>
          </w:tcPr>
          <w:p w:rsidR="006A18FD" w:rsidRDefault="002D29FC">
            <w:pPr>
              <w:spacing w:before="1" w:line="223" w:lineRule="exact"/>
              <w:ind w:left="103"/>
              <w:rPr>
                <w:rFonts w:ascii="Calibri"/>
                <w:sz w:val="20"/>
              </w:rPr>
            </w:pPr>
            <w:r>
              <w:rPr>
                <w:rFonts w:ascii="Calibri"/>
                <w:sz w:val="20"/>
              </w:rPr>
              <w:t>Local anaesthetic vasectomy</w:t>
            </w:r>
          </w:p>
        </w:tc>
        <w:tc>
          <w:tcPr>
            <w:tcW w:w="2269" w:type="dxa"/>
          </w:tcPr>
          <w:p w:rsidR="006A18FD" w:rsidRDefault="002D29FC">
            <w:pPr>
              <w:spacing w:before="1" w:line="223" w:lineRule="exact"/>
              <w:ind w:left="262" w:right="263"/>
              <w:jc w:val="center"/>
              <w:rPr>
                <w:rFonts w:ascii="Calibri"/>
                <w:sz w:val="20"/>
              </w:rPr>
            </w:pPr>
            <w:r>
              <w:rPr>
                <w:rFonts w:ascii="Calibri"/>
                <w:sz w:val="20"/>
              </w:rPr>
              <w:t>110</w:t>
            </w:r>
          </w:p>
        </w:tc>
        <w:tc>
          <w:tcPr>
            <w:tcW w:w="2410" w:type="dxa"/>
          </w:tcPr>
          <w:p w:rsidR="006A18FD" w:rsidRDefault="002D29FC">
            <w:pPr>
              <w:spacing w:before="1" w:line="223" w:lineRule="exact"/>
              <w:ind w:right="1049"/>
              <w:jc w:val="right"/>
              <w:rPr>
                <w:rFonts w:ascii="Calibri"/>
                <w:sz w:val="20"/>
              </w:rPr>
            </w:pPr>
            <w:r>
              <w:rPr>
                <w:rFonts w:ascii="Calibri"/>
                <w:sz w:val="20"/>
              </w:rPr>
              <w:t>360</w:t>
            </w:r>
          </w:p>
        </w:tc>
        <w:tc>
          <w:tcPr>
            <w:tcW w:w="2413" w:type="dxa"/>
          </w:tcPr>
          <w:p w:rsidR="006A18FD" w:rsidRDefault="002D29FC">
            <w:pPr>
              <w:spacing w:before="1" w:line="223" w:lineRule="exact"/>
              <w:ind w:right="1051"/>
              <w:jc w:val="right"/>
              <w:rPr>
                <w:rFonts w:ascii="Calibri"/>
                <w:sz w:val="20"/>
              </w:rPr>
            </w:pPr>
            <w:r>
              <w:rPr>
                <w:rFonts w:ascii="Calibri"/>
                <w:sz w:val="20"/>
              </w:rPr>
              <w:t>470</w:t>
            </w:r>
          </w:p>
        </w:tc>
      </w:tr>
    </w:tbl>
    <w:p w:rsidR="006A18FD" w:rsidRDefault="006A18FD">
      <w:pPr>
        <w:rPr>
          <w:rFonts w:ascii="Calibri"/>
          <w:sz w:val="20"/>
        </w:rPr>
      </w:pPr>
    </w:p>
    <w:p w:rsidR="006A18FD" w:rsidRDefault="006A18FD">
      <w:pPr>
        <w:spacing w:before="8" w:after="1"/>
        <w:rPr>
          <w:rFonts w:ascii="Calibri"/>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9"/>
        <w:gridCol w:w="2413"/>
      </w:tblGrid>
      <w:tr w:rsidR="006A18FD" w:rsidTr="00E2663F">
        <w:trPr>
          <w:trHeight w:val="240"/>
          <w:tblHeader/>
        </w:trPr>
        <w:tc>
          <w:tcPr>
            <w:tcW w:w="7509" w:type="dxa"/>
          </w:tcPr>
          <w:p w:rsidR="006A18FD" w:rsidRDefault="002D29FC">
            <w:pPr>
              <w:spacing w:before="1" w:line="223" w:lineRule="exact"/>
              <w:ind w:left="103"/>
              <w:rPr>
                <w:rFonts w:ascii="Calibri"/>
                <w:b/>
                <w:sz w:val="20"/>
              </w:rPr>
            </w:pPr>
            <w:r>
              <w:rPr>
                <w:rFonts w:ascii="Calibri"/>
                <w:b/>
                <w:sz w:val="20"/>
              </w:rPr>
              <w:t>Contraception Services</w:t>
            </w:r>
          </w:p>
        </w:tc>
        <w:tc>
          <w:tcPr>
            <w:tcW w:w="2413" w:type="dxa"/>
          </w:tcPr>
          <w:p w:rsidR="006A18FD" w:rsidRDefault="002D29FC">
            <w:pPr>
              <w:spacing w:before="1" w:line="223" w:lineRule="exact"/>
              <w:ind w:right="1149"/>
              <w:jc w:val="right"/>
              <w:rPr>
                <w:rFonts w:ascii="Calibri" w:hAnsi="Calibri"/>
                <w:sz w:val="20"/>
              </w:rPr>
            </w:pPr>
            <w:r>
              <w:rPr>
                <w:rFonts w:ascii="Calibri" w:hAnsi="Calibri"/>
                <w:w w:val="99"/>
                <w:sz w:val="20"/>
              </w:rPr>
              <w:t>£</w:t>
            </w:r>
          </w:p>
        </w:tc>
      </w:tr>
      <w:tr w:rsidR="006A18FD">
        <w:trPr>
          <w:trHeight w:val="720"/>
        </w:trPr>
        <w:tc>
          <w:tcPr>
            <w:tcW w:w="9921" w:type="dxa"/>
            <w:gridSpan w:val="2"/>
          </w:tcPr>
          <w:p w:rsidR="006A18FD" w:rsidRDefault="002D29FC">
            <w:pPr>
              <w:spacing w:before="1" w:line="243" w:lineRule="exact"/>
              <w:ind w:left="103"/>
              <w:rPr>
                <w:rFonts w:ascii="Calibri"/>
                <w:sz w:val="20"/>
              </w:rPr>
            </w:pPr>
            <w:r>
              <w:rPr>
                <w:rFonts w:ascii="Calibri"/>
                <w:sz w:val="20"/>
              </w:rPr>
              <w:t>Emergency hormonal contraception</w:t>
            </w:r>
          </w:p>
          <w:p w:rsidR="006A18FD" w:rsidRDefault="002D29FC">
            <w:pPr>
              <w:tabs>
                <w:tab w:val="right" w:pos="8809"/>
              </w:tabs>
              <w:spacing w:line="243" w:lineRule="exact"/>
              <w:ind w:left="103"/>
              <w:rPr>
                <w:rFonts w:ascii="Calibri"/>
                <w:sz w:val="20"/>
              </w:rPr>
            </w:pPr>
            <w:r>
              <w:rPr>
                <w:rFonts w:ascii="Calibri"/>
                <w:sz w:val="20"/>
              </w:rPr>
              <w:t>Levonelle</w:t>
            </w:r>
            <w:r>
              <w:rPr>
                <w:rFonts w:ascii="Calibri"/>
                <w:sz w:val="20"/>
              </w:rPr>
              <w:tab/>
              <w:t>10</w:t>
            </w:r>
          </w:p>
          <w:p w:rsidR="006A18FD" w:rsidRDefault="002D29FC">
            <w:pPr>
              <w:tabs>
                <w:tab w:val="right" w:pos="8809"/>
              </w:tabs>
              <w:spacing w:before="1" w:line="223" w:lineRule="exact"/>
              <w:ind w:left="103"/>
              <w:rPr>
                <w:rFonts w:ascii="Calibri"/>
                <w:sz w:val="20"/>
              </w:rPr>
            </w:pPr>
            <w:r>
              <w:rPr>
                <w:rFonts w:ascii="Calibri"/>
                <w:sz w:val="20"/>
              </w:rPr>
              <w:t>ellaOne</w:t>
            </w:r>
            <w:r>
              <w:rPr>
                <w:rFonts w:ascii="Calibri"/>
                <w:sz w:val="20"/>
              </w:rPr>
              <w:tab/>
              <w:t>15</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Depo Provera supply and inject</w:t>
            </w:r>
          </w:p>
        </w:tc>
        <w:tc>
          <w:tcPr>
            <w:tcW w:w="2413" w:type="dxa"/>
          </w:tcPr>
          <w:p w:rsidR="006A18FD" w:rsidRDefault="002D29FC">
            <w:pPr>
              <w:spacing w:before="1" w:line="223" w:lineRule="exact"/>
              <w:ind w:right="1099"/>
              <w:jc w:val="right"/>
              <w:rPr>
                <w:rFonts w:ascii="Calibri"/>
                <w:sz w:val="20"/>
              </w:rPr>
            </w:pPr>
            <w:r>
              <w:rPr>
                <w:rFonts w:ascii="Calibri"/>
                <w:sz w:val="20"/>
              </w:rPr>
              <w:t>30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IUCD supply and fit</w:t>
            </w:r>
          </w:p>
        </w:tc>
        <w:tc>
          <w:tcPr>
            <w:tcW w:w="2413" w:type="dxa"/>
          </w:tcPr>
          <w:p w:rsidR="006A18FD" w:rsidRDefault="002D29FC">
            <w:pPr>
              <w:spacing w:before="1" w:line="223" w:lineRule="exact"/>
              <w:ind w:right="1099"/>
              <w:jc w:val="right"/>
              <w:rPr>
                <w:rFonts w:ascii="Calibri"/>
                <w:sz w:val="20"/>
              </w:rPr>
            </w:pPr>
            <w:r>
              <w:rPr>
                <w:rFonts w:ascii="Calibri"/>
                <w:sz w:val="20"/>
              </w:rPr>
              <w:t>60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IUCD fit only</w:t>
            </w:r>
          </w:p>
        </w:tc>
        <w:tc>
          <w:tcPr>
            <w:tcW w:w="2413" w:type="dxa"/>
          </w:tcPr>
          <w:p w:rsidR="006A18FD" w:rsidRDefault="002D29FC">
            <w:pPr>
              <w:spacing w:before="1" w:line="223" w:lineRule="exact"/>
              <w:ind w:right="1099"/>
              <w:jc w:val="right"/>
              <w:rPr>
                <w:rFonts w:ascii="Calibri"/>
                <w:sz w:val="20"/>
              </w:rPr>
            </w:pPr>
            <w:r>
              <w:rPr>
                <w:rFonts w:ascii="Calibri"/>
                <w:sz w:val="20"/>
              </w:rPr>
              <w:t>40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NuvaRing contraceptive vaginal ring (3 months supply)</w:t>
            </w:r>
          </w:p>
        </w:tc>
        <w:tc>
          <w:tcPr>
            <w:tcW w:w="2413" w:type="dxa"/>
          </w:tcPr>
          <w:p w:rsidR="006A18FD" w:rsidRDefault="002D29FC">
            <w:pPr>
              <w:spacing w:before="1" w:line="223" w:lineRule="exact"/>
              <w:ind w:right="1099"/>
              <w:jc w:val="right"/>
              <w:rPr>
                <w:rFonts w:ascii="Calibri"/>
                <w:sz w:val="20"/>
              </w:rPr>
            </w:pPr>
            <w:r>
              <w:rPr>
                <w:rFonts w:ascii="Calibri"/>
                <w:sz w:val="20"/>
              </w:rPr>
              <w:t>50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Jaydess supply &amp; fit</w:t>
            </w:r>
          </w:p>
        </w:tc>
        <w:tc>
          <w:tcPr>
            <w:tcW w:w="2413" w:type="dxa"/>
          </w:tcPr>
          <w:p w:rsidR="006A18FD" w:rsidRDefault="002D29FC">
            <w:pPr>
              <w:spacing w:before="1" w:line="223" w:lineRule="exact"/>
              <w:ind w:right="1051"/>
              <w:jc w:val="right"/>
              <w:rPr>
                <w:rFonts w:ascii="Calibri"/>
                <w:sz w:val="20"/>
              </w:rPr>
            </w:pPr>
            <w:r>
              <w:rPr>
                <w:rFonts w:ascii="Calibri"/>
                <w:sz w:val="20"/>
              </w:rPr>
              <w:t>110</w:t>
            </w:r>
          </w:p>
        </w:tc>
      </w:tr>
      <w:tr w:rsidR="006A18FD">
        <w:trPr>
          <w:trHeight w:val="240"/>
        </w:trPr>
        <w:tc>
          <w:tcPr>
            <w:tcW w:w="7509" w:type="dxa"/>
          </w:tcPr>
          <w:p w:rsidR="006A18FD" w:rsidRDefault="002D29FC">
            <w:pPr>
              <w:spacing w:line="222" w:lineRule="exact"/>
              <w:ind w:left="103"/>
              <w:rPr>
                <w:rFonts w:ascii="Calibri"/>
                <w:sz w:val="20"/>
              </w:rPr>
            </w:pPr>
            <w:r>
              <w:rPr>
                <w:rFonts w:ascii="Calibri"/>
                <w:sz w:val="20"/>
              </w:rPr>
              <w:t>LARC supply &amp; fit</w:t>
            </w:r>
          </w:p>
        </w:tc>
        <w:tc>
          <w:tcPr>
            <w:tcW w:w="2413" w:type="dxa"/>
          </w:tcPr>
          <w:p w:rsidR="006A18FD" w:rsidRDefault="002D29FC">
            <w:pPr>
              <w:spacing w:line="222" w:lineRule="exact"/>
              <w:ind w:right="1051"/>
              <w:jc w:val="right"/>
              <w:rPr>
                <w:rFonts w:ascii="Calibri"/>
                <w:sz w:val="20"/>
              </w:rPr>
            </w:pPr>
            <w:r>
              <w:rPr>
                <w:rFonts w:ascii="Calibri"/>
                <w:sz w:val="20"/>
              </w:rPr>
              <w:t>150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LARC removal</w:t>
            </w:r>
          </w:p>
        </w:tc>
        <w:tc>
          <w:tcPr>
            <w:tcW w:w="2413" w:type="dxa"/>
          </w:tcPr>
          <w:p w:rsidR="006A18FD" w:rsidRDefault="002D29FC">
            <w:pPr>
              <w:spacing w:before="1" w:line="223" w:lineRule="exact"/>
              <w:ind w:right="1051"/>
              <w:jc w:val="right"/>
              <w:rPr>
                <w:rFonts w:ascii="Calibri"/>
                <w:sz w:val="20"/>
              </w:rPr>
            </w:pPr>
            <w:r>
              <w:rPr>
                <w:rFonts w:ascii="Calibri"/>
                <w:sz w:val="20"/>
              </w:rPr>
              <w:t>100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Patch (EVRA) supply</w:t>
            </w:r>
          </w:p>
        </w:tc>
        <w:tc>
          <w:tcPr>
            <w:tcW w:w="2413" w:type="dxa"/>
          </w:tcPr>
          <w:p w:rsidR="006A18FD" w:rsidRDefault="002D29FC">
            <w:pPr>
              <w:spacing w:before="1" w:line="223" w:lineRule="exact"/>
              <w:ind w:right="1099"/>
              <w:jc w:val="right"/>
              <w:rPr>
                <w:rFonts w:ascii="Calibri"/>
                <w:sz w:val="20"/>
              </w:rPr>
            </w:pPr>
            <w:r>
              <w:rPr>
                <w:rFonts w:ascii="Calibri"/>
                <w:sz w:val="20"/>
              </w:rPr>
              <w:t>25</w:t>
            </w:r>
          </w:p>
        </w:tc>
      </w:tr>
    </w:tbl>
    <w:p w:rsidR="006A18FD" w:rsidRDefault="006A18FD">
      <w:pPr>
        <w:rPr>
          <w:rFonts w:ascii="Calibri"/>
          <w:sz w:val="20"/>
        </w:rPr>
      </w:pPr>
    </w:p>
    <w:p w:rsidR="006A18FD" w:rsidRDefault="006A18FD">
      <w:pPr>
        <w:spacing w:before="8"/>
        <w:rPr>
          <w:rFonts w:ascii="Calibri"/>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9"/>
        <w:gridCol w:w="2413"/>
      </w:tblGrid>
      <w:tr w:rsidR="006A18FD" w:rsidTr="00E2663F">
        <w:trPr>
          <w:trHeight w:val="240"/>
          <w:tblHeader/>
        </w:trPr>
        <w:tc>
          <w:tcPr>
            <w:tcW w:w="7509" w:type="dxa"/>
          </w:tcPr>
          <w:p w:rsidR="006A18FD" w:rsidRDefault="002D29FC">
            <w:pPr>
              <w:spacing w:before="1" w:line="223" w:lineRule="exact"/>
              <w:ind w:left="103"/>
              <w:rPr>
                <w:rFonts w:ascii="Calibri"/>
                <w:b/>
                <w:sz w:val="20"/>
              </w:rPr>
            </w:pPr>
            <w:r>
              <w:rPr>
                <w:rFonts w:ascii="Calibri"/>
                <w:b/>
                <w:sz w:val="20"/>
              </w:rPr>
              <w:t>Other services</w:t>
            </w:r>
          </w:p>
        </w:tc>
        <w:tc>
          <w:tcPr>
            <w:tcW w:w="2413" w:type="dxa"/>
          </w:tcPr>
          <w:p w:rsidR="006A18FD" w:rsidRDefault="002D29FC">
            <w:pPr>
              <w:spacing w:before="1" w:line="223" w:lineRule="exact"/>
              <w:ind w:right="1"/>
              <w:jc w:val="center"/>
              <w:rPr>
                <w:rFonts w:ascii="Calibri" w:hAnsi="Calibri"/>
                <w:sz w:val="20"/>
              </w:rPr>
            </w:pPr>
            <w:r>
              <w:rPr>
                <w:rFonts w:ascii="Calibri" w:hAnsi="Calibri"/>
                <w:w w:val="99"/>
                <w:sz w:val="20"/>
              </w:rPr>
              <w:t>£</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Chlamydia screening at consultation</w:t>
            </w:r>
          </w:p>
        </w:tc>
        <w:tc>
          <w:tcPr>
            <w:tcW w:w="2413" w:type="dxa"/>
          </w:tcPr>
          <w:p w:rsidR="006A18FD" w:rsidRDefault="002D29FC">
            <w:pPr>
              <w:spacing w:before="1" w:line="223" w:lineRule="exact"/>
              <w:ind w:left="981" w:right="982"/>
              <w:jc w:val="center"/>
              <w:rPr>
                <w:rFonts w:ascii="Calibri"/>
                <w:sz w:val="20"/>
              </w:rPr>
            </w:pPr>
            <w:r>
              <w:rPr>
                <w:rFonts w:ascii="Calibri"/>
                <w:sz w:val="20"/>
              </w:rPr>
              <w:t>30</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Post operative counselling BPAS client</w:t>
            </w:r>
          </w:p>
        </w:tc>
        <w:tc>
          <w:tcPr>
            <w:tcW w:w="2413" w:type="dxa"/>
          </w:tcPr>
          <w:p w:rsidR="006A18FD" w:rsidRDefault="002D29FC">
            <w:pPr>
              <w:spacing w:before="1" w:line="223" w:lineRule="exact"/>
              <w:ind w:left="981" w:right="984"/>
              <w:jc w:val="center"/>
              <w:rPr>
                <w:rFonts w:ascii="Calibri"/>
                <w:sz w:val="20"/>
              </w:rPr>
            </w:pPr>
            <w:r>
              <w:rPr>
                <w:rFonts w:ascii="Calibri"/>
                <w:sz w:val="20"/>
              </w:rPr>
              <w:t>FREE</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Post operative counselling (if not treated by BPAS)</w:t>
            </w:r>
          </w:p>
        </w:tc>
        <w:tc>
          <w:tcPr>
            <w:tcW w:w="2413" w:type="dxa"/>
          </w:tcPr>
          <w:p w:rsidR="006A18FD" w:rsidRDefault="002D29FC">
            <w:pPr>
              <w:spacing w:before="1" w:line="223" w:lineRule="exact"/>
              <w:ind w:left="981" w:right="982"/>
              <w:jc w:val="center"/>
              <w:rPr>
                <w:rFonts w:ascii="Calibri"/>
                <w:sz w:val="20"/>
              </w:rPr>
            </w:pPr>
            <w:r>
              <w:rPr>
                <w:rFonts w:ascii="Calibri"/>
                <w:sz w:val="20"/>
              </w:rPr>
              <w:t>75</w:t>
            </w:r>
          </w:p>
        </w:tc>
      </w:tr>
      <w:tr w:rsidR="006A18FD">
        <w:trPr>
          <w:trHeight w:val="240"/>
        </w:trPr>
        <w:tc>
          <w:tcPr>
            <w:tcW w:w="7509" w:type="dxa"/>
          </w:tcPr>
          <w:p w:rsidR="006A18FD" w:rsidRDefault="002D29FC">
            <w:pPr>
              <w:spacing w:before="1" w:line="223" w:lineRule="exact"/>
              <w:ind w:left="103"/>
              <w:rPr>
                <w:rFonts w:ascii="Calibri"/>
                <w:sz w:val="20"/>
              </w:rPr>
            </w:pPr>
            <w:r>
              <w:rPr>
                <w:rFonts w:ascii="Calibri"/>
                <w:sz w:val="20"/>
              </w:rPr>
              <w:t>Pregnancy testing</w:t>
            </w:r>
          </w:p>
        </w:tc>
        <w:tc>
          <w:tcPr>
            <w:tcW w:w="2413" w:type="dxa"/>
          </w:tcPr>
          <w:p w:rsidR="006A18FD" w:rsidRDefault="002D29FC">
            <w:pPr>
              <w:spacing w:before="1" w:line="223" w:lineRule="exact"/>
              <w:ind w:left="981" w:right="984"/>
              <w:jc w:val="center"/>
              <w:rPr>
                <w:rFonts w:ascii="Calibri"/>
                <w:sz w:val="20"/>
              </w:rPr>
            </w:pPr>
            <w:r>
              <w:rPr>
                <w:rFonts w:ascii="Calibri"/>
                <w:sz w:val="20"/>
              </w:rPr>
              <w:t>FREE</w:t>
            </w:r>
          </w:p>
        </w:tc>
      </w:tr>
    </w:tbl>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spacing w:before="2"/>
        <w:rPr>
          <w:rFonts w:ascii="Calibri"/>
          <w:sz w:val="23"/>
        </w:rPr>
      </w:pPr>
    </w:p>
    <w:p w:rsidR="006A18FD" w:rsidRDefault="002D29FC">
      <w:pPr>
        <w:spacing w:before="1"/>
        <w:ind w:left="140"/>
        <w:jc w:val="both"/>
        <w:rPr>
          <w:rFonts w:ascii="Calibri"/>
          <w:sz w:val="20"/>
        </w:rPr>
      </w:pPr>
      <w:r>
        <w:rPr>
          <w:rFonts w:ascii="Calibri"/>
          <w:position w:val="5"/>
          <w:sz w:val="10"/>
        </w:rPr>
        <w:t xml:space="preserve">1 </w:t>
      </w:r>
      <w:hyperlink r:id="rId284">
        <w:r>
          <w:rPr>
            <w:rFonts w:ascii="Calibri"/>
            <w:color w:val="0000FF"/>
            <w:sz w:val="20"/>
            <w:u w:val="single" w:color="0000FF"/>
          </w:rPr>
          <w:t>https://www.bpas.org/abortion-care/considering-abortion/prices/</w:t>
        </w:r>
      </w:hyperlink>
    </w:p>
    <w:p w:rsidR="006A18FD" w:rsidRDefault="006A18FD">
      <w:pPr>
        <w:jc w:val="both"/>
        <w:rPr>
          <w:rFonts w:ascii="Calibri"/>
          <w:sz w:val="20"/>
        </w:rPr>
        <w:sectPr w:rsidR="006A18FD">
          <w:pgSz w:w="11910" w:h="16840"/>
          <w:pgMar w:top="960" w:right="980" w:bottom="280" w:left="580" w:header="751" w:footer="0" w:gutter="0"/>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7"/>
        <w:rPr>
          <w:rFonts w:ascii="Calibri"/>
          <w:sz w:val="18"/>
        </w:rPr>
      </w:pPr>
    </w:p>
    <w:p w:rsidR="006A18FD" w:rsidRPr="008D2D0B" w:rsidRDefault="002D29FC" w:rsidP="008E3FA8">
      <w:pPr>
        <w:pStyle w:val="ListParagraph"/>
        <w:numPr>
          <w:ilvl w:val="0"/>
          <w:numId w:val="36"/>
        </w:numPr>
        <w:tabs>
          <w:tab w:val="left" w:pos="489"/>
        </w:tabs>
        <w:spacing w:before="100"/>
        <w:rPr>
          <w:rFonts w:ascii="Cambria"/>
          <w:b/>
          <w:sz w:val="36"/>
        </w:rPr>
      </w:pPr>
      <w:r w:rsidRPr="008D2D0B">
        <w:rPr>
          <w:rFonts w:ascii="Cambria"/>
          <w:b/>
          <w:sz w:val="36"/>
        </w:rPr>
        <w:t>Care</w:t>
      </w:r>
      <w:r w:rsidRPr="008D2D0B">
        <w:rPr>
          <w:rFonts w:ascii="Cambria"/>
          <w:b/>
          <w:spacing w:val="-6"/>
          <w:sz w:val="36"/>
        </w:rPr>
        <w:t xml:space="preserve"> </w:t>
      </w:r>
      <w:r w:rsidRPr="008D2D0B">
        <w:rPr>
          <w:rFonts w:ascii="Cambria"/>
          <w:b/>
          <w:sz w:val="36"/>
        </w:rPr>
        <w:t>packages</w:t>
      </w:r>
    </w:p>
    <w:p w:rsidR="006A18FD" w:rsidRPr="008D2D0B" w:rsidRDefault="002D29FC" w:rsidP="008E3FA8">
      <w:pPr>
        <w:pStyle w:val="ListParagraph"/>
        <w:numPr>
          <w:ilvl w:val="1"/>
          <w:numId w:val="36"/>
        </w:numPr>
        <w:tabs>
          <w:tab w:val="left" w:pos="679"/>
          <w:tab w:val="left" w:pos="680"/>
        </w:tabs>
        <w:spacing w:before="305"/>
        <w:rPr>
          <w:rFonts w:ascii="Calibri"/>
          <w:sz w:val="28"/>
        </w:rPr>
      </w:pPr>
      <w:r w:rsidRPr="008D2D0B">
        <w:rPr>
          <w:rFonts w:ascii="Calibri"/>
          <w:sz w:val="28"/>
        </w:rPr>
        <w:t>Services for children returning home from</w:t>
      </w:r>
      <w:r w:rsidRPr="008D2D0B">
        <w:rPr>
          <w:rFonts w:ascii="Calibri"/>
          <w:spacing w:val="-22"/>
          <w:sz w:val="28"/>
        </w:rPr>
        <w:t xml:space="preserve"> </w:t>
      </w:r>
      <w:r w:rsidRPr="008D2D0B">
        <w:rPr>
          <w:rFonts w:ascii="Calibri"/>
          <w:sz w:val="28"/>
        </w:rPr>
        <w:t>care</w:t>
      </w:r>
    </w:p>
    <w:p w:rsidR="006A18FD" w:rsidRPr="008D2D0B" w:rsidRDefault="002D29FC" w:rsidP="008E3FA8">
      <w:pPr>
        <w:pStyle w:val="ListParagraph"/>
        <w:numPr>
          <w:ilvl w:val="1"/>
          <w:numId w:val="36"/>
        </w:numPr>
        <w:tabs>
          <w:tab w:val="left" w:pos="679"/>
          <w:tab w:val="left" w:pos="680"/>
        </w:tabs>
        <w:spacing w:before="169"/>
        <w:rPr>
          <w:rFonts w:ascii="Calibri"/>
          <w:sz w:val="28"/>
        </w:rPr>
      </w:pPr>
      <w:r w:rsidRPr="008D2D0B">
        <w:rPr>
          <w:rFonts w:ascii="Calibri"/>
          <w:sz w:val="28"/>
        </w:rPr>
        <w:t>Patient costs following discharge from acute medical</w:t>
      </w:r>
      <w:r w:rsidRPr="008D2D0B">
        <w:rPr>
          <w:rFonts w:ascii="Calibri"/>
          <w:spacing w:val="-28"/>
          <w:sz w:val="28"/>
        </w:rPr>
        <w:t xml:space="preserve"> </w:t>
      </w:r>
      <w:r w:rsidRPr="008D2D0B">
        <w:rPr>
          <w:rFonts w:ascii="Calibri"/>
          <w:sz w:val="28"/>
        </w:rPr>
        <w:t>units</w:t>
      </w:r>
    </w:p>
    <w:p w:rsidR="006A18FD" w:rsidRPr="008D2D0B" w:rsidRDefault="002D29FC" w:rsidP="008E3FA8">
      <w:pPr>
        <w:pStyle w:val="ListParagraph"/>
        <w:numPr>
          <w:ilvl w:val="1"/>
          <w:numId w:val="36"/>
        </w:numPr>
        <w:tabs>
          <w:tab w:val="left" w:pos="679"/>
          <w:tab w:val="left" w:pos="680"/>
        </w:tabs>
        <w:spacing w:before="172"/>
        <w:rPr>
          <w:rFonts w:ascii="Calibri"/>
          <w:sz w:val="28"/>
        </w:rPr>
      </w:pPr>
      <w:r w:rsidRPr="008D2D0B">
        <w:rPr>
          <w:rFonts w:ascii="Calibri"/>
          <w:sz w:val="28"/>
        </w:rPr>
        <w:t>End of life</w:t>
      </w:r>
      <w:r w:rsidRPr="008D2D0B">
        <w:rPr>
          <w:rFonts w:ascii="Calibri"/>
          <w:spacing w:val="-7"/>
          <w:sz w:val="28"/>
        </w:rPr>
        <w:t xml:space="preserve"> </w:t>
      </w:r>
      <w:r w:rsidRPr="008D2D0B">
        <w:rPr>
          <w:rFonts w:ascii="Calibri"/>
          <w:sz w:val="28"/>
        </w:rPr>
        <w:t>care</w:t>
      </w:r>
    </w:p>
    <w:p w:rsidR="006A18FD" w:rsidRPr="008D2D0B" w:rsidRDefault="002D29FC" w:rsidP="008E3FA8">
      <w:pPr>
        <w:pStyle w:val="ListParagraph"/>
        <w:numPr>
          <w:ilvl w:val="1"/>
          <w:numId w:val="36"/>
        </w:numPr>
        <w:tabs>
          <w:tab w:val="left" w:pos="656"/>
        </w:tabs>
        <w:spacing w:before="172"/>
        <w:rPr>
          <w:rFonts w:ascii="Calibri"/>
          <w:sz w:val="28"/>
        </w:rPr>
      </w:pPr>
      <w:r w:rsidRPr="008D2D0B">
        <w:rPr>
          <w:rFonts w:ascii="Calibri"/>
          <w:sz w:val="28"/>
        </w:rPr>
        <w:t>Smoking cessation</w:t>
      </w:r>
      <w:r w:rsidRPr="008D2D0B">
        <w:rPr>
          <w:rFonts w:ascii="Calibri"/>
          <w:spacing w:val="-12"/>
          <w:sz w:val="28"/>
        </w:rPr>
        <w:t xml:space="preserve"> </w:t>
      </w:r>
      <w:r w:rsidRPr="008D2D0B">
        <w:rPr>
          <w:rFonts w:ascii="Calibri"/>
          <w:sz w:val="28"/>
        </w:rPr>
        <w:t>services</w:t>
      </w:r>
    </w:p>
    <w:p w:rsidR="006A18FD" w:rsidRPr="008D2D0B" w:rsidRDefault="002D29FC" w:rsidP="008E3FA8">
      <w:pPr>
        <w:pStyle w:val="ListParagraph"/>
        <w:numPr>
          <w:ilvl w:val="1"/>
          <w:numId w:val="36"/>
        </w:numPr>
        <w:tabs>
          <w:tab w:val="left" w:pos="656"/>
        </w:tabs>
        <w:spacing w:before="171"/>
        <w:rPr>
          <w:rFonts w:ascii="Calibri"/>
          <w:sz w:val="28"/>
        </w:rPr>
      </w:pPr>
      <w:r w:rsidRPr="008D2D0B">
        <w:rPr>
          <w:rFonts w:ascii="Calibri"/>
          <w:sz w:val="28"/>
        </w:rPr>
        <w:t>Social</w:t>
      </w:r>
      <w:r w:rsidRPr="008D2D0B">
        <w:rPr>
          <w:rFonts w:ascii="Calibri"/>
          <w:spacing w:val="-2"/>
          <w:sz w:val="28"/>
        </w:rPr>
        <w:t xml:space="preserve"> </w:t>
      </w:r>
      <w:r w:rsidRPr="008D2D0B">
        <w:rPr>
          <w:rFonts w:ascii="Calibri"/>
          <w:sz w:val="28"/>
        </w:rPr>
        <w:t>prescribing</w:t>
      </w:r>
    </w:p>
    <w:p w:rsidR="006A18FD" w:rsidRPr="008D2D0B" w:rsidRDefault="002D29FC" w:rsidP="008E3FA8">
      <w:pPr>
        <w:pStyle w:val="ListParagraph"/>
        <w:numPr>
          <w:ilvl w:val="1"/>
          <w:numId w:val="36"/>
        </w:numPr>
        <w:tabs>
          <w:tab w:val="left" w:pos="656"/>
        </w:tabs>
        <w:spacing w:before="169"/>
        <w:rPr>
          <w:rFonts w:ascii="Calibri"/>
          <w:sz w:val="28"/>
        </w:rPr>
      </w:pPr>
      <w:r w:rsidRPr="008D2D0B">
        <w:rPr>
          <w:rFonts w:ascii="Calibri"/>
          <w:sz w:val="28"/>
        </w:rPr>
        <w:t>Low intensity interventions for the management of obsessive-compulsive</w:t>
      </w:r>
      <w:r w:rsidRPr="008D2D0B">
        <w:rPr>
          <w:rFonts w:ascii="Calibri"/>
          <w:spacing w:val="-32"/>
          <w:sz w:val="28"/>
        </w:rPr>
        <w:t xml:space="preserve"> </w:t>
      </w:r>
      <w:r w:rsidRPr="008D2D0B">
        <w:rPr>
          <w:rFonts w:ascii="Calibri"/>
          <w:sz w:val="28"/>
        </w:rPr>
        <w:t>disorder</w:t>
      </w:r>
    </w:p>
    <w:p w:rsidR="006A18FD" w:rsidRPr="008D2D0B" w:rsidRDefault="002D29FC" w:rsidP="008E3FA8">
      <w:pPr>
        <w:pStyle w:val="ListParagraph"/>
        <w:numPr>
          <w:ilvl w:val="1"/>
          <w:numId w:val="36"/>
        </w:numPr>
        <w:tabs>
          <w:tab w:val="left" w:pos="656"/>
        </w:tabs>
        <w:spacing w:before="171"/>
        <w:rPr>
          <w:rFonts w:ascii="Calibri"/>
          <w:sz w:val="28"/>
        </w:rPr>
      </w:pPr>
      <w:r w:rsidRPr="008D2D0B">
        <w:rPr>
          <w:rFonts w:ascii="Calibri"/>
          <w:sz w:val="28"/>
        </w:rPr>
        <w:t>The cost of diagnosis and early support in patients with cognitive</w:t>
      </w:r>
      <w:r w:rsidRPr="008D2D0B">
        <w:rPr>
          <w:rFonts w:ascii="Calibri"/>
          <w:spacing w:val="-25"/>
          <w:sz w:val="28"/>
        </w:rPr>
        <w:t xml:space="preserve"> </w:t>
      </w:r>
      <w:r w:rsidRPr="008D2D0B">
        <w:rPr>
          <w:rFonts w:ascii="Calibri"/>
          <w:sz w:val="28"/>
        </w:rPr>
        <w:t>decline</w:t>
      </w:r>
    </w:p>
    <w:p w:rsidR="006A18FD" w:rsidRDefault="006A18FD">
      <w:pPr>
        <w:rPr>
          <w:rFonts w:ascii="Calibri"/>
          <w:sz w:val="28"/>
        </w:rPr>
        <w:sectPr w:rsidR="006A18FD">
          <w:headerReference w:type="default" r:id="rId285"/>
          <w:pgSz w:w="11910" w:h="16840"/>
          <w:pgMar w:top="1580" w:right="76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5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56" name="Line 11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8112C7" id="Group 11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DLMJaCfQIAAIEFAAAO&#10;AAAAAAAAAAAAAAAAAC4CAABkcnMvZTJvRG9jLnhtbFBLAQItABQABgAIAAAAIQAtd+Rc2gAAAAQB&#10;AAAPAAAAAAAAAAAAAAAAANcEAABkcnMvZG93bnJldi54bWxQSwUGAAAAAAQABADzAAAA3gUAAAAA&#10;">
                <v:line id="Line 11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w10:anchorlock/>
              </v:group>
            </w:pict>
          </mc:Fallback>
        </mc:AlternateContent>
      </w:r>
    </w:p>
    <w:p w:rsidR="006A18FD" w:rsidRDefault="002E1E01" w:rsidP="002E1E01">
      <w:pPr>
        <w:pStyle w:val="Heading2"/>
      </w:pPr>
      <w:r>
        <w:t xml:space="preserve">8.1 </w:t>
      </w:r>
      <w:r w:rsidR="002D29FC">
        <w:t>Services for children returning home from</w:t>
      </w:r>
      <w:r w:rsidR="002D29FC">
        <w:rPr>
          <w:spacing w:val="-31"/>
        </w:rPr>
        <w:t xml:space="preserve"> </w:t>
      </w:r>
      <w:r w:rsidR="002D29FC">
        <w:t>care</w:t>
      </w:r>
    </w:p>
    <w:p w:rsidR="006A18FD" w:rsidRDefault="002D29FC">
      <w:pPr>
        <w:spacing w:before="172" w:line="276" w:lineRule="auto"/>
        <w:ind w:left="140" w:right="138"/>
        <w:rPr>
          <w:rFonts w:ascii="Calibri"/>
          <w:sz w:val="13"/>
        </w:rPr>
      </w:pPr>
      <w:r>
        <w:rPr>
          <w:rFonts w:ascii="Calibri"/>
          <w:sz w:val="20"/>
        </w:rPr>
        <w:t>A child is recorded as returning home from an episode of care if he or she ceases to be looked after by returning to live with parents or another person who has parental responsibility. This includes a child who returns to live with their adoptive parents but does not include a child who becomes the subject of an adoption order for the first time, nor a child who becomes the subject of a residence or special guardianship order.</w:t>
      </w:r>
      <w:r>
        <w:rPr>
          <w:rFonts w:ascii="Calibri"/>
          <w:position w:val="7"/>
          <w:sz w:val="13"/>
        </w:rPr>
        <w:t>1</w:t>
      </w:r>
    </w:p>
    <w:p w:rsidR="006A18FD" w:rsidRDefault="002D29FC">
      <w:pPr>
        <w:spacing w:before="119" w:line="276" w:lineRule="auto"/>
        <w:ind w:left="140" w:right="223"/>
        <w:jc w:val="both"/>
        <w:rPr>
          <w:rFonts w:ascii="Calibri"/>
          <w:sz w:val="20"/>
        </w:rPr>
      </w:pPr>
      <w:r>
        <w:rPr>
          <w:rFonts w:ascii="Calibri"/>
          <w:sz w:val="20"/>
        </w:rPr>
        <w:t>In light of the research findings about the lack of support leading to breakdown of reunification in some circumstances, the Department</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Education</w:t>
      </w:r>
      <w:r>
        <w:rPr>
          <w:rFonts w:ascii="Calibri"/>
          <w:spacing w:val="-2"/>
          <w:sz w:val="20"/>
        </w:rPr>
        <w:t xml:space="preserve"> </w:t>
      </w:r>
      <w:r>
        <w:rPr>
          <w:rFonts w:ascii="Calibri"/>
          <w:sz w:val="20"/>
        </w:rPr>
        <w:t>has</w:t>
      </w:r>
      <w:r>
        <w:rPr>
          <w:rFonts w:ascii="Calibri"/>
          <w:spacing w:val="-2"/>
          <w:sz w:val="20"/>
        </w:rPr>
        <w:t xml:space="preserve"> </w:t>
      </w:r>
      <w:r>
        <w:rPr>
          <w:rFonts w:ascii="Calibri"/>
          <w:sz w:val="20"/>
        </w:rPr>
        <w:t>worked</w:t>
      </w:r>
      <w:r>
        <w:rPr>
          <w:rFonts w:ascii="Calibri"/>
          <w:spacing w:val="-3"/>
          <w:sz w:val="20"/>
        </w:rPr>
        <w:t xml:space="preserve"> </w:t>
      </w:r>
      <w:r>
        <w:rPr>
          <w:rFonts w:ascii="Calibri"/>
          <w:sz w:val="20"/>
        </w:rPr>
        <w:t>with</w:t>
      </w:r>
      <w:r>
        <w:rPr>
          <w:rFonts w:ascii="Calibri"/>
          <w:spacing w:val="-3"/>
          <w:sz w:val="20"/>
        </w:rPr>
        <w:t xml:space="preserve"> </w:t>
      </w:r>
      <w:r>
        <w:rPr>
          <w:rFonts w:ascii="Calibri"/>
          <w:sz w:val="20"/>
        </w:rPr>
        <w:t>Loughborough</w:t>
      </w:r>
      <w:r>
        <w:rPr>
          <w:rFonts w:ascii="Calibri"/>
          <w:spacing w:val="-3"/>
          <w:sz w:val="20"/>
        </w:rPr>
        <w:t xml:space="preserve"> </w:t>
      </w:r>
      <w:r>
        <w:rPr>
          <w:rFonts w:ascii="Calibri"/>
          <w:sz w:val="20"/>
        </w:rPr>
        <w:t>University</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draw</w:t>
      </w:r>
      <w:r>
        <w:rPr>
          <w:rFonts w:ascii="Calibri"/>
          <w:spacing w:val="-4"/>
          <w:sz w:val="20"/>
        </w:rPr>
        <w:t xml:space="preserve"> </w:t>
      </w:r>
      <w:r>
        <w:rPr>
          <w:rFonts w:ascii="Calibri"/>
          <w:sz w:val="20"/>
        </w:rPr>
        <w:t>up</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number</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scenarios</w:t>
      </w:r>
      <w:r>
        <w:rPr>
          <w:rFonts w:ascii="Calibri"/>
          <w:spacing w:val="-4"/>
          <w:sz w:val="20"/>
        </w:rPr>
        <w:t xml:space="preserve"> </w:t>
      </w:r>
      <w:r>
        <w:rPr>
          <w:rFonts w:ascii="Calibri"/>
          <w:sz w:val="20"/>
        </w:rPr>
        <w:t>reflecting</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costs of</w:t>
      </w:r>
      <w:r>
        <w:rPr>
          <w:rFonts w:ascii="Calibri"/>
          <w:spacing w:val="-5"/>
          <w:sz w:val="20"/>
        </w:rPr>
        <w:t xml:space="preserve"> </w:t>
      </w:r>
      <w:r>
        <w:rPr>
          <w:rFonts w:ascii="Calibri"/>
          <w:sz w:val="20"/>
        </w:rPr>
        <w:t>returning</w:t>
      </w:r>
      <w:r>
        <w:rPr>
          <w:rFonts w:ascii="Calibri"/>
          <w:spacing w:val="-4"/>
          <w:sz w:val="20"/>
        </w:rPr>
        <w:t xml:space="preserve"> </w:t>
      </w:r>
      <w:r>
        <w:rPr>
          <w:rFonts w:ascii="Calibri"/>
          <w:sz w:val="20"/>
        </w:rPr>
        <w:t>children</w:t>
      </w:r>
      <w:r>
        <w:rPr>
          <w:rFonts w:ascii="Calibri"/>
          <w:spacing w:val="-3"/>
          <w:sz w:val="20"/>
        </w:rPr>
        <w:t xml:space="preserve"> </w:t>
      </w:r>
      <w:r>
        <w:rPr>
          <w:rFonts w:ascii="Calibri"/>
          <w:sz w:val="20"/>
        </w:rPr>
        <w:t>home</w:t>
      </w:r>
      <w:r>
        <w:rPr>
          <w:rFonts w:ascii="Calibri"/>
          <w:spacing w:val="-4"/>
          <w:sz w:val="20"/>
        </w:rPr>
        <w:t xml:space="preserve"> </w:t>
      </w:r>
      <w:r>
        <w:rPr>
          <w:rFonts w:ascii="Calibri"/>
          <w:sz w:val="20"/>
        </w:rPr>
        <w:t>based</w:t>
      </w:r>
      <w:r>
        <w:rPr>
          <w:rFonts w:ascii="Calibri"/>
          <w:spacing w:val="-3"/>
          <w:sz w:val="20"/>
        </w:rPr>
        <w:t xml:space="preserve"> </w:t>
      </w:r>
      <w:r>
        <w:rPr>
          <w:rFonts w:ascii="Calibri"/>
          <w:sz w:val="20"/>
        </w:rPr>
        <w:t>on</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range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ages,</w:t>
      </w:r>
      <w:r>
        <w:rPr>
          <w:rFonts w:ascii="Calibri"/>
          <w:spacing w:val="-3"/>
          <w:sz w:val="20"/>
        </w:rPr>
        <w:t xml:space="preserve"> </w:t>
      </w:r>
      <w:r>
        <w:rPr>
          <w:rFonts w:ascii="Calibri"/>
          <w:sz w:val="20"/>
        </w:rPr>
        <w:t>circumstances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placement</w:t>
      </w:r>
      <w:r>
        <w:rPr>
          <w:rFonts w:ascii="Calibri"/>
          <w:spacing w:val="-3"/>
          <w:sz w:val="20"/>
        </w:rPr>
        <w:t xml:space="preserve"> </w:t>
      </w:r>
      <w:r>
        <w:rPr>
          <w:rFonts w:ascii="Calibri"/>
          <w:sz w:val="20"/>
        </w:rPr>
        <w:t>types.</w:t>
      </w:r>
    </w:p>
    <w:p w:rsidR="006A18FD" w:rsidRDefault="002D29FC">
      <w:pPr>
        <w:spacing w:before="120" w:line="273" w:lineRule="auto"/>
        <w:ind w:left="140" w:right="195"/>
        <w:rPr>
          <w:rFonts w:ascii="Calibri"/>
          <w:sz w:val="20"/>
        </w:rPr>
      </w:pPr>
      <w:r>
        <w:rPr>
          <w:rFonts w:ascii="Calibri"/>
          <w:sz w:val="20"/>
        </w:rPr>
        <w:t>Information for Tables 8.2.1 to 8.2.4 has been drawn from a study commissioned by the Childhood Wellbeing Research Centre and undertaken by the Centre for Child and Family Research (CCFR) at Loughborough University.</w:t>
      </w:r>
      <w:r>
        <w:rPr>
          <w:rFonts w:ascii="Calibri"/>
          <w:position w:val="7"/>
          <w:sz w:val="13"/>
        </w:rPr>
        <w:t xml:space="preserve">2 </w:t>
      </w:r>
      <w:r>
        <w:rPr>
          <w:rFonts w:ascii="Calibri"/>
          <w:sz w:val="20"/>
        </w:rPr>
        <w:t>They make use of existing unit costs that have been estimated in previous research studies carried out by the CCFR.</w:t>
      </w:r>
      <w:r>
        <w:rPr>
          <w:rFonts w:ascii="Calibri"/>
          <w:position w:val="7"/>
          <w:sz w:val="13"/>
        </w:rPr>
        <w:t xml:space="preserve">2,3,4 </w:t>
      </w:r>
      <w:r>
        <w:rPr>
          <w:rFonts w:ascii="Calibri"/>
          <w:sz w:val="20"/>
        </w:rPr>
        <w:t>The aim of this work was to provide a series of estimated unit cost trajectories for children returning home from care. The care illustrates examples of the support received by children between January 2012 and January 2013.</w:t>
      </w:r>
    </w:p>
    <w:p w:rsidR="006A18FD" w:rsidRDefault="002D29FC">
      <w:pPr>
        <w:spacing w:before="122" w:line="273" w:lineRule="auto"/>
        <w:ind w:left="140" w:right="350"/>
        <w:jc w:val="both"/>
        <w:rPr>
          <w:rFonts w:ascii="Calibri"/>
          <w:sz w:val="13"/>
        </w:rPr>
      </w:pPr>
      <w:r>
        <w:rPr>
          <w:rFonts w:ascii="Calibri"/>
          <w:sz w:val="20"/>
        </w:rPr>
        <w:t>The unit costs used are based on estimates for the 2017/2018 financial year. Where costs have been taken from research completed in previous years, they have also been inflated to 2018/2019 prices. The unit costs of support foster care were estimated for the Fostering Network, and have been included in these case studies with their permission.</w:t>
      </w:r>
      <w:r>
        <w:rPr>
          <w:rFonts w:ascii="Calibri"/>
          <w:position w:val="7"/>
          <w:sz w:val="13"/>
        </w:rPr>
        <w:t>5</w:t>
      </w: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spacing w:before="6"/>
        <w:rPr>
          <w:rFonts w:ascii="Calibri"/>
          <w:sz w:val="28"/>
        </w:rPr>
      </w:pPr>
    </w:p>
    <w:p w:rsidR="006A18FD" w:rsidRDefault="002D29FC">
      <w:pPr>
        <w:spacing w:before="1"/>
        <w:ind w:left="423" w:right="349" w:hanging="284"/>
        <w:rPr>
          <w:rFonts w:ascii="Calibri"/>
          <w:sz w:val="16"/>
        </w:rPr>
      </w:pPr>
      <w:r>
        <w:rPr>
          <w:rFonts w:ascii="Calibri"/>
          <w:position w:val="5"/>
          <w:sz w:val="10"/>
        </w:rPr>
        <w:t xml:space="preserve">1 </w:t>
      </w:r>
      <w:r>
        <w:rPr>
          <w:rFonts w:ascii="Calibri"/>
          <w:sz w:val="16"/>
        </w:rPr>
        <w:t xml:space="preserve">Department for Education (2013) </w:t>
      </w:r>
      <w:r>
        <w:rPr>
          <w:rFonts w:ascii="Calibri"/>
          <w:i/>
          <w:sz w:val="16"/>
        </w:rPr>
        <w:t>Data pack: improving permanence for looked-after children</w:t>
      </w:r>
      <w:r>
        <w:rPr>
          <w:rFonts w:ascii="Calibri"/>
          <w:sz w:val="16"/>
        </w:rPr>
        <w:t xml:space="preserve">, </w:t>
      </w:r>
      <w:hyperlink r:id="rId286">
        <w:r>
          <w:rPr>
            <w:rFonts w:ascii="Calibri"/>
            <w:sz w:val="16"/>
            <w:u w:val="single"/>
          </w:rPr>
          <w:t>http://www.education.gov.uk/a00227754/looked-after-</w:t>
        </w:r>
      </w:hyperlink>
      <w:r>
        <w:rPr>
          <w:rFonts w:ascii="Calibri"/>
          <w:sz w:val="16"/>
        </w:rPr>
        <w:t xml:space="preserve"> </w:t>
      </w:r>
      <w:hyperlink r:id="rId287">
        <w:r>
          <w:rPr>
            <w:rFonts w:ascii="Calibri"/>
            <w:sz w:val="16"/>
            <w:u w:val="single"/>
          </w:rPr>
          <w:t>children-data-pack/</w:t>
        </w:r>
        <w:r>
          <w:rPr>
            <w:rFonts w:ascii="Calibri"/>
            <w:sz w:val="16"/>
          </w:rPr>
          <w:t xml:space="preserve"> </w:t>
        </w:r>
      </w:hyperlink>
      <w:r>
        <w:rPr>
          <w:rFonts w:ascii="Calibri"/>
          <w:sz w:val="16"/>
        </w:rPr>
        <w:t>[accessed 1 October 2013].</w:t>
      </w:r>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Ward, H., Holmes, L. &amp; Soper, J. (2008) </w:t>
      </w:r>
      <w:r>
        <w:rPr>
          <w:rFonts w:ascii="Calibri"/>
          <w:i/>
          <w:sz w:val="16"/>
        </w:rPr>
        <w:t>Costs and consequences of placing children in care</w:t>
      </w:r>
      <w:r>
        <w:rPr>
          <w:rFonts w:ascii="Calibri"/>
          <w:sz w:val="16"/>
        </w:rPr>
        <w:t>, Jessica Kingsley, London.</w:t>
      </w:r>
    </w:p>
    <w:p w:rsidR="006A18FD" w:rsidRDefault="002D29FC">
      <w:pPr>
        <w:ind w:left="423" w:hanging="284"/>
        <w:rPr>
          <w:rFonts w:ascii="Calibri"/>
          <w:sz w:val="16"/>
        </w:rPr>
      </w:pPr>
      <w:r>
        <w:rPr>
          <w:rFonts w:ascii="Calibri"/>
          <w:position w:val="5"/>
          <w:sz w:val="10"/>
        </w:rPr>
        <w:t xml:space="preserve">3 </w:t>
      </w:r>
      <w:r>
        <w:rPr>
          <w:rFonts w:ascii="Calibri"/>
          <w:sz w:val="16"/>
        </w:rPr>
        <w:t xml:space="preserve">Holmes, L., McDermid, S., Padley, M. &amp; Soper, J. (2012) </w:t>
      </w:r>
      <w:r>
        <w:rPr>
          <w:rFonts w:ascii="Calibri"/>
          <w:i/>
          <w:sz w:val="16"/>
        </w:rPr>
        <w:t>Exploration of the costs and outcomes of the Common Assessment Framework</w:t>
      </w:r>
      <w:r>
        <w:rPr>
          <w:rFonts w:ascii="Calibri"/>
          <w:sz w:val="16"/>
        </w:rPr>
        <w:t>, Department of Health, London.</w:t>
      </w:r>
    </w:p>
    <w:p w:rsidR="006A18FD" w:rsidRDefault="002D29FC">
      <w:pPr>
        <w:spacing w:line="194" w:lineRule="exact"/>
        <w:ind w:left="140"/>
        <w:rPr>
          <w:rFonts w:ascii="Calibri"/>
          <w:sz w:val="16"/>
        </w:rPr>
      </w:pPr>
      <w:r>
        <w:rPr>
          <w:rFonts w:ascii="Calibri"/>
          <w:position w:val="5"/>
          <w:sz w:val="10"/>
        </w:rPr>
        <w:t xml:space="preserve">4 </w:t>
      </w:r>
      <w:r>
        <w:rPr>
          <w:rFonts w:ascii="Calibri"/>
          <w:sz w:val="16"/>
        </w:rPr>
        <w:t xml:space="preserve">Holmes, L. &amp; McDermid, S. (2012) </w:t>
      </w:r>
      <w:r>
        <w:rPr>
          <w:rFonts w:ascii="Calibri"/>
          <w:i/>
          <w:sz w:val="16"/>
        </w:rPr>
        <w:t>Understanding costs and outcomes in child welfare services</w:t>
      </w:r>
      <w:r>
        <w:rPr>
          <w:rFonts w:ascii="Calibri"/>
          <w:sz w:val="16"/>
        </w:rPr>
        <w:t>, Jessica Kingsley, London.</w:t>
      </w:r>
    </w:p>
    <w:p w:rsidR="006A18FD" w:rsidRDefault="002D29FC">
      <w:pPr>
        <w:spacing w:line="195" w:lineRule="exact"/>
        <w:ind w:left="140"/>
        <w:rPr>
          <w:rFonts w:ascii="Calibri"/>
          <w:sz w:val="16"/>
        </w:rPr>
      </w:pPr>
      <w:r>
        <w:rPr>
          <w:rFonts w:ascii="Calibri"/>
          <w:position w:val="5"/>
          <w:sz w:val="10"/>
        </w:rPr>
        <w:t xml:space="preserve">5 </w:t>
      </w:r>
      <w:r>
        <w:rPr>
          <w:rFonts w:ascii="Calibri"/>
          <w:sz w:val="16"/>
        </w:rPr>
        <w:t xml:space="preserve">The Fostering Network &amp; Holmes, L. (2013) </w:t>
      </w:r>
      <w:r>
        <w:rPr>
          <w:rFonts w:ascii="Calibri"/>
          <w:i/>
          <w:sz w:val="16"/>
        </w:rPr>
        <w:t>Unit costs of support care</w:t>
      </w:r>
      <w:r>
        <w:rPr>
          <w:rFonts w:ascii="Calibri"/>
          <w:sz w:val="16"/>
        </w:rPr>
        <w:t>, The Fostering Network, London.</w:t>
      </w:r>
    </w:p>
    <w:p w:rsidR="006A18FD" w:rsidRDefault="006A18FD">
      <w:pPr>
        <w:spacing w:line="195" w:lineRule="exact"/>
        <w:rPr>
          <w:rFonts w:ascii="Calibri"/>
          <w:sz w:val="16"/>
        </w:rPr>
        <w:sectPr w:rsidR="006A18FD">
          <w:headerReference w:type="even" r:id="rId288"/>
          <w:headerReference w:type="default" r:id="rId289"/>
          <w:pgSz w:w="11910" w:h="16840"/>
          <w:pgMar w:top="960" w:right="980" w:bottom="280" w:left="580" w:header="751" w:footer="0" w:gutter="0"/>
          <w:pgNumType w:start="96"/>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5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54" name="Line 11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B52EA" id="Group 11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">
                <v:line id="Line 11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w10:anchorlock/>
              </v:group>
            </w:pict>
          </mc:Fallback>
        </mc:AlternateContent>
      </w:r>
    </w:p>
    <w:p w:rsidR="006A18FD" w:rsidRDefault="002E1E01" w:rsidP="002E1E01">
      <w:pPr>
        <w:pStyle w:val="Heading3"/>
      </w:pPr>
      <w:r>
        <w:t xml:space="preserve">8.1.1 </w:t>
      </w:r>
      <w:r w:rsidR="002D29FC">
        <w:t>Child A – low level of Child in Need support on return home from</w:t>
      </w:r>
      <w:r w:rsidR="002D29FC">
        <w:rPr>
          <w:spacing w:val="-20"/>
        </w:rPr>
        <w:t xml:space="preserve"> </w:t>
      </w:r>
      <w:r w:rsidR="002D29FC">
        <w:t>care</w:t>
      </w:r>
    </w:p>
    <w:p w:rsidR="006A18FD" w:rsidRDefault="002D29FC">
      <w:pPr>
        <w:spacing w:before="156" w:line="276" w:lineRule="auto"/>
        <w:ind w:left="152" w:right="302"/>
        <w:rPr>
          <w:rFonts w:ascii="Calibri"/>
          <w:sz w:val="20"/>
        </w:rPr>
      </w:pPr>
      <w:r>
        <w:rPr>
          <w:rFonts w:ascii="Calibri"/>
          <w:sz w:val="20"/>
        </w:rPr>
        <w:t>Child A became looked-after under Section 20 arrangements at the age of five. Child A was placed with grandparents out of the area of the placing authority under kinship placement arrangements. The placement lasted for three months and, on return home, formal support was not provided; however, the grandmother provided ongoing informal support to the family. In October 2012 Child A became looked-after again and returned to the care of the grandmother.</w:t>
      </w:r>
    </w:p>
    <w:p w:rsidR="006A18FD" w:rsidRDefault="006A18FD">
      <w:pPr>
        <w:spacing w:before="7"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0"/>
        <w:gridCol w:w="1839"/>
        <w:gridCol w:w="1837"/>
        <w:gridCol w:w="1999"/>
      </w:tblGrid>
      <w:tr w:rsidR="006A18FD" w:rsidTr="00E2663F">
        <w:trPr>
          <w:trHeight w:val="360"/>
          <w:tblHeader/>
        </w:trPr>
        <w:tc>
          <w:tcPr>
            <w:tcW w:w="10204" w:type="dxa"/>
            <w:gridSpan w:val="4"/>
          </w:tcPr>
          <w:p w:rsidR="006A18FD" w:rsidRDefault="002D29FC">
            <w:pPr>
              <w:spacing w:before="3"/>
              <w:ind w:left="105"/>
              <w:rPr>
                <w:rFonts w:ascii="Calibri"/>
                <w:b/>
                <w:sz w:val="20"/>
              </w:rPr>
            </w:pPr>
            <w:r>
              <w:rPr>
                <w:rFonts w:ascii="Calibri"/>
                <w:b/>
                <w:sz w:val="20"/>
              </w:rPr>
              <w:t>Social care processes (case management)</w:t>
            </w:r>
          </w:p>
        </w:tc>
      </w:tr>
      <w:tr w:rsidR="006A18FD" w:rsidTr="00E2663F">
        <w:trPr>
          <w:trHeight w:val="360"/>
          <w:tblHeader/>
        </w:trPr>
        <w:tc>
          <w:tcPr>
            <w:tcW w:w="4530" w:type="dxa"/>
          </w:tcPr>
          <w:p w:rsidR="006A18FD" w:rsidRDefault="002D29FC">
            <w:pPr>
              <w:spacing w:before="1"/>
              <w:ind w:left="105"/>
              <w:rPr>
                <w:rFonts w:ascii="Calibri"/>
                <w:b/>
                <w:sz w:val="20"/>
              </w:rPr>
            </w:pPr>
            <w:r>
              <w:rPr>
                <w:rFonts w:ascii="Calibri"/>
                <w:b/>
                <w:sz w:val="20"/>
              </w:rPr>
              <w:t>Process</w:t>
            </w:r>
          </w:p>
        </w:tc>
        <w:tc>
          <w:tcPr>
            <w:tcW w:w="1839" w:type="dxa"/>
          </w:tcPr>
          <w:p w:rsidR="006A18FD" w:rsidRDefault="002D29FC">
            <w:pPr>
              <w:spacing w:before="1"/>
              <w:ind w:left="137" w:right="136"/>
              <w:jc w:val="center"/>
              <w:rPr>
                <w:rFonts w:ascii="Calibri"/>
                <w:b/>
                <w:sz w:val="20"/>
              </w:rPr>
            </w:pPr>
            <w:r>
              <w:rPr>
                <w:rFonts w:ascii="Calibri"/>
                <w:b/>
                <w:sz w:val="20"/>
              </w:rPr>
              <w:t>Frequency</w:t>
            </w:r>
          </w:p>
        </w:tc>
        <w:tc>
          <w:tcPr>
            <w:tcW w:w="1837" w:type="dxa"/>
          </w:tcPr>
          <w:p w:rsidR="006A18FD" w:rsidRDefault="002D29FC">
            <w:pPr>
              <w:spacing w:before="1"/>
              <w:ind w:right="541"/>
              <w:jc w:val="right"/>
              <w:rPr>
                <w:rFonts w:ascii="Calibri"/>
                <w:b/>
                <w:sz w:val="20"/>
              </w:rPr>
            </w:pPr>
            <w:r>
              <w:rPr>
                <w:rFonts w:ascii="Calibri"/>
                <w:b/>
                <w:sz w:val="20"/>
              </w:rPr>
              <w:t>Unit cost</w:t>
            </w:r>
          </w:p>
        </w:tc>
        <w:tc>
          <w:tcPr>
            <w:tcW w:w="1999" w:type="dxa"/>
          </w:tcPr>
          <w:p w:rsidR="006A18FD" w:rsidRDefault="002D29FC">
            <w:pPr>
              <w:spacing w:before="1"/>
              <w:ind w:left="611"/>
              <w:rPr>
                <w:rFonts w:ascii="Calibri"/>
                <w:b/>
                <w:sz w:val="20"/>
              </w:rPr>
            </w:pPr>
            <w:r>
              <w:rPr>
                <w:rFonts w:ascii="Calibri"/>
                <w:b/>
                <w:sz w:val="20"/>
              </w:rPr>
              <w:t>Sub-total</w:t>
            </w:r>
          </w:p>
        </w:tc>
      </w:tr>
      <w:tr w:rsidR="006A18FD">
        <w:trPr>
          <w:trHeight w:val="240"/>
        </w:trPr>
        <w:tc>
          <w:tcPr>
            <w:tcW w:w="4530" w:type="dxa"/>
          </w:tcPr>
          <w:p w:rsidR="006A18FD" w:rsidRDefault="002D29FC">
            <w:pPr>
              <w:spacing w:before="1" w:line="223" w:lineRule="exact"/>
              <w:ind w:left="105"/>
              <w:rPr>
                <w:rFonts w:ascii="Calibri" w:hAnsi="Calibri"/>
                <w:sz w:val="20"/>
              </w:rPr>
            </w:pPr>
            <w:r>
              <w:rPr>
                <w:rFonts w:ascii="Calibri" w:hAnsi="Calibri"/>
                <w:sz w:val="20"/>
              </w:rPr>
              <w:t>LAC 1 – became LAC (looked-after child)</w:t>
            </w:r>
          </w:p>
        </w:tc>
        <w:tc>
          <w:tcPr>
            <w:tcW w:w="1839" w:type="dxa"/>
          </w:tcPr>
          <w:p w:rsidR="006A18FD" w:rsidRDefault="002D29FC">
            <w:pPr>
              <w:spacing w:before="1" w:line="223" w:lineRule="exact"/>
              <w:ind w:left="137" w:right="138"/>
              <w:jc w:val="center"/>
              <w:rPr>
                <w:rFonts w:ascii="Calibri"/>
                <w:sz w:val="20"/>
              </w:rPr>
            </w:pPr>
            <w:r>
              <w:rPr>
                <w:rFonts w:ascii="Calibri"/>
                <w:sz w:val="20"/>
              </w:rPr>
              <w:t>Twice</w:t>
            </w:r>
          </w:p>
        </w:tc>
        <w:tc>
          <w:tcPr>
            <w:tcW w:w="1837" w:type="dxa"/>
          </w:tcPr>
          <w:p w:rsidR="006A18FD" w:rsidRDefault="002D29FC">
            <w:pPr>
              <w:spacing w:before="1" w:line="223" w:lineRule="exact"/>
              <w:ind w:right="579"/>
              <w:jc w:val="right"/>
              <w:rPr>
                <w:rFonts w:ascii="Calibri" w:hAnsi="Calibri"/>
                <w:sz w:val="20"/>
              </w:rPr>
            </w:pPr>
            <w:r>
              <w:rPr>
                <w:rFonts w:ascii="Calibri" w:hAnsi="Calibri"/>
                <w:w w:val="95"/>
                <w:sz w:val="20"/>
              </w:rPr>
              <w:t>£1,472</w:t>
            </w:r>
          </w:p>
        </w:tc>
        <w:tc>
          <w:tcPr>
            <w:tcW w:w="1999" w:type="dxa"/>
          </w:tcPr>
          <w:p w:rsidR="006A18FD" w:rsidRDefault="002D29FC">
            <w:pPr>
              <w:spacing w:before="1" w:line="223" w:lineRule="exact"/>
              <w:ind w:left="717" w:right="674"/>
              <w:jc w:val="center"/>
              <w:rPr>
                <w:rFonts w:ascii="Calibri" w:hAnsi="Calibri"/>
                <w:sz w:val="20"/>
              </w:rPr>
            </w:pPr>
            <w:r>
              <w:rPr>
                <w:rFonts w:ascii="Calibri" w:hAnsi="Calibri"/>
                <w:sz w:val="20"/>
              </w:rPr>
              <w:t>£2,944</w:t>
            </w:r>
          </w:p>
        </w:tc>
      </w:tr>
      <w:tr w:rsidR="006A18FD">
        <w:trPr>
          <w:trHeight w:val="240"/>
        </w:trPr>
        <w:tc>
          <w:tcPr>
            <w:tcW w:w="4530" w:type="dxa"/>
          </w:tcPr>
          <w:p w:rsidR="006A18FD" w:rsidRDefault="002D29FC">
            <w:pPr>
              <w:spacing w:before="1" w:line="223" w:lineRule="exact"/>
              <w:ind w:left="105"/>
              <w:rPr>
                <w:rFonts w:ascii="Calibri" w:hAnsi="Calibri"/>
                <w:sz w:val="20"/>
              </w:rPr>
            </w:pPr>
            <w:r>
              <w:rPr>
                <w:rFonts w:ascii="Calibri" w:hAnsi="Calibri"/>
                <w:sz w:val="20"/>
              </w:rPr>
              <w:t>LAC 2 – care plan</w:t>
            </w:r>
          </w:p>
        </w:tc>
        <w:tc>
          <w:tcPr>
            <w:tcW w:w="1839" w:type="dxa"/>
          </w:tcPr>
          <w:p w:rsidR="006A18FD" w:rsidRDefault="002D29FC">
            <w:pPr>
              <w:spacing w:before="1" w:line="223" w:lineRule="exact"/>
              <w:ind w:left="136" w:right="138"/>
              <w:jc w:val="center"/>
              <w:rPr>
                <w:rFonts w:ascii="Calibri"/>
                <w:sz w:val="20"/>
              </w:rPr>
            </w:pPr>
            <w:r>
              <w:rPr>
                <w:rFonts w:ascii="Calibri"/>
                <w:sz w:val="20"/>
              </w:rPr>
              <w:t>Once a fortnight</w:t>
            </w:r>
          </w:p>
        </w:tc>
        <w:tc>
          <w:tcPr>
            <w:tcW w:w="1837" w:type="dxa"/>
          </w:tcPr>
          <w:p w:rsidR="006A18FD" w:rsidRDefault="002D29FC">
            <w:pPr>
              <w:spacing w:before="1" w:line="223" w:lineRule="exact"/>
              <w:ind w:right="579"/>
              <w:jc w:val="right"/>
              <w:rPr>
                <w:rFonts w:ascii="Calibri" w:hAnsi="Calibri"/>
                <w:sz w:val="20"/>
              </w:rPr>
            </w:pPr>
            <w:r>
              <w:rPr>
                <w:rFonts w:ascii="Calibri" w:hAnsi="Calibri"/>
                <w:sz w:val="20"/>
              </w:rPr>
              <w:t>£278</w:t>
            </w:r>
          </w:p>
        </w:tc>
        <w:tc>
          <w:tcPr>
            <w:tcW w:w="1999" w:type="dxa"/>
          </w:tcPr>
          <w:p w:rsidR="006A18FD" w:rsidRDefault="002D29FC">
            <w:pPr>
              <w:spacing w:before="1" w:line="223" w:lineRule="exact"/>
              <w:ind w:left="717" w:right="523"/>
              <w:jc w:val="center"/>
              <w:rPr>
                <w:rFonts w:ascii="Calibri" w:hAnsi="Calibri"/>
                <w:sz w:val="20"/>
              </w:rPr>
            </w:pPr>
            <w:r>
              <w:rPr>
                <w:rFonts w:ascii="Calibri" w:hAnsi="Calibri"/>
                <w:sz w:val="20"/>
              </w:rPr>
              <w:t>£556</w:t>
            </w:r>
          </w:p>
        </w:tc>
      </w:tr>
      <w:tr w:rsidR="006A18FD">
        <w:trPr>
          <w:trHeight w:val="240"/>
        </w:trPr>
        <w:tc>
          <w:tcPr>
            <w:tcW w:w="4530" w:type="dxa"/>
          </w:tcPr>
          <w:p w:rsidR="006A18FD" w:rsidRDefault="002D29FC">
            <w:pPr>
              <w:spacing w:before="1" w:line="223" w:lineRule="exact"/>
              <w:ind w:left="105"/>
              <w:rPr>
                <w:rFonts w:ascii="Calibri" w:hAnsi="Calibri"/>
                <w:sz w:val="20"/>
              </w:rPr>
            </w:pPr>
            <w:r>
              <w:rPr>
                <w:rFonts w:ascii="Calibri" w:hAnsi="Calibri"/>
                <w:sz w:val="20"/>
              </w:rPr>
              <w:t>LAC 3 – ongoing placement support</w:t>
            </w:r>
          </w:p>
        </w:tc>
        <w:tc>
          <w:tcPr>
            <w:tcW w:w="1839" w:type="dxa"/>
          </w:tcPr>
          <w:p w:rsidR="006A18FD" w:rsidRDefault="002D29FC">
            <w:pPr>
              <w:spacing w:before="1" w:line="223" w:lineRule="exact"/>
              <w:ind w:left="137" w:right="138"/>
              <w:jc w:val="center"/>
              <w:rPr>
                <w:rFonts w:ascii="Calibri"/>
                <w:sz w:val="20"/>
              </w:rPr>
            </w:pPr>
            <w:r>
              <w:rPr>
                <w:rFonts w:ascii="Calibri"/>
                <w:sz w:val="20"/>
              </w:rPr>
              <w:t>Six months in total</w:t>
            </w:r>
          </w:p>
        </w:tc>
        <w:tc>
          <w:tcPr>
            <w:tcW w:w="1837" w:type="dxa"/>
          </w:tcPr>
          <w:p w:rsidR="006A18FD" w:rsidRDefault="002D29FC">
            <w:pPr>
              <w:spacing w:before="1" w:line="223" w:lineRule="exact"/>
              <w:ind w:right="579"/>
              <w:jc w:val="right"/>
              <w:rPr>
                <w:rFonts w:ascii="Calibri" w:hAnsi="Calibri"/>
                <w:sz w:val="20"/>
              </w:rPr>
            </w:pPr>
            <w:r>
              <w:rPr>
                <w:rFonts w:ascii="Calibri" w:hAnsi="Calibri"/>
                <w:sz w:val="20"/>
              </w:rPr>
              <w:t>£3,376</w:t>
            </w:r>
          </w:p>
        </w:tc>
        <w:tc>
          <w:tcPr>
            <w:tcW w:w="1999" w:type="dxa"/>
          </w:tcPr>
          <w:p w:rsidR="006A18FD" w:rsidRDefault="002D29FC">
            <w:pPr>
              <w:spacing w:before="1" w:line="223" w:lineRule="exact"/>
              <w:ind w:left="638"/>
              <w:rPr>
                <w:rFonts w:ascii="Calibri" w:hAnsi="Calibri"/>
                <w:sz w:val="20"/>
              </w:rPr>
            </w:pPr>
            <w:r>
              <w:rPr>
                <w:rFonts w:ascii="Calibri" w:hAnsi="Calibri"/>
                <w:sz w:val="20"/>
              </w:rPr>
              <w:t>£20,253</w:t>
            </w:r>
          </w:p>
        </w:tc>
      </w:tr>
      <w:tr w:rsidR="006A18FD">
        <w:trPr>
          <w:trHeight w:val="240"/>
        </w:trPr>
        <w:tc>
          <w:tcPr>
            <w:tcW w:w="4530" w:type="dxa"/>
          </w:tcPr>
          <w:p w:rsidR="006A18FD" w:rsidRDefault="002D29FC">
            <w:pPr>
              <w:spacing w:before="1" w:line="223" w:lineRule="exact"/>
              <w:ind w:left="105"/>
              <w:rPr>
                <w:rFonts w:ascii="Calibri" w:hAnsi="Calibri"/>
                <w:sz w:val="20"/>
              </w:rPr>
            </w:pPr>
            <w:r>
              <w:rPr>
                <w:rFonts w:ascii="Calibri" w:hAnsi="Calibri"/>
                <w:sz w:val="20"/>
              </w:rPr>
              <w:t>LAC 4 – return home</w:t>
            </w:r>
          </w:p>
        </w:tc>
        <w:tc>
          <w:tcPr>
            <w:tcW w:w="1839" w:type="dxa"/>
          </w:tcPr>
          <w:p w:rsidR="006A18FD" w:rsidRDefault="002D29FC">
            <w:pPr>
              <w:spacing w:before="1" w:line="223" w:lineRule="exact"/>
              <w:ind w:left="137" w:right="138"/>
              <w:jc w:val="center"/>
              <w:rPr>
                <w:rFonts w:ascii="Calibri"/>
                <w:sz w:val="20"/>
              </w:rPr>
            </w:pPr>
            <w:r>
              <w:rPr>
                <w:rFonts w:ascii="Calibri"/>
                <w:sz w:val="20"/>
              </w:rPr>
              <w:t>Once</w:t>
            </w:r>
          </w:p>
        </w:tc>
        <w:tc>
          <w:tcPr>
            <w:tcW w:w="1837" w:type="dxa"/>
          </w:tcPr>
          <w:p w:rsidR="006A18FD" w:rsidRDefault="002D29FC">
            <w:pPr>
              <w:spacing w:before="1" w:line="223" w:lineRule="exact"/>
              <w:ind w:right="579"/>
              <w:jc w:val="right"/>
              <w:rPr>
                <w:rFonts w:ascii="Calibri" w:hAnsi="Calibri"/>
                <w:sz w:val="20"/>
              </w:rPr>
            </w:pPr>
            <w:r>
              <w:rPr>
                <w:rFonts w:ascii="Calibri" w:hAnsi="Calibri"/>
                <w:sz w:val="20"/>
              </w:rPr>
              <w:t>£479</w:t>
            </w:r>
          </w:p>
        </w:tc>
        <w:tc>
          <w:tcPr>
            <w:tcW w:w="1999" w:type="dxa"/>
          </w:tcPr>
          <w:p w:rsidR="006A18FD" w:rsidRDefault="002D29FC">
            <w:pPr>
              <w:spacing w:before="1" w:line="223" w:lineRule="exact"/>
              <w:ind w:left="717" w:right="523"/>
              <w:jc w:val="center"/>
              <w:rPr>
                <w:rFonts w:ascii="Calibri" w:hAnsi="Calibri"/>
                <w:sz w:val="20"/>
              </w:rPr>
            </w:pPr>
            <w:r>
              <w:rPr>
                <w:rFonts w:ascii="Calibri" w:hAnsi="Calibri"/>
                <w:sz w:val="20"/>
              </w:rPr>
              <w:t>£479</w:t>
            </w:r>
          </w:p>
        </w:tc>
      </w:tr>
      <w:tr w:rsidR="006A18FD">
        <w:trPr>
          <w:trHeight w:val="240"/>
        </w:trPr>
        <w:tc>
          <w:tcPr>
            <w:tcW w:w="4530" w:type="dxa"/>
          </w:tcPr>
          <w:p w:rsidR="006A18FD" w:rsidRDefault="002D29FC">
            <w:pPr>
              <w:spacing w:before="1" w:line="223" w:lineRule="exact"/>
              <w:ind w:left="105"/>
              <w:rPr>
                <w:rFonts w:ascii="Calibri" w:hAnsi="Calibri"/>
                <w:sz w:val="20"/>
              </w:rPr>
            </w:pPr>
            <w:r>
              <w:rPr>
                <w:rFonts w:ascii="Calibri" w:hAnsi="Calibri"/>
                <w:sz w:val="20"/>
              </w:rPr>
              <w:t>LAC 6 – review</w:t>
            </w:r>
          </w:p>
        </w:tc>
        <w:tc>
          <w:tcPr>
            <w:tcW w:w="1839" w:type="dxa"/>
          </w:tcPr>
          <w:p w:rsidR="006A18FD" w:rsidRDefault="002D29FC">
            <w:pPr>
              <w:spacing w:before="1" w:line="223" w:lineRule="exact"/>
              <w:ind w:left="137" w:right="138"/>
              <w:jc w:val="center"/>
              <w:rPr>
                <w:rFonts w:ascii="Calibri"/>
                <w:sz w:val="20"/>
              </w:rPr>
            </w:pPr>
            <w:r>
              <w:rPr>
                <w:rFonts w:ascii="Calibri"/>
                <w:sz w:val="20"/>
              </w:rPr>
              <w:t>Twice</w:t>
            </w:r>
          </w:p>
        </w:tc>
        <w:tc>
          <w:tcPr>
            <w:tcW w:w="1837" w:type="dxa"/>
          </w:tcPr>
          <w:p w:rsidR="006A18FD" w:rsidRDefault="002D29FC">
            <w:pPr>
              <w:spacing w:before="1" w:line="223" w:lineRule="exact"/>
              <w:ind w:right="579"/>
              <w:jc w:val="right"/>
              <w:rPr>
                <w:rFonts w:ascii="Calibri" w:hAnsi="Calibri"/>
                <w:sz w:val="20"/>
              </w:rPr>
            </w:pPr>
            <w:r>
              <w:rPr>
                <w:rFonts w:ascii="Calibri" w:hAnsi="Calibri"/>
                <w:sz w:val="20"/>
              </w:rPr>
              <w:t>£714</w:t>
            </w:r>
          </w:p>
        </w:tc>
        <w:tc>
          <w:tcPr>
            <w:tcW w:w="1999" w:type="dxa"/>
          </w:tcPr>
          <w:p w:rsidR="006A18FD" w:rsidRDefault="002D29FC">
            <w:pPr>
              <w:spacing w:before="1" w:line="223" w:lineRule="exact"/>
              <w:ind w:left="717" w:right="674"/>
              <w:jc w:val="center"/>
              <w:rPr>
                <w:rFonts w:ascii="Calibri" w:hAnsi="Calibri"/>
                <w:sz w:val="20"/>
              </w:rPr>
            </w:pPr>
            <w:r>
              <w:rPr>
                <w:rFonts w:ascii="Calibri" w:hAnsi="Calibri"/>
                <w:sz w:val="20"/>
              </w:rPr>
              <w:t>£1,428</w:t>
            </w:r>
          </w:p>
        </w:tc>
      </w:tr>
      <w:tr w:rsidR="006A18FD">
        <w:trPr>
          <w:trHeight w:val="360"/>
        </w:trPr>
        <w:tc>
          <w:tcPr>
            <w:tcW w:w="8205" w:type="dxa"/>
            <w:gridSpan w:val="3"/>
          </w:tcPr>
          <w:p w:rsidR="006A18FD" w:rsidRDefault="002D29FC">
            <w:pPr>
              <w:spacing w:before="1"/>
              <w:ind w:left="105"/>
              <w:rPr>
                <w:rFonts w:ascii="Calibri"/>
                <w:b/>
                <w:sz w:val="20"/>
              </w:rPr>
            </w:pPr>
            <w:r>
              <w:rPr>
                <w:rFonts w:ascii="Calibri"/>
                <w:b/>
                <w:sz w:val="20"/>
              </w:rPr>
              <w:t>Total social care case management costs per year</w:t>
            </w:r>
          </w:p>
        </w:tc>
        <w:tc>
          <w:tcPr>
            <w:tcW w:w="1999" w:type="dxa"/>
          </w:tcPr>
          <w:p w:rsidR="006A18FD" w:rsidRDefault="002D29FC">
            <w:pPr>
              <w:spacing w:before="1"/>
              <w:ind w:left="635"/>
              <w:rPr>
                <w:rFonts w:ascii="Calibri" w:hAnsi="Calibri"/>
                <w:b/>
                <w:sz w:val="20"/>
              </w:rPr>
            </w:pPr>
            <w:r>
              <w:rPr>
                <w:rFonts w:ascii="Calibri" w:hAnsi="Calibri"/>
                <w:b/>
                <w:sz w:val="20"/>
              </w:rPr>
              <w:t>£25,660</w:t>
            </w:r>
          </w:p>
        </w:tc>
      </w:tr>
    </w:tbl>
    <w:p w:rsidR="006A18FD" w:rsidRDefault="006A18FD">
      <w:pPr>
        <w:rPr>
          <w:rFonts w:ascii="Calibri"/>
          <w:sz w:val="20"/>
        </w:rPr>
      </w:pPr>
    </w:p>
    <w:p w:rsidR="006A18FD" w:rsidRDefault="006A18FD">
      <w:pPr>
        <w:rPr>
          <w:rFonts w:ascii="Calibri"/>
          <w:sz w:val="20"/>
        </w:rPr>
      </w:pPr>
    </w:p>
    <w:p w:rsidR="006A18FD" w:rsidRDefault="002E1E01" w:rsidP="002E1E01">
      <w:pPr>
        <w:pStyle w:val="Heading3"/>
      </w:pPr>
      <w:r>
        <w:t xml:space="preserve">8.1.2 </w:t>
      </w:r>
      <w:r w:rsidR="002D29FC">
        <w:t>Child B – high level of Child in Need support on return home from</w:t>
      </w:r>
      <w:r w:rsidR="002D29FC">
        <w:rPr>
          <w:spacing w:val="-30"/>
        </w:rPr>
        <w:t xml:space="preserve"> </w:t>
      </w:r>
      <w:r w:rsidR="002D29FC">
        <w:t>care</w:t>
      </w:r>
    </w:p>
    <w:p w:rsidR="006A18FD" w:rsidRDefault="002D29FC">
      <w:pPr>
        <w:spacing w:before="159" w:line="276" w:lineRule="auto"/>
        <w:ind w:left="152" w:right="584"/>
        <w:rPr>
          <w:rFonts w:ascii="Calibri" w:hAnsi="Calibri"/>
          <w:sz w:val="20"/>
        </w:rPr>
      </w:pPr>
      <w:r>
        <w:rPr>
          <w:rFonts w:ascii="Calibri" w:hAnsi="Calibri"/>
          <w:sz w:val="20"/>
        </w:rPr>
        <w:t>Child B first became looked-after as a baby and was placed with local authority foster carers when an interim care order was obtained. In February 2011, Child B returned home and a high level of (Child in Need) support was provided to the family over the year, and Child B’s parent was provided with drug and alcohol treatment services.</w:t>
      </w:r>
    </w:p>
    <w:p w:rsidR="006A18FD" w:rsidRDefault="006A18FD">
      <w:pPr>
        <w:spacing w:before="8"/>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4"/>
        <w:gridCol w:w="1834"/>
        <w:gridCol w:w="1834"/>
        <w:gridCol w:w="1832"/>
      </w:tblGrid>
      <w:tr w:rsidR="006A18FD" w:rsidTr="00E2663F">
        <w:trPr>
          <w:trHeight w:val="360"/>
          <w:tblHeader/>
        </w:trPr>
        <w:tc>
          <w:tcPr>
            <w:tcW w:w="10044" w:type="dxa"/>
            <w:gridSpan w:val="4"/>
          </w:tcPr>
          <w:p w:rsidR="006A18FD" w:rsidRDefault="002D29FC">
            <w:pPr>
              <w:spacing w:before="1"/>
              <w:ind w:left="105"/>
              <w:rPr>
                <w:rFonts w:ascii="Calibri"/>
                <w:b/>
                <w:sz w:val="20"/>
              </w:rPr>
            </w:pPr>
            <w:r>
              <w:rPr>
                <w:rFonts w:ascii="Calibri"/>
                <w:b/>
                <w:sz w:val="20"/>
              </w:rPr>
              <w:t>Social care processes (case management)</w:t>
            </w:r>
          </w:p>
        </w:tc>
      </w:tr>
      <w:tr w:rsidR="006A18FD" w:rsidTr="00E2663F">
        <w:trPr>
          <w:trHeight w:val="360"/>
          <w:tblHeader/>
        </w:trPr>
        <w:tc>
          <w:tcPr>
            <w:tcW w:w="4544" w:type="dxa"/>
          </w:tcPr>
          <w:p w:rsidR="006A18FD" w:rsidRDefault="002D29FC">
            <w:pPr>
              <w:spacing w:before="1"/>
              <w:ind w:left="105"/>
              <w:rPr>
                <w:rFonts w:ascii="Calibri"/>
                <w:b/>
                <w:sz w:val="20"/>
              </w:rPr>
            </w:pPr>
            <w:r>
              <w:rPr>
                <w:rFonts w:ascii="Calibri"/>
                <w:b/>
                <w:sz w:val="20"/>
              </w:rPr>
              <w:t>Process</w:t>
            </w:r>
          </w:p>
        </w:tc>
        <w:tc>
          <w:tcPr>
            <w:tcW w:w="1834" w:type="dxa"/>
          </w:tcPr>
          <w:p w:rsidR="006A18FD" w:rsidRDefault="002D29FC">
            <w:pPr>
              <w:spacing w:before="1"/>
              <w:ind w:left="227" w:right="226"/>
              <w:jc w:val="center"/>
              <w:rPr>
                <w:rFonts w:ascii="Calibri"/>
                <w:b/>
                <w:sz w:val="20"/>
              </w:rPr>
            </w:pPr>
            <w:r>
              <w:rPr>
                <w:rFonts w:ascii="Calibri"/>
                <w:b/>
                <w:sz w:val="20"/>
              </w:rPr>
              <w:t>Frequency</w:t>
            </w:r>
          </w:p>
        </w:tc>
        <w:tc>
          <w:tcPr>
            <w:tcW w:w="1834" w:type="dxa"/>
          </w:tcPr>
          <w:p w:rsidR="006A18FD" w:rsidRDefault="002D29FC">
            <w:pPr>
              <w:spacing w:before="1"/>
              <w:ind w:left="520" w:right="521"/>
              <w:jc w:val="center"/>
              <w:rPr>
                <w:rFonts w:ascii="Calibri"/>
                <w:b/>
                <w:sz w:val="20"/>
              </w:rPr>
            </w:pPr>
            <w:r>
              <w:rPr>
                <w:rFonts w:ascii="Calibri"/>
                <w:b/>
                <w:sz w:val="20"/>
              </w:rPr>
              <w:t>Unit cost</w:t>
            </w:r>
          </w:p>
        </w:tc>
        <w:tc>
          <w:tcPr>
            <w:tcW w:w="1831" w:type="dxa"/>
          </w:tcPr>
          <w:p w:rsidR="006A18FD" w:rsidRDefault="002D29FC">
            <w:pPr>
              <w:spacing w:before="1"/>
              <w:ind w:left="527"/>
              <w:rPr>
                <w:rFonts w:ascii="Calibri"/>
                <w:b/>
                <w:sz w:val="20"/>
              </w:rPr>
            </w:pPr>
            <w:r>
              <w:rPr>
                <w:rFonts w:ascii="Calibri"/>
                <w:b/>
                <w:sz w:val="20"/>
              </w:rPr>
              <w:t>Sub-total</w:t>
            </w:r>
          </w:p>
        </w:tc>
      </w:tr>
      <w:tr w:rsidR="006A18FD">
        <w:trPr>
          <w:trHeight w:val="240"/>
        </w:trPr>
        <w:tc>
          <w:tcPr>
            <w:tcW w:w="4544" w:type="dxa"/>
          </w:tcPr>
          <w:p w:rsidR="006A18FD" w:rsidRDefault="002D29FC">
            <w:pPr>
              <w:spacing w:line="222" w:lineRule="exact"/>
              <w:ind w:left="105"/>
              <w:rPr>
                <w:rFonts w:ascii="Calibri" w:hAnsi="Calibri"/>
                <w:sz w:val="20"/>
              </w:rPr>
            </w:pPr>
            <w:r>
              <w:rPr>
                <w:rFonts w:ascii="Calibri" w:hAnsi="Calibri"/>
                <w:sz w:val="20"/>
              </w:rPr>
              <w:t>CiN 3 – ongoing support</w:t>
            </w:r>
          </w:p>
        </w:tc>
        <w:tc>
          <w:tcPr>
            <w:tcW w:w="1834" w:type="dxa"/>
          </w:tcPr>
          <w:p w:rsidR="006A18FD" w:rsidRDefault="002D29FC">
            <w:pPr>
              <w:spacing w:line="222" w:lineRule="exact"/>
              <w:ind w:left="226" w:right="227"/>
              <w:jc w:val="center"/>
              <w:rPr>
                <w:rFonts w:ascii="Calibri"/>
                <w:sz w:val="20"/>
              </w:rPr>
            </w:pPr>
            <w:r>
              <w:rPr>
                <w:rFonts w:ascii="Calibri"/>
                <w:sz w:val="20"/>
              </w:rPr>
              <w:t>12 months</w:t>
            </w:r>
          </w:p>
        </w:tc>
        <w:tc>
          <w:tcPr>
            <w:tcW w:w="1834" w:type="dxa"/>
          </w:tcPr>
          <w:p w:rsidR="006A18FD" w:rsidRDefault="002D29FC">
            <w:pPr>
              <w:spacing w:line="222" w:lineRule="exact"/>
              <w:ind w:left="494" w:right="521"/>
              <w:jc w:val="center"/>
              <w:rPr>
                <w:rFonts w:ascii="Calibri" w:hAnsi="Calibri"/>
                <w:sz w:val="20"/>
              </w:rPr>
            </w:pPr>
            <w:r>
              <w:rPr>
                <w:rFonts w:ascii="Calibri" w:hAnsi="Calibri"/>
                <w:sz w:val="20"/>
              </w:rPr>
              <w:t>£230</w:t>
            </w:r>
          </w:p>
        </w:tc>
        <w:tc>
          <w:tcPr>
            <w:tcW w:w="1831" w:type="dxa"/>
          </w:tcPr>
          <w:p w:rsidR="006A18FD" w:rsidRDefault="002D29FC">
            <w:pPr>
              <w:spacing w:line="222" w:lineRule="exact"/>
              <w:ind w:left="633" w:right="586"/>
              <w:jc w:val="center"/>
              <w:rPr>
                <w:rFonts w:ascii="Calibri" w:hAnsi="Calibri"/>
                <w:sz w:val="20"/>
              </w:rPr>
            </w:pPr>
            <w:r>
              <w:rPr>
                <w:rFonts w:ascii="Calibri" w:hAnsi="Calibri"/>
                <w:sz w:val="20"/>
              </w:rPr>
              <w:t>£2,763</w:t>
            </w:r>
          </w:p>
        </w:tc>
      </w:tr>
      <w:tr w:rsidR="006A18FD">
        <w:trPr>
          <w:trHeight w:val="240"/>
        </w:trPr>
        <w:tc>
          <w:tcPr>
            <w:tcW w:w="4544" w:type="dxa"/>
          </w:tcPr>
          <w:p w:rsidR="006A18FD" w:rsidRDefault="002D29FC">
            <w:pPr>
              <w:spacing w:before="1" w:line="223" w:lineRule="exact"/>
              <w:ind w:left="105"/>
              <w:rPr>
                <w:rFonts w:ascii="Calibri" w:hAnsi="Calibri"/>
                <w:sz w:val="20"/>
              </w:rPr>
            </w:pPr>
            <w:r>
              <w:rPr>
                <w:rFonts w:ascii="Calibri" w:hAnsi="Calibri"/>
                <w:sz w:val="20"/>
              </w:rPr>
              <w:t>CiN 6 – planning and review</w:t>
            </w:r>
          </w:p>
        </w:tc>
        <w:tc>
          <w:tcPr>
            <w:tcW w:w="1834" w:type="dxa"/>
          </w:tcPr>
          <w:p w:rsidR="006A18FD" w:rsidRDefault="002D29FC">
            <w:pPr>
              <w:spacing w:before="1" w:line="223" w:lineRule="exact"/>
              <w:ind w:left="227" w:right="227"/>
              <w:jc w:val="center"/>
              <w:rPr>
                <w:rFonts w:ascii="Calibri"/>
                <w:sz w:val="20"/>
              </w:rPr>
            </w:pPr>
            <w:r>
              <w:rPr>
                <w:rFonts w:ascii="Calibri"/>
                <w:sz w:val="20"/>
              </w:rPr>
              <w:t>3 times</w:t>
            </w:r>
          </w:p>
        </w:tc>
        <w:tc>
          <w:tcPr>
            <w:tcW w:w="1834" w:type="dxa"/>
          </w:tcPr>
          <w:p w:rsidR="006A18FD" w:rsidRDefault="002D29FC">
            <w:pPr>
              <w:spacing w:before="1" w:line="223" w:lineRule="exact"/>
              <w:ind w:left="494" w:right="521"/>
              <w:jc w:val="center"/>
              <w:rPr>
                <w:rFonts w:ascii="Calibri" w:hAnsi="Calibri"/>
                <w:sz w:val="20"/>
              </w:rPr>
            </w:pPr>
            <w:r>
              <w:rPr>
                <w:rFonts w:ascii="Calibri" w:hAnsi="Calibri"/>
                <w:sz w:val="20"/>
              </w:rPr>
              <w:t>£265</w:t>
            </w:r>
          </w:p>
        </w:tc>
        <w:tc>
          <w:tcPr>
            <w:tcW w:w="1831" w:type="dxa"/>
          </w:tcPr>
          <w:p w:rsidR="006A18FD" w:rsidRDefault="002D29FC">
            <w:pPr>
              <w:spacing w:before="1" w:line="223" w:lineRule="exact"/>
              <w:ind w:left="633" w:right="434"/>
              <w:jc w:val="center"/>
              <w:rPr>
                <w:rFonts w:ascii="Calibri" w:hAnsi="Calibri"/>
                <w:sz w:val="20"/>
              </w:rPr>
            </w:pPr>
            <w:r>
              <w:rPr>
                <w:rFonts w:ascii="Calibri" w:hAnsi="Calibri"/>
                <w:sz w:val="20"/>
              </w:rPr>
              <w:t>£795</w:t>
            </w:r>
          </w:p>
        </w:tc>
      </w:tr>
      <w:tr w:rsidR="006A18FD">
        <w:trPr>
          <w:trHeight w:val="360"/>
        </w:trPr>
        <w:tc>
          <w:tcPr>
            <w:tcW w:w="8212" w:type="dxa"/>
            <w:gridSpan w:val="3"/>
          </w:tcPr>
          <w:p w:rsidR="006A18FD" w:rsidRDefault="002D29FC">
            <w:pPr>
              <w:spacing w:before="1"/>
              <w:ind w:left="105"/>
              <w:rPr>
                <w:rFonts w:ascii="Calibri"/>
                <w:b/>
                <w:sz w:val="20"/>
              </w:rPr>
            </w:pPr>
            <w:r>
              <w:rPr>
                <w:rFonts w:ascii="Calibri"/>
                <w:b/>
                <w:sz w:val="20"/>
              </w:rPr>
              <w:t>Cost of social care case management activity</w:t>
            </w:r>
          </w:p>
        </w:tc>
        <w:tc>
          <w:tcPr>
            <w:tcW w:w="1831" w:type="dxa"/>
          </w:tcPr>
          <w:p w:rsidR="006A18FD" w:rsidRDefault="002D29FC">
            <w:pPr>
              <w:spacing w:before="1"/>
              <w:ind w:left="633" w:right="588"/>
              <w:jc w:val="center"/>
              <w:rPr>
                <w:rFonts w:ascii="Calibri" w:hAnsi="Calibri"/>
                <w:b/>
                <w:sz w:val="20"/>
              </w:rPr>
            </w:pPr>
            <w:r>
              <w:rPr>
                <w:rFonts w:ascii="Calibri" w:hAnsi="Calibri"/>
                <w:b/>
                <w:sz w:val="20"/>
              </w:rPr>
              <w:t>£3,558</w:t>
            </w:r>
          </w:p>
        </w:tc>
      </w:tr>
      <w:tr w:rsidR="006A18FD">
        <w:trPr>
          <w:trHeight w:val="240"/>
        </w:trPr>
        <w:tc>
          <w:tcPr>
            <w:tcW w:w="10044" w:type="dxa"/>
            <w:gridSpan w:val="4"/>
          </w:tcPr>
          <w:p w:rsidR="006A18FD" w:rsidRDefault="002D29FC">
            <w:pPr>
              <w:spacing w:before="1" w:line="223" w:lineRule="exact"/>
              <w:ind w:left="105"/>
              <w:rPr>
                <w:rFonts w:ascii="Calibri"/>
                <w:sz w:val="20"/>
              </w:rPr>
            </w:pPr>
            <w:r>
              <w:rPr>
                <w:rFonts w:ascii="Calibri"/>
                <w:sz w:val="20"/>
              </w:rPr>
              <w:t>Additional service costs (out of London)</w:t>
            </w:r>
          </w:p>
        </w:tc>
      </w:tr>
      <w:tr w:rsidR="006A18FD">
        <w:trPr>
          <w:trHeight w:val="240"/>
        </w:trPr>
        <w:tc>
          <w:tcPr>
            <w:tcW w:w="4544" w:type="dxa"/>
          </w:tcPr>
          <w:p w:rsidR="006A18FD" w:rsidRDefault="002D29FC">
            <w:pPr>
              <w:spacing w:before="1" w:line="223" w:lineRule="exact"/>
              <w:ind w:left="105"/>
              <w:rPr>
                <w:rFonts w:ascii="Calibri"/>
                <w:sz w:val="20"/>
              </w:rPr>
            </w:pPr>
            <w:r>
              <w:rPr>
                <w:rFonts w:ascii="Calibri"/>
                <w:sz w:val="20"/>
              </w:rPr>
              <w:t>Drug and alcohol treatment services</w:t>
            </w:r>
          </w:p>
        </w:tc>
        <w:tc>
          <w:tcPr>
            <w:tcW w:w="1834" w:type="dxa"/>
          </w:tcPr>
          <w:p w:rsidR="006A18FD" w:rsidRDefault="002D29FC">
            <w:pPr>
              <w:spacing w:before="1" w:line="223" w:lineRule="exact"/>
              <w:ind w:left="227" w:right="227"/>
              <w:jc w:val="center"/>
              <w:rPr>
                <w:rFonts w:ascii="Calibri"/>
                <w:sz w:val="20"/>
              </w:rPr>
            </w:pPr>
            <w:r>
              <w:rPr>
                <w:rFonts w:ascii="Calibri"/>
                <w:sz w:val="20"/>
              </w:rPr>
              <w:t>Once a fortnight</w:t>
            </w:r>
          </w:p>
        </w:tc>
        <w:tc>
          <w:tcPr>
            <w:tcW w:w="1834" w:type="dxa"/>
          </w:tcPr>
          <w:p w:rsidR="006A18FD" w:rsidRDefault="002D29FC">
            <w:pPr>
              <w:spacing w:before="1" w:line="223" w:lineRule="exact"/>
              <w:ind w:left="494" w:right="521"/>
              <w:jc w:val="center"/>
              <w:rPr>
                <w:rFonts w:ascii="Calibri" w:hAnsi="Calibri"/>
                <w:sz w:val="20"/>
              </w:rPr>
            </w:pPr>
            <w:r>
              <w:rPr>
                <w:rFonts w:ascii="Calibri" w:hAnsi="Calibri"/>
                <w:sz w:val="20"/>
              </w:rPr>
              <w:t>£140</w:t>
            </w:r>
          </w:p>
        </w:tc>
        <w:tc>
          <w:tcPr>
            <w:tcW w:w="1831" w:type="dxa"/>
          </w:tcPr>
          <w:p w:rsidR="006A18FD" w:rsidRDefault="002D29FC">
            <w:pPr>
              <w:spacing w:before="1" w:line="223" w:lineRule="exact"/>
              <w:ind w:left="633" w:right="586"/>
              <w:jc w:val="center"/>
              <w:rPr>
                <w:rFonts w:ascii="Calibri" w:hAnsi="Calibri"/>
                <w:sz w:val="20"/>
              </w:rPr>
            </w:pPr>
            <w:r>
              <w:rPr>
                <w:rFonts w:ascii="Calibri" w:hAnsi="Calibri"/>
                <w:sz w:val="20"/>
              </w:rPr>
              <w:t>£3,628</w:t>
            </w:r>
          </w:p>
        </w:tc>
      </w:tr>
      <w:tr w:rsidR="006A18FD">
        <w:trPr>
          <w:trHeight w:val="240"/>
        </w:trPr>
        <w:tc>
          <w:tcPr>
            <w:tcW w:w="8212" w:type="dxa"/>
            <w:gridSpan w:val="3"/>
          </w:tcPr>
          <w:p w:rsidR="006A18FD" w:rsidRDefault="006A18FD">
            <w:pPr>
              <w:rPr>
                <w:rFonts w:ascii="Times New Roman"/>
                <w:sz w:val="16"/>
              </w:rPr>
            </w:pPr>
          </w:p>
        </w:tc>
        <w:tc>
          <w:tcPr>
            <w:tcW w:w="1831" w:type="dxa"/>
          </w:tcPr>
          <w:p w:rsidR="006A18FD" w:rsidRDefault="006A18FD">
            <w:pPr>
              <w:rPr>
                <w:rFonts w:ascii="Times New Roman"/>
                <w:sz w:val="16"/>
              </w:rPr>
            </w:pPr>
          </w:p>
        </w:tc>
      </w:tr>
      <w:tr w:rsidR="006A18FD">
        <w:trPr>
          <w:trHeight w:val="360"/>
        </w:trPr>
        <w:tc>
          <w:tcPr>
            <w:tcW w:w="8212" w:type="dxa"/>
            <w:gridSpan w:val="3"/>
          </w:tcPr>
          <w:p w:rsidR="006A18FD" w:rsidRDefault="002D29FC">
            <w:pPr>
              <w:spacing w:before="1"/>
              <w:ind w:left="105"/>
              <w:rPr>
                <w:rFonts w:ascii="Calibri"/>
                <w:b/>
                <w:sz w:val="20"/>
              </w:rPr>
            </w:pPr>
            <w:r>
              <w:rPr>
                <w:rFonts w:ascii="Calibri"/>
                <w:b/>
                <w:sz w:val="20"/>
              </w:rPr>
              <w:t>Total social care case management and service costs per year</w:t>
            </w:r>
          </w:p>
        </w:tc>
        <w:tc>
          <w:tcPr>
            <w:tcW w:w="1831" w:type="dxa"/>
          </w:tcPr>
          <w:p w:rsidR="006A18FD" w:rsidRDefault="002D29FC">
            <w:pPr>
              <w:spacing w:before="1"/>
              <w:ind w:left="633" w:right="588"/>
              <w:jc w:val="center"/>
              <w:rPr>
                <w:rFonts w:ascii="Calibri" w:hAnsi="Calibri"/>
                <w:b/>
                <w:sz w:val="20"/>
              </w:rPr>
            </w:pPr>
            <w:r>
              <w:rPr>
                <w:rFonts w:ascii="Calibri" w:hAnsi="Calibri"/>
                <w:b/>
                <w:sz w:val="20"/>
              </w:rPr>
              <w:t>£7,186</w:t>
            </w:r>
          </w:p>
        </w:tc>
      </w:tr>
    </w:tbl>
    <w:p w:rsidR="006A18FD" w:rsidRDefault="006A18FD">
      <w:pPr>
        <w:jc w:val="center"/>
        <w:rPr>
          <w:rFonts w:ascii="Calibri" w:hAnsi="Calibri"/>
          <w:sz w:val="20"/>
        </w:rPr>
        <w:sectPr w:rsidR="006A18FD">
          <w:pgSz w:w="11910" w:h="16840"/>
          <w:pgMar w:top="960" w:right="44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5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52" name="Line 10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DFEBA8" id="Group 10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Me06Et/AgAAgQUA&#10;AA4AAAAAAAAAAAAAAAAALgIAAGRycy9lMm9Eb2MueG1sUEsBAi0AFAAGAAgAAAAhAC135FzaAAAA&#10;BAEAAA8AAAAAAAAAAAAAAAAA2QQAAGRycy9kb3ducmV2LnhtbFBLBQYAAAAABAAEAPMAAADgBQAA&#10;AAA=&#10;">
                <v:line id="Line 10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w10:anchorlock/>
              </v:group>
            </w:pict>
          </mc:Fallback>
        </mc:AlternateContent>
      </w:r>
    </w:p>
    <w:p w:rsidR="006A18FD" w:rsidRDefault="002E1E01" w:rsidP="002E1E01">
      <w:pPr>
        <w:pStyle w:val="Heading3"/>
      </w:pPr>
      <w:r>
        <w:t xml:space="preserve">8.1.3 </w:t>
      </w:r>
      <w:r w:rsidR="002D29FC">
        <w:t>Child C – high level of Child in Need support and foster care provided on return home from care</w:t>
      </w:r>
    </w:p>
    <w:p w:rsidR="006A18FD" w:rsidRDefault="002D29FC">
      <w:pPr>
        <w:spacing w:before="123" w:line="276" w:lineRule="auto"/>
        <w:ind w:left="140" w:right="187"/>
        <w:rPr>
          <w:rFonts w:ascii="Calibri"/>
          <w:sz w:val="20"/>
        </w:rPr>
      </w:pPr>
      <w:r>
        <w:rPr>
          <w:rFonts w:ascii="Calibri"/>
          <w:sz w:val="20"/>
        </w:rPr>
        <w:t>Child C was placed in a specialist therapeutic foster care community placement outside the area of the placing authority between September 2011 and October 2012. Prior to this placement, Child C had experienced two other placements and was accommodated under Section 20 arrangements.</w:t>
      </w:r>
      <w:r>
        <w:rPr>
          <w:rFonts w:ascii="Calibri"/>
          <w:position w:val="7"/>
          <w:sz w:val="13"/>
        </w:rPr>
        <w:t xml:space="preserve">1 </w:t>
      </w:r>
      <w:r>
        <w:rPr>
          <w:rFonts w:ascii="Calibri"/>
          <w:sz w:val="20"/>
        </w:rPr>
        <w:t>Child C had emotional and behavioural problems, and was aged 11 at the start of this specialist placement. On return home in October 2012, Child C was referred to receive support foster care. A support foster care family was identified, and respite care was provided by the carers for one overnight stay per week.</w:t>
      </w:r>
    </w:p>
    <w:p w:rsidR="006A18FD" w:rsidRDefault="002D29FC">
      <w:pPr>
        <w:ind w:left="140"/>
        <w:rPr>
          <w:rFonts w:ascii="Calibri"/>
          <w:sz w:val="20"/>
        </w:rPr>
      </w:pPr>
      <w:r>
        <w:rPr>
          <w:rFonts w:ascii="Calibri"/>
          <w:sz w:val="20"/>
        </w:rPr>
        <w:t>The case also remained open as a CiN/support foster care case, and this support continued until March 2013.</w:t>
      </w:r>
    </w:p>
    <w:p w:rsidR="006A18FD" w:rsidRDefault="006A18FD">
      <w:pPr>
        <w:spacing w:before="8" w:after="1"/>
        <w:rPr>
          <w:rFonts w:ascii="Calibri"/>
          <w:sz w:val="1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1812"/>
        <w:gridCol w:w="1823"/>
        <w:gridCol w:w="1826"/>
      </w:tblGrid>
      <w:tr w:rsidR="006A18FD" w:rsidTr="00E2663F">
        <w:trPr>
          <w:trHeight w:val="360"/>
          <w:tblHeader/>
        </w:trPr>
        <w:tc>
          <w:tcPr>
            <w:tcW w:w="10048" w:type="dxa"/>
            <w:gridSpan w:val="4"/>
          </w:tcPr>
          <w:p w:rsidR="006A18FD" w:rsidRDefault="002D29FC">
            <w:pPr>
              <w:spacing w:before="1"/>
              <w:ind w:left="102"/>
              <w:rPr>
                <w:rFonts w:ascii="Calibri"/>
                <w:b/>
                <w:sz w:val="20"/>
              </w:rPr>
            </w:pPr>
            <w:r>
              <w:rPr>
                <w:rFonts w:ascii="Calibri"/>
                <w:b/>
                <w:sz w:val="20"/>
              </w:rPr>
              <w:t>Social care processes (case management)</w:t>
            </w:r>
          </w:p>
        </w:tc>
      </w:tr>
      <w:tr w:rsidR="006A18FD">
        <w:trPr>
          <w:trHeight w:val="360"/>
        </w:trPr>
        <w:tc>
          <w:tcPr>
            <w:tcW w:w="4587" w:type="dxa"/>
          </w:tcPr>
          <w:p w:rsidR="006A18FD" w:rsidRDefault="002D29FC">
            <w:pPr>
              <w:spacing w:before="1"/>
              <w:ind w:left="102"/>
              <w:rPr>
                <w:rFonts w:ascii="Calibri"/>
                <w:b/>
                <w:sz w:val="20"/>
              </w:rPr>
            </w:pPr>
            <w:r>
              <w:rPr>
                <w:rFonts w:ascii="Calibri"/>
                <w:b/>
                <w:sz w:val="20"/>
              </w:rPr>
              <w:t>Process</w:t>
            </w:r>
          </w:p>
        </w:tc>
        <w:tc>
          <w:tcPr>
            <w:tcW w:w="1812" w:type="dxa"/>
          </w:tcPr>
          <w:p w:rsidR="006A18FD" w:rsidRDefault="002D29FC">
            <w:pPr>
              <w:spacing w:before="1"/>
              <w:ind w:left="445" w:right="446"/>
              <w:jc w:val="center"/>
              <w:rPr>
                <w:rFonts w:ascii="Calibri"/>
                <w:b/>
                <w:sz w:val="20"/>
              </w:rPr>
            </w:pPr>
            <w:r>
              <w:rPr>
                <w:rFonts w:ascii="Calibri"/>
                <w:b/>
                <w:sz w:val="20"/>
              </w:rPr>
              <w:t>Frequency</w:t>
            </w:r>
          </w:p>
        </w:tc>
        <w:tc>
          <w:tcPr>
            <w:tcW w:w="1822" w:type="dxa"/>
          </w:tcPr>
          <w:p w:rsidR="006A18FD" w:rsidRDefault="002D29FC">
            <w:pPr>
              <w:spacing w:before="1"/>
              <w:ind w:left="535"/>
              <w:rPr>
                <w:rFonts w:ascii="Calibri"/>
                <w:b/>
                <w:sz w:val="20"/>
              </w:rPr>
            </w:pPr>
            <w:r>
              <w:rPr>
                <w:rFonts w:ascii="Calibri"/>
                <w:b/>
                <w:sz w:val="20"/>
              </w:rPr>
              <w:t>Unit cost</w:t>
            </w:r>
          </w:p>
        </w:tc>
        <w:tc>
          <w:tcPr>
            <w:tcW w:w="1826" w:type="dxa"/>
          </w:tcPr>
          <w:p w:rsidR="006A18FD" w:rsidRDefault="002D29FC">
            <w:pPr>
              <w:spacing w:before="1"/>
              <w:ind w:right="525"/>
              <w:jc w:val="right"/>
              <w:rPr>
                <w:rFonts w:ascii="Calibri"/>
                <w:b/>
                <w:sz w:val="20"/>
              </w:rPr>
            </w:pPr>
            <w:r>
              <w:rPr>
                <w:rFonts w:ascii="Calibri"/>
                <w:b/>
                <w:sz w:val="20"/>
              </w:rPr>
              <w:t>Sub-total</w:t>
            </w:r>
          </w:p>
        </w:tc>
      </w:tr>
      <w:tr w:rsidR="006A18FD">
        <w:trPr>
          <w:trHeight w:val="240"/>
        </w:trPr>
        <w:tc>
          <w:tcPr>
            <w:tcW w:w="4587" w:type="dxa"/>
          </w:tcPr>
          <w:p w:rsidR="006A18FD" w:rsidRDefault="002D29FC">
            <w:pPr>
              <w:spacing w:before="1" w:line="223" w:lineRule="exact"/>
              <w:ind w:left="102"/>
              <w:rPr>
                <w:rFonts w:ascii="Calibri" w:hAnsi="Calibri"/>
                <w:sz w:val="20"/>
              </w:rPr>
            </w:pPr>
            <w:r>
              <w:rPr>
                <w:rFonts w:ascii="Calibri" w:hAnsi="Calibri"/>
                <w:sz w:val="20"/>
              </w:rPr>
              <w:t>LAC 2 – carer plan</w:t>
            </w:r>
          </w:p>
        </w:tc>
        <w:tc>
          <w:tcPr>
            <w:tcW w:w="1812" w:type="dxa"/>
          </w:tcPr>
          <w:p w:rsidR="006A18FD" w:rsidRDefault="002D29FC">
            <w:pPr>
              <w:spacing w:before="1" w:line="223" w:lineRule="exact"/>
              <w:ind w:left="445" w:right="447"/>
              <w:jc w:val="center"/>
              <w:rPr>
                <w:rFonts w:ascii="Calibri"/>
                <w:sz w:val="20"/>
              </w:rPr>
            </w:pPr>
            <w:r>
              <w:rPr>
                <w:rFonts w:ascii="Calibri"/>
                <w:sz w:val="20"/>
              </w:rPr>
              <w:t>Twice</w:t>
            </w:r>
          </w:p>
        </w:tc>
        <w:tc>
          <w:tcPr>
            <w:tcW w:w="1822" w:type="dxa"/>
          </w:tcPr>
          <w:p w:rsidR="006A18FD" w:rsidRDefault="002D29FC">
            <w:pPr>
              <w:spacing w:before="1" w:line="223" w:lineRule="exact"/>
              <w:ind w:left="748" w:right="617"/>
              <w:jc w:val="center"/>
              <w:rPr>
                <w:rFonts w:ascii="Calibri" w:hAnsi="Calibri"/>
                <w:sz w:val="20"/>
              </w:rPr>
            </w:pPr>
            <w:r>
              <w:rPr>
                <w:rFonts w:ascii="Calibri" w:hAnsi="Calibri"/>
                <w:sz w:val="20"/>
              </w:rPr>
              <w:t>£277</w:t>
            </w:r>
          </w:p>
        </w:tc>
        <w:tc>
          <w:tcPr>
            <w:tcW w:w="1826" w:type="dxa"/>
          </w:tcPr>
          <w:p w:rsidR="006A18FD" w:rsidRDefault="002D29FC">
            <w:pPr>
              <w:spacing w:before="1" w:line="223" w:lineRule="exact"/>
              <w:ind w:right="499"/>
              <w:jc w:val="right"/>
              <w:rPr>
                <w:rFonts w:ascii="Calibri" w:hAnsi="Calibri"/>
                <w:sz w:val="20"/>
              </w:rPr>
            </w:pPr>
            <w:r>
              <w:rPr>
                <w:rFonts w:ascii="Calibri" w:hAnsi="Calibri"/>
                <w:sz w:val="20"/>
              </w:rPr>
              <w:t>£553</w:t>
            </w:r>
          </w:p>
        </w:tc>
      </w:tr>
      <w:tr w:rsidR="006A18FD">
        <w:trPr>
          <w:trHeight w:val="340"/>
        </w:trPr>
        <w:tc>
          <w:tcPr>
            <w:tcW w:w="4587" w:type="dxa"/>
            <w:tcBorders>
              <w:bottom w:val="single" w:sz="6" w:space="0" w:color="000000"/>
            </w:tcBorders>
          </w:tcPr>
          <w:p w:rsidR="006A18FD" w:rsidRDefault="002D29FC">
            <w:pPr>
              <w:spacing w:line="243" w:lineRule="exact"/>
              <w:ind w:left="102"/>
              <w:rPr>
                <w:rFonts w:ascii="Calibri" w:hAnsi="Calibri"/>
                <w:sz w:val="20"/>
              </w:rPr>
            </w:pPr>
            <w:r>
              <w:rPr>
                <w:rFonts w:ascii="Calibri" w:hAnsi="Calibri"/>
                <w:sz w:val="20"/>
              </w:rPr>
              <w:t>LAC 3 – ongoing placement support</w:t>
            </w:r>
          </w:p>
        </w:tc>
        <w:tc>
          <w:tcPr>
            <w:tcW w:w="1812" w:type="dxa"/>
            <w:tcBorders>
              <w:bottom w:val="single" w:sz="6" w:space="0" w:color="000000"/>
            </w:tcBorders>
          </w:tcPr>
          <w:p w:rsidR="006A18FD" w:rsidRDefault="002D29FC">
            <w:pPr>
              <w:spacing w:line="243" w:lineRule="exact"/>
              <w:ind w:left="445" w:right="447"/>
              <w:jc w:val="center"/>
              <w:rPr>
                <w:rFonts w:ascii="Calibri"/>
                <w:sz w:val="20"/>
              </w:rPr>
            </w:pPr>
            <w:r>
              <w:rPr>
                <w:rFonts w:ascii="Calibri"/>
                <w:sz w:val="20"/>
              </w:rPr>
              <w:t>10 months</w:t>
            </w:r>
          </w:p>
        </w:tc>
        <w:tc>
          <w:tcPr>
            <w:tcW w:w="1822" w:type="dxa"/>
            <w:tcBorders>
              <w:bottom w:val="single" w:sz="6" w:space="0" w:color="000000"/>
            </w:tcBorders>
          </w:tcPr>
          <w:p w:rsidR="006A18FD" w:rsidRDefault="002D29FC">
            <w:pPr>
              <w:spacing w:line="243" w:lineRule="exact"/>
              <w:ind w:left="518"/>
              <w:rPr>
                <w:rFonts w:ascii="Calibri" w:hAnsi="Calibri"/>
                <w:sz w:val="20"/>
              </w:rPr>
            </w:pPr>
            <w:r>
              <w:rPr>
                <w:rFonts w:ascii="Calibri" w:hAnsi="Calibri"/>
                <w:sz w:val="20"/>
              </w:rPr>
              <w:t>£13,785</w:t>
            </w:r>
          </w:p>
        </w:tc>
        <w:tc>
          <w:tcPr>
            <w:tcW w:w="1826" w:type="dxa"/>
            <w:tcBorders>
              <w:bottom w:val="single" w:sz="6" w:space="0" w:color="000000"/>
            </w:tcBorders>
          </w:tcPr>
          <w:p w:rsidR="006A18FD" w:rsidRDefault="002D29FC">
            <w:pPr>
              <w:spacing w:line="243" w:lineRule="exact"/>
              <w:ind w:right="498"/>
              <w:jc w:val="right"/>
              <w:rPr>
                <w:rFonts w:ascii="Calibri" w:hAnsi="Calibri"/>
                <w:sz w:val="20"/>
              </w:rPr>
            </w:pPr>
            <w:r>
              <w:rPr>
                <w:rFonts w:ascii="Calibri" w:hAnsi="Calibri"/>
                <w:sz w:val="20"/>
              </w:rPr>
              <w:t>£137,850</w:t>
            </w:r>
          </w:p>
        </w:tc>
      </w:tr>
      <w:tr w:rsidR="006A18FD">
        <w:trPr>
          <w:trHeight w:val="240"/>
        </w:trPr>
        <w:tc>
          <w:tcPr>
            <w:tcW w:w="4587" w:type="dxa"/>
            <w:tcBorders>
              <w:top w:val="single" w:sz="6" w:space="0" w:color="000000"/>
            </w:tcBorders>
          </w:tcPr>
          <w:p w:rsidR="006A18FD" w:rsidRDefault="002D29FC">
            <w:pPr>
              <w:spacing w:line="222" w:lineRule="exact"/>
              <w:ind w:left="102"/>
              <w:rPr>
                <w:rFonts w:ascii="Calibri" w:hAnsi="Calibri"/>
                <w:sz w:val="20"/>
              </w:rPr>
            </w:pPr>
            <w:r>
              <w:rPr>
                <w:rFonts w:ascii="Calibri" w:hAnsi="Calibri"/>
                <w:sz w:val="20"/>
              </w:rPr>
              <w:t>LAC 4 – return home</w:t>
            </w:r>
          </w:p>
        </w:tc>
        <w:tc>
          <w:tcPr>
            <w:tcW w:w="1812" w:type="dxa"/>
            <w:tcBorders>
              <w:top w:val="single" w:sz="6" w:space="0" w:color="000000"/>
            </w:tcBorders>
          </w:tcPr>
          <w:p w:rsidR="006A18FD" w:rsidRDefault="002D29FC">
            <w:pPr>
              <w:spacing w:line="222" w:lineRule="exact"/>
              <w:ind w:left="445" w:right="447"/>
              <w:jc w:val="center"/>
              <w:rPr>
                <w:rFonts w:ascii="Calibri"/>
                <w:sz w:val="20"/>
              </w:rPr>
            </w:pPr>
            <w:r>
              <w:rPr>
                <w:rFonts w:ascii="Calibri"/>
                <w:sz w:val="20"/>
              </w:rPr>
              <w:t>Once</w:t>
            </w:r>
          </w:p>
        </w:tc>
        <w:tc>
          <w:tcPr>
            <w:tcW w:w="1822" w:type="dxa"/>
            <w:tcBorders>
              <w:top w:val="single" w:sz="6" w:space="0" w:color="000000"/>
            </w:tcBorders>
          </w:tcPr>
          <w:p w:rsidR="006A18FD" w:rsidRDefault="002D29FC">
            <w:pPr>
              <w:spacing w:line="222" w:lineRule="exact"/>
              <w:ind w:left="748" w:right="617"/>
              <w:jc w:val="center"/>
              <w:rPr>
                <w:rFonts w:ascii="Calibri" w:hAnsi="Calibri"/>
                <w:sz w:val="20"/>
              </w:rPr>
            </w:pPr>
            <w:r>
              <w:rPr>
                <w:rFonts w:ascii="Calibri" w:hAnsi="Calibri"/>
                <w:sz w:val="20"/>
              </w:rPr>
              <w:t>£479</w:t>
            </w:r>
          </w:p>
        </w:tc>
        <w:tc>
          <w:tcPr>
            <w:tcW w:w="1826" w:type="dxa"/>
            <w:tcBorders>
              <w:top w:val="single" w:sz="6" w:space="0" w:color="000000"/>
            </w:tcBorders>
          </w:tcPr>
          <w:p w:rsidR="006A18FD" w:rsidRDefault="002D29FC">
            <w:pPr>
              <w:spacing w:line="222" w:lineRule="exact"/>
              <w:ind w:right="499"/>
              <w:jc w:val="right"/>
              <w:rPr>
                <w:rFonts w:ascii="Calibri" w:hAnsi="Calibri"/>
                <w:sz w:val="20"/>
              </w:rPr>
            </w:pPr>
            <w:r>
              <w:rPr>
                <w:rFonts w:ascii="Calibri" w:hAnsi="Calibri"/>
                <w:sz w:val="20"/>
              </w:rPr>
              <w:t>£479</w:t>
            </w:r>
          </w:p>
        </w:tc>
      </w:tr>
      <w:tr w:rsidR="006A18FD">
        <w:trPr>
          <w:trHeight w:val="240"/>
        </w:trPr>
        <w:tc>
          <w:tcPr>
            <w:tcW w:w="4587" w:type="dxa"/>
          </w:tcPr>
          <w:p w:rsidR="006A18FD" w:rsidRDefault="002D29FC">
            <w:pPr>
              <w:spacing w:before="1" w:line="223" w:lineRule="exact"/>
              <w:ind w:left="102"/>
              <w:rPr>
                <w:rFonts w:ascii="Calibri" w:hAnsi="Calibri"/>
                <w:sz w:val="20"/>
              </w:rPr>
            </w:pPr>
            <w:r>
              <w:rPr>
                <w:rFonts w:ascii="Calibri" w:hAnsi="Calibri"/>
                <w:sz w:val="20"/>
              </w:rPr>
              <w:t>LAC 6 – review</w:t>
            </w:r>
          </w:p>
        </w:tc>
        <w:tc>
          <w:tcPr>
            <w:tcW w:w="1812" w:type="dxa"/>
          </w:tcPr>
          <w:p w:rsidR="006A18FD" w:rsidRDefault="002D29FC">
            <w:pPr>
              <w:spacing w:before="1" w:line="223" w:lineRule="exact"/>
              <w:ind w:left="445" w:right="447"/>
              <w:jc w:val="center"/>
              <w:rPr>
                <w:rFonts w:ascii="Calibri"/>
                <w:sz w:val="20"/>
              </w:rPr>
            </w:pPr>
            <w:r>
              <w:rPr>
                <w:rFonts w:ascii="Calibri"/>
                <w:sz w:val="20"/>
              </w:rPr>
              <w:t>Twice</w:t>
            </w:r>
          </w:p>
        </w:tc>
        <w:tc>
          <w:tcPr>
            <w:tcW w:w="1822" w:type="dxa"/>
          </w:tcPr>
          <w:p w:rsidR="006A18FD" w:rsidRDefault="002D29FC">
            <w:pPr>
              <w:spacing w:before="1" w:line="223" w:lineRule="exact"/>
              <w:ind w:left="748" w:right="617"/>
              <w:jc w:val="center"/>
              <w:rPr>
                <w:rFonts w:ascii="Calibri" w:hAnsi="Calibri"/>
                <w:sz w:val="20"/>
              </w:rPr>
            </w:pPr>
            <w:r>
              <w:rPr>
                <w:rFonts w:ascii="Calibri" w:hAnsi="Calibri"/>
                <w:sz w:val="20"/>
              </w:rPr>
              <w:t>£714</w:t>
            </w:r>
          </w:p>
        </w:tc>
        <w:tc>
          <w:tcPr>
            <w:tcW w:w="1826" w:type="dxa"/>
          </w:tcPr>
          <w:p w:rsidR="006A18FD" w:rsidRDefault="002D29FC">
            <w:pPr>
              <w:spacing w:before="1" w:line="223" w:lineRule="exact"/>
              <w:ind w:right="499"/>
              <w:jc w:val="right"/>
              <w:rPr>
                <w:rFonts w:ascii="Calibri" w:hAnsi="Calibri"/>
                <w:sz w:val="20"/>
              </w:rPr>
            </w:pPr>
            <w:r>
              <w:rPr>
                <w:rFonts w:ascii="Calibri" w:hAnsi="Calibri"/>
                <w:w w:val="95"/>
                <w:sz w:val="20"/>
              </w:rPr>
              <w:t>£1,428</w:t>
            </w:r>
          </w:p>
        </w:tc>
      </w:tr>
      <w:tr w:rsidR="006A18FD">
        <w:trPr>
          <w:trHeight w:val="240"/>
        </w:trPr>
        <w:tc>
          <w:tcPr>
            <w:tcW w:w="4587" w:type="dxa"/>
          </w:tcPr>
          <w:p w:rsidR="006A18FD" w:rsidRDefault="002D29FC">
            <w:pPr>
              <w:spacing w:line="222" w:lineRule="exact"/>
              <w:ind w:left="102"/>
              <w:rPr>
                <w:rFonts w:ascii="Calibri" w:hAnsi="Calibri"/>
                <w:sz w:val="20"/>
              </w:rPr>
            </w:pPr>
            <w:r>
              <w:rPr>
                <w:rFonts w:ascii="Calibri" w:hAnsi="Calibri"/>
                <w:sz w:val="20"/>
              </w:rPr>
              <w:t>Support foster care – ongoing</w:t>
            </w:r>
          </w:p>
        </w:tc>
        <w:tc>
          <w:tcPr>
            <w:tcW w:w="1812" w:type="dxa"/>
          </w:tcPr>
          <w:p w:rsidR="006A18FD" w:rsidRDefault="002D29FC">
            <w:pPr>
              <w:spacing w:line="222" w:lineRule="exact"/>
              <w:ind w:left="445" w:right="447"/>
              <w:jc w:val="center"/>
              <w:rPr>
                <w:rFonts w:ascii="Calibri"/>
                <w:sz w:val="20"/>
              </w:rPr>
            </w:pPr>
            <w:r>
              <w:rPr>
                <w:rFonts w:ascii="Calibri"/>
                <w:sz w:val="20"/>
              </w:rPr>
              <w:t>2 months</w:t>
            </w:r>
          </w:p>
        </w:tc>
        <w:tc>
          <w:tcPr>
            <w:tcW w:w="1822" w:type="dxa"/>
          </w:tcPr>
          <w:p w:rsidR="006A18FD" w:rsidRDefault="002D29FC">
            <w:pPr>
              <w:spacing w:line="222" w:lineRule="exact"/>
              <w:ind w:left="748" w:right="617"/>
              <w:jc w:val="center"/>
              <w:rPr>
                <w:rFonts w:ascii="Calibri" w:hAnsi="Calibri"/>
                <w:sz w:val="20"/>
              </w:rPr>
            </w:pPr>
            <w:r>
              <w:rPr>
                <w:rFonts w:ascii="Calibri" w:hAnsi="Calibri"/>
                <w:sz w:val="20"/>
              </w:rPr>
              <w:t>£800</w:t>
            </w:r>
          </w:p>
        </w:tc>
        <w:tc>
          <w:tcPr>
            <w:tcW w:w="1826" w:type="dxa"/>
          </w:tcPr>
          <w:p w:rsidR="006A18FD" w:rsidRDefault="002D29FC">
            <w:pPr>
              <w:spacing w:line="222" w:lineRule="exact"/>
              <w:ind w:right="499"/>
              <w:jc w:val="right"/>
              <w:rPr>
                <w:rFonts w:ascii="Calibri" w:hAnsi="Calibri"/>
                <w:sz w:val="20"/>
              </w:rPr>
            </w:pPr>
            <w:r>
              <w:rPr>
                <w:rFonts w:ascii="Calibri" w:hAnsi="Calibri"/>
                <w:w w:val="95"/>
                <w:sz w:val="20"/>
              </w:rPr>
              <w:t>£1,599</w:t>
            </w:r>
          </w:p>
        </w:tc>
      </w:tr>
      <w:tr w:rsidR="006A18FD">
        <w:trPr>
          <w:trHeight w:val="240"/>
        </w:trPr>
        <w:tc>
          <w:tcPr>
            <w:tcW w:w="4587" w:type="dxa"/>
          </w:tcPr>
          <w:p w:rsidR="006A18FD" w:rsidRDefault="002D29FC">
            <w:pPr>
              <w:spacing w:before="1" w:line="223" w:lineRule="exact"/>
              <w:ind w:left="102"/>
              <w:rPr>
                <w:rFonts w:ascii="Calibri" w:hAnsi="Calibri"/>
                <w:sz w:val="20"/>
              </w:rPr>
            </w:pPr>
            <w:r>
              <w:rPr>
                <w:rFonts w:ascii="Calibri" w:hAnsi="Calibri"/>
                <w:sz w:val="20"/>
              </w:rPr>
              <w:t>Support foster care – referral</w:t>
            </w:r>
          </w:p>
        </w:tc>
        <w:tc>
          <w:tcPr>
            <w:tcW w:w="1812" w:type="dxa"/>
          </w:tcPr>
          <w:p w:rsidR="006A18FD" w:rsidRDefault="002D29FC">
            <w:pPr>
              <w:spacing w:before="1" w:line="223" w:lineRule="exact"/>
              <w:ind w:left="445" w:right="447"/>
              <w:jc w:val="center"/>
              <w:rPr>
                <w:rFonts w:ascii="Calibri"/>
                <w:sz w:val="20"/>
              </w:rPr>
            </w:pPr>
            <w:r>
              <w:rPr>
                <w:rFonts w:ascii="Calibri"/>
                <w:sz w:val="20"/>
              </w:rPr>
              <w:t>Once</w:t>
            </w:r>
          </w:p>
        </w:tc>
        <w:tc>
          <w:tcPr>
            <w:tcW w:w="1822" w:type="dxa"/>
          </w:tcPr>
          <w:p w:rsidR="006A18FD" w:rsidRDefault="002D29FC">
            <w:pPr>
              <w:spacing w:before="1" w:line="223" w:lineRule="exact"/>
              <w:ind w:left="748" w:right="617"/>
              <w:jc w:val="center"/>
              <w:rPr>
                <w:rFonts w:ascii="Calibri" w:hAnsi="Calibri"/>
                <w:sz w:val="20"/>
              </w:rPr>
            </w:pPr>
            <w:r>
              <w:rPr>
                <w:rFonts w:ascii="Calibri" w:hAnsi="Calibri"/>
                <w:sz w:val="20"/>
              </w:rPr>
              <w:t>£456</w:t>
            </w:r>
          </w:p>
        </w:tc>
        <w:tc>
          <w:tcPr>
            <w:tcW w:w="1826" w:type="dxa"/>
          </w:tcPr>
          <w:p w:rsidR="006A18FD" w:rsidRDefault="002D29FC">
            <w:pPr>
              <w:spacing w:before="1" w:line="223" w:lineRule="exact"/>
              <w:ind w:right="499"/>
              <w:jc w:val="right"/>
              <w:rPr>
                <w:rFonts w:ascii="Calibri" w:hAnsi="Calibri"/>
                <w:sz w:val="20"/>
              </w:rPr>
            </w:pPr>
            <w:r>
              <w:rPr>
                <w:rFonts w:ascii="Calibri" w:hAnsi="Calibri"/>
                <w:sz w:val="20"/>
              </w:rPr>
              <w:t>£456</w:t>
            </w:r>
          </w:p>
        </w:tc>
      </w:tr>
      <w:tr w:rsidR="006A18FD">
        <w:trPr>
          <w:trHeight w:val="360"/>
        </w:trPr>
        <w:tc>
          <w:tcPr>
            <w:tcW w:w="8222" w:type="dxa"/>
            <w:gridSpan w:val="3"/>
          </w:tcPr>
          <w:p w:rsidR="006A18FD" w:rsidRDefault="002D29FC">
            <w:pPr>
              <w:spacing w:before="1"/>
              <w:ind w:left="102"/>
              <w:rPr>
                <w:rFonts w:ascii="Calibri"/>
                <w:b/>
                <w:sz w:val="20"/>
              </w:rPr>
            </w:pPr>
            <w:r>
              <w:rPr>
                <w:rFonts w:ascii="Calibri"/>
                <w:b/>
                <w:sz w:val="20"/>
              </w:rPr>
              <w:t>Total social care case management costs per year</w:t>
            </w:r>
          </w:p>
        </w:tc>
        <w:tc>
          <w:tcPr>
            <w:tcW w:w="1826" w:type="dxa"/>
          </w:tcPr>
          <w:p w:rsidR="006A18FD" w:rsidRDefault="002D29FC">
            <w:pPr>
              <w:spacing w:before="1"/>
              <w:ind w:right="499"/>
              <w:jc w:val="right"/>
              <w:rPr>
                <w:rFonts w:ascii="Calibri" w:hAnsi="Calibri"/>
                <w:b/>
                <w:sz w:val="20"/>
              </w:rPr>
            </w:pPr>
            <w:r>
              <w:rPr>
                <w:rFonts w:ascii="Calibri" w:hAnsi="Calibri"/>
                <w:b/>
                <w:sz w:val="20"/>
              </w:rPr>
              <w:t>£142,364</w:t>
            </w:r>
          </w:p>
        </w:tc>
      </w:tr>
    </w:tbl>
    <w:p w:rsidR="006A18FD" w:rsidRDefault="006A18FD">
      <w:pPr>
        <w:spacing w:before="8"/>
        <w:rPr>
          <w:rFonts w:ascii="Calibri"/>
          <w:sz w:val="29"/>
        </w:rPr>
      </w:pPr>
    </w:p>
    <w:p w:rsidR="006A18FD" w:rsidRDefault="002E1E01" w:rsidP="002E1E01">
      <w:pPr>
        <w:pStyle w:val="Heading3"/>
      </w:pPr>
      <w:r>
        <w:t xml:space="preserve">8.1.4 </w:t>
      </w:r>
      <w:r w:rsidR="002D29FC">
        <w:t>Child D – ongoing support provided by an independent fostering provider on return home from</w:t>
      </w:r>
      <w:r w:rsidR="002D29FC">
        <w:rPr>
          <w:spacing w:val="-3"/>
        </w:rPr>
        <w:t xml:space="preserve"> </w:t>
      </w:r>
      <w:r w:rsidR="002D29FC">
        <w:t>care</w:t>
      </w:r>
    </w:p>
    <w:p w:rsidR="006A18FD" w:rsidRDefault="002D29FC">
      <w:pPr>
        <w:spacing w:before="118"/>
        <w:ind w:left="140" w:right="238"/>
        <w:rPr>
          <w:rFonts w:ascii="Calibri"/>
          <w:sz w:val="20"/>
        </w:rPr>
      </w:pPr>
      <w:r>
        <w:rPr>
          <w:rFonts w:ascii="Calibri"/>
          <w:sz w:val="20"/>
        </w:rPr>
        <w:t>Child D was placed with Intensive Foster Placement (IFP) foster carers in June 2010, aged 16, after a care order was obtained. Child D had emotional and behavioural difficulties and remained in the placement until August 2011. On return home in March 2012, Child D continued to be supported by the IFP, and there was a good working relationship between the foster carers and birth family. This support continued until the end of March 2012. The table below shows the costs of hild in Need (CiN) support provided during the first three months of 2012.</w:t>
      </w:r>
    </w:p>
    <w:p w:rsidR="006A18FD" w:rsidRDefault="006A18FD">
      <w:pPr>
        <w:spacing w:before="9"/>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2148"/>
        <w:gridCol w:w="2153"/>
        <w:gridCol w:w="2147"/>
      </w:tblGrid>
      <w:tr w:rsidR="006A18FD" w:rsidTr="00E2663F">
        <w:trPr>
          <w:trHeight w:val="360"/>
          <w:tblHeader/>
        </w:trPr>
        <w:tc>
          <w:tcPr>
            <w:tcW w:w="10044" w:type="dxa"/>
            <w:gridSpan w:val="4"/>
          </w:tcPr>
          <w:p w:rsidR="006A18FD" w:rsidRDefault="002D29FC">
            <w:pPr>
              <w:spacing w:before="1"/>
              <w:ind w:left="103"/>
              <w:rPr>
                <w:rFonts w:ascii="Calibri"/>
                <w:b/>
                <w:sz w:val="20"/>
              </w:rPr>
            </w:pPr>
            <w:r>
              <w:rPr>
                <w:rFonts w:ascii="Calibri"/>
                <w:b/>
                <w:sz w:val="20"/>
              </w:rPr>
              <w:t>Social care processes (case management)</w:t>
            </w:r>
          </w:p>
        </w:tc>
      </w:tr>
      <w:tr w:rsidR="006A18FD">
        <w:trPr>
          <w:trHeight w:val="360"/>
        </w:trPr>
        <w:tc>
          <w:tcPr>
            <w:tcW w:w="10044" w:type="dxa"/>
            <w:gridSpan w:val="4"/>
          </w:tcPr>
          <w:p w:rsidR="006A18FD" w:rsidRDefault="006A18FD">
            <w:pPr>
              <w:rPr>
                <w:rFonts w:ascii="Times New Roman"/>
                <w:sz w:val="18"/>
              </w:rPr>
            </w:pPr>
          </w:p>
        </w:tc>
      </w:tr>
      <w:tr w:rsidR="006A18FD">
        <w:trPr>
          <w:trHeight w:val="360"/>
        </w:trPr>
        <w:tc>
          <w:tcPr>
            <w:tcW w:w="3596" w:type="dxa"/>
          </w:tcPr>
          <w:p w:rsidR="006A18FD" w:rsidRDefault="002D29FC">
            <w:pPr>
              <w:spacing w:before="1"/>
              <w:ind w:left="103"/>
              <w:rPr>
                <w:rFonts w:ascii="Calibri"/>
                <w:b/>
                <w:sz w:val="20"/>
              </w:rPr>
            </w:pPr>
            <w:r>
              <w:rPr>
                <w:rFonts w:ascii="Calibri"/>
                <w:b/>
                <w:sz w:val="20"/>
              </w:rPr>
              <w:t>Process</w:t>
            </w:r>
          </w:p>
        </w:tc>
        <w:tc>
          <w:tcPr>
            <w:tcW w:w="2148" w:type="dxa"/>
          </w:tcPr>
          <w:p w:rsidR="006A18FD" w:rsidRDefault="002D29FC">
            <w:pPr>
              <w:spacing w:before="1"/>
              <w:ind w:left="616" w:right="617"/>
              <w:jc w:val="center"/>
              <w:rPr>
                <w:rFonts w:ascii="Calibri"/>
                <w:b/>
                <w:sz w:val="20"/>
              </w:rPr>
            </w:pPr>
            <w:r>
              <w:rPr>
                <w:rFonts w:ascii="Calibri"/>
                <w:b/>
                <w:sz w:val="20"/>
              </w:rPr>
              <w:t>Frequency</w:t>
            </w:r>
          </w:p>
        </w:tc>
        <w:tc>
          <w:tcPr>
            <w:tcW w:w="2153" w:type="dxa"/>
          </w:tcPr>
          <w:p w:rsidR="006A18FD" w:rsidRDefault="002D29FC">
            <w:pPr>
              <w:spacing w:before="1"/>
              <w:ind w:right="701"/>
              <w:jc w:val="right"/>
              <w:rPr>
                <w:rFonts w:ascii="Calibri"/>
                <w:b/>
                <w:sz w:val="20"/>
              </w:rPr>
            </w:pPr>
            <w:r>
              <w:rPr>
                <w:rFonts w:ascii="Calibri"/>
                <w:b/>
                <w:sz w:val="20"/>
              </w:rPr>
              <w:t>Unit cost</w:t>
            </w:r>
          </w:p>
        </w:tc>
        <w:tc>
          <w:tcPr>
            <w:tcW w:w="2146" w:type="dxa"/>
          </w:tcPr>
          <w:p w:rsidR="006A18FD" w:rsidRDefault="002D29FC">
            <w:pPr>
              <w:spacing w:before="1"/>
              <w:ind w:right="683"/>
              <w:jc w:val="right"/>
              <w:rPr>
                <w:rFonts w:ascii="Calibri"/>
                <w:b/>
                <w:sz w:val="20"/>
              </w:rPr>
            </w:pPr>
            <w:r>
              <w:rPr>
                <w:rFonts w:ascii="Calibri"/>
                <w:b/>
                <w:sz w:val="20"/>
              </w:rPr>
              <w:t>Sub-total</w:t>
            </w:r>
          </w:p>
        </w:tc>
      </w:tr>
      <w:tr w:rsidR="006A18FD">
        <w:trPr>
          <w:trHeight w:val="240"/>
        </w:trPr>
        <w:tc>
          <w:tcPr>
            <w:tcW w:w="3596" w:type="dxa"/>
          </w:tcPr>
          <w:p w:rsidR="006A18FD" w:rsidRDefault="002D29FC">
            <w:pPr>
              <w:spacing w:before="1" w:line="223" w:lineRule="exact"/>
              <w:ind w:left="103"/>
              <w:rPr>
                <w:rFonts w:ascii="Calibri" w:hAnsi="Calibri"/>
                <w:sz w:val="20"/>
              </w:rPr>
            </w:pPr>
            <w:r>
              <w:rPr>
                <w:rFonts w:ascii="Calibri" w:hAnsi="Calibri"/>
                <w:sz w:val="20"/>
              </w:rPr>
              <w:t>CiN 3 – ongoing support</w:t>
            </w:r>
          </w:p>
        </w:tc>
        <w:tc>
          <w:tcPr>
            <w:tcW w:w="2148" w:type="dxa"/>
          </w:tcPr>
          <w:p w:rsidR="006A18FD" w:rsidRDefault="002D29FC">
            <w:pPr>
              <w:spacing w:before="1" w:line="223" w:lineRule="exact"/>
              <w:ind w:left="615" w:right="617"/>
              <w:jc w:val="center"/>
              <w:rPr>
                <w:rFonts w:ascii="Calibri"/>
                <w:sz w:val="20"/>
              </w:rPr>
            </w:pPr>
            <w:r>
              <w:rPr>
                <w:rFonts w:ascii="Calibri"/>
                <w:sz w:val="20"/>
              </w:rPr>
              <w:t>3 months</w:t>
            </w:r>
          </w:p>
        </w:tc>
        <w:tc>
          <w:tcPr>
            <w:tcW w:w="2153" w:type="dxa"/>
          </w:tcPr>
          <w:p w:rsidR="006A18FD" w:rsidRDefault="002D29FC">
            <w:pPr>
              <w:spacing w:before="1" w:line="223" w:lineRule="exact"/>
              <w:ind w:right="684"/>
              <w:jc w:val="right"/>
              <w:rPr>
                <w:rFonts w:ascii="Calibri" w:hAnsi="Calibri"/>
                <w:sz w:val="20"/>
              </w:rPr>
            </w:pPr>
            <w:r>
              <w:rPr>
                <w:rFonts w:ascii="Calibri" w:hAnsi="Calibri"/>
                <w:w w:val="95"/>
                <w:sz w:val="20"/>
              </w:rPr>
              <w:t>£1,246</w:t>
            </w:r>
          </w:p>
        </w:tc>
        <w:tc>
          <w:tcPr>
            <w:tcW w:w="2146" w:type="dxa"/>
          </w:tcPr>
          <w:p w:rsidR="006A18FD" w:rsidRDefault="002D29FC">
            <w:pPr>
              <w:spacing w:before="1" w:line="223" w:lineRule="exact"/>
              <w:ind w:right="746"/>
              <w:jc w:val="right"/>
              <w:rPr>
                <w:rFonts w:ascii="Calibri" w:hAnsi="Calibri"/>
                <w:sz w:val="20"/>
              </w:rPr>
            </w:pPr>
            <w:r>
              <w:rPr>
                <w:rFonts w:ascii="Calibri" w:hAnsi="Calibri"/>
                <w:w w:val="95"/>
                <w:sz w:val="20"/>
              </w:rPr>
              <w:t>£3,739</w:t>
            </w:r>
          </w:p>
        </w:tc>
      </w:tr>
      <w:tr w:rsidR="006A18FD">
        <w:trPr>
          <w:trHeight w:val="240"/>
        </w:trPr>
        <w:tc>
          <w:tcPr>
            <w:tcW w:w="3596" w:type="dxa"/>
          </w:tcPr>
          <w:p w:rsidR="006A18FD" w:rsidRDefault="002D29FC">
            <w:pPr>
              <w:spacing w:before="1" w:line="223" w:lineRule="exact"/>
              <w:ind w:left="103"/>
              <w:rPr>
                <w:rFonts w:ascii="Calibri" w:hAnsi="Calibri"/>
                <w:sz w:val="20"/>
              </w:rPr>
            </w:pPr>
            <w:r>
              <w:rPr>
                <w:rFonts w:ascii="Calibri" w:hAnsi="Calibri"/>
                <w:sz w:val="20"/>
              </w:rPr>
              <w:t>CiN 4 – close case</w:t>
            </w:r>
          </w:p>
        </w:tc>
        <w:tc>
          <w:tcPr>
            <w:tcW w:w="2148" w:type="dxa"/>
          </w:tcPr>
          <w:p w:rsidR="006A18FD" w:rsidRDefault="002D29FC">
            <w:pPr>
              <w:spacing w:before="1" w:line="223" w:lineRule="exact"/>
              <w:ind w:left="615" w:right="617"/>
              <w:jc w:val="center"/>
              <w:rPr>
                <w:rFonts w:ascii="Calibri"/>
                <w:sz w:val="20"/>
              </w:rPr>
            </w:pPr>
            <w:r>
              <w:rPr>
                <w:rFonts w:ascii="Calibri"/>
                <w:sz w:val="20"/>
              </w:rPr>
              <w:t>Once</w:t>
            </w:r>
          </w:p>
        </w:tc>
        <w:tc>
          <w:tcPr>
            <w:tcW w:w="2153" w:type="dxa"/>
          </w:tcPr>
          <w:p w:rsidR="006A18FD" w:rsidRDefault="002D29FC">
            <w:pPr>
              <w:spacing w:before="1" w:line="223" w:lineRule="exact"/>
              <w:ind w:right="684"/>
              <w:jc w:val="right"/>
              <w:rPr>
                <w:rFonts w:ascii="Calibri" w:hAnsi="Calibri"/>
                <w:sz w:val="20"/>
              </w:rPr>
            </w:pPr>
            <w:r>
              <w:rPr>
                <w:rFonts w:ascii="Calibri" w:hAnsi="Calibri"/>
                <w:sz w:val="20"/>
              </w:rPr>
              <w:t>£114</w:t>
            </w:r>
          </w:p>
        </w:tc>
        <w:tc>
          <w:tcPr>
            <w:tcW w:w="2146" w:type="dxa"/>
          </w:tcPr>
          <w:p w:rsidR="006A18FD" w:rsidRDefault="002D29FC">
            <w:pPr>
              <w:spacing w:before="1" w:line="223" w:lineRule="exact"/>
              <w:ind w:right="746"/>
              <w:jc w:val="right"/>
              <w:rPr>
                <w:rFonts w:ascii="Calibri" w:hAnsi="Calibri"/>
                <w:sz w:val="20"/>
              </w:rPr>
            </w:pPr>
            <w:r>
              <w:rPr>
                <w:rFonts w:ascii="Calibri" w:hAnsi="Calibri"/>
                <w:sz w:val="20"/>
              </w:rPr>
              <w:t>£114</w:t>
            </w:r>
          </w:p>
        </w:tc>
      </w:tr>
      <w:tr w:rsidR="006A18FD">
        <w:trPr>
          <w:trHeight w:val="360"/>
        </w:trPr>
        <w:tc>
          <w:tcPr>
            <w:tcW w:w="7897" w:type="dxa"/>
            <w:gridSpan w:val="3"/>
          </w:tcPr>
          <w:p w:rsidR="006A18FD" w:rsidRDefault="002D29FC">
            <w:pPr>
              <w:spacing w:before="1"/>
              <w:ind w:left="103"/>
              <w:rPr>
                <w:rFonts w:ascii="Calibri"/>
                <w:b/>
                <w:sz w:val="20"/>
              </w:rPr>
            </w:pPr>
            <w:r>
              <w:rPr>
                <w:rFonts w:ascii="Calibri"/>
                <w:b/>
                <w:sz w:val="20"/>
              </w:rPr>
              <w:t>Total social care case management costs per year</w:t>
            </w:r>
          </w:p>
        </w:tc>
        <w:tc>
          <w:tcPr>
            <w:tcW w:w="2146" w:type="dxa"/>
          </w:tcPr>
          <w:p w:rsidR="006A18FD" w:rsidRDefault="002D29FC">
            <w:pPr>
              <w:spacing w:before="1"/>
              <w:ind w:right="746"/>
              <w:jc w:val="right"/>
              <w:rPr>
                <w:rFonts w:ascii="Calibri" w:hAnsi="Calibri"/>
                <w:b/>
                <w:sz w:val="20"/>
              </w:rPr>
            </w:pPr>
            <w:r>
              <w:rPr>
                <w:rFonts w:ascii="Calibri" w:hAnsi="Calibri"/>
                <w:b/>
                <w:sz w:val="20"/>
              </w:rPr>
              <w:t>£3,853</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6"/>
        <w:rPr>
          <w:rFonts w:ascii="Calibri"/>
          <w:sz w:val="29"/>
        </w:rPr>
      </w:pPr>
    </w:p>
    <w:p w:rsidR="006A18FD" w:rsidRDefault="002D29FC">
      <w:pPr>
        <w:ind w:left="423" w:hanging="284"/>
        <w:rPr>
          <w:rFonts w:ascii="Calibri"/>
          <w:sz w:val="16"/>
        </w:rPr>
      </w:pPr>
      <w:r>
        <w:rPr>
          <w:rFonts w:ascii="Calibri"/>
          <w:position w:val="5"/>
          <w:sz w:val="10"/>
        </w:rPr>
        <w:t xml:space="preserve">1 </w:t>
      </w:r>
      <w:r>
        <w:rPr>
          <w:rFonts w:ascii="Calibri"/>
          <w:sz w:val="16"/>
        </w:rPr>
        <w:t xml:space="preserve">Department for Education (2012) </w:t>
      </w:r>
      <w:r>
        <w:rPr>
          <w:rFonts w:ascii="Calibri"/>
          <w:i/>
          <w:sz w:val="16"/>
        </w:rPr>
        <w:t>Children in care</w:t>
      </w:r>
      <w:r>
        <w:rPr>
          <w:rFonts w:ascii="Calibri"/>
          <w:sz w:val="16"/>
        </w:rPr>
        <w:t xml:space="preserve">, </w:t>
      </w:r>
      <w:hyperlink r:id="rId290">
        <w:r>
          <w:rPr>
            <w:rFonts w:ascii="Calibri"/>
            <w:sz w:val="16"/>
            <w:u w:val="single"/>
          </w:rPr>
          <w:t>http://www.education.gov.uk/childrenandyoungpeople/safeguardingchildren/a0068940/children-in-</w:t>
        </w:r>
      </w:hyperlink>
      <w:r>
        <w:rPr>
          <w:rFonts w:ascii="Calibri"/>
          <w:sz w:val="16"/>
        </w:rPr>
        <w:t xml:space="preserve"> </w:t>
      </w:r>
      <w:hyperlink r:id="rId291">
        <w:r>
          <w:rPr>
            <w:rFonts w:ascii="Calibri"/>
            <w:sz w:val="16"/>
            <w:u w:val="single"/>
          </w:rPr>
          <w:t>care/</w:t>
        </w:r>
        <w:r>
          <w:rPr>
            <w:rFonts w:ascii="Calibri"/>
            <w:sz w:val="16"/>
          </w:rPr>
          <w:t xml:space="preserve"> </w:t>
        </w:r>
      </w:hyperlink>
      <w:r>
        <w:rPr>
          <w:rFonts w:ascii="Calibri"/>
          <w:sz w:val="16"/>
        </w:rPr>
        <w:t>[accessed 10 September 2013].</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4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50" name="Line 10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5AA9A5" id="Group 10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DqBpfV/AgAAgQUA&#10;AA4AAAAAAAAAAAAAAAAALgIAAGRycy9lMm9Eb2MueG1sUEsBAi0AFAAGAAgAAAAhAC135FzaAAAA&#10;BAEAAA8AAAAAAAAAAAAAAAAA2QQAAGRycy9kb3ducmV2LnhtbFBLBQYAAAAABAAEAPMAAADgBQAA&#10;AAA=&#10;">
                <v:line id="Line 10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w10:anchorlock/>
              </v:group>
            </w:pict>
          </mc:Fallback>
        </mc:AlternateContent>
      </w:r>
    </w:p>
    <w:p w:rsidR="006A18FD" w:rsidRDefault="002E1E01" w:rsidP="002E1E01">
      <w:pPr>
        <w:pStyle w:val="Heading2"/>
      </w:pPr>
      <w:r>
        <w:t xml:space="preserve">8.2 </w:t>
      </w:r>
      <w:r w:rsidR="002D29FC">
        <w:t>Patient costs following discharge from acute medical</w:t>
      </w:r>
      <w:r w:rsidR="002D29FC">
        <w:rPr>
          <w:spacing w:val="-27"/>
        </w:rPr>
        <w:t xml:space="preserve"> </w:t>
      </w:r>
      <w:r w:rsidR="002D29FC">
        <w:t>units</w:t>
      </w:r>
    </w:p>
    <w:p w:rsidR="006A18FD" w:rsidRDefault="002D29FC">
      <w:pPr>
        <w:spacing w:before="172" w:line="276" w:lineRule="auto"/>
        <w:ind w:left="152" w:right="402"/>
        <w:rPr>
          <w:rFonts w:ascii="Calibri"/>
          <w:sz w:val="20"/>
        </w:rPr>
      </w:pPr>
      <w:r>
        <w:rPr>
          <w:rFonts w:ascii="Calibri"/>
          <w:sz w:val="20"/>
        </w:rPr>
        <w:t>Acute medical units (AMU) are the first point of entry for patients who are admitted for urgent investigation or care by their GP, an outpatient clinic or the Emergency Department. They allow for those who need admission to be correctly identified, and for those who could be managed in ambulatory settings to be discharged. The Acute Medicine Outcome Study (AMOS) carried out by Franklin et al. (2014) found that readmission rates for older people in the year following discharge from AMUs are high.</w:t>
      </w:r>
      <w:r>
        <w:rPr>
          <w:rFonts w:ascii="Calibri"/>
          <w:position w:val="7"/>
          <w:sz w:val="13"/>
        </w:rPr>
        <w:t xml:space="preserve">1 </w:t>
      </w:r>
      <w:r>
        <w:rPr>
          <w:rFonts w:ascii="Calibri"/>
          <w:sz w:val="20"/>
        </w:rPr>
        <w:t>Further work was therefore carried out to identify the resource use of 644 people, aged over 70, based in Nottingham and Leicester and who had been discharged from an acute medical unit within 72 hours of admission.</w:t>
      </w:r>
    </w:p>
    <w:p w:rsidR="006A18FD" w:rsidRDefault="002D29FC">
      <w:pPr>
        <w:spacing w:before="119" w:line="276" w:lineRule="auto"/>
        <w:ind w:left="152" w:right="195"/>
        <w:rPr>
          <w:rFonts w:ascii="Calibri" w:hAnsi="Calibri"/>
          <w:sz w:val="20"/>
        </w:rPr>
      </w:pPr>
      <w:r>
        <w:rPr>
          <w:rFonts w:ascii="Calibri" w:hAnsi="Calibri"/>
          <w:sz w:val="20"/>
        </w:rPr>
        <w:t>Data were taken from Electronic Administrative Record (EAR) systems on a range of health and social care services potentially used by all patients participating in the study, collected for three months post-AMU discharge (January 2009- February 2011). Resource use was then combined with national unit costs to derive total patient costs, which have been updated to 2018/2019 prices using the NHS cost inflation index. The table below provides the secondary care and social care resource use and costs for 456 patients residing in Nottingham, and also for a subset of these patients (250) for which the primary care costs were available. The mean cost for the 456 patients (excluding primary care) was £2,005, and £1,980 for the 250 patients for which all resource use was available (see Table 1).</w:t>
      </w:r>
    </w:p>
    <w:p w:rsidR="006A18FD" w:rsidRDefault="002D29FC">
      <w:pPr>
        <w:spacing w:before="117"/>
        <w:ind w:left="152"/>
        <w:rPr>
          <w:rFonts w:ascii="Cambria"/>
          <w:b/>
          <w:sz w:val="20"/>
        </w:rPr>
      </w:pPr>
      <w:r>
        <w:rPr>
          <w:rFonts w:ascii="Cambria"/>
          <w:b/>
          <w:sz w:val="20"/>
        </w:rPr>
        <w:t>Table 1 Summary of patient resource use and costs over three months</w:t>
      </w:r>
    </w:p>
    <w:p w:rsidR="006A18FD" w:rsidRDefault="006A18FD">
      <w:pPr>
        <w:rPr>
          <w:rFonts w:ascii="Cambria"/>
          <w:b/>
          <w:sz w:val="8"/>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8"/>
        <w:gridCol w:w="2326"/>
        <w:gridCol w:w="1860"/>
        <w:gridCol w:w="2305"/>
      </w:tblGrid>
      <w:tr w:rsidR="006A18FD" w:rsidTr="00E2663F">
        <w:trPr>
          <w:trHeight w:val="760"/>
          <w:tblHeader/>
        </w:trPr>
        <w:tc>
          <w:tcPr>
            <w:tcW w:w="3378" w:type="dxa"/>
          </w:tcPr>
          <w:p w:rsidR="006A18FD" w:rsidRDefault="006A18FD">
            <w:pPr>
              <w:rPr>
                <w:rFonts w:ascii="Times New Roman"/>
                <w:sz w:val="18"/>
              </w:rPr>
            </w:pPr>
          </w:p>
        </w:tc>
        <w:tc>
          <w:tcPr>
            <w:tcW w:w="2326" w:type="dxa"/>
          </w:tcPr>
          <w:p w:rsidR="006A18FD" w:rsidRDefault="002D29FC">
            <w:pPr>
              <w:spacing w:before="1"/>
              <w:ind w:left="103" w:right="145"/>
              <w:rPr>
                <w:rFonts w:ascii="Calibri"/>
                <w:b/>
                <w:sz w:val="13"/>
              </w:rPr>
            </w:pPr>
            <w:r>
              <w:rPr>
                <w:rFonts w:ascii="Calibri"/>
                <w:b/>
                <w:sz w:val="20"/>
              </w:rPr>
              <w:t xml:space="preserve">No. of service users (mean number of events per service user) </w:t>
            </w:r>
            <w:r>
              <w:rPr>
                <w:rFonts w:ascii="Calibri"/>
                <w:b/>
                <w:position w:val="7"/>
                <w:sz w:val="13"/>
              </w:rPr>
              <w:t>(a)</w:t>
            </w:r>
          </w:p>
        </w:tc>
        <w:tc>
          <w:tcPr>
            <w:tcW w:w="1860" w:type="dxa"/>
          </w:tcPr>
          <w:p w:rsidR="006A18FD" w:rsidRDefault="002D29FC">
            <w:pPr>
              <w:spacing w:before="1"/>
              <w:ind w:left="102" w:right="199"/>
              <w:rPr>
                <w:rFonts w:ascii="Calibri" w:hAnsi="Calibri"/>
                <w:b/>
                <w:sz w:val="20"/>
              </w:rPr>
            </w:pPr>
            <w:r>
              <w:rPr>
                <w:rFonts w:ascii="Calibri" w:hAnsi="Calibri"/>
                <w:b/>
                <w:sz w:val="20"/>
              </w:rPr>
              <w:t>Mean (SD) cost (£) for 456 patients</w:t>
            </w:r>
          </w:p>
        </w:tc>
        <w:tc>
          <w:tcPr>
            <w:tcW w:w="2305" w:type="dxa"/>
          </w:tcPr>
          <w:p w:rsidR="006A18FD" w:rsidRDefault="002D29FC">
            <w:pPr>
              <w:spacing w:before="1"/>
              <w:ind w:left="105" w:right="316"/>
              <w:rPr>
                <w:rFonts w:ascii="Calibri" w:hAnsi="Calibri"/>
                <w:b/>
                <w:sz w:val="20"/>
              </w:rPr>
            </w:pPr>
            <w:r>
              <w:rPr>
                <w:rFonts w:ascii="Calibri" w:hAnsi="Calibri"/>
                <w:b/>
                <w:sz w:val="20"/>
              </w:rPr>
              <w:t>Mean (SD) cost (£) per patient including primary care (n = 250)</w:t>
            </w:r>
          </w:p>
        </w:tc>
      </w:tr>
      <w:tr w:rsidR="006A18FD">
        <w:trPr>
          <w:trHeight w:val="220"/>
        </w:trPr>
        <w:tc>
          <w:tcPr>
            <w:tcW w:w="3378" w:type="dxa"/>
            <w:tcBorders>
              <w:bottom w:val="nil"/>
            </w:tcBorders>
          </w:tcPr>
          <w:p w:rsidR="006A18FD" w:rsidRDefault="002D29FC">
            <w:pPr>
              <w:spacing w:line="213" w:lineRule="exact"/>
              <w:ind w:left="105"/>
              <w:rPr>
                <w:rFonts w:ascii="Calibri"/>
                <w:sz w:val="18"/>
              </w:rPr>
            </w:pPr>
            <w:r>
              <w:rPr>
                <w:rFonts w:ascii="Calibri"/>
                <w:sz w:val="18"/>
              </w:rPr>
              <w:t>Hospital care</w:t>
            </w:r>
          </w:p>
        </w:tc>
        <w:tc>
          <w:tcPr>
            <w:tcW w:w="2326" w:type="dxa"/>
            <w:tcBorders>
              <w:bottom w:val="nil"/>
            </w:tcBorders>
          </w:tcPr>
          <w:p w:rsidR="006A18FD" w:rsidRDefault="002D29FC">
            <w:pPr>
              <w:spacing w:line="213" w:lineRule="exact"/>
              <w:ind w:left="983" w:right="773"/>
              <w:jc w:val="center"/>
              <w:rPr>
                <w:rFonts w:ascii="Calibri"/>
                <w:sz w:val="18"/>
              </w:rPr>
            </w:pPr>
            <w:r>
              <w:rPr>
                <w:rFonts w:ascii="Calibri"/>
                <w:sz w:val="18"/>
              </w:rPr>
              <w:t>360 (4)</w:t>
            </w:r>
          </w:p>
        </w:tc>
        <w:tc>
          <w:tcPr>
            <w:tcW w:w="1860" w:type="dxa"/>
            <w:tcBorders>
              <w:bottom w:val="nil"/>
            </w:tcBorders>
          </w:tcPr>
          <w:p w:rsidR="006A18FD" w:rsidRDefault="002D29FC">
            <w:pPr>
              <w:spacing w:line="213" w:lineRule="exact"/>
              <w:ind w:right="289"/>
              <w:jc w:val="right"/>
              <w:rPr>
                <w:rFonts w:ascii="Calibri" w:hAnsi="Calibri"/>
                <w:sz w:val="18"/>
              </w:rPr>
            </w:pPr>
            <w:r>
              <w:rPr>
                <w:rFonts w:ascii="Calibri" w:hAnsi="Calibri"/>
                <w:sz w:val="18"/>
              </w:rPr>
              <w:t>£1,761 (£3,511)</w:t>
            </w:r>
          </w:p>
        </w:tc>
        <w:tc>
          <w:tcPr>
            <w:tcW w:w="2305" w:type="dxa"/>
            <w:tcBorders>
              <w:bottom w:val="nil"/>
            </w:tcBorders>
          </w:tcPr>
          <w:p w:rsidR="006A18FD" w:rsidRDefault="002D29FC">
            <w:pPr>
              <w:spacing w:line="213" w:lineRule="exact"/>
              <w:ind w:right="399"/>
              <w:jc w:val="right"/>
              <w:rPr>
                <w:rFonts w:ascii="Calibri" w:hAnsi="Calibri"/>
                <w:sz w:val="18"/>
              </w:rPr>
            </w:pPr>
            <w:r>
              <w:rPr>
                <w:rFonts w:ascii="Calibri" w:hAnsi="Calibri"/>
                <w:sz w:val="18"/>
              </w:rPr>
              <w:t>£1,680 (£3,254)</w:t>
            </w:r>
          </w:p>
        </w:tc>
      </w:tr>
      <w:tr w:rsidR="006A18FD">
        <w:trPr>
          <w:trHeight w:val="220"/>
        </w:trPr>
        <w:tc>
          <w:tcPr>
            <w:tcW w:w="3378" w:type="dxa"/>
            <w:tcBorders>
              <w:top w:val="nil"/>
              <w:bottom w:val="nil"/>
            </w:tcBorders>
          </w:tcPr>
          <w:p w:rsidR="006A18FD" w:rsidRDefault="002D29FC">
            <w:pPr>
              <w:spacing w:line="203" w:lineRule="exact"/>
              <w:ind w:left="228"/>
              <w:rPr>
                <w:rFonts w:ascii="Calibri"/>
                <w:sz w:val="12"/>
              </w:rPr>
            </w:pPr>
            <w:r>
              <w:rPr>
                <w:rFonts w:ascii="Calibri"/>
                <w:sz w:val="18"/>
              </w:rPr>
              <w:t xml:space="preserve">Inpatient care </w:t>
            </w:r>
            <w:r>
              <w:rPr>
                <w:rFonts w:ascii="Calibri"/>
                <w:position w:val="5"/>
                <w:sz w:val="12"/>
              </w:rPr>
              <w:t>(b)</w:t>
            </w:r>
          </w:p>
        </w:tc>
        <w:tc>
          <w:tcPr>
            <w:tcW w:w="2326" w:type="dxa"/>
            <w:tcBorders>
              <w:top w:val="nil"/>
              <w:bottom w:val="nil"/>
            </w:tcBorders>
          </w:tcPr>
          <w:p w:rsidR="006A18FD" w:rsidRDefault="002D29FC">
            <w:pPr>
              <w:spacing w:line="203" w:lineRule="exact"/>
              <w:ind w:left="983" w:right="773"/>
              <w:jc w:val="center"/>
              <w:rPr>
                <w:rFonts w:ascii="Calibri"/>
                <w:sz w:val="18"/>
              </w:rPr>
            </w:pPr>
            <w:r>
              <w:rPr>
                <w:rFonts w:ascii="Calibri"/>
                <w:sz w:val="18"/>
              </w:rPr>
              <w:t>119 (2)</w:t>
            </w:r>
          </w:p>
        </w:tc>
        <w:tc>
          <w:tcPr>
            <w:tcW w:w="1860" w:type="dxa"/>
            <w:tcBorders>
              <w:top w:val="nil"/>
              <w:bottom w:val="nil"/>
            </w:tcBorders>
          </w:tcPr>
          <w:p w:rsidR="006A18FD" w:rsidRDefault="002D29FC">
            <w:pPr>
              <w:spacing w:line="203" w:lineRule="exact"/>
              <w:ind w:right="289"/>
              <w:jc w:val="right"/>
              <w:rPr>
                <w:rFonts w:ascii="Calibri" w:hAnsi="Calibri"/>
                <w:sz w:val="18"/>
              </w:rPr>
            </w:pPr>
            <w:r>
              <w:rPr>
                <w:rFonts w:ascii="Calibri" w:hAnsi="Calibri"/>
                <w:sz w:val="18"/>
              </w:rPr>
              <w:t>£1,209 (£3,290)</w:t>
            </w:r>
          </w:p>
        </w:tc>
        <w:tc>
          <w:tcPr>
            <w:tcW w:w="2305" w:type="dxa"/>
            <w:tcBorders>
              <w:top w:val="nil"/>
              <w:bottom w:val="nil"/>
            </w:tcBorders>
          </w:tcPr>
          <w:p w:rsidR="006A18FD" w:rsidRDefault="002D29FC">
            <w:pPr>
              <w:spacing w:line="203" w:lineRule="exact"/>
              <w:ind w:right="399"/>
              <w:jc w:val="right"/>
              <w:rPr>
                <w:rFonts w:ascii="Calibri" w:hAnsi="Calibri"/>
                <w:sz w:val="18"/>
              </w:rPr>
            </w:pPr>
            <w:r>
              <w:rPr>
                <w:rFonts w:ascii="Calibri" w:hAnsi="Calibri"/>
                <w:sz w:val="18"/>
              </w:rPr>
              <w:t>£1,104 (£3,035)</w:t>
            </w:r>
          </w:p>
        </w:tc>
      </w:tr>
      <w:tr w:rsidR="006A18FD">
        <w:trPr>
          <w:trHeight w:val="200"/>
        </w:trPr>
        <w:tc>
          <w:tcPr>
            <w:tcW w:w="3378" w:type="dxa"/>
            <w:tcBorders>
              <w:top w:val="nil"/>
              <w:bottom w:val="nil"/>
            </w:tcBorders>
          </w:tcPr>
          <w:p w:rsidR="006A18FD" w:rsidRDefault="002D29FC">
            <w:pPr>
              <w:spacing w:line="200" w:lineRule="exact"/>
              <w:ind w:left="228"/>
              <w:rPr>
                <w:rFonts w:ascii="Calibri"/>
                <w:sz w:val="18"/>
              </w:rPr>
            </w:pPr>
            <w:r>
              <w:rPr>
                <w:rFonts w:ascii="Calibri"/>
                <w:sz w:val="18"/>
              </w:rPr>
              <w:t>Day case care</w:t>
            </w:r>
          </w:p>
        </w:tc>
        <w:tc>
          <w:tcPr>
            <w:tcW w:w="2326" w:type="dxa"/>
            <w:tcBorders>
              <w:top w:val="nil"/>
              <w:bottom w:val="nil"/>
            </w:tcBorders>
          </w:tcPr>
          <w:p w:rsidR="006A18FD" w:rsidRDefault="002D29FC">
            <w:pPr>
              <w:spacing w:line="200" w:lineRule="exact"/>
              <w:ind w:left="985" w:right="679"/>
              <w:jc w:val="center"/>
              <w:rPr>
                <w:rFonts w:ascii="Calibri"/>
                <w:sz w:val="18"/>
              </w:rPr>
            </w:pPr>
            <w:r>
              <w:rPr>
                <w:rFonts w:ascii="Calibri"/>
                <w:sz w:val="18"/>
              </w:rPr>
              <w:t>71 (1)</w:t>
            </w:r>
          </w:p>
        </w:tc>
        <w:tc>
          <w:tcPr>
            <w:tcW w:w="1860" w:type="dxa"/>
            <w:tcBorders>
              <w:top w:val="nil"/>
              <w:bottom w:val="nil"/>
            </w:tcBorders>
          </w:tcPr>
          <w:p w:rsidR="006A18FD" w:rsidRDefault="002D29FC">
            <w:pPr>
              <w:spacing w:line="200" w:lineRule="exact"/>
              <w:ind w:left="609"/>
              <w:rPr>
                <w:rFonts w:ascii="Calibri" w:hAnsi="Calibri"/>
                <w:sz w:val="18"/>
              </w:rPr>
            </w:pPr>
            <w:r>
              <w:rPr>
                <w:rFonts w:ascii="Calibri" w:hAnsi="Calibri"/>
                <w:sz w:val="18"/>
              </w:rPr>
              <w:t>£148 (£429)</w:t>
            </w:r>
          </w:p>
        </w:tc>
        <w:tc>
          <w:tcPr>
            <w:tcW w:w="2305" w:type="dxa"/>
            <w:tcBorders>
              <w:top w:val="nil"/>
              <w:bottom w:val="nil"/>
            </w:tcBorders>
          </w:tcPr>
          <w:p w:rsidR="006A18FD" w:rsidRDefault="002D29FC">
            <w:pPr>
              <w:spacing w:line="200" w:lineRule="exact"/>
              <w:ind w:right="469"/>
              <w:jc w:val="right"/>
              <w:rPr>
                <w:rFonts w:ascii="Calibri" w:hAnsi="Calibri"/>
                <w:sz w:val="18"/>
              </w:rPr>
            </w:pPr>
            <w:r>
              <w:rPr>
                <w:rFonts w:ascii="Calibri" w:hAnsi="Calibri"/>
                <w:sz w:val="18"/>
              </w:rPr>
              <w:t>£158 (£477)</w:t>
            </w:r>
          </w:p>
        </w:tc>
      </w:tr>
      <w:tr w:rsidR="006A18FD">
        <w:trPr>
          <w:trHeight w:val="200"/>
        </w:trPr>
        <w:tc>
          <w:tcPr>
            <w:tcW w:w="3378" w:type="dxa"/>
            <w:tcBorders>
              <w:top w:val="nil"/>
              <w:bottom w:val="nil"/>
            </w:tcBorders>
          </w:tcPr>
          <w:p w:rsidR="006A18FD" w:rsidRDefault="002D29FC">
            <w:pPr>
              <w:spacing w:line="197" w:lineRule="exact"/>
              <w:ind w:left="228"/>
              <w:rPr>
                <w:rFonts w:ascii="Calibri"/>
                <w:sz w:val="18"/>
              </w:rPr>
            </w:pPr>
            <w:r>
              <w:rPr>
                <w:rFonts w:ascii="Calibri"/>
                <w:sz w:val="18"/>
              </w:rPr>
              <w:t>Outpatient care</w:t>
            </w:r>
          </w:p>
        </w:tc>
        <w:tc>
          <w:tcPr>
            <w:tcW w:w="2326" w:type="dxa"/>
            <w:tcBorders>
              <w:top w:val="nil"/>
              <w:bottom w:val="nil"/>
            </w:tcBorders>
          </w:tcPr>
          <w:p w:rsidR="006A18FD" w:rsidRDefault="002D29FC">
            <w:pPr>
              <w:spacing w:line="197" w:lineRule="exact"/>
              <w:ind w:left="983" w:right="773"/>
              <w:jc w:val="center"/>
              <w:rPr>
                <w:rFonts w:ascii="Calibri"/>
                <w:sz w:val="18"/>
              </w:rPr>
            </w:pPr>
            <w:r>
              <w:rPr>
                <w:rFonts w:ascii="Calibri"/>
                <w:sz w:val="18"/>
              </w:rPr>
              <w:t>358 (3)</w:t>
            </w:r>
          </w:p>
        </w:tc>
        <w:tc>
          <w:tcPr>
            <w:tcW w:w="1860" w:type="dxa"/>
            <w:tcBorders>
              <w:top w:val="nil"/>
              <w:bottom w:val="nil"/>
            </w:tcBorders>
          </w:tcPr>
          <w:p w:rsidR="006A18FD" w:rsidRDefault="002D29FC">
            <w:pPr>
              <w:spacing w:line="197" w:lineRule="exact"/>
              <w:ind w:left="609"/>
              <w:rPr>
                <w:rFonts w:ascii="Calibri" w:hAnsi="Calibri"/>
                <w:sz w:val="18"/>
              </w:rPr>
            </w:pPr>
            <w:r>
              <w:rPr>
                <w:rFonts w:ascii="Calibri" w:hAnsi="Calibri"/>
                <w:sz w:val="18"/>
              </w:rPr>
              <w:t>£395 (£420)</w:t>
            </w:r>
          </w:p>
        </w:tc>
        <w:tc>
          <w:tcPr>
            <w:tcW w:w="2305" w:type="dxa"/>
            <w:tcBorders>
              <w:top w:val="nil"/>
              <w:bottom w:val="nil"/>
            </w:tcBorders>
          </w:tcPr>
          <w:p w:rsidR="006A18FD" w:rsidRDefault="002D29FC">
            <w:pPr>
              <w:spacing w:line="197" w:lineRule="exact"/>
              <w:ind w:right="469"/>
              <w:jc w:val="right"/>
              <w:rPr>
                <w:rFonts w:ascii="Calibri" w:hAnsi="Calibri"/>
                <w:sz w:val="18"/>
              </w:rPr>
            </w:pPr>
            <w:r>
              <w:rPr>
                <w:rFonts w:ascii="Calibri" w:hAnsi="Calibri"/>
                <w:sz w:val="18"/>
              </w:rPr>
              <w:t>£402 (£377)</w:t>
            </w:r>
          </w:p>
        </w:tc>
      </w:tr>
      <w:tr w:rsidR="006A18FD">
        <w:trPr>
          <w:trHeight w:val="220"/>
        </w:trPr>
        <w:tc>
          <w:tcPr>
            <w:tcW w:w="3378" w:type="dxa"/>
            <w:tcBorders>
              <w:top w:val="nil"/>
            </w:tcBorders>
          </w:tcPr>
          <w:p w:rsidR="006A18FD" w:rsidRDefault="002D29FC">
            <w:pPr>
              <w:spacing w:line="206" w:lineRule="exact"/>
              <w:ind w:left="228"/>
              <w:rPr>
                <w:rFonts w:ascii="Calibri"/>
                <w:sz w:val="12"/>
              </w:rPr>
            </w:pPr>
            <w:r>
              <w:rPr>
                <w:rFonts w:ascii="Calibri"/>
                <w:sz w:val="18"/>
              </w:rPr>
              <w:t xml:space="preserve">Critical care </w:t>
            </w:r>
            <w:r>
              <w:rPr>
                <w:rFonts w:ascii="Calibri"/>
                <w:position w:val="5"/>
                <w:sz w:val="12"/>
              </w:rPr>
              <w:t>(c)</w:t>
            </w:r>
          </w:p>
        </w:tc>
        <w:tc>
          <w:tcPr>
            <w:tcW w:w="2326" w:type="dxa"/>
            <w:tcBorders>
              <w:top w:val="nil"/>
            </w:tcBorders>
          </w:tcPr>
          <w:p w:rsidR="006A18FD" w:rsidRDefault="002D29FC">
            <w:pPr>
              <w:spacing w:line="206" w:lineRule="exact"/>
              <w:ind w:left="985" w:right="588"/>
              <w:jc w:val="center"/>
              <w:rPr>
                <w:rFonts w:ascii="Calibri"/>
                <w:sz w:val="18"/>
              </w:rPr>
            </w:pPr>
            <w:r>
              <w:rPr>
                <w:rFonts w:ascii="Calibri"/>
                <w:sz w:val="18"/>
              </w:rPr>
              <w:t>8 (1)</w:t>
            </w:r>
          </w:p>
        </w:tc>
        <w:tc>
          <w:tcPr>
            <w:tcW w:w="1860" w:type="dxa"/>
            <w:tcBorders>
              <w:top w:val="nil"/>
            </w:tcBorders>
          </w:tcPr>
          <w:p w:rsidR="006A18FD" w:rsidRDefault="002D29FC">
            <w:pPr>
              <w:spacing w:line="206" w:lineRule="exact"/>
              <w:ind w:right="358"/>
              <w:jc w:val="right"/>
              <w:rPr>
                <w:rFonts w:ascii="Calibri" w:hAnsi="Calibri"/>
                <w:sz w:val="18"/>
              </w:rPr>
            </w:pPr>
            <w:r>
              <w:rPr>
                <w:rFonts w:ascii="Calibri" w:hAnsi="Calibri"/>
                <w:sz w:val="18"/>
              </w:rPr>
              <w:t>£8 (£103)</w:t>
            </w:r>
          </w:p>
        </w:tc>
        <w:tc>
          <w:tcPr>
            <w:tcW w:w="2305" w:type="dxa"/>
            <w:tcBorders>
              <w:top w:val="nil"/>
            </w:tcBorders>
          </w:tcPr>
          <w:p w:rsidR="006A18FD" w:rsidRDefault="002D29FC">
            <w:pPr>
              <w:spacing w:line="206" w:lineRule="exact"/>
              <w:ind w:right="468"/>
              <w:jc w:val="right"/>
              <w:rPr>
                <w:rFonts w:ascii="Calibri" w:hAnsi="Calibri"/>
                <w:sz w:val="18"/>
              </w:rPr>
            </w:pPr>
            <w:r>
              <w:rPr>
                <w:rFonts w:ascii="Calibri" w:hAnsi="Calibri"/>
                <w:sz w:val="18"/>
              </w:rPr>
              <w:t>£15 (£139)</w:t>
            </w:r>
          </w:p>
        </w:tc>
      </w:tr>
      <w:tr w:rsidR="006A18FD">
        <w:trPr>
          <w:trHeight w:val="220"/>
        </w:trPr>
        <w:tc>
          <w:tcPr>
            <w:tcW w:w="3378" w:type="dxa"/>
          </w:tcPr>
          <w:p w:rsidR="006A18FD" w:rsidRDefault="002D29FC">
            <w:pPr>
              <w:spacing w:before="1" w:line="199" w:lineRule="exact"/>
              <w:ind w:left="105"/>
              <w:rPr>
                <w:rFonts w:ascii="Calibri"/>
                <w:sz w:val="18"/>
              </w:rPr>
            </w:pPr>
            <w:r>
              <w:rPr>
                <w:rFonts w:ascii="Calibri"/>
                <w:sz w:val="18"/>
              </w:rPr>
              <w:t>Ambulance service</w:t>
            </w:r>
          </w:p>
        </w:tc>
        <w:tc>
          <w:tcPr>
            <w:tcW w:w="2326" w:type="dxa"/>
          </w:tcPr>
          <w:p w:rsidR="006A18FD" w:rsidRDefault="002D29FC">
            <w:pPr>
              <w:spacing w:before="1" w:line="199" w:lineRule="exact"/>
              <w:ind w:left="985" w:right="679"/>
              <w:jc w:val="center"/>
              <w:rPr>
                <w:rFonts w:ascii="Calibri"/>
                <w:sz w:val="18"/>
              </w:rPr>
            </w:pPr>
            <w:r>
              <w:rPr>
                <w:rFonts w:ascii="Calibri"/>
                <w:sz w:val="18"/>
              </w:rPr>
              <w:t>20 (2)</w:t>
            </w:r>
          </w:p>
        </w:tc>
        <w:tc>
          <w:tcPr>
            <w:tcW w:w="1860" w:type="dxa"/>
          </w:tcPr>
          <w:p w:rsidR="006A18FD" w:rsidRDefault="002D29FC">
            <w:pPr>
              <w:spacing w:before="1" w:line="199" w:lineRule="exact"/>
              <w:ind w:left="700"/>
              <w:rPr>
                <w:rFonts w:ascii="Calibri" w:hAnsi="Calibri"/>
                <w:sz w:val="18"/>
              </w:rPr>
            </w:pPr>
            <w:r>
              <w:rPr>
                <w:rFonts w:ascii="Calibri" w:hAnsi="Calibri"/>
                <w:sz w:val="18"/>
              </w:rPr>
              <w:t>£20 (£121)</w:t>
            </w:r>
          </w:p>
        </w:tc>
        <w:tc>
          <w:tcPr>
            <w:tcW w:w="2305" w:type="dxa"/>
          </w:tcPr>
          <w:p w:rsidR="006A18FD" w:rsidRDefault="002D29FC">
            <w:pPr>
              <w:spacing w:before="1" w:line="199" w:lineRule="exact"/>
              <w:ind w:right="514"/>
              <w:jc w:val="right"/>
              <w:rPr>
                <w:rFonts w:ascii="Calibri" w:hAnsi="Calibri"/>
                <w:sz w:val="18"/>
              </w:rPr>
            </w:pPr>
            <w:r>
              <w:rPr>
                <w:rFonts w:ascii="Calibri" w:hAnsi="Calibri"/>
                <w:sz w:val="18"/>
              </w:rPr>
              <w:t>£16 (£86)</w:t>
            </w:r>
          </w:p>
        </w:tc>
      </w:tr>
      <w:tr w:rsidR="006A18FD">
        <w:trPr>
          <w:trHeight w:val="220"/>
        </w:trPr>
        <w:tc>
          <w:tcPr>
            <w:tcW w:w="3378" w:type="dxa"/>
          </w:tcPr>
          <w:p w:rsidR="006A18FD" w:rsidRDefault="002D29FC">
            <w:pPr>
              <w:spacing w:before="1" w:line="199" w:lineRule="exact"/>
              <w:ind w:left="105"/>
              <w:rPr>
                <w:rFonts w:ascii="Calibri"/>
                <w:sz w:val="18"/>
              </w:rPr>
            </w:pPr>
            <w:r>
              <w:rPr>
                <w:rFonts w:ascii="Calibri"/>
                <w:sz w:val="18"/>
              </w:rPr>
              <w:t>Intermediate care</w:t>
            </w:r>
          </w:p>
        </w:tc>
        <w:tc>
          <w:tcPr>
            <w:tcW w:w="2326" w:type="dxa"/>
          </w:tcPr>
          <w:p w:rsidR="006A18FD" w:rsidRDefault="002D29FC">
            <w:pPr>
              <w:spacing w:before="1" w:line="199" w:lineRule="exact"/>
              <w:ind w:left="614"/>
              <w:rPr>
                <w:rFonts w:ascii="Calibri"/>
                <w:sz w:val="18"/>
              </w:rPr>
            </w:pPr>
            <w:r>
              <w:rPr>
                <w:rFonts w:ascii="Calibri"/>
                <w:sz w:val="18"/>
              </w:rPr>
              <w:t>11 (Not applicable)</w:t>
            </w:r>
          </w:p>
        </w:tc>
        <w:tc>
          <w:tcPr>
            <w:tcW w:w="1860" w:type="dxa"/>
          </w:tcPr>
          <w:p w:rsidR="006A18FD" w:rsidRDefault="002D29FC">
            <w:pPr>
              <w:spacing w:before="1" w:line="199" w:lineRule="exact"/>
              <w:ind w:left="700"/>
              <w:rPr>
                <w:rFonts w:ascii="Calibri" w:hAnsi="Calibri"/>
                <w:sz w:val="18"/>
              </w:rPr>
            </w:pPr>
            <w:r>
              <w:rPr>
                <w:rFonts w:ascii="Calibri" w:hAnsi="Calibri"/>
                <w:sz w:val="18"/>
              </w:rPr>
              <w:t>£12 (£172)</w:t>
            </w:r>
          </w:p>
        </w:tc>
        <w:tc>
          <w:tcPr>
            <w:tcW w:w="2305" w:type="dxa"/>
          </w:tcPr>
          <w:p w:rsidR="006A18FD" w:rsidRDefault="002D29FC">
            <w:pPr>
              <w:spacing w:before="1" w:line="199" w:lineRule="exact"/>
              <w:ind w:right="514"/>
              <w:jc w:val="right"/>
              <w:rPr>
                <w:rFonts w:ascii="Calibri" w:hAnsi="Calibri"/>
                <w:sz w:val="18"/>
              </w:rPr>
            </w:pPr>
            <w:r>
              <w:rPr>
                <w:rFonts w:ascii="Calibri" w:hAnsi="Calibri"/>
                <w:sz w:val="18"/>
              </w:rPr>
              <w:t>£3 (£43)</w:t>
            </w:r>
          </w:p>
        </w:tc>
      </w:tr>
      <w:tr w:rsidR="006A18FD">
        <w:trPr>
          <w:trHeight w:val="220"/>
        </w:trPr>
        <w:tc>
          <w:tcPr>
            <w:tcW w:w="3378" w:type="dxa"/>
          </w:tcPr>
          <w:p w:rsidR="006A18FD" w:rsidRDefault="002D29FC">
            <w:pPr>
              <w:spacing w:before="1" w:line="199" w:lineRule="exact"/>
              <w:ind w:left="105"/>
              <w:rPr>
                <w:rFonts w:ascii="Calibri"/>
                <w:sz w:val="18"/>
              </w:rPr>
            </w:pPr>
            <w:r>
              <w:rPr>
                <w:rFonts w:ascii="Calibri"/>
                <w:sz w:val="18"/>
              </w:rPr>
              <w:t>Mental health care</w:t>
            </w:r>
          </w:p>
        </w:tc>
        <w:tc>
          <w:tcPr>
            <w:tcW w:w="2326" w:type="dxa"/>
          </w:tcPr>
          <w:p w:rsidR="006A18FD" w:rsidRDefault="002D29FC">
            <w:pPr>
              <w:spacing w:before="1" w:line="199" w:lineRule="exact"/>
              <w:ind w:left="985" w:right="679"/>
              <w:jc w:val="center"/>
              <w:rPr>
                <w:rFonts w:ascii="Calibri"/>
                <w:sz w:val="18"/>
              </w:rPr>
            </w:pPr>
            <w:r>
              <w:rPr>
                <w:rFonts w:ascii="Calibri"/>
                <w:sz w:val="18"/>
              </w:rPr>
              <w:t>28 (4)</w:t>
            </w:r>
          </w:p>
        </w:tc>
        <w:tc>
          <w:tcPr>
            <w:tcW w:w="1860" w:type="dxa"/>
          </w:tcPr>
          <w:p w:rsidR="006A18FD" w:rsidRDefault="002D29FC">
            <w:pPr>
              <w:spacing w:before="1" w:line="199" w:lineRule="exact"/>
              <w:ind w:left="700"/>
              <w:rPr>
                <w:rFonts w:ascii="Calibri" w:hAnsi="Calibri"/>
                <w:sz w:val="18"/>
              </w:rPr>
            </w:pPr>
            <w:r>
              <w:rPr>
                <w:rFonts w:ascii="Calibri" w:hAnsi="Calibri"/>
                <w:sz w:val="18"/>
              </w:rPr>
              <w:t>£42 (£201)</w:t>
            </w:r>
          </w:p>
        </w:tc>
        <w:tc>
          <w:tcPr>
            <w:tcW w:w="2305" w:type="dxa"/>
          </w:tcPr>
          <w:p w:rsidR="006A18FD" w:rsidRDefault="002D29FC">
            <w:pPr>
              <w:spacing w:before="1" w:line="199" w:lineRule="exact"/>
              <w:ind w:right="468"/>
              <w:jc w:val="right"/>
              <w:rPr>
                <w:rFonts w:ascii="Calibri" w:hAnsi="Calibri"/>
                <w:sz w:val="18"/>
              </w:rPr>
            </w:pPr>
            <w:r>
              <w:rPr>
                <w:rFonts w:ascii="Calibri" w:hAnsi="Calibri"/>
                <w:sz w:val="18"/>
              </w:rPr>
              <w:t>£49 (£198)</w:t>
            </w:r>
          </w:p>
        </w:tc>
      </w:tr>
      <w:tr w:rsidR="006A18FD">
        <w:trPr>
          <w:trHeight w:val="220"/>
        </w:trPr>
        <w:tc>
          <w:tcPr>
            <w:tcW w:w="3378" w:type="dxa"/>
          </w:tcPr>
          <w:p w:rsidR="006A18FD" w:rsidRDefault="002D29FC">
            <w:pPr>
              <w:spacing w:before="1" w:line="199" w:lineRule="exact"/>
              <w:ind w:left="105"/>
              <w:rPr>
                <w:rFonts w:ascii="Calibri"/>
                <w:sz w:val="18"/>
              </w:rPr>
            </w:pPr>
            <w:r>
              <w:rPr>
                <w:rFonts w:ascii="Calibri"/>
                <w:sz w:val="18"/>
              </w:rPr>
              <w:t>Social care</w:t>
            </w:r>
          </w:p>
        </w:tc>
        <w:tc>
          <w:tcPr>
            <w:tcW w:w="2326" w:type="dxa"/>
          </w:tcPr>
          <w:p w:rsidR="006A18FD" w:rsidRDefault="002D29FC">
            <w:pPr>
              <w:spacing w:before="1" w:line="199" w:lineRule="exact"/>
              <w:ind w:left="985" w:right="679"/>
              <w:jc w:val="center"/>
              <w:rPr>
                <w:rFonts w:ascii="Calibri"/>
                <w:sz w:val="18"/>
              </w:rPr>
            </w:pPr>
            <w:r>
              <w:rPr>
                <w:rFonts w:ascii="Calibri"/>
                <w:sz w:val="18"/>
              </w:rPr>
              <w:t>76 (4)</w:t>
            </w:r>
          </w:p>
        </w:tc>
        <w:tc>
          <w:tcPr>
            <w:tcW w:w="1860" w:type="dxa"/>
          </w:tcPr>
          <w:p w:rsidR="006A18FD" w:rsidRDefault="002D29FC">
            <w:pPr>
              <w:spacing w:before="1" w:line="199" w:lineRule="exact"/>
              <w:ind w:left="630"/>
              <w:rPr>
                <w:rFonts w:ascii="Calibri" w:hAnsi="Calibri"/>
                <w:sz w:val="18"/>
              </w:rPr>
            </w:pPr>
            <w:r>
              <w:rPr>
                <w:rFonts w:ascii="Calibri" w:hAnsi="Calibri"/>
                <w:sz w:val="18"/>
              </w:rPr>
              <w:t>£172(£798)</w:t>
            </w:r>
          </w:p>
        </w:tc>
        <w:tc>
          <w:tcPr>
            <w:tcW w:w="2305" w:type="dxa"/>
          </w:tcPr>
          <w:p w:rsidR="006A18FD" w:rsidRDefault="002D29FC">
            <w:pPr>
              <w:spacing w:before="1" w:line="199" w:lineRule="exact"/>
              <w:ind w:right="497"/>
              <w:jc w:val="right"/>
              <w:rPr>
                <w:rFonts w:ascii="Calibri" w:hAnsi="Calibri"/>
                <w:sz w:val="18"/>
              </w:rPr>
            </w:pPr>
            <w:r>
              <w:rPr>
                <w:rFonts w:ascii="Calibri" w:hAnsi="Calibri"/>
                <w:sz w:val="18"/>
              </w:rPr>
              <w:t>£233 (£977</w:t>
            </w:r>
          </w:p>
        </w:tc>
      </w:tr>
      <w:tr w:rsidR="006A18FD">
        <w:trPr>
          <w:trHeight w:val="220"/>
        </w:trPr>
        <w:tc>
          <w:tcPr>
            <w:tcW w:w="3378" w:type="dxa"/>
          </w:tcPr>
          <w:p w:rsidR="006A18FD" w:rsidRDefault="002D29FC">
            <w:pPr>
              <w:spacing w:line="200" w:lineRule="exact"/>
              <w:ind w:left="105"/>
              <w:rPr>
                <w:rFonts w:ascii="Calibri"/>
                <w:b/>
                <w:sz w:val="18"/>
              </w:rPr>
            </w:pPr>
            <w:r>
              <w:rPr>
                <w:rFonts w:ascii="Calibri"/>
                <w:b/>
                <w:sz w:val="18"/>
              </w:rPr>
              <w:t>Total costs (exc. primary care)</w:t>
            </w:r>
          </w:p>
        </w:tc>
        <w:tc>
          <w:tcPr>
            <w:tcW w:w="2326" w:type="dxa"/>
          </w:tcPr>
          <w:p w:rsidR="006A18FD" w:rsidRDefault="002D29FC">
            <w:pPr>
              <w:spacing w:line="200" w:lineRule="exact"/>
              <w:ind w:left="983" w:right="773"/>
              <w:jc w:val="center"/>
              <w:rPr>
                <w:rFonts w:ascii="Calibri"/>
                <w:sz w:val="18"/>
              </w:rPr>
            </w:pPr>
            <w:r>
              <w:rPr>
                <w:rFonts w:ascii="Calibri"/>
                <w:sz w:val="18"/>
              </w:rPr>
              <w:t>377 (5)</w:t>
            </w:r>
          </w:p>
        </w:tc>
        <w:tc>
          <w:tcPr>
            <w:tcW w:w="1860" w:type="dxa"/>
          </w:tcPr>
          <w:p w:rsidR="006A18FD" w:rsidRDefault="002D29FC">
            <w:pPr>
              <w:spacing w:line="200" w:lineRule="exact"/>
              <w:ind w:right="289"/>
              <w:jc w:val="right"/>
              <w:rPr>
                <w:rFonts w:ascii="Calibri" w:hAnsi="Calibri"/>
                <w:sz w:val="18"/>
              </w:rPr>
            </w:pPr>
            <w:r>
              <w:rPr>
                <w:rFonts w:ascii="Calibri" w:hAnsi="Calibri"/>
                <w:sz w:val="18"/>
              </w:rPr>
              <w:t>£2,007 (£3,737)</w:t>
            </w:r>
          </w:p>
        </w:tc>
        <w:tc>
          <w:tcPr>
            <w:tcW w:w="2305" w:type="dxa"/>
          </w:tcPr>
          <w:p w:rsidR="006A18FD" w:rsidRDefault="002D29FC">
            <w:pPr>
              <w:spacing w:line="200" w:lineRule="exact"/>
              <w:ind w:right="399"/>
              <w:jc w:val="right"/>
              <w:rPr>
                <w:rFonts w:ascii="Calibri" w:hAnsi="Calibri"/>
                <w:sz w:val="18"/>
              </w:rPr>
            </w:pPr>
            <w:r>
              <w:rPr>
                <w:rFonts w:ascii="Calibri" w:hAnsi="Calibri"/>
                <w:sz w:val="18"/>
              </w:rPr>
              <w:t>£1,982 (£3,573)</w:t>
            </w:r>
          </w:p>
        </w:tc>
      </w:tr>
      <w:tr w:rsidR="006A18FD">
        <w:trPr>
          <w:trHeight w:val="220"/>
        </w:trPr>
        <w:tc>
          <w:tcPr>
            <w:tcW w:w="3378" w:type="dxa"/>
            <w:tcBorders>
              <w:bottom w:val="nil"/>
            </w:tcBorders>
          </w:tcPr>
          <w:p w:rsidR="006A18FD" w:rsidRDefault="002D29FC">
            <w:pPr>
              <w:spacing w:line="216" w:lineRule="exact"/>
              <w:ind w:left="105"/>
              <w:rPr>
                <w:rFonts w:ascii="Calibri"/>
                <w:sz w:val="12"/>
              </w:rPr>
            </w:pPr>
            <w:r>
              <w:rPr>
                <w:rFonts w:ascii="Calibri"/>
                <w:sz w:val="18"/>
              </w:rPr>
              <w:t xml:space="preserve">Primary care </w:t>
            </w:r>
            <w:r>
              <w:rPr>
                <w:rFonts w:ascii="Calibri"/>
                <w:position w:val="5"/>
                <w:sz w:val="12"/>
              </w:rPr>
              <w:t>(d)</w:t>
            </w:r>
          </w:p>
        </w:tc>
        <w:tc>
          <w:tcPr>
            <w:tcW w:w="2326" w:type="dxa"/>
            <w:tcBorders>
              <w:bottom w:val="nil"/>
            </w:tcBorders>
          </w:tcPr>
          <w:p w:rsidR="006A18FD" w:rsidRDefault="002D29FC">
            <w:pPr>
              <w:spacing w:line="216" w:lineRule="exact"/>
              <w:ind w:left="983" w:right="773"/>
              <w:jc w:val="center"/>
              <w:rPr>
                <w:rFonts w:ascii="Calibri"/>
                <w:sz w:val="18"/>
              </w:rPr>
            </w:pPr>
            <w:r>
              <w:rPr>
                <w:rFonts w:ascii="Calibri"/>
                <w:sz w:val="18"/>
              </w:rPr>
              <w:t>243 (6)</w:t>
            </w:r>
          </w:p>
        </w:tc>
        <w:tc>
          <w:tcPr>
            <w:tcW w:w="1860" w:type="dxa"/>
            <w:tcBorders>
              <w:bottom w:val="nil"/>
            </w:tcBorders>
          </w:tcPr>
          <w:p w:rsidR="006A18FD" w:rsidRDefault="002D29FC">
            <w:pPr>
              <w:spacing w:line="216" w:lineRule="exact"/>
              <w:ind w:left="561"/>
              <w:jc w:val="center"/>
              <w:rPr>
                <w:rFonts w:ascii="Calibri"/>
                <w:sz w:val="18"/>
              </w:rPr>
            </w:pPr>
            <w:r>
              <w:rPr>
                <w:rFonts w:ascii="Calibri"/>
                <w:sz w:val="18"/>
              </w:rPr>
              <w:t>-</w:t>
            </w:r>
          </w:p>
        </w:tc>
        <w:tc>
          <w:tcPr>
            <w:tcW w:w="2305" w:type="dxa"/>
            <w:tcBorders>
              <w:bottom w:val="nil"/>
            </w:tcBorders>
          </w:tcPr>
          <w:p w:rsidR="006A18FD" w:rsidRDefault="002D29FC">
            <w:pPr>
              <w:spacing w:line="216" w:lineRule="exact"/>
              <w:ind w:right="469"/>
              <w:jc w:val="right"/>
              <w:rPr>
                <w:rFonts w:ascii="Calibri" w:hAnsi="Calibri"/>
                <w:sz w:val="18"/>
              </w:rPr>
            </w:pPr>
            <w:r>
              <w:rPr>
                <w:rFonts w:ascii="Calibri" w:hAnsi="Calibri"/>
                <w:sz w:val="18"/>
              </w:rPr>
              <w:t>£252 (£265)</w:t>
            </w:r>
          </w:p>
        </w:tc>
      </w:tr>
      <w:tr w:rsidR="006A18FD">
        <w:trPr>
          <w:trHeight w:val="220"/>
        </w:trPr>
        <w:tc>
          <w:tcPr>
            <w:tcW w:w="3378" w:type="dxa"/>
            <w:tcBorders>
              <w:top w:val="nil"/>
              <w:bottom w:val="nil"/>
            </w:tcBorders>
          </w:tcPr>
          <w:p w:rsidR="006A18FD" w:rsidRDefault="002D29FC">
            <w:pPr>
              <w:spacing w:line="204" w:lineRule="exact"/>
              <w:ind w:left="187"/>
              <w:rPr>
                <w:rFonts w:ascii="Calibri"/>
                <w:sz w:val="18"/>
              </w:rPr>
            </w:pPr>
            <w:r>
              <w:rPr>
                <w:rFonts w:ascii="Calibri"/>
                <w:sz w:val="18"/>
              </w:rPr>
              <w:t>Consultations</w:t>
            </w:r>
          </w:p>
        </w:tc>
        <w:tc>
          <w:tcPr>
            <w:tcW w:w="2326" w:type="dxa"/>
            <w:tcBorders>
              <w:top w:val="nil"/>
              <w:bottom w:val="nil"/>
            </w:tcBorders>
          </w:tcPr>
          <w:p w:rsidR="006A18FD" w:rsidRDefault="002D29FC">
            <w:pPr>
              <w:spacing w:line="204" w:lineRule="exact"/>
              <w:ind w:left="983" w:right="773"/>
              <w:jc w:val="center"/>
              <w:rPr>
                <w:rFonts w:ascii="Calibri"/>
                <w:sz w:val="18"/>
              </w:rPr>
            </w:pPr>
            <w:r>
              <w:rPr>
                <w:rFonts w:ascii="Calibri"/>
                <w:sz w:val="18"/>
              </w:rPr>
              <w:t>113 (3)</w:t>
            </w:r>
          </w:p>
        </w:tc>
        <w:tc>
          <w:tcPr>
            <w:tcW w:w="1860" w:type="dxa"/>
            <w:tcBorders>
              <w:top w:val="nil"/>
              <w:bottom w:val="nil"/>
            </w:tcBorders>
          </w:tcPr>
          <w:p w:rsidR="006A18FD" w:rsidRDefault="002D29FC">
            <w:pPr>
              <w:spacing w:line="204" w:lineRule="exact"/>
              <w:ind w:left="561"/>
              <w:jc w:val="center"/>
              <w:rPr>
                <w:rFonts w:ascii="Calibri"/>
                <w:sz w:val="18"/>
              </w:rPr>
            </w:pPr>
            <w:r>
              <w:rPr>
                <w:rFonts w:ascii="Calibri"/>
                <w:sz w:val="18"/>
              </w:rPr>
              <w:t>-</w:t>
            </w:r>
          </w:p>
        </w:tc>
        <w:tc>
          <w:tcPr>
            <w:tcW w:w="2305" w:type="dxa"/>
            <w:tcBorders>
              <w:top w:val="nil"/>
              <w:bottom w:val="nil"/>
            </w:tcBorders>
          </w:tcPr>
          <w:p w:rsidR="006A18FD" w:rsidRDefault="002D29FC">
            <w:pPr>
              <w:spacing w:line="204" w:lineRule="exact"/>
              <w:ind w:right="514"/>
              <w:jc w:val="right"/>
              <w:rPr>
                <w:rFonts w:ascii="Calibri" w:hAnsi="Calibri"/>
                <w:sz w:val="18"/>
              </w:rPr>
            </w:pPr>
            <w:r>
              <w:rPr>
                <w:rFonts w:ascii="Calibri" w:hAnsi="Calibri"/>
                <w:sz w:val="18"/>
              </w:rPr>
              <w:t>£33 (£48)</w:t>
            </w:r>
          </w:p>
        </w:tc>
      </w:tr>
      <w:tr w:rsidR="006A18FD">
        <w:trPr>
          <w:trHeight w:val="220"/>
        </w:trPr>
        <w:tc>
          <w:tcPr>
            <w:tcW w:w="3378" w:type="dxa"/>
            <w:tcBorders>
              <w:top w:val="nil"/>
              <w:bottom w:val="nil"/>
            </w:tcBorders>
          </w:tcPr>
          <w:p w:rsidR="006A18FD" w:rsidRDefault="002D29FC">
            <w:pPr>
              <w:spacing w:line="206" w:lineRule="exact"/>
              <w:ind w:left="187"/>
              <w:rPr>
                <w:rFonts w:ascii="Calibri"/>
                <w:sz w:val="18"/>
              </w:rPr>
            </w:pPr>
            <w:r>
              <w:rPr>
                <w:rFonts w:ascii="Calibri"/>
                <w:sz w:val="18"/>
              </w:rPr>
              <w:t>Home visits</w:t>
            </w:r>
          </w:p>
        </w:tc>
        <w:tc>
          <w:tcPr>
            <w:tcW w:w="2326" w:type="dxa"/>
            <w:tcBorders>
              <w:top w:val="nil"/>
              <w:bottom w:val="nil"/>
            </w:tcBorders>
          </w:tcPr>
          <w:p w:rsidR="006A18FD" w:rsidRDefault="002D29FC">
            <w:pPr>
              <w:spacing w:line="206" w:lineRule="exact"/>
              <w:ind w:left="985" w:right="679"/>
              <w:jc w:val="center"/>
              <w:rPr>
                <w:rFonts w:ascii="Calibri"/>
                <w:sz w:val="18"/>
              </w:rPr>
            </w:pPr>
            <w:r>
              <w:rPr>
                <w:rFonts w:ascii="Calibri"/>
                <w:sz w:val="18"/>
              </w:rPr>
              <w:t>42 (7)</w:t>
            </w:r>
          </w:p>
        </w:tc>
        <w:tc>
          <w:tcPr>
            <w:tcW w:w="1860" w:type="dxa"/>
            <w:tcBorders>
              <w:top w:val="nil"/>
              <w:bottom w:val="nil"/>
            </w:tcBorders>
          </w:tcPr>
          <w:p w:rsidR="006A18FD" w:rsidRDefault="002D29FC">
            <w:pPr>
              <w:spacing w:line="206" w:lineRule="exact"/>
              <w:ind w:left="561"/>
              <w:jc w:val="center"/>
              <w:rPr>
                <w:rFonts w:ascii="Calibri"/>
                <w:sz w:val="18"/>
              </w:rPr>
            </w:pPr>
            <w:r>
              <w:rPr>
                <w:rFonts w:ascii="Calibri"/>
                <w:sz w:val="18"/>
              </w:rPr>
              <w:t>-</w:t>
            </w:r>
          </w:p>
        </w:tc>
        <w:tc>
          <w:tcPr>
            <w:tcW w:w="2305" w:type="dxa"/>
            <w:tcBorders>
              <w:top w:val="nil"/>
              <w:bottom w:val="nil"/>
            </w:tcBorders>
          </w:tcPr>
          <w:p w:rsidR="006A18FD" w:rsidRDefault="002D29FC">
            <w:pPr>
              <w:spacing w:line="206" w:lineRule="exact"/>
              <w:ind w:right="468"/>
              <w:jc w:val="right"/>
              <w:rPr>
                <w:rFonts w:ascii="Calibri" w:hAnsi="Calibri"/>
                <w:sz w:val="18"/>
              </w:rPr>
            </w:pPr>
            <w:r>
              <w:rPr>
                <w:rFonts w:ascii="Calibri" w:hAnsi="Calibri"/>
                <w:sz w:val="18"/>
              </w:rPr>
              <w:t>£28 (£111)</w:t>
            </w:r>
          </w:p>
        </w:tc>
      </w:tr>
      <w:tr w:rsidR="006A18FD">
        <w:trPr>
          <w:trHeight w:val="200"/>
        </w:trPr>
        <w:tc>
          <w:tcPr>
            <w:tcW w:w="3378" w:type="dxa"/>
            <w:tcBorders>
              <w:top w:val="nil"/>
              <w:bottom w:val="nil"/>
            </w:tcBorders>
          </w:tcPr>
          <w:p w:rsidR="006A18FD" w:rsidRDefault="002D29FC">
            <w:pPr>
              <w:spacing w:line="197" w:lineRule="exact"/>
              <w:ind w:left="187"/>
              <w:rPr>
                <w:rFonts w:ascii="Calibri"/>
                <w:sz w:val="18"/>
              </w:rPr>
            </w:pPr>
            <w:r>
              <w:rPr>
                <w:rFonts w:ascii="Calibri"/>
                <w:sz w:val="18"/>
              </w:rPr>
              <w:t>Procedures</w:t>
            </w:r>
          </w:p>
        </w:tc>
        <w:tc>
          <w:tcPr>
            <w:tcW w:w="2326" w:type="dxa"/>
            <w:tcBorders>
              <w:top w:val="nil"/>
              <w:bottom w:val="nil"/>
            </w:tcBorders>
          </w:tcPr>
          <w:p w:rsidR="006A18FD" w:rsidRDefault="002D29FC">
            <w:pPr>
              <w:spacing w:line="197" w:lineRule="exact"/>
              <w:ind w:left="985" w:right="679"/>
              <w:jc w:val="center"/>
              <w:rPr>
                <w:rFonts w:ascii="Calibri"/>
                <w:sz w:val="18"/>
              </w:rPr>
            </w:pPr>
            <w:r>
              <w:rPr>
                <w:rFonts w:ascii="Calibri"/>
                <w:sz w:val="18"/>
              </w:rPr>
              <w:t>25 (3)</w:t>
            </w:r>
          </w:p>
        </w:tc>
        <w:tc>
          <w:tcPr>
            <w:tcW w:w="1860" w:type="dxa"/>
            <w:tcBorders>
              <w:top w:val="nil"/>
              <w:bottom w:val="nil"/>
            </w:tcBorders>
          </w:tcPr>
          <w:p w:rsidR="006A18FD" w:rsidRDefault="002D29FC">
            <w:pPr>
              <w:spacing w:line="197" w:lineRule="exact"/>
              <w:ind w:left="561"/>
              <w:jc w:val="center"/>
              <w:rPr>
                <w:rFonts w:ascii="Calibri"/>
                <w:sz w:val="18"/>
              </w:rPr>
            </w:pPr>
            <w:r>
              <w:rPr>
                <w:rFonts w:ascii="Calibri"/>
                <w:sz w:val="18"/>
              </w:rPr>
              <w:t>-</w:t>
            </w:r>
          </w:p>
        </w:tc>
        <w:tc>
          <w:tcPr>
            <w:tcW w:w="2305" w:type="dxa"/>
            <w:tcBorders>
              <w:top w:val="nil"/>
              <w:bottom w:val="nil"/>
            </w:tcBorders>
          </w:tcPr>
          <w:p w:rsidR="006A18FD" w:rsidRDefault="002D29FC">
            <w:pPr>
              <w:spacing w:line="197" w:lineRule="exact"/>
              <w:ind w:right="514"/>
              <w:jc w:val="right"/>
              <w:rPr>
                <w:rFonts w:ascii="Calibri" w:hAnsi="Calibri"/>
                <w:sz w:val="18"/>
              </w:rPr>
            </w:pPr>
            <w:r>
              <w:rPr>
                <w:rFonts w:ascii="Calibri" w:hAnsi="Calibri"/>
                <w:sz w:val="18"/>
              </w:rPr>
              <w:t>£4 (£22)</w:t>
            </w:r>
          </w:p>
        </w:tc>
      </w:tr>
      <w:tr w:rsidR="006A18FD">
        <w:trPr>
          <w:trHeight w:val="220"/>
        </w:trPr>
        <w:tc>
          <w:tcPr>
            <w:tcW w:w="3378" w:type="dxa"/>
            <w:tcBorders>
              <w:top w:val="nil"/>
              <w:bottom w:val="nil"/>
            </w:tcBorders>
          </w:tcPr>
          <w:p w:rsidR="006A18FD" w:rsidRDefault="002D29FC">
            <w:pPr>
              <w:spacing w:line="206" w:lineRule="exact"/>
              <w:ind w:left="187"/>
              <w:rPr>
                <w:rFonts w:ascii="Calibri"/>
                <w:sz w:val="12"/>
              </w:rPr>
            </w:pPr>
            <w:r>
              <w:rPr>
                <w:rFonts w:ascii="Calibri"/>
                <w:sz w:val="18"/>
              </w:rPr>
              <w:t xml:space="preserve">Other events </w:t>
            </w:r>
            <w:r>
              <w:rPr>
                <w:rFonts w:ascii="Calibri"/>
                <w:position w:val="5"/>
                <w:sz w:val="12"/>
              </w:rPr>
              <w:t>(e)</w:t>
            </w:r>
          </w:p>
        </w:tc>
        <w:tc>
          <w:tcPr>
            <w:tcW w:w="2326" w:type="dxa"/>
            <w:tcBorders>
              <w:top w:val="nil"/>
              <w:bottom w:val="nil"/>
            </w:tcBorders>
          </w:tcPr>
          <w:p w:rsidR="006A18FD" w:rsidRDefault="002D29FC">
            <w:pPr>
              <w:spacing w:line="206" w:lineRule="exact"/>
              <w:ind w:left="959"/>
              <w:rPr>
                <w:rFonts w:ascii="Calibri"/>
                <w:sz w:val="18"/>
              </w:rPr>
            </w:pPr>
            <w:r>
              <w:rPr>
                <w:rFonts w:ascii="Calibri"/>
                <w:sz w:val="18"/>
              </w:rPr>
              <w:t>202 (22)</w:t>
            </w:r>
          </w:p>
        </w:tc>
        <w:tc>
          <w:tcPr>
            <w:tcW w:w="1860" w:type="dxa"/>
            <w:tcBorders>
              <w:top w:val="nil"/>
              <w:bottom w:val="nil"/>
            </w:tcBorders>
          </w:tcPr>
          <w:p w:rsidR="006A18FD" w:rsidRDefault="002D29FC">
            <w:pPr>
              <w:spacing w:line="206" w:lineRule="exact"/>
              <w:ind w:left="561"/>
              <w:jc w:val="center"/>
              <w:rPr>
                <w:rFonts w:ascii="Calibri"/>
                <w:sz w:val="18"/>
              </w:rPr>
            </w:pPr>
            <w:r>
              <w:rPr>
                <w:rFonts w:ascii="Calibri"/>
                <w:sz w:val="18"/>
              </w:rPr>
              <w:t>-</w:t>
            </w:r>
          </w:p>
        </w:tc>
        <w:tc>
          <w:tcPr>
            <w:tcW w:w="2305" w:type="dxa"/>
            <w:tcBorders>
              <w:top w:val="nil"/>
              <w:bottom w:val="nil"/>
            </w:tcBorders>
          </w:tcPr>
          <w:p w:rsidR="006A18FD" w:rsidRDefault="002D29FC">
            <w:pPr>
              <w:spacing w:line="206" w:lineRule="exact"/>
              <w:ind w:right="514"/>
              <w:jc w:val="right"/>
              <w:rPr>
                <w:rFonts w:ascii="Calibri" w:hAnsi="Calibri"/>
                <w:sz w:val="18"/>
              </w:rPr>
            </w:pPr>
            <w:r>
              <w:rPr>
                <w:rFonts w:ascii="Calibri" w:hAnsi="Calibri"/>
                <w:sz w:val="18"/>
              </w:rPr>
              <w:t>£58 (£61)</w:t>
            </w:r>
          </w:p>
        </w:tc>
      </w:tr>
      <w:tr w:rsidR="006A18FD">
        <w:trPr>
          <w:trHeight w:val="220"/>
        </w:trPr>
        <w:tc>
          <w:tcPr>
            <w:tcW w:w="3378" w:type="dxa"/>
            <w:tcBorders>
              <w:top w:val="nil"/>
              <w:bottom w:val="nil"/>
            </w:tcBorders>
          </w:tcPr>
          <w:p w:rsidR="006A18FD" w:rsidRDefault="002D29FC">
            <w:pPr>
              <w:spacing w:line="206" w:lineRule="exact"/>
              <w:ind w:left="187"/>
              <w:rPr>
                <w:rFonts w:ascii="Calibri"/>
                <w:sz w:val="18"/>
              </w:rPr>
            </w:pPr>
            <w:r>
              <w:rPr>
                <w:rFonts w:ascii="Calibri"/>
                <w:sz w:val="18"/>
              </w:rPr>
              <w:t>Medication</w:t>
            </w:r>
          </w:p>
        </w:tc>
        <w:tc>
          <w:tcPr>
            <w:tcW w:w="2326" w:type="dxa"/>
            <w:tcBorders>
              <w:top w:val="nil"/>
              <w:bottom w:val="nil"/>
            </w:tcBorders>
          </w:tcPr>
          <w:p w:rsidR="006A18FD" w:rsidRDefault="002D29FC">
            <w:pPr>
              <w:spacing w:line="206" w:lineRule="exact"/>
              <w:ind w:left="959"/>
              <w:rPr>
                <w:rFonts w:ascii="Calibri"/>
                <w:sz w:val="18"/>
              </w:rPr>
            </w:pPr>
            <w:r>
              <w:rPr>
                <w:rFonts w:ascii="Calibri"/>
                <w:sz w:val="18"/>
              </w:rPr>
              <w:t>232 (21)</w:t>
            </w:r>
          </w:p>
        </w:tc>
        <w:tc>
          <w:tcPr>
            <w:tcW w:w="1860" w:type="dxa"/>
            <w:tcBorders>
              <w:top w:val="nil"/>
              <w:bottom w:val="nil"/>
            </w:tcBorders>
          </w:tcPr>
          <w:p w:rsidR="006A18FD" w:rsidRDefault="002D29FC">
            <w:pPr>
              <w:spacing w:line="206" w:lineRule="exact"/>
              <w:ind w:left="561"/>
              <w:jc w:val="center"/>
              <w:rPr>
                <w:rFonts w:ascii="Calibri"/>
                <w:sz w:val="18"/>
              </w:rPr>
            </w:pPr>
            <w:r>
              <w:rPr>
                <w:rFonts w:ascii="Calibri"/>
                <w:sz w:val="18"/>
              </w:rPr>
              <w:t>-</w:t>
            </w:r>
          </w:p>
        </w:tc>
        <w:tc>
          <w:tcPr>
            <w:tcW w:w="2305" w:type="dxa"/>
            <w:tcBorders>
              <w:top w:val="nil"/>
              <w:bottom w:val="nil"/>
            </w:tcBorders>
          </w:tcPr>
          <w:p w:rsidR="006A18FD" w:rsidRDefault="002D29FC">
            <w:pPr>
              <w:spacing w:line="206" w:lineRule="exact"/>
              <w:ind w:right="469"/>
              <w:jc w:val="right"/>
              <w:rPr>
                <w:rFonts w:ascii="Calibri" w:hAnsi="Calibri"/>
                <w:sz w:val="18"/>
              </w:rPr>
            </w:pPr>
            <w:r>
              <w:rPr>
                <w:rFonts w:ascii="Calibri" w:hAnsi="Calibri"/>
                <w:sz w:val="18"/>
              </w:rPr>
              <w:t>£119 (£150)</w:t>
            </w:r>
          </w:p>
        </w:tc>
      </w:tr>
      <w:tr w:rsidR="006A18FD">
        <w:trPr>
          <w:trHeight w:val="200"/>
        </w:trPr>
        <w:tc>
          <w:tcPr>
            <w:tcW w:w="3378" w:type="dxa"/>
            <w:tcBorders>
              <w:top w:val="nil"/>
            </w:tcBorders>
          </w:tcPr>
          <w:p w:rsidR="006A18FD" w:rsidRDefault="002D29FC">
            <w:pPr>
              <w:spacing w:line="182" w:lineRule="exact"/>
              <w:ind w:left="187"/>
              <w:rPr>
                <w:rFonts w:ascii="Calibri"/>
                <w:sz w:val="18"/>
              </w:rPr>
            </w:pPr>
            <w:r>
              <w:rPr>
                <w:rFonts w:ascii="Calibri"/>
                <w:sz w:val="18"/>
              </w:rPr>
              <w:t>Wound dressings</w:t>
            </w:r>
          </w:p>
        </w:tc>
        <w:tc>
          <w:tcPr>
            <w:tcW w:w="2326" w:type="dxa"/>
            <w:tcBorders>
              <w:top w:val="nil"/>
            </w:tcBorders>
          </w:tcPr>
          <w:p w:rsidR="006A18FD" w:rsidRDefault="002D29FC">
            <w:pPr>
              <w:spacing w:line="182" w:lineRule="exact"/>
              <w:ind w:left="985" w:right="679"/>
              <w:jc w:val="center"/>
              <w:rPr>
                <w:rFonts w:ascii="Calibri"/>
                <w:sz w:val="18"/>
              </w:rPr>
            </w:pPr>
            <w:r>
              <w:rPr>
                <w:rFonts w:ascii="Calibri"/>
                <w:sz w:val="18"/>
              </w:rPr>
              <w:t>64 (4)</w:t>
            </w:r>
          </w:p>
        </w:tc>
        <w:tc>
          <w:tcPr>
            <w:tcW w:w="1860" w:type="dxa"/>
            <w:tcBorders>
              <w:top w:val="nil"/>
            </w:tcBorders>
          </w:tcPr>
          <w:p w:rsidR="006A18FD" w:rsidRDefault="002D29FC">
            <w:pPr>
              <w:spacing w:line="182" w:lineRule="exact"/>
              <w:ind w:left="561"/>
              <w:jc w:val="center"/>
              <w:rPr>
                <w:rFonts w:ascii="Calibri"/>
                <w:sz w:val="18"/>
              </w:rPr>
            </w:pPr>
            <w:r>
              <w:rPr>
                <w:rFonts w:ascii="Calibri"/>
                <w:sz w:val="18"/>
              </w:rPr>
              <w:t>-</w:t>
            </w:r>
          </w:p>
        </w:tc>
        <w:tc>
          <w:tcPr>
            <w:tcW w:w="2305" w:type="dxa"/>
            <w:tcBorders>
              <w:top w:val="nil"/>
            </w:tcBorders>
          </w:tcPr>
          <w:p w:rsidR="006A18FD" w:rsidRDefault="002D29FC">
            <w:pPr>
              <w:spacing w:line="182" w:lineRule="exact"/>
              <w:ind w:right="514"/>
              <w:jc w:val="right"/>
              <w:rPr>
                <w:rFonts w:ascii="Calibri" w:hAnsi="Calibri"/>
                <w:sz w:val="18"/>
              </w:rPr>
            </w:pPr>
            <w:r>
              <w:rPr>
                <w:rFonts w:ascii="Calibri" w:hAnsi="Calibri"/>
                <w:sz w:val="18"/>
              </w:rPr>
              <w:t>£12 (£36)</w:t>
            </w:r>
          </w:p>
        </w:tc>
      </w:tr>
      <w:tr w:rsidR="006A18FD">
        <w:trPr>
          <w:trHeight w:val="220"/>
        </w:trPr>
        <w:tc>
          <w:tcPr>
            <w:tcW w:w="3378" w:type="dxa"/>
          </w:tcPr>
          <w:p w:rsidR="006A18FD" w:rsidRDefault="002D29FC">
            <w:pPr>
              <w:spacing w:before="1" w:line="199" w:lineRule="exact"/>
              <w:ind w:left="105"/>
              <w:rPr>
                <w:rFonts w:ascii="Calibri"/>
                <w:b/>
                <w:sz w:val="12"/>
              </w:rPr>
            </w:pPr>
            <w:r>
              <w:rPr>
                <w:rFonts w:ascii="Calibri"/>
                <w:b/>
                <w:sz w:val="18"/>
              </w:rPr>
              <w:t xml:space="preserve">Total costs including primary care </w:t>
            </w:r>
            <w:r>
              <w:rPr>
                <w:rFonts w:ascii="Calibri"/>
                <w:b/>
                <w:position w:val="5"/>
                <w:sz w:val="12"/>
              </w:rPr>
              <w:t>(f)</w:t>
            </w:r>
          </w:p>
        </w:tc>
        <w:tc>
          <w:tcPr>
            <w:tcW w:w="2326" w:type="dxa"/>
          </w:tcPr>
          <w:p w:rsidR="006A18FD" w:rsidRDefault="002D29FC">
            <w:pPr>
              <w:spacing w:before="1" w:line="199" w:lineRule="exact"/>
              <w:ind w:left="983" w:right="773"/>
              <w:jc w:val="center"/>
              <w:rPr>
                <w:rFonts w:ascii="Calibri"/>
                <w:sz w:val="18"/>
              </w:rPr>
            </w:pPr>
            <w:r>
              <w:rPr>
                <w:rFonts w:ascii="Calibri"/>
                <w:sz w:val="18"/>
              </w:rPr>
              <w:t>248 (7)</w:t>
            </w:r>
          </w:p>
        </w:tc>
        <w:tc>
          <w:tcPr>
            <w:tcW w:w="1860" w:type="dxa"/>
          </w:tcPr>
          <w:p w:rsidR="006A18FD" w:rsidRDefault="002D29FC">
            <w:pPr>
              <w:spacing w:before="1" w:line="199" w:lineRule="exact"/>
              <w:ind w:left="561"/>
              <w:jc w:val="center"/>
              <w:rPr>
                <w:rFonts w:ascii="Calibri"/>
                <w:sz w:val="18"/>
              </w:rPr>
            </w:pPr>
            <w:r>
              <w:rPr>
                <w:rFonts w:ascii="Calibri"/>
                <w:sz w:val="18"/>
              </w:rPr>
              <w:t>-</w:t>
            </w:r>
          </w:p>
        </w:tc>
        <w:tc>
          <w:tcPr>
            <w:tcW w:w="2305" w:type="dxa"/>
          </w:tcPr>
          <w:p w:rsidR="006A18FD" w:rsidRDefault="002D29FC">
            <w:pPr>
              <w:spacing w:before="1" w:line="199" w:lineRule="exact"/>
              <w:ind w:right="399"/>
              <w:jc w:val="right"/>
              <w:rPr>
                <w:rFonts w:ascii="Calibri" w:hAnsi="Calibri"/>
                <w:sz w:val="18"/>
              </w:rPr>
            </w:pPr>
            <w:r>
              <w:rPr>
                <w:rFonts w:ascii="Calibri" w:hAnsi="Calibri"/>
                <w:sz w:val="18"/>
              </w:rPr>
              <w:t>£2,232 (£3,623)</w:t>
            </w:r>
          </w:p>
        </w:tc>
      </w:tr>
    </w:tbl>
    <w:p w:rsidR="006A18FD" w:rsidRDefault="002D29FC">
      <w:pPr>
        <w:spacing w:before="121"/>
        <w:ind w:left="152"/>
        <w:rPr>
          <w:rFonts w:ascii="Calibri"/>
          <w:sz w:val="16"/>
        </w:rPr>
      </w:pPr>
      <w:r>
        <w:rPr>
          <w:rFonts w:ascii="Calibri"/>
          <w:sz w:val="16"/>
        </w:rPr>
        <w:t>SD: standard deviation</w:t>
      </w:r>
    </w:p>
    <w:p w:rsidR="006A18FD" w:rsidRDefault="002D29FC" w:rsidP="008E3FA8">
      <w:pPr>
        <w:numPr>
          <w:ilvl w:val="0"/>
          <w:numId w:val="11"/>
        </w:numPr>
        <w:tabs>
          <w:tab w:val="left" w:pos="315"/>
        </w:tabs>
        <w:spacing w:before="27"/>
        <w:ind w:right="205" w:firstLine="0"/>
        <w:rPr>
          <w:rFonts w:ascii="Calibri" w:hAnsi="Calibri"/>
          <w:sz w:val="16"/>
        </w:rPr>
      </w:pPr>
      <w:r>
        <w:rPr>
          <w:rFonts w:ascii="Calibri" w:hAnsi="Calibri"/>
          <w:sz w:val="16"/>
        </w:rPr>
        <w:t>Mean number of events for inpatient care is based on mean number of episodes, and not number of spells. Mean number of events for ‘total’ does not include</w:t>
      </w:r>
      <w:r>
        <w:rPr>
          <w:rFonts w:ascii="Calibri" w:hAnsi="Calibri"/>
          <w:spacing w:val="-4"/>
          <w:sz w:val="16"/>
        </w:rPr>
        <w:t xml:space="preserve"> </w:t>
      </w:r>
      <w:r>
        <w:rPr>
          <w:rFonts w:ascii="Calibri" w:hAnsi="Calibri"/>
          <w:sz w:val="16"/>
        </w:rPr>
        <w:t>primary</w:t>
      </w:r>
      <w:r>
        <w:rPr>
          <w:rFonts w:ascii="Calibri" w:hAnsi="Calibri"/>
          <w:spacing w:val="-4"/>
          <w:sz w:val="16"/>
        </w:rPr>
        <w:t xml:space="preserve"> </w:t>
      </w:r>
      <w:r>
        <w:rPr>
          <w:rFonts w:ascii="Calibri" w:hAnsi="Calibri"/>
          <w:sz w:val="16"/>
        </w:rPr>
        <w:t>care</w:t>
      </w:r>
      <w:r>
        <w:rPr>
          <w:rFonts w:ascii="Calibri" w:hAnsi="Calibri"/>
          <w:spacing w:val="-4"/>
          <w:sz w:val="16"/>
        </w:rPr>
        <w:t xml:space="preserve"> </w:t>
      </w:r>
      <w:r>
        <w:rPr>
          <w:rFonts w:ascii="Calibri" w:hAnsi="Calibri"/>
          <w:sz w:val="16"/>
        </w:rPr>
        <w:t>events</w:t>
      </w:r>
      <w:r>
        <w:rPr>
          <w:rFonts w:ascii="Calibri" w:hAnsi="Calibri"/>
          <w:spacing w:val="-4"/>
          <w:sz w:val="16"/>
        </w:rPr>
        <w:t xml:space="preserve"> </w:t>
      </w:r>
      <w:r>
        <w:rPr>
          <w:rFonts w:ascii="Calibri" w:hAnsi="Calibri"/>
          <w:sz w:val="16"/>
        </w:rPr>
        <w:t>classed</w:t>
      </w:r>
      <w:r>
        <w:rPr>
          <w:rFonts w:ascii="Calibri" w:hAnsi="Calibri"/>
          <w:spacing w:val="-4"/>
          <w:sz w:val="16"/>
        </w:rPr>
        <w:t xml:space="preserve"> </w:t>
      </w:r>
      <w:r>
        <w:rPr>
          <w:rFonts w:ascii="Calibri" w:hAnsi="Calibri"/>
          <w:sz w:val="16"/>
        </w:rPr>
        <w:t>as</w:t>
      </w:r>
      <w:r>
        <w:rPr>
          <w:rFonts w:ascii="Calibri" w:hAnsi="Calibri"/>
          <w:spacing w:val="-4"/>
          <w:sz w:val="16"/>
        </w:rPr>
        <w:t xml:space="preserve"> </w:t>
      </w:r>
      <w:r>
        <w:rPr>
          <w:rFonts w:ascii="Calibri" w:hAnsi="Calibri"/>
          <w:sz w:val="16"/>
        </w:rPr>
        <w:t>‘other</w:t>
      </w:r>
      <w:r>
        <w:rPr>
          <w:rFonts w:ascii="Calibri" w:hAnsi="Calibri"/>
          <w:spacing w:val="-4"/>
          <w:sz w:val="16"/>
        </w:rPr>
        <w:t xml:space="preserve"> </w:t>
      </w:r>
      <w:r>
        <w:rPr>
          <w:rFonts w:ascii="Calibri" w:hAnsi="Calibri"/>
          <w:sz w:val="16"/>
        </w:rPr>
        <w:t>events’,</w:t>
      </w:r>
      <w:r>
        <w:rPr>
          <w:rFonts w:ascii="Calibri" w:hAnsi="Calibri"/>
          <w:spacing w:val="-3"/>
          <w:sz w:val="16"/>
        </w:rPr>
        <w:t xml:space="preserve"> </w:t>
      </w:r>
      <w:r>
        <w:rPr>
          <w:rFonts w:ascii="Calibri" w:hAnsi="Calibri"/>
          <w:sz w:val="16"/>
        </w:rPr>
        <w:t>‘medication’</w:t>
      </w:r>
      <w:r>
        <w:rPr>
          <w:rFonts w:ascii="Calibri" w:hAnsi="Calibri"/>
          <w:spacing w:val="-3"/>
          <w:sz w:val="16"/>
        </w:rPr>
        <w:t xml:space="preserve"> </w:t>
      </w:r>
      <w:r>
        <w:rPr>
          <w:rFonts w:ascii="Calibri" w:hAnsi="Calibri"/>
          <w:sz w:val="16"/>
        </w:rPr>
        <w:t>or</w:t>
      </w:r>
      <w:r>
        <w:rPr>
          <w:rFonts w:ascii="Calibri" w:hAnsi="Calibri"/>
          <w:spacing w:val="-4"/>
          <w:sz w:val="16"/>
        </w:rPr>
        <w:t xml:space="preserve"> </w:t>
      </w:r>
      <w:r>
        <w:rPr>
          <w:rFonts w:ascii="Calibri" w:hAnsi="Calibri"/>
          <w:sz w:val="16"/>
        </w:rPr>
        <w:t>‘wound</w:t>
      </w:r>
      <w:r>
        <w:rPr>
          <w:rFonts w:ascii="Calibri" w:hAnsi="Calibri"/>
          <w:spacing w:val="-4"/>
          <w:sz w:val="16"/>
        </w:rPr>
        <w:t xml:space="preserve"> </w:t>
      </w:r>
      <w:r>
        <w:rPr>
          <w:rFonts w:ascii="Calibri" w:hAnsi="Calibri"/>
          <w:sz w:val="16"/>
        </w:rPr>
        <w:t>dressing’.</w:t>
      </w:r>
    </w:p>
    <w:p w:rsidR="006A18FD" w:rsidRDefault="002D29FC" w:rsidP="008E3FA8">
      <w:pPr>
        <w:numPr>
          <w:ilvl w:val="0"/>
          <w:numId w:val="11"/>
        </w:numPr>
        <w:tabs>
          <w:tab w:val="left" w:pos="322"/>
        </w:tabs>
        <w:spacing w:before="1" w:line="195" w:lineRule="exact"/>
        <w:ind w:left="321" w:hanging="169"/>
        <w:rPr>
          <w:rFonts w:ascii="Calibri"/>
          <w:sz w:val="16"/>
        </w:rPr>
      </w:pPr>
      <w:r>
        <w:rPr>
          <w:rFonts w:ascii="Calibri"/>
          <w:sz w:val="16"/>
        </w:rPr>
        <w:t>Mean</w:t>
      </w:r>
      <w:r>
        <w:rPr>
          <w:rFonts w:ascii="Calibri"/>
          <w:spacing w:val="-3"/>
          <w:sz w:val="16"/>
        </w:rPr>
        <w:t xml:space="preserve"> </w:t>
      </w:r>
      <w:r>
        <w:rPr>
          <w:rFonts w:ascii="Calibri"/>
          <w:sz w:val="16"/>
        </w:rPr>
        <w:t>length</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hospital</w:t>
      </w:r>
      <w:r>
        <w:rPr>
          <w:rFonts w:ascii="Calibri"/>
          <w:spacing w:val="-3"/>
          <w:sz w:val="16"/>
        </w:rPr>
        <w:t xml:space="preserve"> </w:t>
      </w:r>
      <w:r>
        <w:rPr>
          <w:rFonts w:ascii="Calibri"/>
          <w:sz w:val="16"/>
        </w:rPr>
        <w:t>stay</w:t>
      </w:r>
      <w:r>
        <w:rPr>
          <w:rFonts w:ascii="Calibri"/>
          <w:spacing w:val="-2"/>
          <w:sz w:val="16"/>
        </w:rPr>
        <w:t xml:space="preserve"> </w:t>
      </w:r>
      <w:r>
        <w:rPr>
          <w:rFonts w:ascii="Calibri"/>
          <w:sz w:val="16"/>
        </w:rPr>
        <w:t>for</w:t>
      </w:r>
      <w:r>
        <w:rPr>
          <w:rFonts w:ascii="Calibri"/>
          <w:spacing w:val="-3"/>
          <w:sz w:val="16"/>
        </w:rPr>
        <w:t xml:space="preserve"> </w:t>
      </w:r>
      <w:r>
        <w:rPr>
          <w:rFonts w:ascii="Calibri"/>
          <w:sz w:val="16"/>
        </w:rPr>
        <w:t>those</w:t>
      </w:r>
      <w:r>
        <w:rPr>
          <w:rFonts w:ascii="Calibri"/>
          <w:spacing w:val="-4"/>
          <w:sz w:val="16"/>
        </w:rPr>
        <w:t xml:space="preserve"> </w:t>
      </w:r>
      <w:r>
        <w:rPr>
          <w:rFonts w:ascii="Calibri"/>
          <w:sz w:val="16"/>
        </w:rPr>
        <w:t>patients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an</w:t>
      </w:r>
      <w:r>
        <w:rPr>
          <w:rFonts w:ascii="Calibri"/>
          <w:spacing w:val="-3"/>
          <w:sz w:val="16"/>
        </w:rPr>
        <w:t xml:space="preserve"> </w:t>
      </w:r>
      <w:r>
        <w:rPr>
          <w:rFonts w:ascii="Calibri"/>
          <w:sz w:val="16"/>
        </w:rPr>
        <w:t>inpatient</w:t>
      </w:r>
      <w:r>
        <w:rPr>
          <w:rFonts w:ascii="Calibri"/>
          <w:spacing w:val="-3"/>
          <w:sz w:val="16"/>
        </w:rPr>
        <w:t xml:space="preserve"> </w:t>
      </w:r>
      <w:r>
        <w:rPr>
          <w:rFonts w:ascii="Calibri"/>
          <w:sz w:val="16"/>
        </w:rPr>
        <w:t>admission</w:t>
      </w:r>
      <w:r>
        <w:rPr>
          <w:rFonts w:ascii="Calibri"/>
          <w:spacing w:val="-3"/>
          <w:sz w:val="16"/>
        </w:rPr>
        <w:t xml:space="preserve"> </w:t>
      </w:r>
      <w:r>
        <w:rPr>
          <w:rFonts w:ascii="Calibri"/>
          <w:sz w:val="16"/>
        </w:rPr>
        <w:t>over</w:t>
      </w:r>
      <w:r>
        <w:rPr>
          <w:rFonts w:ascii="Calibri"/>
          <w:spacing w:val="-1"/>
          <w:sz w:val="16"/>
        </w:rPr>
        <w:t xml:space="preserve"> </w:t>
      </w:r>
      <w:r>
        <w:rPr>
          <w:rFonts w:ascii="Calibri"/>
          <w:sz w:val="16"/>
        </w:rPr>
        <w:t>the</w:t>
      </w:r>
      <w:r>
        <w:rPr>
          <w:rFonts w:ascii="Calibri"/>
          <w:spacing w:val="-4"/>
          <w:sz w:val="16"/>
        </w:rPr>
        <w:t xml:space="preserve"> </w:t>
      </w:r>
      <w:r>
        <w:rPr>
          <w:rFonts w:ascii="Calibri"/>
          <w:sz w:val="16"/>
        </w:rPr>
        <w:t>trial</w:t>
      </w:r>
      <w:r>
        <w:rPr>
          <w:rFonts w:ascii="Calibri"/>
          <w:spacing w:val="-4"/>
          <w:sz w:val="16"/>
        </w:rPr>
        <w:t xml:space="preserve"> </w:t>
      </w:r>
      <w:r>
        <w:rPr>
          <w:rFonts w:ascii="Calibri"/>
          <w:sz w:val="16"/>
        </w:rPr>
        <w:t>period</w:t>
      </w:r>
      <w:r>
        <w:rPr>
          <w:rFonts w:ascii="Calibri"/>
          <w:spacing w:val="-3"/>
          <w:sz w:val="16"/>
        </w:rPr>
        <w:t xml:space="preserve"> </w:t>
      </w:r>
      <w:r>
        <w:rPr>
          <w:rFonts w:ascii="Calibri"/>
          <w:sz w:val="16"/>
        </w:rPr>
        <w:t>was</w:t>
      </w:r>
      <w:r>
        <w:rPr>
          <w:rFonts w:ascii="Calibri"/>
          <w:spacing w:val="-3"/>
          <w:sz w:val="16"/>
        </w:rPr>
        <w:t xml:space="preserve"> </w:t>
      </w:r>
      <w:r>
        <w:rPr>
          <w:rFonts w:ascii="Calibri"/>
          <w:sz w:val="16"/>
        </w:rPr>
        <w:t>12</w:t>
      </w:r>
      <w:r>
        <w:rPr>
          <w:rFonts w:ascii="Calibri"/>
          <w:spacing w:val="-2"/>
          <w:sz w:val="16"/>
        </w:rPr>
        <w:t xml:space="preserve"> </w:t>
      </w:r>
      <w:r>
        <w:rPr>
          <w:rFonts w:ascii="Calibri"/>
          <w:sz w:val="16"/>
        </w:rPr>
        <w:t>days.</w:t>
      </w:r>
    </w:p>
    <w:p w:rsidR="006A18FD" w:rsidRDefault="002D29FC" w:rsidP="008E3FA8">
      <w:pPr>
        <w:numPr>
          <w:ilvl w:val="0"/>
          <w:numId w:val="11"/>
        </w:numPr>
        <w:tabs>
          <w:tab w:val="left" w:pos="305"/>
        </w:tabs>
        <w:spacing w:line="194" w:lineRule="exact"/>
        <w:ind w:left="304" w:hanging="152"/>
        <w:rPr>
          <w:rFonts w:ascii="Calibri"/>
          <w:sz w:val="16"/>
        </w:rPr>
      </w:pPr>
      <w:r>
        <w:rPr>
          <w:rFonts w:ascii="Calibri"/>
          <w:sz w:val="16"/>
        </w:rPr>
        <w:t>Mean</w:t>
      </w:r>
      <w:r>
        <w:rPr>
          <w:rFonts w:ascii="Calibri"/>
          <w:spacing w:val="-3"/>
          <w:sz w:val="16"/>
        </w:rPr>
        <w:t xml:space="preserve"> </w:t>
      </w:r>
      <w:r>
        <w:rPr>
          <w:rFonts w:ascii="Calibri"/>
          <w:sz w:val="16"/>
        </w:rPr>
        <w:t>length</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intensive</w:t>
      </w:r>
      <w:r>
        <w:rPr>
          <w:rFonts w:ascii="Calibri"/>
          <w:spacing w:val="-3"/>
          <w:sz w:val="16"/>
        </w:rPr>
        <w:t xml:space="preserve"> </w:t>
      </w:r>
      <w:r>
        <w:rPr>
          <w:rFonts w:ascii="Calibri"/>
          <w:sz w:val="16"/>
        </w:rPr>
        <w:t>care</w:t>
      </w:r>
      <w:r>
        <w:rPr>
          <w:rFonts w:ascii="Calibri"/>
          <w:spacing w:val="-3"/>
          <w:sz w:val="16"/>
        </w:rPr>
        <w:t xml:space="preserve"> </w:t>
      </w:r>
      <w:r>
        <w:rPr>
          <w:rFonts w:ascii="Calibri"/>
          <w:sz w:val="16"/>
        </w:rPr>
        <w:t>stay</w:t>
      </w:r>
      <w:r>
        <w:rPr>
          <w:rFonts w:ascii="Calibri"/>
          <w:spacing w:val="-2"/>
          <w:sz w:val="16"/>
        </w:rPr>
        <w:t xml:space="preserve"> </w:t>
      </w:r>
      <w:r>
        <w:rPr>
          <w:rFonts w:ascii="Calibri"/>
          <w:sz w:val="16"/>
        </w:rPr>
        <w:t>for</w:t>
      </w:r>
      <w:r>
        <w:rPr>
          <w:rFonts w:ascii="Calibri"/>
          <w:spacing w:val="-3"/>
          <w:sz w:val="16"/>
        </w:rPr>
        <w:t xml:space="preserve"> </w:t>
      </w:r>
      <w:r>
        <w:rPr>
          <w:rFonts w:ascii="Calibri"/>
          <w:sz w:val="16"/>
        </w:rPr>
        <w:t>those</w:t>
      </w:r>
      <w:r>
        <w:rPr>
          <w:rFonts w:ascii="Calibri"/>
          <w:spacing w:val="-3"/>
          <w:sz w:val="16"/>
        </w:rPr>
        <w:t xml:space="preserve"> </w:t>
      </w:r>
      <w:r>
        <w:rPr>
          <w:rFonts w:ascii="Calibri"/>
          <w:sz w:val="16"/>
        </w:rPr>
        <w:t>patients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an</w:t>
      </w:r>
      <w:r>
        <w:rPr>
          <w:rFonts w:ascii="Calibri"/>
          <w:spacing w:val="-1"/>
          <w:sz w:val="16"/>
        </w:rPr>
        <w:t xml:space="preserve"> </w:t>
      </w:r>
      <w:r>
        <w:rPr>
          <w:rFonts w:ascii="Calibri"/>
          <w:sz w:val="16"/>
        </w:rPr>
        <w:t>intensive</w:t>
      </w:r>
      <w:r>
        <w:rPr>
          <w:rFonts w:ascii="Calibri"/>
          <w:spacing w:val="-3"/>
          <w:sz w:val="16"/>
        </w:rPr>
        <w:t xml:space="preserve"> </w:t>
      </w:r>
      <w:r>
        <w:rPr>
          <w:rFonts w:ascii="Calibri"/>
          <w:sz w:val="16"/>
        </w:rPr>
        <w:t>care</w:t>
      </w:r>
      <w:r>
        <w:rPr>
          <w:rFonts w:ascii="Calibri"/>
          <w:spacing w:val="-3"/>
          <w:sz w:val="16"/>
        </w:rPr>
        <w:t xml:space="preserve"> </w:t>
      </w:r>
      <w:r>
        <w:rPr>
          <w:rFonts w:ascii="Calibri"/>
          <w:sz w:val="16"/>
        </w:rPr>
        <w:t>admission</w:t>
      </w:r>
      <w:r>
        <w:rPr>
          <w:rFonts w:ascii="Calibri"/>
          <w:spacing w:val="-3"/>
          <w:sz w:val="16"/>
        </w:rPr>
        <w:t xml:space="preserve"> </w:t>
      </w:r>
      <w:r>
        <w:rPr>
          <w:rFonts w:ascii="Calibri"/>
          <w:sz w:val="16"/>
        </w:rPr>
        <w:t>was</w:t>
      </w:r>
      <w:r>
        <w:rPr>
          <w:rFonts w:ascii="Calibri"/>
          <w:spacing w:val="-3"/>
          <w:sz w:val="16"/>
        </w:rPr>
        <w:t xml:space="preserve"> </w:t>
      </w:r>
      <w:r>
        <w:rPr>
          <w:rFonts w:ascii="Calibri"/>
          <w:sz w:val="16"/>
        </w:rPr>
        <w:t>15</w:t>
      </w:r>
      <w:r>
        <w:rPr>
          <w:rFonts w:ascii="Calibri"/>
          <w:spacing w:val="-2"/>
          <w:sz w:val="16"/>
        </w:rPr>
        <w:t xml:space="preserve"> </w:t>
      </w:r>
      <w:r>
        <w:rPr>
          <w:rFonts w:ascii="Calibri"/>
          <w:sz w:val="16"/>
        </w:rPr>
        <w:t>days.</w:t>
      </w:r>
    </w:p>
    <w:p w:rsidR="006A18FD" w:rsidRDefault="002D29FC" w:rsidP="008E3FA8">
      <w:pPr>
        <w:numPr>
          <w:ilvl w:val="0"/>
          <w:numId w:val="11"/>
        </w:numPr>
        <w:tabs>
          <w:tab w:val="left" w:pos="322"/>
        </w:tabs>
        <w:spacing w:line="195" w:lineRule="exact"/>
        <w:ind w:left="321" w:hanging="169"/>
        <w:rPr>
          <w:rFonts w:ascii="Calibri"/>
          <w:sz w:val="16"/>
        </w:rPr>
      </w:pPr>
      <w:r>
        <w:rPr>
          <w:rFonts w:ascii="Calibri"/>
          <w:sz w:val="16"/>
        </w:rPr>
        <w:t>Mean</w:t>
      </w:r>
      <w:r>
        <w:rPr>
          <w:rFonts w:ascii="Calibri"/>
          <w:spacing w:val="-4"/>
          <w:sz w:val="16"/>
        </w:rPr>
        <w:t xml:space="preserve"> </w:t>
      </w:r>
      <w:r>
        <w:rPr>
          <w:rFonts w:ascii="Calibri"/>
          <w:sz w:val="16"/>
        </w:rPr>
        <w:t>number</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events</w:t>
      </w:r>
      <w:r>
        <w:rPr>
          <w:rFonts w:ascii="Calibri"/>
          <w:spacing w:val="-4"/>
          <w:sz w:val="16"/>
        </w:rPr>
        <w:t xml:space="preserve"> </w:t>
      </w:r>
      <w:r>
        <w:rPr>
          <w:rFonts w:ascii="Calibri"/>
          <w:sz w:val="16"/>
        </w:rPr>
        <w:t>for</w:t>
      </w:r>
      <w:r>
        <w:rPr>
          <w:rFonts w:ascii="Calibri"/>
          <w:spacing w:val="-4"/>
          <w:sz w:val="16"/>
        </w:rPr>
        <w:t xml:space="preserve"> </w:t>
      </w:r>
      <w:r>
        <w:rPr>
          <w:rFonts w:ascii="Calibri"/>
          <w:sz w:val="16"/>
        </w:rPr>
        <w:t>primary</w:t>
      </w:r>
      <w:r>
        <w:rPr>
          <w:rFonts w:ascii="Calibri"/>
          <w:spacing w:val="-4"/>
          <w:sz w:val="16"/>
        </w:rPr>
        <w:t xml:space="preserve"> </w:t>
      </w:r>
      <w:r>
        <w:rPr>
          <w:rFonts w:ascii="Calibri"/>
          <w:sz w:val="16"/>
        </w:rPr>
        <w:t>care</w:t>
      </w:r>
      <w:r>
        <w:rPr>
          <w:rFonts w:ascii="Calibri"/>
          <w:spacing w:val="-4"/>
          <w:sz w:val="16"/>
        </w:rPr>
        <w:t xml:space="preserve"> </w:t>
      </w:r>
      <w:r>
        <w:rPr>
          <w:rFonts w:ascii="Calibri"/>
          <w:sz w:val="16"/>
        </w:rPr>
        <w:t>service</w:t>
      </w:r>
      <w:r>
        <w:rPr>
          <w:rFonts w:ascii="Calibri"/>
          <w:spacing w:val="-4"/>
          <w:sz w:val="16"/>
        </w:rPr>
        <w:t xml:space="preserve"> </w:t>
      </w:r>
      <w:r>
        <w:rPr>
          <w:rFonts w:ascii="Calibri"/>
          <w:sz w:val="16"/>
        </w:rPr>
        <w:t>users</w:t>
      </w:r>
      <w:r>
        <w:rPr>
          <w:rFonts w:ascii="Calibri"/>
          <w:spacing w:val="-4"/>
          <w:sz w:val="16"/>
        </w:rPr>
        <w:t xml:space="preserve"> </w:t>
      </w:r>
      <w:r>
        <w:rPr>
          <w:rFonts w:ascii="Calibri"/>
          <w:sz w:val="16"/>
        </w:rPr>
        <w:t>only</w:t>
      </w:r>
      <w:r>
        <w:rPr>
          <w:rFonts w:ascii="Calibri"/>
          <w:spacing w:val="-4"/>
          <w:sz w:val="16"/>
        </w:rPr>
        <w:t xml:space="preserve"> </w:t>
      </w:r>
      <w:r>
        <w:rPr>
          <w:rFonts w:ascii="Calibri"/>
          <w:sz w:val="16"/>
        </w:rPr>
        <w:t>includes</w:t>
      </w:r>
      <w:r>
        <w:rPr>
          <w:rFonts w:ascii="Calibri"/>
          <w:spacing w:val="-4"/>
          <w:sz w:val="16"/>
        </w:rPr>
        <w:t xml:space="preserve"> </w:t>
      </w:r>
      <w:r>
        <w:rPr>
          <w:rFonts w:ascii="Calibri"/>
          <w:sz w:val="16"/>
        </w:rPr>
        <w:t>face-to-face</w:t>
      </w:r>
      <w:r>
        <w:rPr>
          <w:rFonts w:ascii="Calibri"/>
          <w:spacing w:val="-4"/>
          <w:sz w:val="16"/>
        </w:rPr>
        <w:t xml:space="preserve"> </w:t>
      </w:r>
      <w:r>
        <w:rPr>
          <w:rFonts w:ascii="Calibri"/>
          <w:sz w:val="16"/>
        </w:rPr>
        <w:t>contacts</w:t>
      </w:r>
      <w:r>
        <w:rPr>
          <w:rFonts w:ascii="Calibri"/>
          <w:spacing w:val="-2"/>
          <w:sz w:val="16"/>
        </w:rPr>
        <w:t xml:space="preserve"> </w:t>
      </w:r>
      <w:r>
        <w:rPr>
          <w:rFonts w:ascii="Calibri"/>
          <w:sz w:val="16"/>
        </w:rPr>
        <w:t>(i.e.</w:t>
      </w:r>
      <w:r>
        <w:rPr>
          <w:rFonts w:ascii="Calibri"/>
          <w:spacing w:val="-3"/>
          <w:sz w:val="16"/>
        </w:rPr>
        <w:t xml:space="preserve"> </w:t>
      </w:r>
      <w:r>
        <w:rPr>
          <w:rFonts w:ascii="Calibri"/>
          <w:sz w:val="16"/>
        </w:rPr>
        <w:t>consultations,</w:t>
      </w:r>
      <w:r>
        <w:rPr>
          <w:rFonts w:ascii="Calibri"/>
          <w:spacing w:val="-3"/>
          <w:sz w:val="16"/>
        </w:rPr>
        <w:t xml:space="preserve"> </w:t>
      </w:r>
      <w:r>
        <w:rPr>
          <w:rFonts w:ascii="Calibri"/>
          <w:sz w:val="16"/>
        </w:rPr>
        <w:t>home</w:t>
      </w:r>
      <w:r>
        <w:rPr>
          <w:rFonts w:ascii="Calibri"/>
          <w:spacing w:val="-4"/>
          <w:sz w:val="16"/>
        </w:rPr>
        <w:t xml:space="preserve"> </w:t>
      </w:r>
      <w:r>
        <w:rPr>
          <w:rFonts w:ascii="Calibri"/>
          <w:sz w:val="16"/>
        </w:rPr>
        <w:t>visits,</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procedures)</w:t>
      </w:r>
    </w:p>
    <w:p w:rsidR="006A18FD" w:rsidRDefault="002D29FC" w:rsidP="008E3FA8">
      <w:pPr>
        <w:numPr>
          <w:ilvl w:val="0"/>
          <w:numId w:val="11"/>
        </w:numPr>
        <w:tabs>
          <w:tab w:val="left" w:pos="317"/>
        </w:tabs>
        <w:spacing w:before="1"/>
        <w:ind w:right="171" w:firstLine="0"/>
        <w:rPr>
          <w:rFonts w:ascii="Calibri" w:hAnsi="Calibri"/>
          <w:sz w:val="16"/>
        </w:rPr>
      </w:pPr>
      <w:r>
        <w:rPr>
          <w:rFonts w:ascii="Calibri" w:hAnsi="Calibri"/>
          <w:sz w:val="16"/>
        </w:rPr>
        <w:t>‘Other events’ includes all non-face-to-face entries on the EAR system that require staff time to execute, i.e. administration, telephone calls etc. Entries that were electronic and external to the practice or created by an electronically automated system (i.e. did not require staff time to execute) were excluded from this</w:t>
      </w:r>
      <w:r>
        <w:rPr>
          <w:rFonts w:ascii="Calibri" w:hAnsi="Calibri"/>
          <w:spacing w:val="-12"/>
          <w:sz w:val="16"/>
        </w:rPr>
        <w:t xml:space="preserve"> </w:t>
      </w:r>
      <w:r>
        <w:rPr>
          <w:rFonts w:ascii="Calibri" w:hAnsi="Calibri"/>
          <w:sz w:val="16"/>
        </w:rPr>
        <w:t>analysis.</w:t>
      </w:r>
    </w:p>
    <w:p w:rsidR="006A18FD" w:rsidRDefault="002D29FC" w:rsidP="008E3FA8">
      <w:pPr>
        <w:numPr>
          <w:ilvl w:val="0"/>
          <w:numId w:val="11"/>
        </w:numPr>
        <w:tabs>
          <w:tab w:val="left" w:pos="286"/>
        </w:tabs>
        <w:spacing w:line="194" w:lineRule="exact"/>
        <w:ind w:left="285" w:hanging="133"/>
        <w:rPr>
          <w:rFonts w:ascii="Calibri"/>
          <w:sz w:val="16"/>
        </w:rPr>
      </w:pPr>
      <w:r>
        <w:rPr>
          <w:rFonts w:ascii="Calibri"/>
          <w:sz w:val="16"/>
        </w:rPr>
        <w:t>Mean</w:t>
      </w:r>
      <w:r>
        <w:rPr>
          <w:rFonts w:ascii="Calibri"/>
          <w:spacing w:val="-3"/>
          <w:sz w:val="16"/>
        </w:rPr>
        <w:t xml:space="preserve"> </w:t>
      </w:r>
      <w:r>
        <w:rPr>
          <w:rFonts w:ascii="Calibri"/>
          <w:sz w:val="16"/>
        </w:rPr>
        <w:t>number</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events</w:t>
      </w:r>
      <w:r>
        <w:rPr>
          <w:rFonts w:ascii="Calibri"/>
          <w:spacing w:val="-1"/>
          <w:sz w:val="16"/>
        </w:rPr>
        <w:t xml:space="preserve"> </w:t>
      </w:r>
      <w:r>
        <w:rPr>
          <w:rFonts w:ascii="Calibri"/>
          <w:sz w:val="16"/>
        </w:rPr>
        <w:t>includes</w:t>
      </w:r>
      <w:r>
        <w:rPr>
          <w:rFonts w:ascii="Calibri"/>
          <w:spacing w:val="-1"/>
          <w:sz w:val="16"/>
        </w:rPr>
        <w:t xml:space="preserve"> </w:t>
      </w:r>
      <w:r>
        <w:rPr>
          <w:rFonts w:ascii="Calibri"/>
          <w:sz w:val="16"/>
        </w:rPr>
        <w:t>only</w:t>
      </w:r>
      <w:r>
        <w:rPr>
          <w:rFonts w:ascii="Calibri"/>
          <w:spacing w:val="-3"/>
          <w:sz w:val="16"/>
        </w:rPr>
        <w:t xml:space="preserve"> </w:t>
      </w:r>
      <w:r>
        <w:rPr>
          <w:rFonts w:ascii="Calibri"/>
          <w:sz w:val="16"/>
        </w:rPr>
        <w:t>face-to-face</w:t>
      </w:r>
      <w:r>
        <w:rPr>
          <w:rFonts w:ascii="Calibri"/>
          <w:spacing w:val="-3"/>
          <w:sz w:val="16"/>
        </w:rPr>
        <w:t xml:space="preserve"> </w:t>
      </w:r>
      <w:r>
        <w:rPr>
          <w:rFonts w:ascii="Calibri"/>
          <w:sz w:val="16"/>
        </w:rPr>
        <w:t>contacts</w:t>
      </w:r>
      <w:r>
        <w:rPr>
          <w:rFonts w:ascii="Calibri"/>
          <w:spacing w:val="-3"/>
          <w:sz w:val="16"/>
        </w:rPr>
        <w:t xml:space="preserve"> </w:t>
      </w:r>
      <w:r>
        <w:rPr>
          <w:rFonts w:ascii="Calibri"/>
          <w:sz w:val="16"/>
        </w:rPr>
        <w:t>across</w:t>
      </w:r>
      <w:r>
        <w:rPr>
          <w:rFonts w:ascii="Calibri"/>
          <w:spacing w:val="-3"/>
          <w:sz w:val="16"/>
        </w:rPr>
        <w:t xml:space="preserve"> </w:t>
      </w:r>
      <w:r>
        <w:rPr>
          <w:rFonts w:ascii="Calibri"/>
          <w:sz w:val="16"/>
        </w:rPr>
        <w:t>all</w:t>
      </w:r>
      <w:r>
        <w:rPr>
          <w:rFonts w:ascii="Calibri"/>
          <w:spacing w:val="-3"/>
          <w:sz w:val="16"/>
        </w:rPr>
        <w:t xml:space="preserve"> </w:t>
      </w:r>
      <w:r>
        <w:rPr>
          <w:rFonts w:ascii="Calibri"/>
          <w:sz w:val="16"/>
        </w:rPr>
        <w:t>services</w:t>
      </w:r>
      <w:r>
        <w:rPr>
          <w:rFonts w:ascii="Calibri"/>
          <w:spacing w:val="-3"/>
          <w:sz w:val="16"/>
        </w:rPr>
        <w:t xml:space="preserve"> </w:t>
      </w:r>
      <w:r>
        <w:rPr>
          <w:rFonts w:ascii="Calibri"/>
          <w:sz w:val="16"/>
        </w:rPr>
        <w:t>apart</w:t>
      </w:r>
      <w:r>
        <w:rPr>
          <w:rFonts w:ascii="Calibri"/>
          <w:spacing w:val="-3"/>
          <w:sz w:val="16"/>
        </w:rPr>
        <w:t xml:space="preserve"> </w:t>
      </w:r>
      <w:r>
        <w:rPr>
          <w:rFonts w:ascii="Calibri"/>
          <w:sz w:val="16"/>
        </w:rPr>
        <w:t>from</w:t>
      </w:r>
      <w:r>
        <w:rPr>
          <w:rFonts w:ascii="Calibri"/>
          <w:spacing w:val="-1"/>
          <w:sz w:val="16"/>
        </w:rPr>
        <w:t xml:space="preserve"> </w:t>
      </w:r>
      <w:r>
        <w:rPr>
          <w:rFonts w:ascii="Calibri"/>
          <w:sz w:val="16"/>
        </w:rPr>
        <w:t>mental</w:t>
      </w:r>
      <w:r>
        <w:rPr>
          <w:rFonts w:ascii="Calibri"/>
          <w:spacing w:val="-4"/>
          <w:sz w:val="16"/>
        </w:rPr>
        <w:t xml:space="preserve"> </w:t>
      </w:r>
      <w:r>
        <w:rPr>
          <w:rFonts w:ascii="Calibri"/>
          <w:sz w:val="16"/>
        </w:rPr>
        <w:t>health</w:t>
      </w:r>
      <w:r>
        <w:rPr>
          <w:rFonts w:ascii="Calibri"/>
          <w:spacing w:val="-3"/>
          <w:sz w:val="16"/>
        </w:rPr>
        <w:t xml:space="preserve"> </w:t>
      </w:r>
      <w:r>
        <w:rPr>
          <w:rFonts w:ascii="Calibri"/>
          <w:sz w:val="16"/>
        </w:rPr>
        <w:t>care</w:t>
      </w:r>
      <w:r>
        <w:rPr>
          <w:rFonts w:ascii="Calibri"/>
          <w:spacing w:val="-1"/>
          <w:sz w:val="16"/>
        </w:rPr>
        <w:t xml:space="preserve"> </w:t>
      </w:r>
      <w:r>
        <w:rPr>
          <w:rFonts w:ascii="Calibri"/>
          <w:sz w:val="16"/>
        </w:rPr>
        <w:t>(see</w:t>
      </w:r>
      <w:r>
        <w:rPr>
          <w:rFonts w:ascii="Calibri"/>
          <w:spacing w:val="-3"/>
          <w:sz w:val="16"/>
        </w:rPr>
        <w:t xml:space="preserve"> </w:t>
      </w:r>
      <w:r>
        <w:rPr>
          <w:rFonts w:ascii="Calibri"/>
          <w:sz w:val="16"/>
        </w:rPr>
        <w:t>also</w:t>
      </w:r>
      <w:r>
        <w:rPr>
          <w:rFonts w:ascii="Calibri"/>
          <w:spacing w:val="-4"/>
          <w:sz w:val="16"/>
        </w:rPr>
        <w:t xml:space="preserve"> </w:t>
      </w:r>
      <w:r>
        <w:rPr>
          <w:rFonts w:ascii="Calibri"/>
          <w:sz w:val="16"/>
        </w:rPr>
        <w:t>point</w:t>
      </w:r>
      <w:r>
        <w:rPr>
          <w:rFonts w:ascii="Calibri"/>
          <w:spacing w:val="-4"/>
          <w:sz w:val="16"/>
        </w:rPr>
        <w:t xml:space="preserve"> </w:t>
      </w:r>
      <w:r>
        <w:rPr>
          <w:rFonts w:ascii="Calibri"/>
          <w:sz w:val="16"/>
        </w:rPr>
        <w:t>(d))</w:t>
      </w:r>
    </w:p>
    <w:p w:rsidR="006A18FD" w:rsidRDefault="006A18FD">
      <w:pPr>
        <w:rPr>
          <w:rFonts w:ascii="Calibri"/>
          <w:sz w:val="16"/>
        </w:rPr>
      </w:pPr>
    </w:p>
    <w:p w:rsidR="006A18FD" w:rsidRDefault="006A18FD">
      <w:pPr>
        <w:spacing w:before="3"/>
        <w:rPr>
          <w:rFonts w:ascii="Calibri"/>
        </w:rPr>
      </w:pPr>
    </w:p>
    <w:p w:rsidR="006A18FD" w:rsidRDefault="002D29FC">
      <w:pPr>
        <w:spacing w:line="276" w:lineRule="auto"/>
        <w:ind w:left="152" w:right="255"/>
        <w:rPr>
          <w:rFonts w:ascii="Calibri"/>
          <w:sz w:val="20"/>
        </w:rPr>
      </w:pPr>
      <w:r>
        <w:rPr>
          <w:rFonts w:ascii="Calibri"/>
          <w:sz w:val="20"/>
        </w:rPr>
        <w:t>The figures presented in Table 2 are mean costs by service and mean total cost across services for patients described as high-cost patients. A high-cost patient represents the top 25 per cent of most costly patients, based on their overall health and social care cost (including primary care) where data were available.</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54"/>
        <w:ind w:left="436" w:right="195" w:hanging="284"/>
        <w:rPr>
          <w:rFonts w:ascii="Calibri"/>
          <w:sz w:val="18"/>
        </w:rPr>
      </w:pPr>
      <w:r>
        <w:rPr>
          <w:rFonts w:ascii="Calibri"/>
          <w:position w:val="5"/>
          <w:sz w:val="10"/>
        </w:rPr>
        <w:t xml:space="preserve">1 </w:t>
      </w:r>
      <w:r>
        <w:rPr>
          <w:rFonts w:ascii="Calibri"/>
          <w:sz w:val="18"/>
        </w:rPr>
        <w:t xml:space="preserve">Franklin, M., Berdunov, V., Edmans, J., Conroy, S., Gladman, J. Tanajewski, L., Gkountouras, G. &amp; Elliott, R. (2014) Identifying patient- level health and social care costs for older adults discharged from acute medical units in England, </w:t>
      </w:r>
      <w:r>
        <w:rPr>
          <w:rFonts w:ascii="Calibri"/>
          <w:i/>
          <w:sz w:val="18"/>
        </w:rPr>
        <w:t>Age and Ageing</w:t>
      </w:r>
      <w:r>
        <w:rPr>
          <w:rFonts w:ascii="Calibri"/>
          <w:sz w:val="18"/>
        </w:rPr>
        <w:t>, 43, 703-707.</w:t>
      </w:r>
    </w:p>
    <w:p w:rsidR="006A18FD" w:rsidRDefault="006A18FD">
      <w:pPr>
        <w:rPr>
          <w:rFonts w:ascii="Calibri"/>
          <w:sz w:val="18"/>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4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48" name="Line 10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0F603F" id="Group 10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PdvF2p/AgAAgQUA&#10;AA4AAAAAAAAAAAAAAAAALgIAAGRycy9lMm9Eb2MueG1sUEsBAi0AFAAGAAgAAAAhAC135FzaAAAA&#10;BAEAAA8AAAAAAAAAAAAAAAAA2QQAAGRycy9kb3ducmV2LnhtbFBLBQYAAAAABAAEAPMAAADgBQAA&#10;AAA=&#10;">
                <v:line id="Line 10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w10:anchorlock/>
              </v:group>
            </w:pict>
          </mc:Fallback>
        </mc:AlternateContent>
      </w:r>
    </w:p>
    <w:p w:rsidR="006A18FD" w:rsidRDefault="002D29FC">
      <w:pPr>
        <w:spacing w:line="276" w:lineRule="auto"/>
        <w:ind w:left="140" w:right="360"/>
        <w:rPr>
          <w:rFonts w:ascii="Calibri" w:hAnsi="Calibri"/>
          <w:sz w:val="20"/>
        </w:rPr>
      </w:pPr>
      <w:r>
        <w:rPr>
          <w:rFonts w:ascii="Calibri" w:hAnsi="Calibri"/>
          <w:sz w:val="20"/>
        </w:rPr>
        <w:t>The mean cost for these high cost patients across all services excluding primary care was £6,419, and £6,818 when including primary care. These mean costs for high-cost patients are approximately three times higher than the mean cost estimates for all patients discharged from AMU shown in Table 1 (mean total cost excluding primary care: £6,419 versus</w:t>
      </w:r>
    </w:p>
    <w:p w:rsidR="006A18FD" w:rsidRDefault="002D29FC">
      <w:pPr>
        <w:ind w:left="140"/>
        <w:rPr>
          <w:rFonts w:ascii="Calibri" w:hAnsi="Calibri"/>
          <w:sz w:val="20"/>
        </w:rPr>
      </w:pPr>
      <w:r>
        <w:rPr>
          <w:rFonts w:ascii="Calibri" w:hAnsi="Calibri"/>
          <w:sz w:val="20"/>
        </w:rPr>
        <w:t>£1,980; mean total cost including primary care: £6,818 versus £2,232).</w:t>
      </w:r>
    </w:p>
    <w:p w:rsidR="006A18FD" w:rsidRDefault="002D29FC">
      <w:pPr>
        <w:spacing w:before="154"/>
        <w:ind w:left="142"/>
        <w:rPr>
          <w:rFonts w:ascii="Cambria"/>
          <w:b/>
          <w:sz w:val="20"/>
        </w:rPr>
      </w:pPr>
      <w:r>
        <w:rPr>
          <w:rFonts w:ascii="Cambria"/>
          <w:b/>
          <w:sz w:val="20"/>
        </w:rPr>
        <w:t>Table 2 High-cost patients discharged from AMU (top 25% of most costly patients)</w:t>
      </w:r>
    </w:p>
    <w:p w:rsidR="006A18FD" w:rsidRDefault="006A18FD">
      <w:pPr>
        <w:rPr>
          <w:rFonts w:ascii="Cambria"/>
          <w:b/>
          <w:sz w:val="20"/>
        </w:rPr>
      </w:pPr>
    </w:p>
    <w:p w:rsidR="006A18FD" w:rsidRDefault="006A18FD">
      <w:pPr>
        <w:spacing w:before="7" w:after="1"/>
        <w:rPr>
          <w:rFonts w:ascii="Cambria"/>
          <w:b/>
          <w:sz w:val="24"/>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3807"/>
        <w:gridCol w:w="3269"/>
      </w:tblGrid>
      <w:tr w:rsidR="006A18FD" w:rsidTr="00E2663F">
        <w:trPr>
          <w:trHeight w:val="440"/>
          <w:tblHeader/>
        </w:trPr>
        <w:tc>
          <w:tcPr>
            <w:tcW w:w="2976" w:type="dxa"/>
          </w:tcPr>
          <w:p w:rsidR="006A18FD" w:rsidRDefault="006A18FD">
            <w:pPr>
              <w:rPr>
                <w:rFonts w:ascii="Times New Roman"/>
                <w:sz w:val="16"/>
              </w:rPr>
            </w:pPr>
          </w:p>
        </w:tc>
        <w:tc>
          <w:tcPr>
            <w:tcW w:w="3807" w:type="dxa"/>
          </w:tcPr>
          <w:p w:rsidR="006A18FD" w:rsidRDefault="002D29FC">
            <w:pPr>
              <w:spacing w:before="1" w:line="220" w:lineRule="atLeast"/>
              <w:ind w:left="103" w:right="102"/>
              <w:rPr>
                <w:rFonts w:ascii="Calibri"/>
                <w:b/>
                <w:sz w:val="12"/>
              </w:rPr>
            </w:pPr>
            <w:r>
              <w:rPr>
                <w:rFonts w:ascii="Calibri"/>
                <w:b/>
                <w:sz w:val="18"/>
              </w:rPr>
              <w:t>No. of high-cost service users, (mean number of events per service user) (n = 63)</w:t>
            </w:r>
            <w:r>
              <w:rPr>
                <w:rFonts w:ascii="Calibri"/>
                <w:b/>
                <w:position w:val="5"/>
                <w:sz w:val="12"/>
              </w:rPr>
              <w:t>(a)</w:t>
            </w:r>
          </w:p>
        </w:tc>
        <w:tc>
          <w:tcPr>
            <w:tcW w:w="3269" w:type="dxa"/>
          </w:tcPr>
          <w:p w:rsidR="006A18FD" w:rsidRDefault="002D29FC">
            <w:pPr>
              <w:spacing w:before="1" w:line="220" w:lineRule="atLeast"/>
              <w:ind w:left="102" w:right="420"/>
              <w:rPr>
                <w:rFonts w:ascii="Calibri"/>
                <w:b/>
                <w:sz w:val="18"/>
              </w:rPr>
            </w:pPr>
            <w:r>
              <w:rPr>
                <w:rFonts w:ascii="Calibri"/>
                <w:b/>
                <w:sz w:val="18"/>
              </w:rPr>
              <w:t>Mean (SD) cost per high cost patient (n = 63)</w:t>
            </w:r>
          </w:p>
        </w:tc>
      </w:tr>
      <w:tr w:rsidR="006A18FD">
        <w:trPr>
          <w:trHeight w:val="220"/>
        </w:trPr>
        <w:tc>
          <w:tcPr>
            <w:tcW w:w="2976" w:type="dxa"/>
            <w:tcBorders>
              <w:bottom w:val="nil"/>
            </w:tcBorders>
          </w:tcPr>
          <w:p w:rsidR="006A18FD" w:rsidRDefault="002D29FC">
            <w:pPr>
              <w:spacing w:line="213" w:lineRule="exact"/>
              <w:ind w:left="102"/>
              <w:rPr>
                <w:rFonts w:ascii="Calibri"/>
                <w:sz w:val="18"/>
              </w:rPr>
            </w:pPr>
            <w:r>
              <w:rPr>
                <w:rFonts w:ascii="Calibri"/>
                <w:sz w:val="18"/>
              </w:rPr>
              <w:t>Hospital care</w:t>
            </w:r>
          </w:p>
        </w:tc>
        <w:tc>
          <w:tcPr>
            <w:tcW w:w="3807" w:type="dxa"/>
            <w:tcBorders>
              <w:bottom w:val="nil"/>
            </w:tcBorders>
          </w:tcPr>
          <w:p w:rsidR="006A18FD" w:rsidRDefault="002D29FC">
            <w:pPr>
              <w:spacing w:line="213" w:lineRule="exact"/>
              <w:ind w:left="1705" w:right="686"/>
              <w:jc w:val="center"/>
              <w:rPr>
                <w:rFonts w:ascii="Calibri"/>
                <w:sz w:val="18"/>
              </w:rPr>
            </w:pPr>
            <w:r>
              <w:rPr>
                <w:rFonts w:ascii="Calibri"/>
                <w:sz w:val="18"/>
              </w:rPr>
              <w:t>62 (6)</w:t>
            </w:r>
          </w:p>
        </w:tc>
        <w:tc>
          <w:tcPr>
            <w:tcW w:w="3269" w:type="dxa"/>
            <w:tcBorders>
              <w:bottom w:val="nil"/>
            </w:tcBorders>
          </w:tcPr>
          <w:p w:rsidR="006A18FD" w:rsidRDefault="002D29FC">
            <w:pPr>
              <w:spacing w:line="213" w:lineRule="exact"/>
              <w:ind w:right="682"/>
              <w:jc w:val="right"/>
              <w:rPr>
                <w:rFonts w:ascii="Calibri" w:hAnsi="Calibri"/>
                <w:sz w:val="18"/>
              </w:rPr>
            </w:pPr>
            <w:r>
              <w:rPr>
                <w:rFonts w:ascii="Calibri" w:hAnsi="Calibri"/>
                <w:sz w:val="18"/>
              </w:rPr>
              <w:t>£5,417(£4,772)</w:t>
            </w:r>
          </w:p>
        </w:tc>
      </w:tr>
      <w:tr w:rsidR="006A18FD">
        <w:trPr>
          <w:trHeight w:val="220"/>
        </w:trPr>
        <w:tc>
          <w:tcPr>
            <w:tcW w:w="2976" w:type="dxa"/>
            <w:tcBorders>
              <w:top w:val="nil"/>
              <w:bottom w:val="nil"/>
            </w:tcBorders>
          </w:tcPr>
          <w:p w:rsidR="006A18FD" w:rsidRDefault="002D29FC">
            <w:pPr>
              <w:spacing w:line="202" w:lineRule="exact"/>
              <w:ind w:left="225"/>
              <w:rPr>
                <w:rFonts w:ascii="Calibri"/>
                <w:b/>
                <w:sz w:val="12"/>
              </w:rPr>
            </w:pPr>
            <w:r>
              <w:rPr>
                <w:rFonts w:ascii="Calibri"/>
                <w:sz w:val="18"/>
              </w:rPr>
              <w:t xml:space="preserve">Inpatient care </w:t>
            </w:r>
            <w:r>
              <w:rPr>
                <w:rFonts w:ascii="Calibri"/>
                <w:b/>
                <w:position w:val="5"/>
                <w:sz w:val="12"/>
              </w:rPr>
              <w:t>(b)</w:t>
            </w:r>
          </w:p>
        </w:tc>
        <w:tc>
          <w:tcPr>
            <w:tcW w:w="3807" w:type="dxa"/>
            <w:tcBorders>
              <w:top w:val="nil"/>
              <w:bottom w:val="nil"/>
            </w:tcBorders>
          </w:tcPr>
          <w:p w:rsidR="006A18FD" w:rsidRDefault="002D29FC">
            <w:pPr>
              <w:spacing w:line="202" w:lineRule="exact"/>
              <w:ind w:left="1705" w:right="686"/>
              <w:jc w:val="center"/>
              <w:rPr>
                <w:rFonts w:ascii="Calibri"/>
                <w:sz w:val="18"/>
              </w:rPr>
            </w:pPr>
            <w:r>
              <w:rPr>
                <w:rFonts w:ascii="Calibri"/>
                <w:sz w:val="18"/>
              </w:rPr>
              <w:t>52 (3)</w:t>
            </w:r>
          </w:p>
        </w:tc>
        <w:tc>
          <w:tcPr>
            <w:tcW w:w="3269" w:type="dxa"/>
            <w:tcBorders>
              <w:top w:val="nil"/>
              <w:bottom w:val="nil"/>
            </w:tcBorders>
          </w:tcPr>
          <w:p w:rsidR="006A18FD" w:rsidRDefault="002D29FC">
            <w:pPr>
              <w:spacing w:line="202" w:lineRule="exact"/>
              <w:ind w:right="682"/>
              <w:jc w:val="right"/>
              <w:rPr>
                <w:rFonts w:ascii="Calibri" w:hAnsi="Calibri"/>
                <w:sz w:val="18"/>
              </w:rPr>
            </w:pPr>
            <w:r>
              <w:rPr>
                <w:rFonts w:ascii="Calibri" w:hAnsi="Calibri"/>
                <w:sz w:val="18"/>
              </w:rPr>
              <w:t>£4,208(£4,867)</w:t>
            </w:r>
          </w:p>
        </w:tc>
      </w:tr>
      <w:tr w:rsidR="006A18FD">
        <w:trPr>
          <w:trHeight w:val="200"/>
        </w:trPr>
        <w:tc>
          <w:tcPr>
            <w:tcW w:w="2976" w:type="dxa"/>
            <w:tcBorders>
              <w:top w:val="nil"/>
              <w:bottom w:val="nil"/>
            </w:tcBorders>
          </w:tcPr>
          <w:p w:rsidR="006A18FD" w:rsidRDefault="002D29FC">
            <w:pPr>
              <w:spacing w:line="200" w:lineRule="exact"/>
              <w:ind w:left="225"/>
              <w:rPr>
                <w:rFonts w:ascii="Calibri"/>
                <w:sz w:val="18"/>
              </w:rPr>
            </w:pPr>
            <w:r>
              <w:rPr>
                <w:rFonts w:ascii="Calibri"/>
                <w:sz w:val="18"/>
              </w:rPr>
              <w:t>Day case care</w:t>
            </w:r>
          </w:p>
        </w:tc>
        <w:tc>
          <w:tcPr>
            <w:tcW w:w="3807" w:type="dxa"/>
            <w:tcBorders>
              <w:top w:val="nil"/>
              <w:bottom w:val="nil"/>
            </w:tcBorders>
          </w:tcPr>
          <w:p w:rsidR="006A18FD" w:rsidRDefault="002D29FC">
            <w:pPr>
              <w:spacing w:line="200" w:lineRule="exact"/>
              <w:ind w:left="1705" w:right="686"/>
              <w:jc w:val="center"/>
              <w:rPr>
                <w:rFonts w:ascii="Calibri"/>
                <w:sz w:val="18"/>
              </w:rPr>
            </w:pPr>
            <w:r>
              <w:rPr>
                <w:rFonts w:ascii="Calibri"/>
                <w:sz w:val="18"/>
              </w:rPr>
              <w:t>24 (1)</w:t>
            </w:r>
          </w:p>
        </w:tc>
        <w:tc>
          <w:tcPr>
            <w:tcW w:w="3269" w:type="dxa"/>
            <w:tcBorders>
              <w:top w:val="nil"/>
              <w:bottom w:val="nil"/>
            </w:tcBorders>
          </w:tcPr>
          <w:p w:rsidR="006A18FD" w:rsidRDefault="002D29FC">
            <w:pPr>
              <w:spacing w:line="200" w:lineRule="exact"/>
              <w:ind w:right="733"/>
              <w:jc w:val="right"/>
              <w:rPr>
                <w:rFonts w:ascii="Calibri" w:hAnsi="Calibri"/>
                <w:sz w:val="18"/>
              </w:rPr>
            </w:pPr>
            <w:r>
              <w:rPr>
                <w:rFonts w:ascii="Calibri" w:hAnsi="Calibri"/>
                <w:sz w:val="18"/>
              </w:rPr>
              <w:t>£501 (£812)</w:t>
            </w:r>
          </w:p>
        </w:tc>
      </w:tr>
      <w:tr w:rsidR="006A18FD">
        <w:trPr>
          <w:trHeight w:val="200"/>
        </w:trPr>
        <w:tc>
          <w:tcPr>
            <w:tcW w:w="2976" w:type="dxa"/>
            <w:tcBorders>
              <w:top w:val="nil"/>
              <w:bottom w:val="nil"/>
            </w:tcBorders>
          </w:tcPr>
          <w:p w:rsidR="006A18FD" w:rsidRDefault="002D29FC">
            <w:pPr>
              <w:spacing w:line="197" w:lineRule="exact"/>
              <w:ind w:left="225"/>
              <w:rPr>
                <w:rFonts w:ascii="Calibri"/>
                <w:sz w:val="18"/>
              </w:rPr>
            </w:pPr>
            <w:r>
              <w:rPr>
                <w:rFonts w:ascii="Calibri"/>
                <w:sz w:val="18"/>
              </w:rPr>
              <w:t>Outpatient care</w:t>
            </w:r>
          </w:p>
        </w:tc>
        <w:tc>
          <w:tcPr>
            <w:tcW w:w="3807" w:type="dxa"/>
            <w:tcBorders>
              <w:top w:val="nil"/>
              <w:bottom w:val="nil"/>
            </w:tcBorders>
          </w:tcPr>
          <w:p w:rsidR="006A18FD" w:rsidRDefault="002D29FC">
            <w:pPr>
              <w:spacing w:line="197" w:lineRule="exact"/>
              <w:ind w:left="1705" w:right="686"/>
              <w:jc w:val="center"/>
              <w:rPr>
                <w:rFonts w:ascii="Calibri"/>
                <w:sz w:val="18"/>
              </w:rPr>
            </w:pPr>
            <w:r>
              <w:rPr>
                <w:rFonts w:ascii="Calibri"/>
                <w:sz w:val="18"/>
              </w:rPr>
              <w:t>61 (4)</w:t>
            </w:r>
          </w:p>
        </w:tc>
        <w:tc>
          <w:tcPr>
            <w:tcW w:w="3269" w:type="dxa"/>
            <w:tcBorders>
              <w:top w:val="nil"/>
              <w:bottom w:val="nil"/>
            </w:tcBorders>
          </w:tcPr>
          <w:p w:rsidR="006A18FD" w:rsidRDefault="002D29FC">
            <w:pPr>
              <w:spacing w:line="197" w:lineRule="exact"/>
              <w:ind w:right="733"/>
              <w:jc w:val="right"/>
              <w:rPr>
                <w:rFonts w:ascii="Calibri" w:hAnsi="Calibri"/>
                <w:sz w:val="18"/>
              </w:rPr>
            </w:pPr>
            <w:r>
              <w:rPr>
                <w:rFonts w:ascii="Calibri" w:hAnsi="Calibri"/>
                <w:sz w:val="18"/>
              </w:rPr>
              <w:t>£647 (£390)</w:t>
            </w:r>
          </w:p>
        </w:tc>
      </w:tr>
      <w:tr w:rsidR="006A18FD">
        <w:trPr>
          <w:trHeight w:val="200"/>
        </w:trPr>
        <w:tc>
          <w:tcPr>
            <w:tcW w:w="2976" w:type="dxa"/>
            <w:tcBorders>
              <w:top w:val="nil"/>
            </w:tcBorders>
          </w:tcPr>
          <w:p w:rsidR="006A18FD" w:rsidRDefault="002D29FC">
            <w:pPr>
              <w:spacing w:line="186" w:lineRule="exact"/>
              <w:ind w:left="225"/>
              <w:rPr>
                <w:rFonts w:ascii="Calibri"/>
                <w:b/>
                <w:sz w:val="12"/>
              </w:rPr>
            </w:pPr>
            <w:r>
              <w:rPr>
                <w:rFonts w:ascii="Calibri"/>
                <w:sz w:val="18"/>
              </w:rPr>
              <w:t xml:space="preserve">Critical care </w:t>
            </w:r>
            <w:r>
              <w:rPr>
                <w:rFonts w:ascii="Calibri"/>
                <w:b/>
                <w:position w:val="5"/>
                <w:sz w:val="12"/>
              </w:rPr>
              <w:t>(c)</w:t>
            </w:r>
          </w:p>
        </w:tc>
        <w:tc>
          <w:tcPr>
            <w:tcW w:w="3807" w:type="dxa"/>
            <w:tcBorders>
              <w:top w:val="nil"/>
            </w:tcBorders>
          </w:tcPr>
          <w:p w:rsidR="006A18FD" w:rsidRDefault="002D29FC">
            <w:pPr>
              <w:spacing w:line="186" w:lineRule="exact"/>
              <w:ind w:left="1793" w:right="683"/>
              <w:jc w:val="center"/>
              <w:rPr>
                <w:rFonts w:ascii="Calibri"/>
                <w:sz w:val="18"/>
              </w:rPr>
            </w:pPr>
            <w:r>
              <w:rPr>
                <w:rFonts w:ascii="Calibri"/>
                <w:sz w:val="18"/>
              </w:rPr>
              <w:t>3 (1)</w:t>
            </w:r>
          </w:p>
        </w:tc>
        <w:tc>
          <w:tcPr>
            <w:tcW w:w="3269" w:type="dxa"/>
            <w:tcBorders>
              <w:top w:val="nil"/>
            </w:tcBorders>
          </w:tcPr>
          <w:p w:rsidR="006A18FD" w:rsidRDefault="002D29FC">
            <w:pPr>
              <w:spacing w:line="186" w:lineRule="exact"/>
              <w:ind w:right="732"/>
              <w:jc w:val="right"/>
              <w:rPr>
                <w:rFonts w:ascii="Calibri" w:hAnsi="Calibri"/>
                <w:sz w:val="18"/>
              </w:rPr>
            </w:pPr>
            <w:r>
              <w:rPr>
                <w:rFonts w:ascii="Calibri" w:hAnsi="Calibri"/>
                <w:sz w:val="18"/>
              </w:rPr>
              <w:t>£60 (£273)</w:t>
            </w:r>
          </w:p>
        </w:tc>
      </w:tr>
      <w:tr w:rsidR="006A18FD">
        <w:trPr>
          <w:trHeight w:val="220"/>
        </w:trPr>
        <w:tc>
          <w:tcPr>
            <w:tcW w:w="2976" w:type="dxa"/>
          </w:tcPr>
          <w:p w:rsidR="006A18FD" w:rsidRDefault="002D29FC">
            <w:pPr>
              <w:spacing w:before="1" w:line="199" w:lineRule="exact"/>
              <w:ind w:left="102"/>
              <w:rPr>
                <w:rFonts w:ascii="Calibri"/>
                <w:sz w:val="18"/>
              </w:rPr>
            </w:pPr>
            <w:r>
              <w:rPr>
                <w:rFonts w:ascii="Calibri"/>
                <w:sz w:val="18"/>
              </w:rPr>
              <w:t>Ambulance service</w:t>
            </w:r>
          </w:p>
        </w:tc>
        <w:tc>
          <w:tcPr>
            <w:tcW w:w="3807" w:type="dxa"/>
          </w:tcPr>
          <w:p w:rsidR="006A18FD" w:rsidRDefault="002D29FC">
            <w:pPr>
              <w:spacing w:before="1" w:line="199" w:lineRule="exact"/>
              <w:ind w:left="1793" w:right="683"/>
              <w:jc w:val="center"/>
              <w:rPr>
                <w:rFonts w:ascii="Calibri"/>
                <w:sz w:val="18"/>
              </w:rPr>
            </w:pPr>
            <w:r>
              <w:rPr>
                <w:rFonts w:ascii="Calibri"/>
                <w:sz w:val="18"/>
              </w:rPr>
              <w:t>5 (2)</w:t>
            </w:r>
          </w:p>
        </w:tc>
        <w:tc>
          <w:tcPr>
            <w:tcW w:w="3269" w:type="dxa"/>
          </w:tcPr>
          <w:p w:rsidR="006A18FD" w:rsidRDefault="002D29FC">
            <w:pPr>
              <w:spacing w:before="1" w:line="199" w:lineRule="exact"/>
              <w:ind w:right="732"/>
              <w:jc w:val="right"/>
              <w:rPr>
                <w:rFonts w:ascii="Calibri" w:hAnsi="Calibri"/>
                <w:sz w:val="18"/>
              </w:rPr>
            </w:pPr>
            <w:r>
              <w:rPr>
                <w:rFonts w:ascii="Calibri" w:hAnsi="Calibri"/>
                <w:sz w:val="18"/>
              </w:rPr>
              <w:t>£34 (£130)</w:t>
            </w:r>
          </w:p>
        </w:tc>
      </w:tr>
      <w:tr w:rsidR="006A18FD">
        <w:trPr>
          <w:trHeight w:val="200"/>
        </w:trPr>
        <w:tc>
          <w:tcPr>
            <w:tcW w:w="2976" w:type="dxa"/>
          </w:tcPr>
          <w:p w:rsidR="006A18FD" w:rsidRDefault="002D29FC">
            <w:pPr>
              <w:spacing w:line="199" w:lineRule="exact"/>
              <w:ind w:left="102"/>
              <w:rPr>
                <w:rFonts w:ascii="Calibri"/>
                <w:sz w:val="18"/>
              </w:rPr>
            </w:pPr>
            <w:r>
              <w:rPr>
                <w:rFonts w:ascii="Calibri"/>
                <w:sz w:val="18"/>
              </w:rPr>
              <w:t>Intermediate care</w:t>
            </w:r>
          </w:p>
        </w:tc>
        <w:tc>
          <w:tcPr>
            <w:tcW w:w="3807" w:type="dxa"/>
          </w:tcPr>
          <w:p w:rsidR="006A18FD" w:rsidRDefault="002D29FC">
            <w:pPr>
              <w:spacing w:line="199" w:lineRule="exact"/>
              <w:ind w:left="1793" w:right="686"/>
              <w:jc w:val="center"/>
              <w:rPr>
                <w:rFonts w:ascii="Calibri"/>
                <w:sz w:val="18"/>
              </w:rPr>
            </w:pPr>
            <w:r>
              <w:rPr>
                <w:rFonts w:ascii="Calibri"/>
                <w:sz w:val="18"/>
              </w:rPr>
              <w:t>2 (not applicable)</w:t>
            </w:r>
          </w:p>
        </w:tc>
        <w:tc>
          <w:tcPr>
            <w:tcW w:w="3269" w:type="dxa"/>
          </w:tcPr>
          <w:p w:rsidR="006A18FD" w:rsidRDefault="002D29FC">
            <w:pPr>
              <w:spacing w:line="199" w:lineRule="exact"/>
              <w:ind w:right="778"/>
              <w:jc w:val="right"/>
              <w:rPr>
                <w:rFonts w:ascii="Calibri" w:hAnsi="Calibri"/>
                <w:sz w:val="18"/>
              </w:rPr>
            </w:pPr>
            <w:r>
              <w:rPr>
                <w:rFonts w:ascii="Calibri" w:hAnsi="Calibri"/>
                <w:sz w:val="18"/>
              </w:rPr>
              <w:t>£14 (£87)</w:t>
            </w:r>
          </w:p>
        </w:tc>
      </w:tr>
      <w:tr w:rsidR="006A18FD">
        <w:trPr>
          <w:trHeight w:val="220"/>
        </w:trPr>
        <w:tc>
          <w:tcPr>
            <w:tcW w:w="2976" w:type="dxa"/>
          </w:tcPr>
          <w:p w:rsidR="006A18FD" w:rsidRDefault="002D29FC">
            <w:pPr>
              <w:spacing w:before="1" w:line="199" w:lineRule="exact"/>
              <w:ind w:left="102"/>
              <w:rPr>
                <w:rFonts w:ascii="Calibri"/>
                <w:sz w:val="18"/>
              </w:rPr>
            </w:pPr>
            <w:r>
              <w:rPr>
                <w:rFonts w:ascii="Calibri"/>
                <w:sz w:val="18"/>
              </w:rPr>
              <w:t>Mental health care</w:t>
            </w:r>
          </w:p>
        </w:tc>
        <w:tc>
          <w:tcPr>
            <w:tcW w:w="3807" w:type="dxa"/>
          </w:tcPr>
          <w:p w:rsidR="006A18FD" w:rsidRDefault="002D29FC">
            <w:pPr>
              <w:spacing w:before="1" w:line="199" w:lineRule="exact"/>
              <w:ind w:left="1705" w:right="686"/>
              <w:jc w:val="center"/>
              <w:rPr>
                <w:rFonts w:ascii="Calibri"/>
                <w:sz w:val="18"/>
              </w:rPr>
            </w:pPr>
            <w:r>
              <w:rPr>
                <w:rFonts w:ascii="Calibri"/>
                <w:sz w:val="18"/>
              </w:rPr>
              <w:t>12 (4)</w:t>
            </w:r>
          </w:p>
        </w:tc>
        <w:tc>
          <w:tcPr>
            <w:tcW w:w="3269" w:type="dxa"/>
          </w:tcPr>
          <w:p w:rsidR="006A18FD" w:rsidRDefault="002D29FC">
            <w:pPr>
              <w:spacing w:before="1" w:line="199" w:lineRule="exact"/>
              <w:ind w:right="733"/>
              <w:jc w:val="right"/>
              <w:rPr>
                <w:rFonts w:ascii="Calibri" w:hAnsi="Calibri"/>
                <w:sz w:val="18"/>
              </w:rPr>
            </w:pPr>
            <w:r>
              <w:rPr>
                <w:rFonts w:ascii="Calibri" w:hAnsi="Calibri"/>
                <w:sz w:val="18"/>
              </w:rPr>
              <w:t>£138 (£335)</w:t>
            </w:r>
          </w:p>
        </w:tc>
      </w:tr>
      <w:tr w:rsidR="006A18FD">
        <w:trPr>
          <w:trHeight w:val="220"/>
        </w:trPr>
        <w:tc>
          <w:tcPr>
            <w:tcW w:w="2976" w:type="dxa"/>
          </w:tcPr>
          <w:p w:rsidR="006A18FD" w:rsidRDefault="002D29FC">
            <w:pPr>
              <w:spacing w:before="1" w:line="199" w:lineRule="exact"/>
              <w:ind w:left="102"/>
              <w:rPr>
                <w:rFonts w:ascii="Calibri"/>
                <w:sz w:val="18"/>
              </w:rPr>
            </w:pPr>
            <w:r>
              <w:rPr>
                <w:rFonts w:ascii="Calibri"/>
                <w:sz w:val="18"/>
              </w:rPr>
              <w:t>Social care</w:t>
            </w:r>
          </w:p>
        </w:tc>
        <w:tc>
          <w:tcPr>
            <w:tcW w:w="3807" w:type="dxa"/>
          </w:tcPr>
          <w:p w:rsidR="006A18FD" w:rsidRDefault="002D29FC">
            <w:pPr>
              <w:spacing w:before="1" w:line="199" w:lineRule="exact"/>
              <w:ind w:left="1705" w:right="686"/>
              <w:jc w:val="center"/>
              <w:rPr>
                <w:rFonts w:ascii="Calibri"/>
                <w:sz w:val="18"/>
              </w:rPr>
            </w:pPr>
            <w:r>
              <w:rPr>
                <w:rFonts w:ascii="Calibri"/>
                <w:sz w:val="18"/>
              </w:rPr>
              <w:t>27 (4)</w:t>
            </w:r>
          </w:p>
        </w:tc>
        <w:tc>
          <w:tcPr>
            <w:tcW w:w="3269" w:type="dxa"/>
          </w:tcPr>
          <w:p w:rsidR="006A18FD" w:rsidRDefault="002D29FC">
            <w:pPr>
              <w:spacing w:before="1" w:line="199" w:lineRule="exact"/>
              <w:ind w:right="663"/>
              <w:jc w:val="right"/>
              <w:rPr>
                <w:rFonts w:ascii="Calibri" w:hAnsi="Calibri"/>
                <w:sz w:val="18"/>
              </w:rPr>
            </w:pPr>
            <w:r>
              <w:rPr>
                <w:rFonts w:ascii="Calibri" w:hAnsi="Calibri"/>
                <w:sz w:val="18"/>
              </w:rPr>
              <w:t>£817 (£1,807)</w:t>
            </w:r>
          </w:p>
        </w:tc>
      </w:tr>
      <w:tr w:rsidR="006A18FD">
        <w:trPr>
          <w:trHeight w:val="200"/>
        </w:trPr>
        <w:tc>
          <w:tcPr>
            <w:tcW w:w="2976" w:type="dxa"/>
          </w:tcPr>
          <w:p w:rsidR="006A18FD" w:rsidRDefault="002D29FC">
            <w:pPr>
              <w:spacing w:line="198" w:lineRule="exact"/>
              <w:ind w:left="102"/>
              <w:rPr>
                <w:rFonts w:ascii="Calibri"/>
                <w:b/>
                <w:sz w:val="18"/>
              </w:rPr>
            </w:pPr>
            <w:r>
              <w:rPr>
                <w:rFonts w:ascii="Calibri"/>
                <w:b/>
                <w:sz w:val="18"/>
              </w:rPr>
              <w:t>Total costs (excl. primary care)</w:t>
            </w:r>
          </w:p>
        </w:tc>
        <w:tc>
          <w:tcPr>
            <w:tcW w:w="3807" w:type="dxa"/>
          </w:tcPr>
          <w:p w:rsidR="006A18FD" w:rsidRDefault="002D29FC">
            <w:pPr>
              <w:spacing w:line="198" w:lineRule="exact"/>
              <w:ind w:left="1705" w:right="686"/>
              <w:jc w:val="center"/>
              <w:rPr>
                <w:rFonts w:ascii="Calibri"/>
                <w:sz w:val="18"/>
              </w:rPr>
            </w:pPr>
            <w:r>
              <w:rPr>
                <w:rFonts w:ascii="Calibri"/>
                <w:sz w:val="18"/>
              </w:rPr>
              <w:t>63 (9)</w:t>
            </w:r>
          </w:p>
        </w:tc>
        <w:tc>
          <w:tcPr>
            <w:tcW w:w="3269" w:type="dxa"/>
          </w:tcPr>
          <w:p w:rsidR="006A18FD" w:rsidRDefault="002D29FC">
            <w:pPr>
              <w:spacing w:line="198" w:lineRule="exact"/>
              <w:ind w:right="663"/>
              <w:jc w:val="right"/>
              <w:rPr>
                <w:rFonts w:ascii="Calibri" w:hAnsi="Calibri"/>
                <w:sz w:val="18"/>
              </w:rPr>
            </w:pPr>
            <w:r>
              <w:rPr>
                <w:rFonts w:ascii="Calibri" w:hAnsi="Calibri"/>
                <w:sz w:val="18"/>
              </w:rPr>
              <w:t>£6,419 (£4,860)</w:t>
            </w:r>
          </w:p>
        </w:tc>
      </w:tr>
      <w:tr w:rsidR="006A18FD">
        <w:trPr>
          <w:trHeight w:val="220"/>
        </w:trPr>
        <w:tc>
          <w:tcPr>
            <w:tcW w:w="2976" w:type="dxa"/>
            <w:tcBorders>
              <w:bottom w:val="nil"/>
            </w:tcBorders>
          </w:tcPr>
          <w:p w:rsidR="006A18FD" w:rsidRDefault="002D29FC">
            <w:pPr>
              <w:spacing w:before="1" w:line="217" w:lineRule="exact"/>
              <w:ind w:left="102"/>
              <w:rPr>
                <w:rFonts w:ascii="Calibri"/>
                <w:b/>
                <w:sz w:val="12"/>
              </w:rPr>
            </w:pPr>
            <w:r>
              <w:rPr>
                <w:rFonts w:ascii="Calibri"/>
                <w:sz w:val="18"/>
              </w:rPr>
              <w:t xml:space="preserve">Primary care </w:t>
            </w:r>
            <w:r>
              <w:rPr>
                <w:rFonts w:ascii="Calibri"/>
                <w:b/>
                <w:position w:val="5"/>
                <w:sz w:val="12"/>
              </w:rPr>
              <w:t>(d)</w:t>
            </w:r>
          </w:p>
        </w:tc>
        <w:tc>
          <w:tcPr>
            <w:tcW w:w="3807" w:type="dxa"/>
            <w:tcBorders>
              <w:bottom w:val="nil"/>
            </w:tcBorders>
          </w:tcPr>
          <w:p w:rsidR="006A18FD" w:rsidRDefault="002D29FC">
            <w:pPr>
              <w:spacing w:before="1" w:line="217" w:lineRule="exact"/>
              <w:ind w:left="1700" w:right="686"/>
              <w:jc w:val="center"/>
              <w:rPr>
                <w:rFonts w:ascii="Calibri"/>
                <w:sz w:val="18"/>
              </w:rPr>
            </w:pPr>
            <w:r>
              <w:rPr>
                <w:rFonts w:ascii="Calibri"/>
                <w:sz w:val="18"/>
              </w:rPr>
              <w:t>27 (11)</w:t>
            </w:r>
          </w:p>
        </w:tc>
        <w:tc>
          <w:tcPr>
            <w:tcW w:w="3269" w:type="dxa"/>
            <w:tcBorders>
              <w:bottom w:val="nil"/>
            </w:tcBorders>
          </w:tcPr>
          <w:p w:rsidR="006A18FD" w:rsidRDefault="002D29FC">
            <w:pPr>
              <w:spacing w:before="1" w:line="217" w:lineRule="exact"/>
              <w:ind w:right="733"/>
              <w:jc w:val="right"/>
              <w:rPr>
                <w:rFonts w:ascii="Calibri" w:hAnsi="Calibri"/>
                <w:sz w:val="18"/>
              </w:rPr>
            </w:pPr>
            <w:r>
              <w:rPr>
                <w:rFonts w:ascii="Calibri" w:hAnsi="Calibri"/>
                <w:sz w:val="18"/>
              </w:rPr>
              <w:t>£398 (£405)</w:t>
            </w:r>
          </w:p>
        </w:tc>
      </w:tr>
      <w:tr w:rsidR="006A18FD">
        <w:trPr>
          <w:trHeight w:val="200"/>
        </w:trPr>
        <w:tc>
          <w:tcPr>
            <w:tcW w:w="2976" w:type="dxa"/>
            <w:tcBorders>
              <w:top w:val="nil"/>
              <w:bottom w:val="nil"/>
            </w:tcBorders>
          </w:tcPr>
          <w:p w:rsidR="006A18FD" w:rsidRDefault="002D29FC">
            <w:pPr>
              <w:spacing w:line="200" w:lineRule="exact"/>
              <w:ind w:left="184"/>
              <w:rPr>
                <w:rFonts w:ascii="Calibri"/>
                <w:sz w:val="18"/>
              </w:rPr>
            </w:pPr>
            <w:r>
              <w:rPr>
                <w:rFonts w:ascii="Calibri"/>
                <w:sz w:val="18"/>
              </w:rPr>
              <w:t>Consultations</w:t>
            </w:r>
          </w:p>
        </w:tc>
        <w:tc>
          <w:tcPr>
            <w:tcW w:w="3807" w:type="dxa"/>
            <w:tcBorders>
              <w:top w:val="nil"/>
              <w:bottom w:val="nil"/>
            </w:tcBorders>
          </w:tcPr>
          <w:p w:rsidR="006A18FD" w:rsidRDefault="002D29FC">
            <w:pPr>
              <w:spacing w:line="200" w:lineRule="exact"/>
              <w:ind w:left="1705" w:right="686"/>
              <w:jc w:val="center"/>
              <w:rPr>
                <w:rFonts w:ascii="Calibri"/>
                <w:sz w:val="18"/>
              </w:rPr>
            </w:pPr>
            <w:r>
              <w:rPr>
                <w:rFonts w:ascii="Calibri"/>
                <w:sz w:val="18"/>
              </w:rPr>
              <w:t>26 (3)</w:t>
            </w:r>
          </w:p>
        </w:tc>
        <w:tc>
          <w:tcPr>
            <w:tcW w:w="3269" w:type="dxa"/>
            <w:tcBorders>
              <w:top w:val="nil"/>
              <w:bottom w:val="nil"/>
            </w:tcBorders>
          </w:tcPr>
          <w:p w:rsidR="006A18FD" w:rsidRDefault="002D29FC">
            <w:pPr>
              <w:spacing w:line="200" w:lineRule="exact"/>
              <w:ind w:right="778"/>
              <w:jc w:val="right"/>
              <w:rPr>
                <w:rFonts w:ascii="Calibri" w:hAnsi="Calibri"/>
                <w:sz w:val="18"/>
              </w:rPr>
            </w:pPr>
            <w:r>
              <w:rPr>
                <w:rFonts w:ascii="Calibri" w:hAnsi="Calibri"/>
                <w:sz w:val="18"/>
              </w:rPr>
              <w:t>£31 (£49)</w:t>
            </w:r>
          </w:p>
        </w:tc>
      </w:tr>
      <w:tr w:rsidR="006A18FD">
        <w:trPr>
          <w:trHeight w:val="200"/>
        </w:trPr>
        <w:tc>
          <w:tcPr>
            <w:tcW w:w="2976" w:type="dxa"/>
            <w:tcBorders>
              <w:top w:val="nil"/>
              <w:bottom w:val="nil"/>
            </w:tcBorders>
          </w:tcPr>
          <w:p w:rsidR="006A18FD" w:rsidRDefault="002D29FC">
            <w:pPr>
              <w:spacing w:line="200" w:lineRule="exact"/>
              <w:ind w:left="184"/>
              <w:rPr>
                <w:rFonts w:ascii="Calibri"/>
                <w:sz w:val="18"/>
              </w:rPr>
            </w:pPr>
            <w:r>
              <w:rPr>
                <w:rFonts w:ascii="Calibri"/>
                <w:sz w:val="18"/>
              </w:rPr>
              <w:t>Home visits</w:t>
            </w:r>
          </w:p>
        </w:tc>
        <w:tc>
          <w:tcPr>
            <w:tcW w:w="3807" w:type="dxa"/>
            <w:tcBorders>
              <w:top w:val="nil"/>
              <w:bottom w:val="nil"/>
            </w:tcBorders>
          </w:tcPr>
          <w:p w:rsidR="006A18FD" w:rsidRDefault="002D29FC">
            <w:pPr>
              <w:spacing w:line="200" w:lineRule="exact"/>
              <w:ind w:left="1700" w:right="686"/>
              <w:jc w:val="center"/>
              <w:rPr>
                <w:rFonts w:ascii="Calibri"/>
                <w:sz w:val="18"/>
              </w:rPr>
            </w:pPr>
            <w:r>
              <w:rPr>
                <w:rFonts w:ascii="Calibri"/>
                <w:sz w:val="18"/>
              </w:rPr>
              <w:t>16 (12)</w:t>
            </w:r>
          </w:p>
        </w:tc>
        <w:tc>
          <w:tcPr>
            <w:tcW w:w="3269" w:type="dxa"/>
            <w:tcBorders>
              <w:top w:val="nil"/>
              <w:bottom w:val="nil"/>
            </w:tcBorders>
          </w:tcPr>
          <w:p w:rsidR="006A18FD" w:rsidRDefault="002D29FC">
            <w:pPr>
              <w:spacing w:line="200" w:lineRule="exact"/>
              <w:ind w:right="732"/>
              <w:jc w:val="right"/>
              <w:rPr>
                <w:rFonts w:ascii="Calibri" w:hAnsi="Calibri"/>
                <w:sz w:val="18"/>
              </w:rPr>
            </w:pPr>
            <w:r>
              <w:rPr>
                <w:rFonts w:ascii="Calibri" w:hAnsi="Calibri"/>
                <w:sz w:val="18"/>
              </w:rPr>
              <w:t>£68 (£203)</w:t>
            </w:r>
          </w:p>
        </w:tc>
      </w:tr>
      <w:tr w:rsidR="006A18FD">
        <w:trPr>
          <w:trHeight w:val="200"/>
        </w:trPr>
        <w:tc>
          <w:tcPr>
            <w:tcW w:w="2976" w:type="dxa"/>
            <w:tcBorders>
              <w:top w:val="nil"/>
              <w:bottom w:val="nil"/>
            </w:tcBorders>
          </w:tcPr>
          <w:p w:rsidR="006A18FD" w:rsidRDefault="002D29FC">
            <w:pPr>
              <w:spacing w:line="197" w:lineRule="exact"/>
              <w:ind w:left="184"/>
              <w:rPr>
                <w:rFonts w:ascii="Calibri"/>
                <w:sz w:val="18"/>
              </w:rPr>
            </w:pPr>
            <w:r>
              <w:rPr>
                <w:rFonts w:ascii="Calibri"/>
                <w:sz w:val="18"/>
              </w:rPr>
              <w:t>Procedures</w:t>
            </w:r>
          </w:p>
        </w:tc>
        <w:tc>
          <w:tcPr>
            <w:tcW w:w="3807" w:type="dxa"/>
            <w:tcBorders>
              <w:top w:val="nil"/>
              <w:bottom w:val="nil"/>
            </w:tcBorders>
          </w:tcPr>
          <w:p w:rsidR="006A18FD" w:rsidRDefault="002D29FC">
            <w:pPr>
              <w:spacing w:line="197" w:lineRule="exact"/>
              <w:ind w:left="1793" w:right="683"/>
              <w:jc w:val="center"/>
              <w:rPr>
                <w:rFonts w:ascii="Calibri"/>
                <w:sz w:val="18"/>
              </w:rPr>
            </w:pPr>
            <w:r>
              <w:rPr>
                <w:rFonts w:ascii="Calibri"/>
                <w:sz w:val="18"/>
              </w:rPr>
              <w:t>4 (1)</w:t>
            </w:r>
          </w:p>
        </w:tc>
        <w:tc>
          <w:tcPr>
            <w:tcW w:w="3269" w:type="dxa"/>
            <w:tcBorders>
              <w:top w:val="nil"/>
              <w:bottom w:val="nil"/>
            </w:tcBorders>
          </w:tcPr>
          <w:p w:rsidR="006A18FD" w:rsidRDefault="002D29FC">
            <w:pPr>
              <w:spacing w:line="197" w:lineRule="exact"/>
              <w:ind w:left="1917"/>
              <w:rPr>
                <w:rFonts w:ascii="Calibri" w:hAnsi="Calibri"/>
                <w:sz w:val="18"/>
              </w:rPr>
            </w:pPr>
            <w:r>
              <w:rPr>
                <w:rFonts w:ascii="Calibri" w:hAnsi="Calibri"/>
                <w:sz w:val="18"/>
              </w:rPr>
              <w:t>£1 (£5)</w:t>
            </w:r>
          </w:p>
        </w:tc>
      </w:tr>
      <w:tr w:rsidR="006A18FD">
        <w:trPr>
          <w:trHeight w:val="220"/>
        </w:trPr>
        <w:tc>
          <w:tcPr>
            <w:tcW w:w="2976" w:type="dxa"/>
            <w:tcBorders>
              <w:top w:val="nil"/>
              <w:bottom w:val="nil"/>
            </w:tcBorders>
          </w:tcPr>
          <w:p w:rsidR="006A18FD" w:rsidRDefault="002D29FC">
            <w:pPr>
              <w:spacing w:line="202" w:lineRule="exact"/>
              <w:ind w:left="184"/>
              <w:rPr>
                <w:rFonts w:ascii="Calibri"/>
                <w:b/>
                <w:sz w:val="12"/>
              </w:rPr>
            </w:pPr>
            <w:r>
              <w:rPr>
                <w:rFonts w:ascii="Calibri"/>
                <w:sz w:val="18"/>
              </w:rPr>
              <w:t xml:space="preserve">Other events </w:t>
            </w:r>
            <w:r>
              <w:rPr>
                <w:rFonts w:ascii="Calibri"/>
                <w:b/>
                <w:position w:val="5"/>
                <w:sz w:val="12"/>
              </w:rPr>
              <w:t>(e)</w:t>
            </w:r>
          </w:p>
        </w:tc>
        <w:tc>
          <w:tcPr>
            <w:tcW w:w="3807" w:type="dxa"/>
            <w:tcBorders>
              <w:top w:val="nil"/>
              <w:bottom w:val="nil"/>
            </w:tcBorders>
          </w:tcPr>
          <w:p w:rsidR="006A18FD" w:rsidRDefault="002D29FC">
            <w:pPr>
              <w:spacing w:line="202" w:lineRule="exact"/>
              <w:ind w:left="1700" w:right="686"/>
              <w:jc w:val="center"/>
              <w:rPr>
                <w:rFonts w:ascii="Calibri"/>
                <w:sz w:val="18"/>
              </w:rPr>
            </w:pPr>
            <w:r>
              <w:rPr>
                <w:rFonts w:ascii="Calibri"/>
                <w:sz w:val="18"/>
              </w:rPr>
              <w:t>53 (28)</w:t>
            </w:r>
          </w:p>
        </w:tc>
        <w:tc>
          <w:tcPr>
            <w:tcW w:w="3269" w:type="dxa"/>
            <w:tcBorders>
              <w:top w:val="nil"/>
              <w:bottom w:val="nil"/>
            </w:tcBorders>
          </w:tcPr>
          <w:p w:rsidR="006A18FD" w:rsidRDefault="002D29FC">
            <w:pPr>
              <w:spacing w:line="202" w:lineRule="exact"/>
              <w:ind w:right="778"/>
              <w:jc w:val="right"/>
              <w:rPr>
                <w:rFonts w:ascii="Calibri" w:hAnsi="Calibri"/>
                <w:sz w:val="18"/>
              </w:rPr>
            </w:pPr>
            <w:r>
              <w:rPr>
                <w:rFonts w:ascii="Calibri" w:hAnsi="Calibri"/>
                <w:sz w:val="18"/>
              </w:rPr>
              <w:t>£87 (£82)</w:t>
            </w:r>
          </w:p>
        </w:tc>
      </w:tr>
      <w:tr w:rsidR="006A18FD">
        <w:trPr>
          <w:trHeight w:val="200"/>
        </w:trPr>
        <w:tc>
          <w:tcPr>
            <w:tcW w:w="2976" w:type="dxa"/>
            <w:tcBorders>
              <w:top w:val="nil"/>
              <w:bottom w:val="nil"/>
            </w:tcBorders>
          </w:tcPr>
          <w:p w:rsidR="006A18FD" w:rsidRDefault="002D29FC">
            <w:pPr>
              <w:spacing w:line="200" w:lineRule="exact"/>
              <w:ind w:left="184"/>
              <w:rPr>
                <w:rFonts w:ascii="Calibri"/>
                <w:sz w:val="18"/>
              </w:rPr>
            </w:pPr>
            <w:r>
              <w:rPr>
                <w:rFonts w:ascii="Calibri"/>
                <w:sz w:val="18"/>
              </w:rPr>
              <w:t>Medication</w:t>
            </w:r>
          </w:p>
        </w:tc>
        <w:tc>
          <w:tcPr>
            <w:tcW w:w="3807" w:type="dxa"/>
            <w:tcBorders>
              <w:top w:val="nil"/>
              <w:bottom w:val="nil"/>
            </w:tcBorders>
          </w:tcPr>
          <w:p w:rsidR="006A18FD" w:rsidRDefault="002D29FC">
            <w:pPr>
              <w:spacing w:line="200" w:lineRule="exact"/>
              <w:ind w:left="1700" w:right="686"/>
              <w:jc w:val="center"/>
              <w:rPr>
                <w:rFonts w:ascii="Calibri"/>
                <w:sz w:val="18"/>
              </w:rPr>
            </w:pPr>
            <w:r>
              <w:rPr>
                <w:rFonts w:ascii="Calibri"/>
                <w:sz w:val="18"/>
              </w:rPr>
              <w:t>57 (32)</w:t>
            </w:r>
          </w:p>
        </w:tc>
        <w:tc>
          <w:tcPr>
            <w:tcW w:w="3269" w:type="dxa"/>
            <w:tcBorders>
              <w:top w:val="nil"/>
              <w:bottom w:val="nil"/>
            </w:tcBorders>
          </w:tcPr>
          <w:p w:rsidR="006A18FD" w:rsidRDefault="002D29FC">
            <w:pPr>
              <w:spacing w:line="200" w:lineRule="exact"/>
              <w:ind w:right="733"/>
              <w:jc w:val="right"/>
              <w:rPr>
                <w:rFonts w:ascii="Calibri" w:hAnsi="Calibri"/>
                <w:sz w:val="18"/>
              </w:rPr>
            </w:pPr>
            <w:r>
              <w:rPr>
                <w:rFonts w:ascii="Calibri" w:hAnsi="Calibri"/>
                <w:sz w:val="18"/>
              </w:rPr>
              <w:t>£192 (£215)</w:t>
            </w:r>
          </w:p>
        </w:tc>
      </w:tr>
      <w:tr w:rsidR="006A18FD">
        <w:trPr>
          <w:trHeight w:val="200"/>
        </w:trPr>
        <w:tc>
          <w:tcPr>
            <w:tcW w:w="2976" w:type="dxa"/>
            <w:tcBorders>
              <w:top w:val="nil"/>
            </w:tcBorders>
          </w:tcPr>
          <w:p w:rsidR="006A18FD" w:rsidRDefault="002D29FC">
            <w:pPr>
              <w:spacing w:line="182" w:lineRule="exact"/>
              <w:ind w:left="184"/>
              <w:rPr>
                <w:rFonts w:ascii="Calibri"/>
                <w:sz w:val="18"/>
              </w:rPr>
            </w:pPr>
            <w:r>
              <w:rPr>
                <w:rFonts w:ascii="Calibri"/>
                <w:sz w:val="18"/>
              </w:rPr>
              <w:t>Wound dressings</w:t>
            </w:r>
          </w:p>
        </w:tc>
        <w:tc>
          <w:tcPr>
            <w:tcW w:w="3807" w:type="dxa"/>
            <w:tcBorders>
              <w:top w:val="nil"/>
            </w:tcBorders>
          </w:tcPr>
          <w:p w:rsidR="006A18FD" w:rsidRDefault="002D29FC">
            <w:pPr>
              <w:spacing w:line="182" w:lineRule="exact"/>
              <w:ind w:left="1705" w:right="686"/>
              <w:jc w:val="center"/>
              <w:rPr>
                <w:rFonts w:ascii="Calibri"/>
                <w:sz w:val="18"/>
              </w:rPr>
            </w:pPr>
            <w:r>
              <w:rPr>
                <w:rFonts w:ascii="Calibri"/>
                <w:sz w:val="18"/>
              </w:rPr>
              <w:t>22 (5)</w:t>
            </w:r>
          </w:p>
        </w:tc>
        <w:tc>
          <w:tcPr>
            <w:tcW w:w="3269" w:type="dxa"/>
            <w:tcBorders>
              <w:top w:val="nil"/>
            </w:tcBorders>
          </w:tcPr>
          <w:p w:rsidR="006A18FD" w:rsidRDefault="002D29FC">
            <w:pPr>
              <w:spacing w:line="182" w:lineRule="exact"/>
              <w:ind w:right="778"/>
              <w:jc w:val="right"/>
              <w:rPr>
                <w:rFonts w:ascii="Calibri" w:hAnsi="Calibri"/>
                <w:sz w:val="18"/>
              </w:rPr>
            </w:pPr>
            <w:r>
              <w:rPr>
                <w:rFonts w:ascii="Calibri" w:hAnsi="Calibri"/>
                <w:sz w:val="18"/>
              </w:rPr>
              <w:t>£20 (£50)</w:t>
            </w:r>
          </w:p>
        </w:tc>
      </w:tr>
      <w:tr w:rsidR="006A18FD">
        <w:trPr>
          <w:trHeight w:val="220"/>
        </w:trPr>
        <w:tc>
          <w:tcPr>
            <w:tcW w:w="2976" w:type="dxa"/>
          </w:tcPr>
          <w:p w:rsidR="006A18FD" w:rsidRDefault="002D29FC">
            <w:pPr>
              <w:spacing w:before="1" w:line="199" w:lineRule="exact"/>
              <w:ind w:left="102"/>
              <w:rPr>
                <w:rFonts w:ascii="Calibri"/>
                <w:b/>
                <w:sz w:val="12"/>
              </w:rPr>
            </w:pPr>
            <w:r>
              <w:rPr>
                <w:rFonts w:ascii="Calibri"/>
                <w:b/>
                <w:sz w:val="18"/>
              </w:rPr>
              <w:t xml:space="preserve">Total costs including primary care </w:t>
            </w:r>
            <w:r>
              <w:rPr>
                <w:rFonts w:ascii="Calibri"/>
                <w:b/>
                <w:position w:val="5"/>
                <w:sz w:val="12"/>
              </w:rPr>
              <w:t>(f)</w:t>
            </w:r>
          </w:p>
        </w:tc>
        <w:tc>
          <w:tcPr>
            <w:tcW w:w="3807" w:type="dxa"/>
          </w:tcPr>
          <w:p w:rsidR="006A18FD" w:rsidRDefault="002D29FC">
            <w:pPr>
              <w:spacing w:before="1" w:line="199" w:lineRule="exact"/>
              <w:ind w:left="1700" w:right="686"/>
              <w:jc w:val="center"/>
              <w:rPr>
                <w:rFonts w:ascii="Calibri"/>
                <w:sz w:val="18"/>
              </w:rPr>
            </w:pPr>
            <w:r>
              <w:rPr>
                <w:rFonts w:ascii="Calibri"/>
                <w:sz w:val="18"/>
              </w:rPr>
              <w:t>63 (14)</w:t>
            </w:r>
          </w:p>
        </w:tc>
        <w:tc>
          <w:tcPr>
            <w:tcW w:w="3269" w:type="dxa"/>
          </w:tcPr>
          <w:p w:rsidR="006A18FD" w:rsidRDefault="002D29FC">
            <w:pPr>
              <w:spacing w:before="1" w:line="199" w:lineRule="exact"/>
              <w:ind w:right="663"/>
              <w:jc w:val="right"/>
              <w:rPr>
                <w:rFonts w:ascii="Calibri" w:hAnsi="Calibri"/>
                <w:sz w:val="18"/>
              </w:rPr>
            </w:pPr>
            <w:r>
              <w:rPr>
                <w:rFonts w:ascii="Calibri" w:hAnsi="Calibri"/>
                <w:sz w:val="18"/>
              </w:rPr>
              <w:t>£6,818 (£4,821)</w:t>
            </w:r>
          </w:p>
        </w:tc>
      </w:tr>
    </w:tbl>
    <w:p w:rsidR="006A18FD" w:rsidRDefault="002D29FC">
      <w:pPr>
        <w:spacing w:line="194" w:lineRule="exact"/>
        <w:ind w:left="247"/>
        <w:rPr>
          <w:rFonts w:ascii="Calibri"/>
          <w:sz w:val="16"/>
        </w:rPr>
      </w:pPr>
      <w:r>
        <w:rPr>
          <w:rFonts w:ascii="Calibri"/>
          <w:sz w:val="16"/>
        </w:rPr>
        <w:t>SD: standard deviation</w:t>
      </w:r>
    </w:p>
    <w:p w:rsidR="006A18FD" w:rsidRDefault="002D29FC" w:rsidP="008E3FA8">
      <w:pPr>
        <w:numPr>
          <w:ilvl w:val="1"/>
          <w:numId w:val="11"/>
        </w:numPr>
        <w:tabs>
          <w:tab w:val="left" w:pos="410"/>
        </w:tabs>
        <w:spacing w:before="1"/>
        <w:ind w:right="368" w:firstLine="0"/>
        <w:rPr>
          <w:rFonts w:ascii="Calibri" w:hAnsi="Calibri"/>
          <w:sz w:val="16"/>
        </w:rPr>
      </w:pPr>
      <w:r>
        <w:rPr>
          <w:rFonts w:ascii="Calibri" w:hAnsi="Calibri"/>
          <w:sz w:val="16"/>
        </w:rPr>
        <w:t>Mean number of events for inpatient care is based on mean number of episodes, and not number of spells. Mean number of events for ‘total’ does not</w:t>
      </w:r>
      <w:r>
        <w:rPr>
          <w:rFonts w:ascii="Calibri" w:hAnsi="Calibri"/>
          <w:spacing w:val="-4"/>
          <w:sz w:val="16"/>
        </w:rPr>
        <w:t xml:space="preserve"> </w:t>
      </w:r>
      <w:r>
        <w:rPr>
          <w:rFonts w:ascii="Calibri" w:hAnsi="Calibri"/>
          <w:sz w:val="16"/>
        </w:rPr>
        <w:t>include</w:t>
      </w:r>
      <w:r>
        <w:rPr>
          <w:rFonts w:ascii="Calibri" w:hAnsi="Calibri"/>
          <w:spacing w:val="-4"/>
          <w:sz w:val="16"/>
        </w:rPr>
        <w:t xml:space="preserve"> </w:t>
      </w:r>
      <w:r>
        <w:rPr>
          <w:rFonts w:ascii="Calibri" w:hAnsi="Calibri"/>
          <w:sz w:val="16"/>
        </w:rPr>
        <w:t>primary</w:t>
      </w:r>
      <w:r>
        <w:rPr>
          <w:rFonts w:ascii="Calibri" w:hAnsi="Calibri"/>
          <w:spacing w:val="-4"/>
          <w:sz w:val="16"/>
        </w:rPr>
        <w:t xml:space="preserve"> </w:t>
      </w:r>
      <w:r>
        <w:rPr>
          <w:rFonts w:ascii="Calibri" w:hAnsi="Calibri"/>
          <w:sz w:val="16"/>
        </w:rPr>
        <w:t>care</w:t>
      </w:r>
      <w:r>
        <w:rPr>
          <w:rFonts w:ascii="Calibri" w:hAnsi="Calibri"/>
          <w:spacing w:val="-4"/>
          <w:sz w:val="16"/>
        </w:rPr>
        <w:t xml:space="preserve"> </w:t>
      </w:r>
      <w:r>
        <w:rPr>
          <w:rFonts w:ascii="Calibri" w:hAnsi="Calibri"/>
          <w:sz w:val="16"/>
        </w:rPr>
        <w:t>events</w:t>
      </w:r>
      <w:r>
        <w:rPr>
          <w:rFonts w:ascii="Calibri" w:hAnsi="Calibri"/>
          <w:spacing w:val="-2"/>
          <w:sz w:val="16"/>
        </w:rPr>
        <w:t xml:space="preserve"> </w:t>
      </w:r>
      <w:r>
        <w:rPr>
          <w:rFonts w:ascii="Calibri" w:hAnsi="Calibri"/>
          <w:sz w:val="16"/>
        </w:rPr>
        <w:t>classed</w:t>
      </w:r>
      <w:r>
        <w:rPr>
          <w:rFonts w:ascii="Calibri" w:hAnsi="Calibri"/>
          <w:spacing w:val="-4"/>
          <w:sz w:val="16"/>
        </w:rPr>
        <w:t xml:space="preserve"> </w:t>
      </w:r>
      <w:r>
        <w:rPr>
          <w:rFonts w:ascii="Calibri" w:hAnsi="Calibri"/>
          <w:sz w:val="16"/>
        </w:rPr>
        <w:t>as</w:t>
      </w:r>
      <w:r>
        <w:rPr>
          <w:rFonts w:ascii="Calibri" w:hAnsi="Calibri"/>
          <w:spacing w:val="-4"/>
          <w:sz w:val="16"/>
        </w:rPr>
        <w:t xml:space="preserve"> </w:t>
      </w:r>
      <w:r>
        <w:rPr>
          <w:rFonts w:ascii="Calibri" w:hAnsi="Calibri"/>
          <w:sz w:val="16"/>
        </w:rPr>
        <w:t>‘other</w:t>
      </w:r>
      <w:r>
        <w:rPr>
          <w:rFonts w:ascii="Calibri" w:hAnsi="Calibri"/>
          <w:spacing w:val="-4"/>
          <w:sz w:val="16"/>
        </w:rPr>
        <w:t xml:space="preserve"> </w:t>
      </w:r>
      <w:r>
        <w:rPr>
          <w:rFonts w:ascii="Calibri" w:hAnsi="Calibri"/>
          <w:sz w:val="16"/>
        </w:rPr>
        <w:t>events’,</w:t>
      </w:r>
      <w:r>
        <w:rPr>
          <w:rFonts w:ascii="Calibri" w:hAnsi="Calibri"/>
          <w:spacing w:val="-3"/>
          <w:sz w:val="16"/>
        </w:rPr>
        <w:t xml:space="preserve"> </w:t>
      </w:r>
      <w:r>
        <w:rPr>
          <w:rFonts w:ascii="Calibri" w:hAnsi="Calibri"/>
          <w:sz w:val="16"/>
        </w:rPr>
        <w:t>‘medication’</w:t>
      </w:r>
      <w:r>
        <w:rPr>
          <w:rFonts w:ascii="Calibri" w:hAnsi="Calibri"/>
          <w:spacing w:val="-3"/>
          <w:sz w:val="16"/>
        </w:rPr>
        <w:t xml:space="preserve"> </w:t>
      </w:r>
      <w:r>
        <w:rPr>
          <w:rFonts w:ascii="Calibri" w:hAnsi="Calibri"/>
          <w:sz w:val="16"/>
        </w:rPr>
        <w:t>or</w:t>
      </w:r>
      <w:r>
        <w:rPr>
          <w:rFonts w:ascii="Calibri" w:hAnsi="Calibri"/>
          <w:spacing w:val="-4"/>
          <w:sz w:val="16"/>
        </w:rPr>
        <w:t xml:space="preserve"> </w:t>
      </w:r>
      <w:r>
        <w:rPr>
          <w:rFonts w:ascii="Calibri" w:hAnsi="Calibri"/>
          <w:sz w:val="16"/>
        </w:rPr>
        <w:t>‘wound</w:t>
      </w:r>
      <w:r>
        <w:rPr>
          <w:rFonts w:ascii="Calibri" w:hAnsi="Calibri"/>
          <w:spacing w:val="-4"/>
          <w:sz w:val="16"/>
        </w:rPr>
        <w:t xml:space="preserve"> </w:t>
      </w:r>
      <w:r>
        <w:rPr>
          <w:rFonts w:ascii="Calibri" w:hAnsi="Calibri"/>
          <w:sz w:val="16"/>
        </w:rPr>
        <w:t>dressing’.</w:t>
      </w:r>
    </w:p>
    <w:p w:rsidR="006A18FD" w:rsidRDefault="002D29FC" w:rsidP="008E3FA8">
      <w:pPr>
        <w:numPr>
          <w:ilvl w:val="1"/>
          <w:numId w:val="11"/>
        </w:numPr>
        <w:tabs>
          <w:tab w:val="left" w:pos="417"/>
        </w:tabs>
        <w:spacing w:before="1" w:line="195" w:lineRule="exact"/>
        <w:ind w:left="416" w:hanging="168"/>
        <w:rPr>
          <w:rFonts w:ascii="Calibri"/>
          <w:sz w:val="16"/>
        </w:rPr>
      </w:pPr>
      <w:r>
        <w:rPr>
          <w:rFonts w:ascii="Calibri"/>
          <w:sz w:val="16"/>
        </w:rPr>
        <w:t>Mean</w:t>
      </w:r>
      <w:r>
        <w:rPr>
          <w:rFonts w:ascii="Calibri"/>
          <w:spacing w:val="-3"/>
          <w:sz w:val="16"/>
        </w:rPr>
        <w:t xml:space="preserve"> </w:t>
      </w:r>
      <w:r>
        <w:rPr>
          <w:rFonts w:ascii="Calibri"/>
          <w:sz w:val="16"/>
        </w:rPr>
        <w:t>length</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hospital</w:t>
      </w:r>
      <w:r>
        <w:rPr>
          <w:rFonts w:ascii="Calibri"/>
          <w:spacing w:val="-3"/>
          <w:sz w:val="16"/>
        </w:rPr>
        <w:t xml:space="preserve"> </w:t>
      </w:r>
      <w:r>
        <w:rPr>
          <w:rFonts w:ascii="Calibri"/>
          <w:sz w:val="16"/>
        </w:rPr>
        <w:t>stay</w:t>
      </w:r>
      <w:r>
        <w:rPr>
          <w:rFonts w:ascii="Calibri"/>
          <w:spacing w:val="-2"/>
          <w:sz w:val="16"/>
        </w:rPr>
        <w:t xml:space="preserve"> </w:t>
      </w:r>
      <w:r>
        <w:rPr>
          <w:rFonts w:ascii="Calibri"/>
          <w:sz w:val="16"/>
        </w:rPr>
        <w:t>for</w:t>
      </w:r>
      <w:r>
        <w:rPr>
          <w:rFonts w:ascii="Calibri"/>
          <w:spacing w:val="-3"/>
          <w:sz w:val="16"/>
        </w:rPr>
        <w:t xml:space="preserve"> </w:t>
      </w:r>
      <w:r>
        <w:rPr>
          <w:rFonts w:ascii="Calibri"/>
          <w:sz w:val="16"/>
        </w:rPr>
        <w:t>those</w:t>
      </w:r>
      <w:r>
        <w:rPr>
          <w:rFonts w:ascii="Calibri"/>
          <w:spacing w:val="-4"/>
          <w:sz w:val="16"/>
        </w:rPr>
        <w:t xml:space="preserve"> </w:t>
      </w:r>
      <w:r>
        <w:rPr>
          <w:rFonts w:ascii="Calibri"/>
          <w:sz w:val="16"/>
        </w:rPr>
        <w:t>patients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an</w:t>
      </w:r>
      <w:r>
        <w:rPr>
          <w:rFonts w:ascii="Calibri"/>
          <w:spacing w:val="-3"/>
          <w:sz w:val="16"/>
        </w:rPr>
        <w:t xml:space="preserve"> </w:t>
      </w:r>
      <w:r>
        <w:rPr>
          <w:rFonts w:ascii="Calibri"/>
          <w:sz w:val="16"/>
        </w:rPr>
        <w:t>inpatient</w:t>
      </w:r>
      <w:r>
        <w:rPr>
          <w:rFonts w:ascii="Calibri"/>
          <w:spacing w:val="-3"/>
          <w:sz w:val="16"/>
        </w:rPr>
        <w:t xml:space="preserve"> </w:t>
      </w:r>
      <w:r>
        <w:rPr>
          <w:rFonts w:ascii="Calibri"/>
          <w:sz w:val="16"/>
        </w:rPr>
        <w:t>admission</w:t>
      </w:r>
      <w:r>
        <w:rPr>
          <w:rFonts w:ascii="Calibri"/>
          <w:spacing w:val="-3"/>
          <w:sz w:val="16"/>
        </w:rPr>
        <w:t xml:space="preserve"> </w:t>
      </w:r>
      <w:r>
        <w:rPr>
          <w:rFonts w:ascii="Calibri"/>
          <w:sz w:val="16"/>
        </w:rPr>
        <w:t>over</w:t>
      </w:r>
      <w:r>
        <w:rPr>
          <w:rFonts w:ascii="Calibri"/>
          <w:spacing w:val="-1"/>
          <w:sz w:val="16"/>
        </w:rPr>
        <w:t xml:space="preserve"> </w:t>
      </w:r>
      <w:r>
        <w:rPr>
          <w:rFonts w:ascii="Calibri"/>
          <w:sz w:val="16"/>
        </w:rPr>
        <w:t>the</w:t>
      </w:r>
      <w:r>
        <w:rPr>
          <w:rFonts w:ascii="Calibri"/>
          <w:spacing w:val="-4"/>
          <w:sz w:val="16"/>
        </w:rPr>
        <w:t xml:space="preserve"> </w:t>
      </w:r>
      <w:r>
        <w:rPr>
          <w:rFonts w:ascii="Calibri"/>
          <w:sz w:val="16"/>
        </w:rPr>
        <w:t>trial</w:t>
      </w:r>
      <w:r>
        <w:rPr>
          <w:rFonts w:ascii="Calibri"/>
          <w:spacing w:val="-4"/>
          <w:sz w:val="16"/>
        </w:rPr>
        <w:t xml:space="preserve"> </w:t>
      </w:r>
      <w:r>
        <w:rPr>
          <w:rFonts w:ascii="Calibri"/>
          <w:sz w:val="16"/>
        </w:rPr>
        <w:t>period</w:t>
      </w:r>
      <w:r>
        <w:rPr>
          <w:rFonts w:ascii="Calibri"/>
          <w:spacing w:val="-3"/>
          <w:sz w:val="16"/>
        </w:rPr>
        <w:t xml:space="preserve"> </w:t>
      </w:r>
      <w:r>
        <w:rPr>
          <w:rFonts w:ascii="Calibri"/>
          <w:sz w:val="16"/>
        </w:rPr>
        <w:t>was</w:t>
      </w:r>
      <w:r>
        <w:rPr>
          <w:rFonts w:ascii="Calibri"/>
          <w:spacing w:val="-3"/>
          <w:sz w:val="16"/>
        </w:rPr>
        <w:t xml:space="preserve"> </w:t>
      </w:r>
      <w:r>
        <w:rPr>
          <w:rFonts w:ascii="Calibri"/>
          <w:sz w:val="16"/>
        </w:rPr>
        <w:t>13</w:t>
      </w:r>
      <w:r>
        <w:rPr>
          <w:rFonts w:ascii="Calibri"/>
          <w:spacing w:val="-2"/>
          <w:sz w:val="16"/>
        </w:rPr>
        <w:t xml:space="preserve"> </w:t>
      </w:r>
      <w:r>
        <w:rPr>
          <w:rFonts w:ascii="Calibri"/>
          <w:sz w:val="16"/>
        </w:rPr>
        <w:t>days.</w:t>
      </w:r>
    </w:p>
    <w:p w:rsidR="006A18FD" w:rsidRDefault="002D29FC" w:rsidP="008E3FA8">
      <w:pPr>
        <w:numPr>
          <w:ilvl w:val="1"/>
          <w:numId w:val="11"/>
        </w:numPr>
        <w:tabs>
          <w:tab w:val="left" w:pos="400"/>
        </w:tabs>
        <w:spacing w:line="194" w:lineRule="exact"/>
        <w:ind w:left="399" w:hanging="151"/>
        <w:rPr>
          <w:rFonts w:ascii="Calibri"/>
          <w:sz w:val="16"/>
        </w:rPr>
      </w:pPr>
      <w:r>
        <w:rPr>
          <w:rFonts w:ascii="Calibri"/>
          <w:sz w:val="16"/>
        </w:rPr>
        <w:t>Mean</w:t>
      </w:r>
      <w:r>
        <w:rPr>
          <w:rFonts w:ascii="Calibri"/>
          <w:spacing w:val="-3"/>
          <w:sz w:val="16"/>
        </w:rPr>
        <w:t xml:space="preserve"> </w:t>
      </w:r>
      <w:r>
        <w:rPr>
          <w:rFonts w:ascii="Calibri"/>
          <w:sz w:val="16"/>
        </w:rPr>
        <w:t>length</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intensive</w:t>
      </w:r>
      <w:r>
        <w:rPr>
          <w:rFonts w:ascii="Calibri"/>
          <w:spacing w:val="-3"/>
          <w:sz w:val="16"/>
        </w:rPr>
        <w:t xml:space="preserve"> </w:t>
      </w:r>
      <w:r>
        <w:rPr>
          <w:rFonts w:ascii="Calibri"/>
          <w:sz w:val="16"/>
        </w:rPr>
        <w:t>care</w:t>
      </w:r>
      <w:r>
        <w:rPr>
          <w:rFonts w:ascii="Calibri"/>
          <w:spacing w:val="-3"/>
          <w:sz w:val="16"/>
        </w:rPr>
        <w:t xml:space="preserve"> </w:t>
      </w:r>
      <w:r>
        <w:rPr>
          <w:rFonts w:ascii="Calibri"/>
          <w:sz w:val="16"/>
        </w:rPr>
        <w:t>stay</w:t>
      </w:r>
      <w:r>
        <w:rPr>
          <w:rFonts w:ascii="Calibri"/>
          <w:spacing w:val="-2"/>
          <w:sz w:val="16"/>
        </w:rPr>
        <w:t xml:space="preserve"> </w:t>
      </w:r>
      <w:r>
        <w:rPr>
          <w:rFonts w:ascii="Calibri"/>
          <w:sz w:val="16"/>
        </w:rPr>
        <w:t>for</w:t>
      </w:r>
      <w:r>
        <w:rPr>
          <w:rFonts w:ascii="Calibri"/>
          <w:spacing w:val="-3"/>
          <w:sz w:val="16"/>
        </w:rPr>
        <w:t xml:space="preserve"> </w:t>
      </w:r>
      <w:r>
        <w:rPr>
          <w:rFonts w:ascii="Calibri"/>
          <w:sz w:val="16"/>
        </w:rPr>
        <w:t>those</w:t>
      </w:r>
      <w:r>
        <w:rPr>
          <w:rFonts w:ascii="Calibri"/>
          <w:spacing w:val="-3"/>
          <w:sz w:val="16"/>
        </w:rPr>
        <w:t xml:space="preserve"> </w:t>
      </w:r>
      <w:r>
        <w:rPr>
          <w:rFonts w:ascii="Calibri"/>
          <w:sz w:val="16"/>
        </w:rPr>
        <w:t>patients</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an</w:t>
      </w:r>
      <w:r>
        <w:rPr>
          <w:rFonts w:ascii="Calibri"/>
          <w:spacing w:val="-1"/>
          <w:sz w:val="16"/>
        </w:rPr>
        <w:t xml:space="preserve"> </w:t>
      </w:r>
      <w:r>
        <w:rPr>
          <w:rFonts w:ascii="Calibri"/>
          <w:sz w:val="16"/>
        </w:rPr>
        <w:t>intensive</w:t>
      </w:r>
      <w:r>
        <w:rPr>
          <w:rFonts w:ascii="Calibri"/>
          <w:spacing w:val="-3"/>
          <w:sz w:val="16"/>
        </w:rPr>
        <w:t xml:space="preserve"> </w:t>
      </w:r>
      <w:r>
        <w:rPr>
          <w:rFonts w:ascii="Calibri"/>
          <w:sz w:val="16"/>
        </w:rPr>
        <w:t>care</w:t>
      </w:r>
      <w:r>
        <w:rPr>
          <w:rFonts w:ascii="Calibri"/>
          <w:spacing w:val="-3"/>
          <w:sz w:val="16"/>
        </w:rPr>
        <w:t xml:space="preserve"> </w:t>
      </w:r>
      <w:r>
        <w:rPr>
          <w:rFonts w:ascii="Calibri"/>
          <w:sz w:val="16"/>
        </w:rPr>
        <w:t>admission</w:t>
      </w:r>
      <w:r>
        <w:rPr>
          <w:rFonts w:ascii="Calibri"/>
          <w:spacing w:val="-3"/>
          <w:sz w:val="16"/>
        </w:rPr>
        <w:t xml:space="preserve"> </w:t>
      </w:r>
      <w:r>
        <w:rPr>
          <w:rFonts w:ascii="Calibri"/>
          <w:sz w:val="16"/>
        </w:rPr>
        <w:t>was</w:t>
      </w:r>
      <w:r>
        <w:rPr>
          <w:rFonts w:ascii="Calibri"/>
          <w:spacing w:val="-3"/>
          <w:sz w:val="16"/>
        </w:rPr>
        <w:t xml:space="preserve"> </w:t>
      </w:r>
      <w:r>
        <w:rPr>
          <w:rFonts w:ascii="Calibri"/>
          <w:sz w:val="16"/>
        </w:rPr>
        <w:t>15</w:t>
      </w:r>
      <w:r>
        <w:rPr>
          <w:rFonts w:ascii="Calibri"/>
          <w:spacing w:val="-2"/>
          <w:sz w:val="16"/>
        </w:rPr>
        <w:t xml:space="preserve"> </w:t>
      </w:r>
      <w:r>
        <w:rPr>
          <w:rFonts w:ascii="Calibri"/>
          <w:sz w:val="16"/>
        </w:rPr>
        <w:t>days.</w:t>
      </w:r>
    </w:p>
    <w:p w:rsidR="006A18FD" w:rsidRDefault="002D29FC" w:rsidP="008E3FA8">
      <w:pPr>
        <w:numPr>
          <w:ilvl w:val="1"/>
          <w:numId w:val="11"/>
        </w:numPr>
        <w:tabs>
          <w:tab w:val="left" w:pos="417"/>
        </w:tabs>
        <w:spacing w:line="195" w:lineRule="exact"/>
        <w:ind w:left="416" w:hanging="168"/>
        <w:rPr>
          <w:rFonts w:ascii="Calibri"/>
          <w:sz w:val="16"/>
        </w:rPr>
      </w:pPr>
      <w:r>
        <w:rPr>
          <w:rFonts w:ascii="Calibri"/>
          <w:sz w:val="16"/>
        </w:rPr>
        <w:t>Mean</w:t>
      </w:r>
      <w:r>
        <w:rPr>
          <w:rFonts w:ascii="Calibri"/>
          <w:spacing w:val="-4"/>
          <w:sz w:val="16"/>
        </w:rPr>
        <w:t xml:space="preserve"> </w:t>
      </w:r>
      <w:r>
        <w:rPr>
          <w:rFonts w:ascii="Calibri"/>
          <w:sz w:val="16"/>
        </w:rPr>
        <w:t>number</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events</w:t>
      </w:r>
      <w:r>
        <w:rPr>
          <w:rFonts w:ascii="Calibri"/>
          <w:spacing w:val="-4"/>
          <w:sz w:val="16"/>
        </w:rPr>
        <w:t xml:space="preserve"> </w:t>
      </w:r>
      <w:r>
        <w:rPr>
          <w:rFonts w:ascii="Calibri"/>
          <w:sz w:val="16"/>
        </w:rPr>
        <w:t>for</w:t>
      </w:r>
      <w:r>
        <w:rPr>
          <w:rFonts w:ascii="Calibri"/>
          <w:spacing w:val="-4"/>
          <w:sz w:val="16"/>
        </w:rPr>
        <w:t xml:space="preserve"> </w:t>
      </w:r>
      <w:r>
        <w:rPr>
          <w:rFonts w:ascii="Calibri"/>
          <w:sz w:val="16"/>
        </w:rPr>
        <w:t>primary</w:t>
      </w:r>
      <w:r>
        <w:rPr>
          <w:rFonts w:ascii="Calibri"/>
          <w:spacing w:val="-4"/>
          <w:sz w:val="16"/>
        </w:rPr>
        <w:t xml:space="preserve"> </w:t>
      </w:r>
      <w:r>
        <w:rPr>
          <w:rFonts w:ascii="Calibri"/>
          <w:sz w:val="16"/>
        </w:rPr>
        <w:t>care</w:t>
      </w:r>
      <w:r>
        <w:rPr>
          <w:rFonts w:ascii="Calibri"/>
          <w:spacing w:val="-4"/>
          <w:sz w:val="16"/>
        </w:rPr>
        <w:t xml:space="preserve"> </w:t>
      </w:r>
      <w:r>
        <w:rPr>
          <w:rFonts w:ascii="Calibri"/>
          <w:sz w:val="16"/>
        </w:rPr>
        <w:t>service</w:t>
      </w:r>
      <w:r>
        <w:rPr>
          <w:rFonts w:ascii="Calibri"/>
          <w:spacing w:val="-4"/>
          <w:sz w:val="16"/>
        </w:rPr>
        <w:t xml:space="preserve"> </w:t>
      </w:r>
      <w:r>
        <w:rPr>
          <w:rFonts w:ascii="Calibri"/>
          <w:sz w:val="16"/>
        </w:rPr>
        <w:t>users</w:t>
      </w:r>
      <w:r>
        <w:rPr>
          <w:rFonts w:ascii="Calibri"/>
          <w:spacing w:val="-4"/>
          <w:sz w:val="16"/>
        </w:rPr>
        <w:t xml:space="preserve"> </w:t>
      </w:r>
      <w:r>
        <w:rPr>
          <w:rFonts w:ascii="Calibri"/>
          <w:sz w:val="16"/>
        </w:rPr>
        <w:t>only</w:t>
      </w:r>
      <w:r>
        <w:rPr>
          <w:rFonts w:ascii="Calibri"/>
          <w:spacing w:val="-4"/>
          <w:sz w:val="16"/>
        </w:rPr>
        <w:t xml:space="preserve"> </w:t>
      </w:r>
      <w:r>
        <w:rPr>
          <w:rFonts w:ascii="Calibri"/>
          <w:sz w:val="16"/>
        </w:rPr>
        <w:t>includes</w:t>
      </w:r>
      <w:r>
        <w:rPr>
          <w:rFonts w:ascii="Calibri"/>
          <w:spacing w:val="-4"/>
          <w:sz w:val="16"/>
        </w:rPr>
        <w:t xml:space="preserve"> </w:t>
      </w:r>
      <w:r>
        <w:rPr>
          <w:rFonts w:ascii="Calibri"/>
          <w:sz w:val="16"/>
        </w:rPr>
        <w:t>face-to-face</w:t>
      </w:r>
      <w:r>
        <w:rPr>
          <w:rFonts w:ascii="Calibri"/>
          <w:spacing w:val="-4"/>
          <w:sz w:val="16"/>
        </w:rPr>
        <w:t xml:space="preserve"> </w:t>
      </w:r>
      <w:r>
        <w:rPr>
          <w:rFonts w:ascii="Calibri"/>
          <w:sz w:val="16"/>
        </w:rPr>
        <w:t>contacts</w:t>
      </w:r>
      <w:r>
        <w:rPr>
          <w:rFonts w:ascii="Calibri"/>
          <w:spacing w:val="-2"/>
          <w:sz w:val="16"/>
        </w:rPr>
        <w:t xml:space="preserve"> </w:t>
      </w:r>
      <w:r>
        <w:rPr>
          <w:rFonts w:ascii="Calibri"/>
          <w:sz w:val="16"/>
        </w:rPr>
        <w:t>(i.e.</w:t>
      </w:r>
      <w:r>
        <w:rPr>
          <w:rFonts w:ascii="Calibri"/>
          <w:spacing w:val="-3"/>
          <w:sz w:val="16"/>
        </w:rPr>
        <w:t xml:space="preserve"> </w:t>
      </w:r>
      <w:r>
        <w:rPr>
          <w:rFonts w:ascii="Calibri"/>
          <w:sz w:val="16"/>
        </w:rPr>
        <w:t>consultations,</w:t>
      </w:r>
      <w:r>
        <w:rPr>
          <w:rFonts w:ascii="Calibri"/>
          <w:spacing w:val="-3"/>
          <w:sz w:val="16"/>
        </w:rPr>
        <w:t xml:space="preserve"> </w:t>
      </w:r>
      <w:r>
        <w:rPr>
          <w:rFonts w:ascii="Calibri"/>
          <w:sz w:val="16"/>
        </w:rPr>
        <w:t>home</w:t>
      </w:r>
      <w:r>
        <w:rPr>
          <w:rFonts w:ascii="Calibri"/>
          <w:spacing w:val="-4"/>
          <w:sz w:val="16"/>
        </w:rPr>
        <w:t xml:space="preserve"> </w:t>
      </w:r>
      <w:r>
        <w:rPr>
          <w:rFonts w:ascii="Calibri"/>
          <w:sz w:val="16"/>
        </w:rPr>
        <w:t>visits,</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procedures)</w:t>
      </w:r>
    </w:p>
    <w:p w:rsidR="006A18FD" w:rsidRDefault="002D29FC" w:rsidP="008E3FA8">
      <w:pPr>
        <w:numPr>
          <w:ilvl w:val="1"/>
          <w:numId w:val="11"/>
        </w:numPr>
        <w:tabs>
          <w:tab w:val="left" w:pos="412"/>
        </w:tabs>
        <w:spacing w:before="1"/>
        <w:ind w:right="475" w:firstLine="0"/>
        <w:rPr>
          <w:rFonts w:ascii="Calibri" w:hAnsi="Calibri"/>
          <w:sz w:val="16"/>
        </w:rPr>
      </w:pPr>
      <w:r>
        <w:rPr>
          <w:rFonts w:ascii="Calibri" w:hAnsi="Calibri"/>
          <w:sz w:val="16"/>
        </w:rPr>
        <w:t>‘Other events’ includes all non face-to-face entries on the EAR system that requires staff time to execute, i.e. administration, telephone calls etc. Entries that were electronic and external to the practice or created by an electronically automated system (i.e. did not require staff time to execute) were excluded from this</w:t>
      </w:r>
      <w:r>
        <w:rPr>
          <w:rFonts w:ascii="Calibri" w:hAnsi="Calibri"/>
          <w:spacing w:val="-15"/>
          <w:sz w:val="16"/>
        </w:rPr>
        <w:t xml:space="preserve"> </w:t>
      </w:r>
      <w:r>
        <w:rPr>
          <w:rFonts w:ascii="Calibri" w:hAnsi="Calibri"/>
          <w:sz w:val="16"/>
        </w:rPr>
        <w:t>analysis.</w:t>
      </w:r>
    </w:p>
    <w:p w:rsidR="006A18FD" w:rsidRDefault="002D29FC" w:rsidP="008E3FA8">
      <w:pPr>
        <w:numPr>
          <w:ilvl w:val="1"/>
          <w:numId w:val="11"/>
        </w:numPr>
        <w:tabs>
          <w:tab w:val="left" w:pos="381"/>
        </w:tabs>
        <w:spacing w:before="1"/>
        <w:ind w:left="380" w:hanging="132"/>
        <w:rPr>
          <w:rFonts w:ascii="Calibri"/>
          <w:sz w:val="16"/>
        </w:rPr>
      </w:pPr>
      <w:r>
        <w:rPr>
          <w:rFonts w:ascii="Calibri"/>
          <w:sz w:val="16"/>
        </w:rPr>
        <w:t>Mean</w:t>
      </w:r>
      <w:r>
        <w:rPr>
          <w:rFonts w:ascii="Calibri"/>
          <w:spacing w:val="-3"/>
          <w:sz w:val="16"/>
        </w:rPr>
        <w:t xml:space="preserve"> </w:t>
      </w:r>
      <w:r>
        <w:rPr>
          <w:rFonts w:ascii="Calibri"/>
          <w:sz w:val="16"/>
        </w:rPr>
        <w:t>number</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events</w:t>
      </w:r>
      <w:r>
        <w:rPr>
          <w:rFonts w:ascii="Calibri"/>
          <w:spacing w:val="-1"/>
          <w:sz w:val="16"/>
        </w:rPr>
        <w:t xml:space="preserve"> </w:t>
      </w:r>
      <w:r>
        <w:rPr>
          <w:rFonts w:ascii="Calibri"/>
          <w:sz w:val="16"/>
        </w:rPr>
        <w:t>includes</w:t>
      </w:r>
      <w:r>
        <w:rPr>
          <w:rFonts w:ascii="Calibri"/>
          <w:spacing w:val="-1"/>
          <w:sz w:val="16"/>
        </w:rPr>
        <w:t xml:space="preserve"> </w:t>
      </w:r>
      <w:r>
        <w:rPr>
          <w:rFonts w:ascii="Calibri"/>
          <w:sz w:val="16"/>
        </w:rPr>
        <w:t>only</w:t>
      </w:r>
      <w:r>
        <w:rPr>
          <w:rFonts w:ascii="Calibri"/>
          <w:spacing w:val="-3"/>
          <w:sz w:val="16"/>
        </w:rPr>
        <w:t xml:space="preserve"> </w:t>
      </w:r>
      <w:r>
        <w:rPr>
          <w:rFonts w:ascii="Calibri"/>
          <w:sz w:val="16"/>
        </w:rPr>
        <w:t>face-to-face</w:t>
      </w:r>
      <w:r>
        <w:rPr>
          <w:rFonts w:ascii="Calibri"/>
          <w:spacing w:val="-3"/>
          <w:sz w:val="16"/>
        </w:rPr>
        <w:t xml:space="preserve"> </w:t>
      </w:r>
      <w:r>
        <w:rPr>
          <w:rFonts w:ascii="Calibri"/>
          <w:sz w:val="16"/>
        </w:rPr>
        <w:t>contacts</w:t>
      </w:r>
      <w:r>
        <w:rPr>
          <w:rFonts w:ascii="Calibri"/>
          <w:spacing w:val="-3"/>
          <w:sz w:val="16"/>
        </w:rPr>
        <w:t xml:space="preserve"> </w:t>
      </w:r>
      <w:r>
        <w:rPr>
          <w:rFonts w:ascii="Calibri"/>
          <w:sz w:val="16"/>
        </w:rPr>
        <w:t>across</w:t>
      </w:r>
      <w:r>
        <w:rPr>
          <w:rFonts w:ascii="Calibri"/>
          <w:spacing w:val="-3"/>
          <w:sz w:val="16"/>
        </w:rPr>
        <w:t xml:space="preserve"> </w:t>
      </w:r>
      <w:r>
        <w:rPr>
          <w:rFonts w:ascii="Calibri"/>
          <w:sz w:val="16"/>
        </w:rPr>
        <w:t>all</w:t>
      </w:r>
      <w:r>
        <w:rPr>
          <w:rFonts w:ascii="Calibri"/>
          <w:spacing w:val="-3"/>
          <w:sz w:val="16"/>
        </w:rPr>
        <w:t xml:space="preserve"> </w:t>
      </w:r>
      <w:r>
        <w:rPr>
          <w:rFonts w:ascii="Calibri"/>
          <w:sz w:val="16"/>
        </w:rPr>
        <w:t>services</w:t>
      </w:r>
      <w:r>
        <w:rPr>
          <w:rFonts w:ascii="Calibri"/>
          <w:spacing w:val="-3"/>
          <w:sz w:val="16"/>
        </w:rPr>
        <w:t xml:space="preserve"> </w:t>
      </w:r>
      <w:r>
        <w:rPr>
          <w:rFonts w:ascii="Calibri"/>
          <w:sz w:val="16"/>
        </w:rPr>
        <w:t>apart</w:t>
      </w:r>
      <w:r>
        <w:rPr>
          <w:rFonts w:ascii="Calibri"/>
          <w:spacing w:val="-3"/>
          <w:sz w:val="16"/>
        </w:rPr>
        <w:t xml:space="preserve"> </w:t>
      </w:r>
      <w:r>
        <w:rPr>
          <w:rFonts w:ascii="Calibri"/>
          <w:sz w:val="16"/>
        </w:rPr>
        <w:t>from</w:t>
      </w:r>
      <w:r>
        <w:rPr>
          <w:rFonts w:ascii="Calibri"/>
          <w:spacing w:val="-1"/>
          <w:sz w:val="16"/>
        </w:rPr>
        <w:t xml:space="preserve"> </w:t>
      </w:r>
      <w:r>
        <w:rPr>
          <w:rFonts w:ascii="Calibri"/>
          <w:sz w:val="16"/>
        </w:rPr>
        <w:t>mental</w:t>
      </w:r>
      <w:r>
        <w:rPr>
          <w:rFonts w:ascii="Calibri"/>
          <w:spacing w:val="-4"/>
          <w:sz w:val="16"/>
        </w:rPr>
        <w:t xml:space="preserve"> </w:t>
      </w:r>
      <w:r>
        <w:rPr>
          <w:rFonts w:ascii="Calibri"/>
          <w:sz w:val="16"/>
        </w:rPr>
        <w:t>health</w:t>
      </w:r>
      <w:r>
        <w:rPr>
          <w:rFonts w:ascii="Calibri"/>
          <w:spacing w:val="-3"/>
          <w:sz w:val="16"/>
        </w:rPr>
        <w:t xml:space="preserve"> </w:t>
      </w:r>
      <w:r>
        <w:rPr>
          <w:rFonts w:ascii="Calibri"/>
          <w:sz w:val="16"/>
        </w:rPr>
        <w:t>care</w:t>
      </w:r>
      <w:r>
        <w:rPr>
          <w:rFonts w:ascii="Calibri"/>
          <w:spacing w:val="-1"/>
          <w:sz w:val="16"/>
        </w:rPr>
        <w:t xml:space="preserve"> </w:t>
      </w:r>
      <w:r>
        <w:rPr>
          <w:rFonts w:ascii="Calibri"/>
          <w:sz w:val="16"/>
        </w:rPr>
        <w:t>(see</w:t>
      </w:r>
      <w:r>
        <w:rPr>
          <w:rFonts w:ascii="Calibri"/>
          <w:spacing w:val="-3"/>
          <w:sz w:val="16"/>
        </w:rPr>
        <w:t xml:space="preserve"> </w:t>
      </w:r>
      <w:r>
        <w:rPr>
          <w:rFonts w:ascii="Calibri"/>
          <w:sz w:val="16"/>
        </w:rPr>
        <w:t>also</w:t>
      </w:r>
      <w:r>
        <w:rPr>
          <w:rFonts w:ascii="Calibri"/>
          <w:spacing w:val="-4"/>
          <w:sz w:val="16"/>
        </w:rPr>
        <w:t xml:space="preserve"> </w:t>
      </w:r>
      <w:r>
        <w:rPr>
          <w:rFonts w:ascii="Calibri"/>
          <w:sz w:val="16"/>
        </w:rPr>
        <w:t>point</w:t>
      </w:r>
      <w:r>
        <w:rPr>
          <w:rFonts w:ascii="Calibri"/>
          <w:spacing w:val="-4"/>
          <w:sz w:val="16"/>
        </w:rPr>
        <w:t xml:space="preserve"> </w:t>
      </w:r>
      <w:r>
        <w:rPr>
          <w:rFonts w:ascii="Calibri"/>
          <w:sz w:val="16"/>
        </w:rPr>
        <w:t>(d))</w:t>
      </w:r>
    </w:p>
    <w:p w:rsidR="006A18FD" w:rsidRDefault="006A18FD">
      <w:pPr>
        <w:rPr>
          <w:rFonts w:ascii="Calibri"/>
          <w:sz w:val="16"/>
        </w:rPr>
        <w:sectPr w:rsidR="006A18FD">
          <w:headerReference w:type="even" r:id="rId292"/>
          <w:headerReference w:type="default" r:id="rId293"/>
          <w:pgSz w:w="11910" w:h="16840"/>
          <w:pgMar w:top="960" w:right="980" w:bottom="280" w:left="580" w:header="751" w:footer="0" w:gutter="0"/>
          <w:pgNumType w:start="10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4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46" name="Line 10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EA27C" id="Group 10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9CF7nH4CAACBBQAA&#10;DgAAAAAAAAAAAAAAAAAuAgAAZHJzL2Uyb0RvYy54bWxQSwECLQAUAAYACAAAACEALXfkXNoAAAAE&#10;AQAADwAAAAAAAAAAAAAAAADYBAAAZHJzL2Rvd25yZXYueG1sUEsFBgAAAAAEAAQA8wAAAN8FAAAA&#10;AA==&#10;">
                <v:line id="Line 10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w10:anchorlock/>
              </v:group>
            </w:pict>
          </mc:Fallback>
        </mc:AlternateContent>
      </w:r>
    </w:p>
    <w:p w:rsidR="006A18FD" w:rsidRDefault="002E1E01" w:rsidP="002E1E01">
      <w:pPr>
        <w:pStyle w:val="Heading2"/>
      </w:pPr>
      <w:r>
        <w:t xml:space="preserve">8.3 </w:t>
      </w:r>
      <w:r w:rsidR="002D29FC">
        <w:t>End of life</w:t>
      </w:r>
      <w:r w:rsidR="002D29FC">
        <w:rPr>
          <w:spacing w:val="-6"/>
        </w:rPr>
        <w:t xml:space="preserve"> </w:t>
      </w:r>
      <w:r w:rsidR="002D29FC">
        <w:t>care</w:t>
      </w:r>
    </w:p>
    <w:p w:rsidR="006A18FD" w:rsidRDefault="002D29FC">
      <w:pPr>
        <w:spacing w:before="169" w:line="276" w:lineRule="auto"/>
        <w:ind w:left="152" w:right="138"/>
        <w:jc w:val="both"/>
        <w:rPr>
          <w:rFonts w:ascii="Calibri"/>
          <w:sz w:val="20"/>
        </w:rPr>
      </w:pPr>
      <w:r>
        <w:rPr>
          <w:rFonts w:ascii="Calibri"/>
          <w:sz w:val="20"/>
        </w:rPr>
        <w:t>Research</w:t>
      </w:r>
      <w:r>
        <w:rPr>
          <w:rFonts w:ascii="Calibri"/>
          <w:spacing w:val="-4"/>
          <w:sz w:val="20"/>
        </w:rPr>
        <w:t xml:space="preserve"> </w:t>
      </w:r>
      <w:r>
        <w:rPr>
          <w:rFonts w:ascii="Calibri"/>
          <w:sz w:val="20"/>
        </w:rPr>
        <w:t>carried</w:t>
      </w:r>
      <w:r>
        <w:rPr>
          <w:rFonts w:ascii="Calibri"/>
          <w:spacing w:val="-4"/>
          <w:sz w:val="20"/>
        </w:rPr>
        <w:t xml:space="preserve"> </w:t>
      </w:r>
      <w:r>
        <w:rPr>
          <w:rFonts w:ascii="Calibri"/>
          <w:sz w:val="20"/>
        </w:rPr>
        <w:t>out</w:t>
      </w:r>
      <w:r>
        <w:rPr>
          <w:rFonts w:ascii="Calibri"/>
          <w:spacing w:val="-4"/>
          <w:sz w:val="20"/>
        </w:rPr>
        <w:t xml:space="preserve"> </w:t>
      </w:r>
      <w:r>
        <w:rPr>
          <w:rFonts w:ascii="Calibri"/>
          <w:sz w:val="20"/>
        </w:rPr>
        <w:t>by</w:t>
      </w:r>
      <w:r>
        <w:rPr>
          <w:rFonts w:ascii="Calibri"/>
          <w:spacing w:val="-4"/>
          <w:sz w:val="20"/>
        </w:rPr>
        <w:t xml:space="preserve"> </w:t>
      </w:r>
      <w:r>
        <w:rPr>
          <w:rFonts w:ascii="Calibri"/>
          <w:sz w:val="20"/>
        </w:rPr>
        <w:t>the</w:t>
      </w:r>
      <w:r>
        <w:rPr>
          <w:rFonts w:ascii="Calibri"/>
          <w:spacing w:val="-3"/>
          <w:sz w:val="20"/>
        </w:rPr>
        <w:t xml:space="preserve"> </w:t>
      </w:r>
      <w:r>
        <w:rPr>
          <w:rFonts w:ascii="Calibri"/>
          <w:sz w:val="20"/>
        </w:rPr>
        <w:t>Nuffield</w:t>
      </w:r>
      <w:r>
        <w:rPr>
          <w:rFonts w:ascii="Calibri"/>
          <w:spacing w:val="-2"/>
          <w:sz w:val="20"/>
        </w:rPr>
        <w:t xml:space="preserve"> </w:t>
      </w:r>
      <w:r>
        <w:rPr>
          <w:rFonts w:ascii="Calibri"/>
          <w:sz w:val="20"/>
        </w:rPr>
        <w:t>Trust</w:t>
      </w:r>
      <w:r>
        <w:rPr>
          <w:rFonts w:ascii="Calibri"/>
          <w:position w:val="7"/>
          <w:sz w:val="13"/>
        </w:rPr>
        <w:t>1</w:t>
      </w:r>
      <w:r>
        <w:rPr>
          <w:rFonts w:ascii="Calibri"/>
          <w:spacing w:val="10"/>
          <w:position w:val="7"/>
          <w:sz w:val="13"/>
        </w:rPr>
        <w:t xml:space="preserve"> </w:t>
      </w:r>
      <w:r>
        <w:rPr>
          <w:rFonts w:ascii="Calibri"/>
          <w:sz w:val="20"/>
        </w:rPr>
        <w:t>on</w:t>
      </w:r>
      <w:r>
        <w:rPr>
          <w:rFonts w:ascii="Calibri"/>
          <w:spacing w:val="-4"/>
          <w:sz w:val="20"/>
        </w:rPr>
        <w:t xml:space="preserve"> </w:t>
      </w:r>
      <w:r>
        <w:rPr>
          <w:rFonts w:ascii="Calibri"/>
          <w:sz w:val="20"/>
        </w:rPr>
        <w:t>behalf</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1"/>
          <w:sz w:val="20"/>
        </w:rPr>
        <w:t xml:space="preserve"> </w:t>
      </w:r>
      <w:r>
        <w:rPr>
          <w:rFonts w:ascii="Calibri"/>
          <w:sz w:val="20"/>
        </w:rPr>
        <w:t>National</w:t>
      </w:r>
      <w:r>
        <w:rPr>
          <w:rFonts w:ascii="Calibri"/>
          <w:spacing w:val="-4"/>
          <w:sz w:val="20"/>
        </w:rPr>
        <w:t xml:space="preserve"> </w:t>
      </w:r>
      <w:r>
        <w:rPr>
          <w:rFonts w:ascii="Calibri"/>
          <w:sz w:val="20"/>
        </w:rPr>
        <w:t>End</w:t>
      </w:r>
      <w:r>
        <w:rPr>
          <w:rFonts w:ascii="Calibri"/>
          <w:spacing w:val="-4"/>
          <w:sz w:val="20"/>
        </w:rPr>
        <w:t xml:space="preserve"> </w:t>
      </w:r>
      <w:r>
        <w:rPr>
          <w:rFonts w:ascii="Calibri"/>
          <w:sz w:val="20"/>
        </w:rPr>
        <w:t>of</w:t>
      </w:r>
      <w:r>
        <w:rPr>
          <w:rFonts w:ascii="Calibri"/>
          <w:spacing w:val="-2"/>
          <w:sz w:val="20"/>
        </w:rPr>
        <w:t xml:space="preserve"> </w:t>
      </w:r>
      <w:r>
        <w:rPr>
          <w:rFonts w:ascii="Calibri"/>
          <w:sz w:val="20"/>
        </w:rPr>
        <w:t>Life</w:t>
      </w:r>
      <w:r>
        <w:rPr>
          <w:rFonts w:ascii="Calibri"/>
          <w:spacing w:val="-3"/>
          <w:sz w:val="20"/>
        </w:rPr>
        <w:t xml:space="preserve"> </w:t>
      </w:r>
      <w:r>
        <w:rPr>
          <w:rFonts w:ascii="Calibri"/>
          <w:sz w:val="20"/>
        </w:rPr>
        <w:t>Care</w:t>
      </w:r>
      <w:r>
        <w:rPr>
          <w:rFonts w:ascii="Calibri"/>
          <w:spacing w:val="-3"/>
          <w:sz w:val="20"/>
        </w:rPr>
        <w:t xml:space="preserve"> </w:t>
      </w:r>
      <w:r>
        <w:rPr>
          <w:rFonts w:ascii="Calibri"/>
          <w:sz w:val="20"/>
        </w:rPr>
        <w:t>Intelligence</w:t>
      </w:r>
      <w:r>
        <w:rPr>
          <w:rFonts w:ascii="Calibri"/>
          <w:spacing w:val="-3"/>
          <w:sz w:val="20"/>
        </w:rPr>
        <w:t xml:space="preserve"> </w:t>
      </w:r>
      <w:r>
        <w:rPr>
          <w:rFonts w:ascii="Calibri"/>
          <w:sz w:val="20"/>
        </w:rPr>
        <w:t>Network</w:t>
      </w:r>
      <w:r>
        <w:rPr>
          <w:rFonts w:ascii="Calibri"/>
          <w:spacing w:val="-1"/>
          <w:sz w:val="20"/>
        </w:rPr>
        <w:t xml:space="preserve"> </w:t>
      </w:r>
      <w:r>
        <w:rPr>
          <w:rFonts w:ascii="Calibri"/>
          <w:sz w:val="20"/>
        </w:rPr>
        <w:t>has</w:t>
      </w:r>
      <w:r>
        <w:rPr>
          <w:rFonts w:ascii="Calibri"/>
          <w:spacing w:val="-3"/>
          <w:sz w:val="20"/>
        </w:rPr>
        <w:t xml:space="preserve"> </w:t>
      </w:r>
      <w:r>
        <w:rPr>
          <w:rFonts w:ascii="Calibri"/>
          <w:sz w:val="20"/>
        </w:rPr>
        <w:t>examined</w:t>
      </w:r>
      <w:r>
        <w:rPr>
          <w:rFonts w:ascii="Calibri"/>
          <w:spacing w:val="-4"/>
          <w:sz w:val="20"/>
        </w:rPr>
        <w:t xml:space="preserve"> </w:t>
      </w:r>
      <w:r>
        <w:rPr>
          <w:rFonts w:ascii="Calibri"/>
          <w:sz w:val="20"/>
        </w:rPr>
        <w:t>the health</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social</w:t>
      </w:r>
      <w:r>
        <w:rPr>
          <w:rFonts w:ascii="Calibri"/>
          <w:spacing w:val="-4"/>
          <w:sz w:val="20"/>
        </w:rPr>
        <w:t xml:space="preserve"> </w:t>
      </w:r>
      <w:r>
        <w:rPr>
          <w:rFonts w:ascii="Calibri"/>
          <w:sz w:val="20"/>
        </w:rPr>
        <w:t>care</w:t>
      </w:r>
      <w:r>
        <w:rPr>
          <w:rFonts w:ascii="Calibri"/>
          <w:spacing w:val="-1"/>
          <w:sz w:val="20"/>
        </w:rPr>
        <w:t xml:space="preserve"> </w:t>
      </w:r>
      <w:r>
        <w:rPr>
          <w:rFonts w:ascii="Calibri"/>
          <w:sz w:val="20"/>
        </w:rPr>
        <w:t>service</w:t>
      </w:r>
      <w:r>
        <w:rPr>
          <w:rFonts w:ascii="Calibri"/>
          <w:spacing w:val="-2"/>
          <w:sz w:val="20"/>
        </w:rPr>
        <w:t xml:space="preserve"> </w:t>
      </w:r>
      <w:r>
        <w:rPr>
          <w:rFonts w:ascii="Calibri"/>
          <w:sz w:val="20"/>
        </w:rPr>
        <w:t>use</w:t>
      </w:r>
      <w:r>
        <w:rPr>
          <w:rFonts w:ascii="Calibri"/>
          <w:spacing w:val="-3"/>
          <w:sz w:val="20"/>
        </w:rPr>
        <w:t xml:space="preserve"> </w:t>
      </w:r>
      <w:r>
        <w:rPr>
          <w:rFonts w:ascii="Calibri"/>
          <w:sz w:val="20"/>
        </w:rPr>
        <w:t>patterns</w:t>
      </w:r>
      <w:r>
        <w:rPr>
          <w:rFonts w:ascii="Calibri"/>
          <w:spacing w:val="-4"/>
          <w:sz w:val="20"/>
        </w:rPr>
        <w:t xml:space="preserve"> </w:t>
      </w:r>
      <w:r>
        <w:rPr>
          <w:rFonts w:ascii="Calibri"/>
          <w:sz w:val="20"/>
        </w:rPr>
        <w:t>across</w:t>
      </w:r>
      <w:r>
        <w:rPr>
          <w:rFonts w:ascii="Calibri"/>
          <w:spacing w:val="-2"/>
          <w:sz w:val="20"/>
        </w:rPr>
        <w:t xml:space="preserve"> </w:t>
      </w:r>
      <w:r>
        <w:rPr>
          <w:rFonts w:ascii="Calibri"/>
          <w:sz w:val="20"/>
        </w:rPr>
        <w:t>seven</w:t>
      </w:r>
      <w:r>
        <w:rPr>
          <w:rFonts w:ascii="Calibri"/>
          <w:spacing w:val="-3"/>
          <w:sz w:val="20"/>
        </w:rPr>
        <w:t xml:space="preserve"> </w:t>
      </w:r>
      <w:r>
        <w:rPr>
          <w:rFonts w:ascii="Calibri"/>
          <w:sz w:val="20"/>
        </w:rPr>
        <w:t>local</w:t>
      </w:r>
      <w:r>
        <w:rPr>
          <w:rFonts w:ascii="Calibri"/>
          <w:spacing w:val="-3"/>
          <w:sz w:val="20"/>
        </w:rPr>
        <w:t xml:space="preserve"> </w:t>
      </w:r>
      <w:r>
        <w:rPr>
          <w:rFonts w:ascii="Calibri"/>
          <w:sz w:val="20"/>
        </w:rPr>
        <w:t>authorities</w:t>
      </w:r>
      <w:r>
        <w:rPr>
          <w:rFonts w:ascii="Calibri"/>
          <w:spacing w:val="-5"/>
          <w:sz w:val="20"/>
        </w:rPr>
        <w:t xml:space="preserve"> </w:t>
      </w:r>
      <w:r>
        <w:rPr>
          <w:rFonts w:ascii="Calibri"/>
          <w:sz w:val="20"/>
        </w:rPr>
        <w:t>for</w:t>
      </w:r>
      <w:r>
        <w:rPr>
          <w:rFonts w:ascii="Calibri"/>
          <w:spacing w:val="-1"/>
          <w:sz w:val="20"/>
        </w:rPr>
        <w:t xml:space="preserve"> </w:t>
      </w:r>
      <w:r>
        <w:rPr>
          <w:rFonts w:ascii="Calibri"/>
          <w:sz w:val="20"/>
        </w:rPr>
        <w:t>a</w:t>
      </w:r>
      <w:r>
        <w:rPr>
          <w:rFonts w:ascii="Calibri"/>
          <w:spacing w:val="-3"/>
          <w:sz w:val="20"/>
        </w:rPr>
        <w:t xml:space="preserve"> </w:t>
      </w:r>
      <w:r>
        <w:rPr>
          <w:rFonts w:ascii="Calibri"/>
          <w:sz w:val="20"/>
        </w:rPr>
        <w:t>cohort</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73,243</w:t>
      </w:r>
      <w:r>
        <w:rPr>
          <w:rFonts w:ascii="Calibri"/>
          <w:spacing w:val="-4"/>
          <w:sz w:val="20"/>
        </w:rPr>
        <w:t xml:space="preserve"> </w:t>
      </w:r>
      <w:r>
        <w:rPr>
          <w:rFonts w:ascii="Calibri"/>
          <w:sz w:val="20"/>
        </w:rPr>
        <w:t>people</w:t>
      </w:r>
      <w:r>
        <w:rPr>
          <w:rFonts w:ascii="Calibri"/>
          <w:spacing w:val="-2"/>
          <w:sz w:val="20"/>
        </w:rPr>
        <w:t xml:space="preserve"> </w:t>
      </w:r>
      <w:r>
        <w:rPr>
          <w:rFonts w:ascii="Calibri"/>
          <w:sz w:val="20"/>
        </w:rPr>
        <w:t>who</w:t>
      </w:r>
      <w:r>
        <w:rPr>
          <w:rFonts w:ascii="Calibri"/>
          <w:spacing w:val="-3"/>
          <w:sz w:val="20"/>
        </w:rPr>
        <w:t xml:space="preserve"> </w:t>
      </w:r>
      <w:r>
        <w:rPr>
          <w:rFonts w:ascii="Calibri"/>
          <w:sz w:val="20"/>
        </w:rPr>
        <w:t>died.</w:t>
      </w:r>
    </w:p>
    <w:p w:rsidR="006A18FD" w:rsidRDefault="006A18FD">
      <w:pPr>
        <w:spacing w:before="3"/>
        <w:rPr>
          <w:rFonts w:ascii="Calibri"/>
          <w:sz w:val="16"/>
        </w:rPr>
      </w:pPr>
    </w:p>
    <w:p w:rsidR="006A18FD" w:rsidRDefault="002D29FC">
      <w:pPr>
        <w:spacing w:line="276" w:lineRule="auto"/>
        <w:ind w:left="152" w:right="137"/>
        <w:jc w:val="both"/>
        <w:rPr>
          <w:rFonts w:ascii="Calibri"/>
          <w:sz w:val="20"/>
        </w:rPr>
      </w:pPr>
      <w:r>
        <w:rPr>
          <w:rFonts w:ascii="Calibri"/>
          <w:sz w:val="20"/>
        </w:rPr>
        <w:t>Table 1 provides the total cost of care services received in the last twelve months of life, and also the average cost per decedent and per user of each type of service. Estimated social care costs include only the most common types of services provided</w:t>
      </w:r>
      <w:r>
        <w:rPr>
          <w:rFonts w:ascii="Calibri"/>
          <w:spacing w:val="-5"/>
          <w:sz w:val="20"/>
        </w:rPr>
        <w:t xml:space="preserve"> </w:t>
      </w:r>
      <w:r>
        <w:rPr>
          <w:rFonts w:ascii="Calibri"/>
          <w:sz w:val="20"/>
        </w:rPr>
        <w:t>by</w:t>
      </w:r>
      <w:r>
        <w:rPr>
          <w:rFonts w:ascii="Calibri"/>
          <w:spacing w:val="-5"/>
          <w:sz w:val="20"/>
        </w:rPr>
        <w:t xml:space="preserve"> </w:t>
      </w:r>
      <w:r>
        <w:rPr>
          <w:rFonts w:ascii="Calibri"/>
          <w:sz w:val="20"/>
        </w:rPr>
        <w:t>local</w:t>
      </w:r>
      <w:r>
        <w:rPr>
          <w:rFonts w:ascii="Calibri"/>
          <w:spacing w:val="-5"/>
          <w:sz w:val="20"/>
        </w:rPr>
        <w:t xml:space="preserve"> </w:t>
      </w:r>
      <w:r>
        <w:rPr>
          <w:rFonts w:ascii="Calibri"/>
          <w:sz w:val="20"/>
        </w:rPr>
        <w:t>authorities.</w:t>
      </w:r>
      <w:r>
        <w:rPr>
          <w:rFonts w:ascii="Calibri"/>
          <w:spacing w:val="-5"/>
          <w:sz w:val="20"/>
        </w:rPr>
        <w:t xml:space="preserve"> </w:t>
      </w:r>
      <w:r>
        <w:rPr>
          <w:rFonts w:ascii="Calibri"/>
          <w:sz w:val="20"/>
        </w:rPr>
        <w:t>Hospital</w:t>
      </w:r>
      <w:r>
        <w:rPr>
          <w:rFonts w:ascii="Calibri"/>
          <w:spacing w:val="-5"/>
          <w:sz w:val="20"/>
        </w:rPr>
        <w:t xml:space="preserve"> </w:t>
      </w:r>
      <w:r>
        <w:rPr>
          <w:rFonts w:ascii="Calibri"/>
          <w:sz w:val="20"/>
        </w:rPr>
        <w:t>care</w:t>
      </w:r>
      <w:r>
        <w:rPr>
          <w:rFonts w:ascii="Calibri"/>
          <w:spacing w:val="-6"/>
          <w:sz w:val="20"/>
        </w:rPr>
        <w:t xml:space="preserve"> </w:t>
      </w:r>
      <w:r>
        <w:rPr>
          <w:rFonts w:ascii="Calibri"/>
          <w:sz w:val="20"/>
        </w:rPr>
        <w:t>accounted</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66</w:t>
      </w:r>
      <w:r>
        <w:rPr>
          <w:rFonts w:ascii="Calibri"/>
          <w:spacing w:val="-2"/>
          <w:sz w:val="20"/>
        </w:rPr>
        <w:t xml:space="preserve"> </w:t>
      </w:r>
      <w:r>
        <w:rPr>
          <w:rFonts w:ascii="Calibri"/>
          <w:sz w:val="20"/>
        </w:rPr>
        <w:t>per</w:t>
      </w:r>
      <w:r>
        <w:rPr>
          <w:rFonts w:ascii="Calibri"/>
          <w:spacing w:val="-5"/>
          <w:sz w:val="20"/>
        </w:rPr>
        <w:t xml:space="preserve"> </w:t>
      </w:r>
      <w:r>
        <w:rPr>
          <w:rFonts w:ascii="Calibri"/>
          <w:sz w:val="20"/>
        </w:rPr>
        <w:t>cent</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total</w:t>
      </w:r>
      <w:r>
        <w:rPr>
          <w:rFonts w:ascii="Calibri"/>
          <w:spacing w:val="-5"/>
          <w:sz w:val="20"/>
        </w:rPr>
        <w:t xml:space="preserve"> </w:t>
      </w:r>
      <w:r>
        <w:rPr>
          <w:rFonts w:ascii="Calibri"/>
          <w:sz w:val="20"/>
        </w:rPr>
        <w:t>care</w:t>
      </w:r>
      <w:r>
        <w:rPr>
          <w:rFonts w:ascii="Calibri"/>
          <w:spacing w:val="-6"/>
          <w:sz w:val="20"/>
        </w:rPr>
        <w:t xml:space="preserve"> </w:t>
      </w:r>
      <w:r>
        <w:rPr>
          <w:rFonts w:ascii="Calibri"/>
          <w:sz w:val="20"/>
        </w:rPr>
        <w:t>costs,</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social</w:t>
      </w:r>
      <w:r>
        <w:rPr>
          <w:rFonts w:ascii="Calibri"/>
          <w:spacing w:val="-3"/>
          <w:sz w:val="20"/>
        </w:rPr>
        <w:t xml:space="preserve"> </w:t>
      </w:r>
      <w:r>
        <w:rPr>
          <w:rFonts w:ascii="Calibri"/>
          <w:sz w:val="20"/>
        </w:rPr>
        <w:t>care</w:t>
      </w:r>
      <w:r>
        <w:rPr>
          <w:rFonts w:ascii="Calibri"/>
          <w:spacing w:val="-6"/>
          <w:sz w:val="20"/>
        </w:rPr>
        <w:t xml:space="preserve"> </w:t>
      </w:r>
      <w:r>
        <w:rPr>
          <w:rFonts w:ascii="Calibri"/>
          <w:sz w:val="20"/>
        </w:rPr>
        <w:t>costs</w:t>
      </w:r>
      <w:r>
        <w:rPr>
          <w:rFonts w:ascii="Calibri"/>
          <w:spacing w:val="-6"/>
          <w:sz w:val="20"/>
        </w:rPr>
        <w:t xml:space="preserve"> </w:t>
      </w:r>
      <w:r>
        <w:rPr>
          <w:rFonts w:ascii="Calibri"/>
          <w:sz w:val="20"/>
        </w:rPr>
        <w:t>for</w:t>
      </w:r>
      <w:r>
        <w:rPr>
          <w:rFonts w:ascii="Calibri"/>
          <w:spacing w:val="-5"/>
          <w:sz w:val="20"/>
        </w:rPr>
        <w:t xml:space="preserve"> </w:t>
      </w:r>
      <w:r>
        <w:rPr>
          <w:rFonts w:ascii="Calibri"/>
          <w:sz w:val="20"/>
        </w:rPr>
        <w:t>34</w:t>
      </w:r>
      <w:r>
        <w:rPr>
          <w:rFonts w:ascii="Calibri"/>
          <w:spacing w:val="-6"/>
          <w:sz w:val="20"/>
        </w:rPr>
        <w:t xml:space="preserve"> </w:t>
      </w:r>
      <w:r>
        <w:rPr>
          <w:rFonts w:ascii="Calibri"/>
          <w:sz w:val="20"/>
        </w:rPr>
        <w:t>per</w:t>
      </w:r>
      <w:r>
        <w:rPr>
          <w:rFonts w:ascii="Calibri"/>
          <w:spacing w:val="-5"/>
          <w:sz w:val="20"/>
        </w:rPr>
        <w:t xml:space="preserve"> </w:t>
      </w:r>
      <w:r>
        <w:rPr>
          <w:rFonts w:ascii="Calibri"/>
          <w:sz w:val="20"/>
        </w:rPr>
        <w:t>cent of total</w:t>
      </w:r>
      <w:r>
        <w:rPr>
          <w:rFonts w:ascii="Calibri"/>
          <w:spacing w:val="-10"/>
          <w:sz w:val="20"/>
        </w:rPr>
        <w:t xml:space="preserve"> </w:t>
      </w:r>
      <w:r>
        <w:rPr>
          <w:rFonts w:ascii="Calibri"/>
          <w:sz w:val="20"/>
        </w:rPr>
        <w:t>costs.</w:t>
      </w:r>
    </w:p>
    <w:p w:rsidR="006A18FD" w:rsidRDefault="006A18FD">
      <w:pPr>
        <w:spacing w:before="5"/>
        <w:rPr>
          <w:rFonts w:ascii="Calibri"/>
          <w:sz w:val="16"/>
        </w:rPr>
      </w:pPr>
    </w:p>
    <w:p w:rsidR="006A18FD" w:rsidRDefault="002D29FC">
      <w:pPr>
        <w:spacing w:line="276" w:lineRule="auto"/>
        <w:ind w:left="152" w:right="139"/>
        <w:jc w:val="both"/>
        <w:rPr>
          <w:rFonts w:ascii="Calibri" w:hAnsi="Calibri"/>
          <w:sz w:val="20"/>
        </w:rPr>
      </w:pPr>
      <w:r>
        <w:rPr>
          <w:rFonts w:ascii="Calibri" w:hAnsi="Calibri"/>
          <w:sz w:val="20"/>
        </w:rPr>
        <w:t>Emergency hospital admissions were responsible for 71 per cent of all hospital costs in the final year of life, and 46 per cent of total costs. Emergency admissions rose sharply in the final year such that, by the final month of death, costs had risen by a</w:t>
      </w:r>
      <w:r>
        <w:rPr>
          <w:rFonts w:ascii="Calibri" w:hAnsi="Calibri"/>
          <w:spacing w:val="-6"/>
          <w:sz w:val="20"/>
        </w:rPr>
        <w:t xml:space="preserve"> </w:t>
      </w:r>
      <w:r>
        <w:rPr>
          <w:rFonts w:ascii="Calibri" w:hAnsi="Calibri"/>
          <w:sz w:val="20"/>
        </w:rPr>
        <w:t>factor</w:t>
      </w:r>
      <w:r>
        <w:rPr>
          <w:rFonts w:ascii="Calibri" w:hAnsi="Calibri"/>
          <w:spacing w:val="-7"/>
          <w:sz w:val="20"/>
        </w:rPr>
        <w:t xml:space="preserve"> </w:t>
      </w:r>
      <w:r>
        <w:rPr>
          <w:rFonts w:ascii="Calibri" w:hAnsi="Calibri"/>
          <w:sz w:val="20"/>
        </w:rPr>
        <w:t>of</w:t>
      </w:r>
      <w:r>
        <w:rPr>
          <w:rFonts w:ascii="Calibri" w:hAnsi="Calibri"/>
          <w:spacing w:val="-6"/>
          <w:sz w:val="20"/>
        </w:rPr>
        <w:t xml:space="preserve"> </w:t>
      </w:r>
      <w:r>
        <w:rPr>
          <w:rFonts w:ascii="Calibri" w:hAnsi="Calibri"/>
          <w:sz w:val="20"/>
        </w:rPr>
        <w:t>13</w:t>
      </w:r>
      <w:r>
        <w:rPr>
          <w:rFonts w:ascii="Calibri" w:hAnsi="Calibri"/>
          <w:spacing w:val="-5"/>
          <w:sz w:val="20"/>
        </w:rPr>
        <w:t xml:space="preserve"> </w:t>
      </w:r>
      <w:r>
        <w:rPr>
          <w:rFonts w:ascii="Calibri" w:hAnsi="Calibri"/>
          <w:sz w:val="20"/>
        </w:rPr>
        <w:t>compared</w:t>
      </w:r>
      <w:r>
        <w:rPr>
          <w:rFonts w:ascii="Calibri" w:hAnsi="Calibri"/>
          <w:spacing w:val="-6"/>
          <w:sz w:val="20"/>
        </w:rPr>
        <w:t xml:space="preserve"> </w:t>
      </w:r>
      <w:r>
        <w:rPr>
          <w:rFonts w:ascii="Calibri" w:hAnsi="Calibri"/>
          <w:sz w:val="20"/>
        </w:rPr>
        <w:t>to</w:t>
      </w:r>
      <w:r>
        <w:rPr>
          <w:rFonts w:ascii="Calibri" w:hAnsi="Calibri"/>
          <w:spacing w:val="-3"/>
          <w:sz w:val="20"/>
        </w:rPr>
        <w:t xml:space="preserve"> </w:t>
      </w:r>
      <w:r>
        <w:rPr>
          <w:rFonts w:ascii="Calibri" w:hAnsi="Calibri"/>
          <w:sz w:val="20"/>
        </w:rPr>
        <w:t>12</w:t>
      </w:r>
      <w:r>
        <w:rPr>
          <w:rFonts w:ascii="Calibri" w:hAnsi="Calibri"/>
          <w:spacing w:val="-5"/>
          <w:sz w:val="20"/>
        </w:rPr>
        <w:t xml:space="preserve"> </w:t>
      </w:r>
      <w:r>
        <w:rPr>
          <w:rFonts w:ascii="Calibri" w:hAnsi="Calibri"/>
          <w:sz w:val="20"/>
        </w:rPr>
        <w:t>months</w:t>
      </w:r>
      <w:r>
        <w:rPr>
          <w:rFonts w:ascii="Calibri" w:hAnsi="Calibri"/>
          <w:spacing w:val="-8"/>
          <w:sz w:val="20"/>
        </w:rPr>
        <w:t xml:space="preserve"> </w:t>
      </w:r>
      <w:r>
        <w:rPr>
          <w:rFonts w:ascii="Calibri" w:hAnsi="Calibri"/>
          <w:sz w:val="20"/>
        </w:rPr>
        <w:t>earlier.</w:t>
      </w:r>
      <w:r>
        <w:rPr>
          <w:rFonts w:ascii="Calibri" w:hAnsi="Calibri"/>
          <w:spacing w:val="-4"/>
          <w:sz w:val="20"/>
        </w:rPr>
        <w:t xml:space="preserve"> </w:t>
      </w:r>
      <w:r>
        <w:rPr>
          <w:rFonts w:ascii="Calibri" w:hAnsi="Calibri"/>
          <w:sz w:val="20"/>
        </w:rPr>
        <w:t>They</w:t>
      </w:r>
      <w:r>
        <w:rPr>
          <w:rFonts w:ascii="Calibri" w:hAnsi="Calibri"/>
          <w:spacing w:val="-6"/>
          <w:sz w:val="20"/>
        </w:rPr>
        <w:t xml:space="preserve"> </w:t>
      </w:r>
      <w:r>
        <w:rPr>
          <w:rFonts w:ascii="Calibri" w:hAnsi="Calibri"/>
          <w:sz w:val="20"/>
        </w:rPr>
        <w:t>accounted</w:t>
      </w:r>
      <w:r>
        <w:rPr>
          <w:rFonts w:ascii="Calibri" w:hAnsi="Calibri"/>
          <w:spacing w:val="-6"/>
          <w:sz w:val="20"/>
        </w:rPr>
        <w:t xml:space="preserve"> </w:t>
      </w:r>
      <w:r>
        <w:rPr>
          <w:rFonts w:ascii="Calibri" w:hAnsi="Calibri"/>
          <w:sz w:val="20"/>
        </w:rPr>
        <w:t>for</w:t>
      </w:r>
      <w:r>
        <w:rPr>
          <w:rFonts w:ascii="Calibri" w:hAnsi="Calibri"/>
          <w:spacing w:val="-7"/>
          <w:sz w:val="20"/>
        </w:rPr>
        <w:t xml:space="preserve"> </w:t>
      </w:r>
      <w:r>
        <w:rPr>
          <w:rFonts w:ascii="Calibri" w:hAnsi="Calibri"/>
          <w:sz w:val="20"/>
        </w:rPr>
        <w:t>85</w:t>
      </w:r>
      <w:r>
        <w:rPr>
          <w:rFonts w:ascii="Calibri" w:hAnsi="Calibri"/>
          <w:spacing w:val="-7"/>
          <w:sz w:val="20"/>
        </w:rPr>
        <w:t xml:space="preserve"> </w:t>
      </w:r>
      <w:r>
        <w:rPr>
          <w:rFonts w:ascii="Calibri" w:hAnsi="Calibri"/>
          <w:sz w:val="20"/>
        </w:rPr>
        <w:t>per</w:t>
      </w:r>
      <w:r>
        <w:rPr>
          <w:rFonts w:ascii="Calibri" w:hAnsi="Calibri"/>
          <w:spacing w:val="-5"/>
          <w:sz w:val="20"/>
        </w:rPr>
        <w:t xml:space="preserve"> </w:t>
      </w:r>
      <w:r>
        <w:rPr>
          <w:rFonts w:ascii="Calibri" w:hAnsi="Calibri"/>
          <w:sz w:val="20"/>
        </w:rPr>
        <w:t>cent</w:t>
      </w:r>
      <w:r>
        <w:rPr>
          <w:rFonts w:ascii="Calibri" w:hAnsi="Calibri"/>
          <w:spacing w:val="-6"/>
          <w:sz w:val="20"/>
        </w:rPr>
        <w:t xml:space="preserve"> </w:t>
      </w:r>
      <w:r>
        <w:rPr>
          <w:rFonts w:ascii="Calibri" w:hAnsi="Calibri"/>
          <w:sz w:val="20"/>
        </w:rPr>
        <w:t>of</w:t>
      </w:r>
      <w:r>
        <w:rPr>
          <w:rFonts w:ascii="Calibri" w:hAnsi="Calibri"/>
          <w:spacing w:val="-8"/>
          <w:sz w:val="20"/>
        </w:rPr>
        <w:t xml:space="preserve"> </w:t>
      </w:r>
      <w:r>
        <w:rPr>
          <w:rFonts w:ascii="Calibri" w:hAnsi="Calibri"/>
          <w:sz w:val="20"/>
        </w:rPr>
        <w:t>hospital</w:t>
      </w:r>
      <w:r>
        <w:rPr>
          <w:rFonts w:ascii="Calibri" w:hAnsi="Calibri"/>
          <w:spacing w:val="-4"/>
          <w:sz w:val="20"/>
        </w:rPr>
        <w:t xml:space="preserve"> </w:t>
      </w:r>
      <w:r>
        <w:rPr>
          <w:rFonts w:ascii="Calibri" w:hAnsi="Calibri"/>
          <w:sz w:val="20"/>
        </w:rPr>
        <w:t>costs</w:t>
      </w:r>
      <w:r>
        <w:rPr>
          <w:rFonts w:ascii="Calibri" w:hAnsi="Calibri"/>
          <w:spacing w:val="-5"/>
          <w:sz w:val="20"/>
        </w:rPr>
        <w:t xml:space="preserve"> </w:t>
      </w:r>
      <w:r>
        <w:rPr>
          <w:rFonts w:ascii="Calibri" w:hAnsi="Calibri"/>
          <w:sz w:val="20"/>
        </w:rPr>
        <w:t>in</w:t>
      </w:r>
      <w:r>
        <w:rPr>
          <w:rFonts w:ascii="Calibri" w:hAnsi="Calibri"/>
          <w:spacing w:val="-6"/>
          <w:sz w:val="20"/>
        </w:rPr>
        <w:t xml:space="preserve"> </w:t>
      </w:r>
      <w:r>
        <w:rPr>
          <w:rFonts w:ascii="Calibri" w:hAnsi="Calibri"/>
          <w:sz w:val="20"/>
        </w:rPr>
        <w:t>the</w:t>
      </w:r>
      <w:r>
        <w:rPr>
          <w:rFonts w:ascii="Calibri" w:hAnsi="Calibri"/>
          <w:spacing w:val="-5"/>
          <w:sz w:val="20"/>
        </w:rPr>
        <w:t xml:space="preserve"> </w:t>
      </w:r>
      <w:r>
        <w:rPr>
          <w:rFonts w:ascii="Calibri" w:hAnsi="Calibri"/>
          <w:sz w:val="20"/>
        </w:rPr>
        <w:t>final</w:t>
      </w:r>
      <w:r>
        <w:rPr>
          <w:rFonts w:ascii="Calibri" w:hAnsi="Calibri"/>
          <w:spacing w:val="-2"/>
          <w:sz w:val="20"/>
        </w:rPr>
        <w:t xml:space="preserve"> </w:t>
      </w:r>
      <w:r>
        <w:rPr>
          <w:rFonts w:ascii="Calibri" w:hAnsi="Calibri"/>
          <w:sz w:val="20"/>
        </w:rPr>
        <w:t>month</w:t>
      </w:r>
      <w:r>
        <w:rPr>
          <w:rFonts w:ascii="Calibri" w:hAnsi="Calibri"/>
          <w:spacing w:val="-6"/>
          <w:sz w:val="20"/>
        </w:rPr>
        <w:t xml:space="preserve"> </w:t>
      </w:r>
      <w:r>
        <w:rPr>
          <w:rFonts w:ascii="Calibri" w:hAnsi="Calibri"/>
          <w:sz w:val="20"/>
        </w:rPr>
        <w:t>(£2,120</w:t>
      </w:r>
      <w:r>
        <w:rPr>
          <w:rFonts w:ascii="Calibri" w:hAnsi="Calibri"/>
          <w:spacing w:val="-7"/>
          <w:sz w:val="20"/>
        </w:rPr>
        <w:t xml:space="preserve"> </w:t>
      </w:r>
      <w:r>
        <w:rPr>
          <w:rFonts w:ascii="Calibri" w:hAnsi="Calibri"/>
          <w:sz w:val="20"/>
        </w:rPr>
        <w:t>per decedent). Elective inpatient costs more than tripled in the same period (from £81 to £291 per decedent). Costs have been uprated</w:t>
      </w:r>
      <w:r>
        <w:rPr>
          <w:rFonts w:ascii="Calibri" w:hAnsi="Calibri"/>
          <w:spacing w:val="-3"/>
          <w:sz w:val="20"/>
        </w:rPr>
        <w:t xml:space="preserve"> </w:t>
      </w:r>
      <w:r>
        <w:rPr>
          <w:rFonts w:ascii="Calibri" w:hAnsi="Calibri"/>
          <w:sz w:val="20"/>
        </w:rPr>
        <w:t>from</w:t>
      </w:r>
      <w:r>
        <w:rPr>
          <w:rFonts w:ascii="Calibri" w:hAnsi="Calibri"/>
          <w:spacing w:val="-4"/>
          <w:sz w:val="20"/>
        </w:rPr>
        <w:t xml:space="preserve"> </w:t>
      </w:r>
      <w:r>
        <w:rPr>
          <w:rFonts w:ascii="Calibri" w:hAnsi="Calibri"/>
          <w:sz w:val="20"/>
        </w:rPr>
        <w:t>2010/2011</w:t>
      </w:r>
      <w:r>
        <w:rPr>
          <w:rFonts w:ascii="Calibri" w:hAnsi="Calibri"/>
          <w:spacing w:val="-4"/>
          <w:sz w:val="20"/>
        </w:rPr>
        <w:t xml:space="preserve"> </w:t>
      </w:r>
      <w:r>
        <w:rPr>
          <w:rFonts w:ascii="Calibri" w:hAnsi="Calibri"/>
          <w:sz w:val="20"/>
        </w:rPr>
        <w:t>to</w:t>
      </w:r>
      <w:r>
        <w:rPr>
          <w:rFonts w:ascii="Calibri" w:hAnsi="Calibri"/>
          <w:spacing w:val="-3"/>
          <w:sz w:val="20"/>
        </w:rPr>
        <w:t xml:space="preserve"> </w:t>
      </w:r>
      <w:r>
        <w:rPr>
          <w:rFonts w:ascii="Calibri" w:hAnsi="Calibri"/>
          <w:sz w:val="20"/>
        </w:rPr>
        <w:t>2018/2019</w:t>
      </w:r>
      <w:r>
        <w:rPr>
          <w:rFonts w:ascii="Calibri" w:hAnsi="Calibri"/>
          <w:spacing w:val="-4"/>
          <w:sz w:val="20"/>
        </w:rPr>
        <w:t xml:space="preserve"> </w:t>
      </w:r>
      <w:r>
        <w:rPr>
          <w:rFonts w:ascii="Calibri" w:hAnsi="Calibri"/>
          <w:sz w:val="20"/>
        </w:rPr>
        <w:t>prices</w:t>
      </w:r>
      <w:r>
        <w:rPr>
          <w:rFonts w:ascii="Calibri" w:hAnsi="Calibri"/>
          <w:spacing w:val="-5"/>
          <w:sz w:val="20"/>
        </w:rPr>
        <w:t xml:space="preserve"> </w:t>
      </w:r>
      <w:r>
        <w:rPr>
          <w:rFonts w:ascii="Calibri" w:hAnsi="Calibri"/>
          <w:sz w:val="20"/>
        </w:rPr>
        <w:t>using</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Personal</w:t>
      </w:r>
      <w:r>
        <w:rPr>
          <w:rFonts w:ascii="Calibri" w:hAnsi="Calibri"/>
          <w:spacing w:val="-3"/>
          <w:sz w:val="20"/>
        </w:rPr>
        <w:t xml:space="preserve"> </w:t>
      </w:r>
      <w:r>
        <w:rPr>
          <w:rFonts w:ascii="Calibri" w:hAnsi="Calibri"/>
          <w:sz w:val="20"/>
        </w:rPr>
        <w:t>Social</w:t>
      </w:r>
      <w:r>
        <w:rPr>
          <w:rFonts w:ascii="Calibri" w:hAnsi="Calibri"/>
          <w:spacing w:val="-3"/>
          <w:sz w:val="20"/>
        </w:rPr>
        <w:t xml:space="preserve"> </w:t>
      </w:r>
      <w:r>
        <w:rPr>
          <w:rFonts w:ascii="Calibri" w:hAnsi="Calibri"/>
          <w:sz w:val="20"/>
        </w:rPr>
        <w:t>Services</w:t>
      </w:r>
      <w:r>
        <w:rPr>
          <w:rFonts w:ascii="Calibri" w:hAnsi="Calibri"/>
          <w:spacing w:val="-5"/>
          <w:sz w:val="20"/>
        </w:rPr>
        <w:t xml:space="preserve"> </w:t>
      </w:r>
      <w:r>
        <w:rPr>
          <w:rFonts w:ascii="Calibri" w:hAnsi="Calibri"/>
          <w:sz w:val="20"/>
        </w:rPr>
        <w:t>(PSS)</w:t>
      </w:r>
      <w:r>
        <w:rPr>
          <w:rFonts w:ascii="Calibri" w:hAnsi="Calibri"/>
          <w:spacing w:val="-4"/>
          <w:sz w:val="20"/>
        </w:rPr>
        <w:t xml:space="preserve"> </w:t>
      </w:r>
      <w:r>
        <w:rPr>
          <w:rFonts w:ascii="Calibri" w:hAnsi="Calibri"/>
          <w:sz w:val="20"/>
        </w:rPr>
        <w:t>and</w:t>
      </w:r>
      <w:r>
        <w:rPr>
          <w:rFonts w:ascii="Calibri" w:hAnsi="Calibri"/>
          <w:spacing w:val="-3"/>
          <w:sz w:val="20"/>
        </w:rPr>
        <w:t xml:space="preserve"> </w:t>
      </w:r>
      <w:r>
        <w:rPr>
          <w:rFonts w:ascii="Calibri" w:hAnsi="Calibri"/>
          <w:sz w:val="20"/>
        </w:rPr>
        <w:t>NHS</w:t>
      </w:r>
      <w:r>
        <w:rPr>
          <w:rFonts w:ascii="Calibri" w:hAnsi="Calibri"/>
          <w:spacing w:val="-4"/>
          <w:sz w:val="20"/>
        </w:rPr>
        <w:t xml:space="preserve"> </w:t>
      </w:r>
      <w:r>
        <w:rPr>
          <w:rFonts w:ascii="Calibri" w:hAnsi="Calibri"/>
          <w:sz w:val="20"/>
        </w:rPr>
        <w:t>pay</w:t>
      </w:r>
      <w:r>
        <w:rPr>
          <w:rFonts w:ascii="Calibri" w:hAnsi="Calibri"/>
          <w:spacing w:val="-2"/>
          <w:sz w:val="20"/>
        </w:rPr>
        <w:t xml:space="preserve"> </w:t>
      </w:r>
      <w:r>
        <w:rPr>
          <w:rFonts w:ascii="Calibri" w:hAnsi="Calibri"/>
          <w:sz w:val="20"/>
        </w:rPr>
        <w:t>and</w:t>
      </w:r>
      <w:r>
        <w:rPr>
          <w:rFonts w:ascii="Calibri" w:hAnsi="Calibri"/>
          <w:spacing w:val="-3"/>
          <w:sz w:val="20"/>
        </w:rPr>
        <w:t xml:space="preserve"> </w:t>
      </w:r>
      <w:r>
        <w:rPr>
          <w:rFonts w:ascii="Calibri" w:hAnsi="Calibri"/>
          <w:sz w:val="20"/>
        </w:rPr>
        <w:t>prices</w:t>
      </w:r>
      <w:r>
        <w:rPr>
          <w:rFonts w:ascii="Calibri" w:hAnsi="Calibri"/>
          <w:spacing w:val="-5"/>
          <w:sz w:val="20"/>
        </w:rPr>
        <w:t xml:space="preserve"> </w:t>
      </w:r>
      <w:r>
        <w:rPr>
          <w:rFonts w:ascii="Calibri" w:hAnsi="Calibri"/>
          <w:sz w:val="20"/>
        </w:rPr>
        <w:t>inflators.</w:t>
      </w:r>
    </w:p>
    <w:p w:rsidR="006A18FD" w:rsidRDefault="006A18FD">
      <w:pPr>
        <w:spacing w:before="1"/>
        <w:rPr>
          <w:rFonts w:ascii="Calibri"/>
          <w:sz w:val="16"/>
        </w:rPr>
      </w:pPr>
    </w:p>
    <w:p w:rsidR="006A18FD" w:rsidRDefault="002D29FC">
      <w:pPr>
        <w:ind w:left="152"/>
        <w:jc w:val="both"/>
        <w:rPr>
          <w:rFonts w:ascii="Cambria"/>
          <w:b/>
          <w:sz w:val="20"/>
        </w:rPr>
      </w:pPr>
      <w:r>
        <w:rPr>
          <w:rFonts w:ascii="Cambria"/>
          <w:b/>
          <w:sz w:val="20"/>
        </w:rPr>
        <w:t>Table 1: Estimated average cost of care services in the last twelve months of life</w:t>
      </w:r>
    </w:p>
    <w:p w:rsidR="006A18FD" w:rsidRDefault="006A18FD">
      <w:pPr>
        <w:rPr>
          <w:rFonts w:ascii="Cambria"/>
          <w:b/>
          <w:sz w:val="8"/>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1258"/>
        <w:gridCol w:w="1536"/>
        <w:gridCol w:w="1382"/>
        <w:gridCol w:w="1537"/>
        <w:gridCol w:w="1534"/>
      </w:tblGrid>
      <w:tr w:rsidR="006A18FD" w:rsidTr="00E2663F">
        <w:trPr>
          <w:trHeight w:val="620"/>
          <w:tblHeader/>
        </w:trPr>
        <w:tc>
          <w:tcPr>
            <w:tcW w:w="2739" w:type="dxa"/>
          </w:tcPr>
          <w:p w:rsidR="006A18FD" w:rsidRDefault="006A18FD">
            <w:pPr>
              <w:rPr>
                <w:rFonts w:ascii="Times New Roman"/>
                <w:sz w:val="18"/>
              </w:rPr>
            </w:pPr>
          </w:p>
        </w:tc>
        <w:tc>
          <w:tcPr>
            <w:tcW w:w="1258" w:type="dxa"/>
          </w:tcPr>
          <w:p w:rsidR="006A18FD" w:rsidRDefault="002D29FC">
            <w:pPr>
              <w:spacing w:before="59"/>
              <w:ind w:left="220"/>
              <w:rPr>
                <w:rFonts w:ascii="Calibri"/>
                <w:b/>
                <w:sz w:val="20"/>
              </w:rPr>
            </w:pPr>
            <w:r>
              <w:rPr>
                <w:rFonts w:ascii="Calibri"/>
                <w:b/>
                <w:sz w:val="20"/>
              </w:rPr>
              <w:t>Total cost</w:t>
            </w:r>
          </w:p>
        </w:tc>
        <w:tc>
          <w:tcPr>
            <w:tcW w:w="1536" w:type="dxa"/>
          </w:tcPr>
          <w:p w:rsidR="006A18FD" w:rsidRDefault="002D29FC">
            <w:pPr>
              <w:spacing w:before="59"/>
              <w:ind w:left="376" w:right="176" w:hanging="180"/>
              <w:rPr>
                <w:rFonts w:ascii="Calibri"/>
                <w:b/>
                <w:sz w:val="20"/>
              </w:rPr>
            </w:pPr>
            <w:r>
              <w:rPr>
                <w:rFonts w:ascii="Calibri"/>
                <w:b/>
                <w:sz w:val="20"/>
              </w:rPr>
              <w:t>Total cost per decedent</w:t>
            </w:r>
          </w:p>
        </w:tc>
        <w:tc>
          <w:tcPr>
            <w:tcW w:w="1382" w:type="dxa"/>
          </w:tcPr>
          <w:p w:rsidR="006A18FD" w:rsidRDefault="002D29FC">
            <w:pPr>
              <w:spacing w:before="59"/>
              <w:ind w:left="395"/>
              <w:rPr>
                <w:rFonts w:ascii="Calibri"/>
                <w:b/>
                <w:sz w:val="20"/>
              </w:rPr>
            </w:pPr>
            <w:r>
              <w:rPr>
                <w:rFonts w:ascii="Calibri"/>
                <w:b/>
                <w:sz w:val="20"/>
              </w:rPr>
              <w:t>% total</w:t>
            </w:r>
          </w:p>
        </w:tc>
        <w:tc>
          <w:tcPr>
            <w:tcW w:w="1537" w:type="dxa"/>
          </w:tcPr>
          <w:p w:rsidR="006A18FD" w:rsidRDefault="002D29FC">
            <w:pPr>
              <w:spacing w:before="59"/>
              <w:ind w:right="265"/>
              <w:jc w:val="right"/>
              <w:rPr>
                <w:rFonts w:ascii="Calibri"/>
                <w:b/>
                <w:sz w:val="20"/>
              </w:rPr>
            </w:pPr>
            <w:r>
              <w:rPr>
                <w:rFonts w:ascii="Calibri"/>
                <w:b/>
                <w:sz w:val="20"/>
              </w:rPr>
              <w:t>No. of users</w:t>
            </w:r>
          </w:p>
        </w:tc>
        <w:tc>
          <w:tcPr>
            <w:tcW w:w="1534" w:type="dxa"/>
          </w:tcPr>
          <w:p w:rsidR="006A18FD" w:rsidRDefault="002D29FC">
            <w:pPr>
              <w:spacing w:before="59"/>
              <w:ind w:left="580" w:right="177" w:hanging="387"/>
              <w:rPr>
                <w:rFonts w:ascii="Calibri"/>
                <w:b/>
                <w:sz w:val="20"/>
              </w:rPr>
            </w:pPr>
            <w:r>
              <w:rPr>
                <w:rFonts w:ascii="Calibri"/>
                <w:b/>
                <w:sz w:val="20"/>
              </w:rPr>
              <w:t>Total cost per user</w:t>
            </w:r>
          </w:p>
        </w:tc>
      </w:tr>
      <w:tr w:rsidR="006A18FD">
        <w:trPr>
          <w:trHeight w:val="340"/>
        </w:trPr>
        <w:tc>
          <w:tcPr>
            <w:tcW w:w="2739" w:type="dxa"/>
          </w:tcPr>
          <w:p w:rsidR="006A18FD" w:rsidRDefault="002D29FC">
            <w:pPr>
              <w:spacing w:before="59"/>
              <w:ind w:left="52"/>
              <w:rPr>
                <w:rFonts w:ascii="Calibri"/>
                <w:b/>
                <w:sz w:val="20"/>
              </w:rPr>
            </w:pPr>
            <w:r>
              <w:rPr>
                <w:rFonts w:ascii="Calibri"/>
                <w:b/>
                <w:sz w:val="20"/>
              </w:rPr>
              <w:t>Hospital care</w:t>
            </w:r>
          </w:p>
        </w:tc>
        <w:tc>
          <w:tcPr>
            <w:tcW w:w="1258" w:type="dxa"/>
          </w:tcPr>
          <w:p w:rsidR="006A18FD" w:rsidRDefault="002D29FC">
            <w:pPr>
              <w:spacing w:before="59"/>
              <w:ind w:right="158"/>
              <w:jc w:val="right"/>
              <w:rPr>
                <w:rFonts w:ascii="Calibri" w:hAnsi="Calibri"/>
                <w:b/>
                <w:sz w:val="20"/>
              </w:rPr>
            </w:pPr>
            <w:r>
              <w:rPr>
                <w:rFonts w:ascii="Calibri" w:hAnsi="Calibri"/>
                <w:b/>
                <w:sz w:val="20"/>
              </w:rPr>
              <w:t>£546</w:t>
            </w:r>
          </w:p>
        </w:tc>
        <w:tc>
          <w:tcPr>
            <w:tcW w:w="1536" w:type="dxa"/>
          </w:tcPr>
          <w:p w:rsidR="006A18FD" w:rsidRDefault="002D29FC">
            <w:pPr>
              <w:spacing w:before="59"/>
              <w:ind w:right="231"/>
              <w:jc w:val="right"/>
              <w:rPr>
                <w:rFonts w:ascii="Calibri" w:hAnsi="Calibri"/>
                <w:b/>
                <w:sz w:val="20"/>
              </w:rPr>
            </w:pPr>
            <w:r>
              <w:rPr>
                <w:rFonts w:ascii="Calibri" w:hAnsi="Calibri"/>
                <w:b/>
                <w:sz w:val="20"/>
              </w:rPr>
              <w:t>£7,456</w:t>
            </w:r>
          </w:p>
        </w:tc>
        <w:tc>
          <w:tcPr>
            <w:tcW w:w="1382" w:type="dxa"/>
          </w:tcPr>
          <w:p w:rsidR="006A18FD" w:rsidRDefault="002D29FC">
            <w:pPr>
              <w:spacing w:before="59"/>
              <w:ind w:right="193"/>
              <w:jc w:val="right"/>
              <w:rPr>
                <w:rFonts w:ascii="Calibri"/>
                <w:b/>
                <w:sz w:val="20"/>
              </w:rPr>
            </w:pPr>
            <w:r>
              <w:rPr>
                <w:rFonts w:ascii="Calibri"/>
                <w:b/>
                <w:w w:val="95"/>
                <w:sz w:val="20"/>
              </w:rPr>
              <w:t>65%</w:t>
            </w:r>
          </w:p>
        </w:tc>
        <w:tc>
          <w:tcPr>
            <w:tcW w:w="1537" w:type="dxa"/>
          </w:tcPr>
          <w:p w:rsidR="006A18FD" w:rsidRDefault="002D29FC">
            <w:pPr>
              <w:spacing w:before="59"/>
              <w:ind w:right="260"/>
              <w:jc w:val="right"/>
              <w:rPr>
                <w:rFonts w:ascii="Calibri"/>
                <w:b/>
                <w:sz w:val="20"/>
              </w:rPr>
            </w:pPr>
            <w:r>
              <w:rPr>
                <w:rFonts w:ascii="Calibri"/>
                <w:b/>
                <w:sz w:val="20"/>
              </w:rPr>
              <w:t>65,624</w:t>
            </w:r>
          </w:p>
        </w:tc>
        <w:tc>
          <w:tcPr>
            <w:tcW w:w="1534" w:type="dxa"/>
          </w:tcPr>
          <w:p w:rsidR="006A18FD" w:rsidRDefault="002D29FC">
            <w:pPr>
              <w:spacing w:before="59"/>
              <w:ind w:right="242"/>
              <w:jc w:val="right"/>
              <w:rPr>
                <w:rFonts w:ascii="Calibri" w:hAnsi="Calibri"/>
                <w:b/>
                <w:sz w:val="20"/>
              </w:rPr>
            </w:pPr>
            <w:r>
              <w:rPr>
                <w:rFonts w:ascii="Calibri" w:hAnsi="Calibri"/>
                <w:b/>
                <w:sz w:val="20"/>
              </w:rPr>
              <w:t>£8,322</w:t>
            </w:r>
          </w:p>
        </w:tc>
      </w:tr>
      <w:tr w:rsidR="006A18FD">
        <w:trPr>
          <w:trHeight w:val="340"/>
        </w:trPr>
        <w:tc>
          <w:tcPr>
            <w:tcW w:w="2739" w:type="dxa"/>
          </w:tcPr>
          <w:p w:rsidR="006A18FD" w:rsidRDefault="002D29FC">
            <w:pPr>
              <w:spacing w:before="56"/>
              <w:ind w:left="52"/>
              <w:rPr>
                <w:rFonts w:ascii="Calibri"/>
                <w:sz w:val="20"/>
              </w:rPr>
            </w:pPr>
            <w:r>
              <w:rPr>
                <w:rFonts w:ascii="Calibri"/>
                <w:sz w:val="20"/>
              </w:rPr>
              <w:t>Inpatient emergency</w:t>
            </w:r>
          </w:p>
        </w:tc>
        <w:tc>
          <w:tcPr>
            <w:tcW w:w="1258" w:type="dxa"/>
          </w:tcPr>
          <w:p w:rsidR="006A18FD" w:rsidRDefault="002D29FC">
            <w:pPr>
              <w:spacing w:before="56"/>
              <w:ind w:right="158"/>
              <w:jc w:val="right"/>
              <w:rPr>
                <w:rFonts w:ascii="Calibri" w:hAnsi="Calibri"/>
                <w:sz w:val="20"/>
              </w:rPr>
            </w:pPr>
            <w:r>
              <w:rPr>
                <w:rFonts w:ascii="Calibri" w:hAnsi="Calibri"/>
                <w:sz w:val="20"/>
              </w:rPr>
              <w:t>£388</w:t>
            </w:r>
          </w:p>
        </w:tc>
        <w:tc>
          <w:tcPr>
            <w:tcW w:w="1536" w:type="dxa"/>
          </w:tcPr>
          <w:p w:rsidR="006A18FD" w:rsidRDefault="002D29FC">
            <w:pPr>
              <w:spacing w:before="56"/>
              <w:ind w:right="230"/>
              <w:jc w:val="right"/>
              <w:rPr>
                <w:rFonts w:ascii="Calibri" w:hAnsi="Calibri"/>
                <w:sz w:val="20"/>
              </w:rPr>
            </w:pPr>
            <w:r>
              <w:rPr>
                <w:rFonts w:ascii="Calibri" w:hAnsi="Calibri"/>
                <w:w w:val="95"/>
                <w:sz w:val="20"/>
              </w:rPr>
              <w:t>£5,299</w:t>
            </w:r>
          </w:p>
        </w:tc>
        <w:tc>
          <w:tcPr>
            <w:tcW w:w="1382" w:type="dxa"/>
          </w:tcPr>
          <w:p w:rsidR="006A18FD" w:rsidRDefault="002D29FC">
            <w:pPr>
              <w:spacing w:before="56"/>
              <w:ind w:right="193"/>
              <w:jc w:val="right"/>
              <w:rPr>
                <w:rFonts w:ascii="Calibri"/>
                <w:sz w:val="20"/>
              </w:rPr>
            </w:pPr>
            <w:r>
              <w:rPr>
                <w:rFonts w:ascii="Calibri"/>
                <w:w w:val="95"/>
                <w:sz w:val="20"/>
              </w:rPr>
              <w:t>46%</w:t>
            </w:r>
          </w:p>
        </w:tc>
        <w:tc>
          <w:tcPr>
            <w:tcW w:w="1537" w:type="dxa"/>
          </w:tcPr>
          <w:p w:rsidR="006A18FD" w:rsidRDefault="002D29FC">
            <w:pPr>
              <w:spacing w:before="56"/>
              <w:ind w:right="259"/>
              <w:jc w:val="right"/>
              <w:rPr>
                <w:rFonts w:ascii="Calibri"/>
                <w:sz w:val="20"/>
              </w:rPr>
            </w:pPr>
            <w:r>
              <w:rPr>
                <w:rFonts w:ascii="Calibri"/>
                <w:w w:val="95"/>
                <w:sz w:val="20"/>
              </w:rPr>
              <w:t>54,577</w:t>
            </w:r>
          </w:p>
        </w:tc>
        <w:tc>
          <w:tcPr>
            <w:tcW w:w="1534" w:type="dxa"/>
          </w:tcPr>
          <w:p w:rsidR="006A18FD" w:rsidRDefault="002D29FC">
            <w:pPr>
              <w:spacing w:before="56"/>
              <w:ind w:right="242"/>
              <w:jc w:val="right"/>
              <w:rPr>
                <w:rFonts w:ascii="Calibri" w:hAnsi="Calibri"/>
                <w:sz w:val="20"/>
              </w:rPr>
            </w:pPr>
            <w:r>
              <w:rPr>
                <w:rFonts w:ascii="Calibri" w:hAnsi="Calibri"/>
                <w:w w:val="95"/>
                <w:sz w:val="20"/>
              </w:rPr>
              <w:t>£7,111</w:t>
            </w:r>
          </w:p>
        </w:tc>
      </w:tr>
      <w:tr w:rsidR="006A18FD">
        <w:trPr>
          <w:trHeight w:val="340"/>
        </w:trPr>
        <w:tc>
          <w:tcPr>
            <w:tcW w:w="2739" w:type="dxa"/>
          </w:tcPr>
          <w:p w:rsidR="006A18FD" w:rsidRDefault="002D29FC">
            <w:pPr>
              <w:spacing w:before="59"/>
              <w:ind w:left="52"/>
              <w:rPr>
                <w:rFonts w:ascii="Calibri"/>
                <w:sz w:val="20"/>
              </w:rPr>
            </w:pPr>
            <w:r>
              <w:rPr>
                <w:rFonts w:ascii="Calibri"/>
                <w:sz w:val="20"/>
              </w:rPr>
              <w:t>Inpatient non-emergency</w:t>
            </w:r>
          </w:p>
        </w:tc>
        <w:tc>
          <w:tcPr>
            <w:tcW w:w="1258" w:type="dxa"/>
          </w:tcPr>
          <w:p w:rsidR="006A18FD" w:rsidRDefault="002D29FC">
            <w:pPr>
              <w:spacing w:before="59"/>
              <w:ind w:right="158"/>
              <w:jc w:val="right"/>
              <w:rPr>
                <w:rFonts w:ascii="Calibri" w:hAnsi="Calibri"/>
                <w:sz w:val="20"/>
              </w:rPr>
            </w:pPr>
            <w:r>
              <w:rPr>
                <w:rFonts w:ascii="Calibri" w:hAnsi="Calibri"/>
                <w:sz w:val="20"/>
              </w:rPr>
              <w:t>£103</w:t>
            </w:r>
          </w:p>
        </w:tc>
        <w:tc>
          <w:tcPr>
            <w:tcW w:w="1536" w:type="dxa"/>
          </w:tcPr>
          <w:p w:rsidR="006A18FD" w:rsidRDefault="002D29FC">
            <w:pPr>
              <w:spacing w:before="59"/>
              <w:ind w:right="230"/>
              <w:jc w:val="right"/>
              <w:rPr>
                <w:rFonts w:ascii="Calibri" w:hAnsi="Calibri"/>
                <w:sz w:val="20"/>
              </w:rPr>
            </w:pPr>
            <w:r>
              <w:rPr>
                <w:rFonts w:ascii="Calibri" w:hAnsi="Calibri"/>
                <w:w w:val="95"/>
                <w:sz w:val="20"/>
              </w:rPr>
              <w:t>£1,413</w:t>
            </w:r>
          </w:p>
        </w:tc>
        <w:tc>
          <w:tcPr>
            <w:tcW w:w="1382" w:type="dxa"/>
          </w:tcPr>
          <w:p w:rsidR="006A18FD" w:rsidRDefault="002D29FC">
            <w:pPr>
              <w:spacing w:before="59"/>
              <w:ind w:right="193"/>
              <w:jc w:val="right"/>
              <w:rPr>
                <w:rFonts w:ascii="Calibri"/>
                <w:sz w:val="20"/>
              </w:rPr>
            </w:pPr>
            <w:r>
              <w:rPr>
                <w:rFonts w:ascii="Calibri"/>
                <w:sz w:val="20"/>
              </w:rPr>
              <w:t>12%</w:t>
            </w:r>
          </w:p>
        </w:tc>
        <w:tc>
          <w:tcPr>
            <w:tcW w:w="1537" w:type="dxa"/>
          </w:tcPr>
          <w:p w:rsidR="006A18FD" w:rsidRDefault="002D29FC">
            <w:pPr>
              <w:spacing w:before="59"/>
              <w:ind w:right="259"/>
              <w:jc w:val="right"/>
              <w:rPr>
                <w:rFonts w:ascii="Calibri"/>
                <w:sz w:val="20"/>
              </w:rPr>
            </w:pPr>
            <w:r>
              <w:rPr>
                <w:rFonts w:ascii="Calibri"/>
                <w:w w:val="95"/>
                <w:sz w:val="20"/>
              </w:rPr>
              <w:t>58,165</w:t>
            </w:r>
          </w:p>
        </w:tc>
        <w:tc>
          <w:tcPr>
            <w:tcW w:w="1534" w:type="dxa"/>
          </w:tcPr>
          <w:p w:rsidR="006A18FD" w:rsidRDefault="002D29FC">
            <w:pPr>
              <w:spacing w:before="59"/>
              <w:ind w:right="242"/>
              <w:jc w:val="right"/>
              <w:rPr>
                <w:rFonts w:ascii="Calibri" w:hAnsi="Calibri"/>
                <w:sz w:val="20"/>
              </w:rPr>
            </w:pPr>
            <w:r>
              <w:rPr>
                <w:rFonts w:ascii="Calibri" w:hAnsi="Calibri"/>
                <w:w w:val="95"/>
                <w:sz w:val="20"/>
              </w:rPr>
              <w:t>£1,779</w:t>
            </w:r>
          </w:p>
        </w:tc>
      </w:tr>
      <w:tr w:rsidR="006A18FD">
        <w:trPr>
          <w:trHeight w:val="340"/>
        </w:trPr>
        <w:tc>
          <w:tcPr>
            <w:tcW w:w="2739" w:type="dxa"/>
          </w:tcPr>
          <w:p w:rsidR="006A18FD" w:rsidRDefault="002D29FC">
            <w:pPr>
              <w:spacing w:before="59"/>
              <w:ind w:left="52"/>
              <w:rPr>
                <w:rFonts w:ascii="Calibri"/>
                <w:sz w:val="20"/>
              </w:rPr>
            </w:pPr>
            <w:r>
              <w:rPr>
                <w:rFonts w:ascii="Calibri"/>
                <w:sz w:val="20"/>
              </w:rPr>
              <w:t>Outpatient</w:t>
            </w:r>
          </w:p>
        </w:tc>
        <w:tc>
          <w:tcPr>
            <w:tcW w:w="1258" w:type="dxa"/>
          </w:tcPr>
          <w:p w:rsidR="006A18FD" w:rsidRDefault="002D29FC">
            <w:pPr>
              <w:spacing w:before="59"/>
              <w:ind w:right="158"/>
              <w:jc w:val="right"/>
              <w:rPr>
                <w:rFonts w:ascii="Calibri" w:hAnsi="Calibri"/>
                <w:sz w:val="20"/>
              </w:rPr>
            </w:pPr>
            <w:r>
              <w:rPr>
                <w:rFonts w:ascii="Calibri" w:hAnsi="Calibri"/>
                <w:sz w:val="20"/>
              </w:rPr>
              <w:t>£45</w:t>
            </w:r>
          </w:p>
        </w:tc>
        <w:tc>
          <w:tcPr>
            <w:tcW w:w="1536" w:type="dxa"/>
          </w:tcPr>
          <w:p w:rsidR="006A18FD" w:rsidRDefault="002D29FC">
            <w:pPr>
              <w:spacing w:before="59"/>
              <w:ind w:right="232"/>
              <w:jc w:val="right"/>
              <w:rPr>
                <w:rFonts w:ascii="Calibri" w:hAnsi="Calibri"/>
                <w:sz w:val="20"/>
              </w:rPr>
            </w:pPr>
            <w:r>
              <w:rPr>
                <w:rFonts w:ascii="Calibri" w:hAnsi="Calibri"/>
                <w:sz w:val="20"/>
              </w:rPr>
              <w:t>£608</w:t>
            </w:r>
          </w:p>
        </w:tc>
        <w:tc>
          <w:tcPr>
            <w:tcW w:w="1382" w:type="dxa"/>
          </w:tcPr>
          <w:p w:rsidR="006A18FD" w:rsidRDefault="002D29FC">
            <w:pPr>
              <w:spacing w:before="59"/>
              <w:ind w:right="193"/>
              <w:jc w:val="right"/>
              <w:rPr>
                <w:rFonts w:ascii="Calibri"/>
                <w:sz w:val="20"/>
              </w:rPr>
            </w:pPr>
            <w:r>
              <w:rPr>
                <w:rFonts w:ascii="Calibri"/>
                <w:sz w:val="20"/>
              </w:rPr>
              <w:t>5%</w:t>
            </w:r>
          </w:p>
        </w:tc>
        <w:tc>
          <w:tcPr>
            <w:tcW w:w="1537" w:type="dxa"/>
          </w:tcPr>
          <w:p w:rsidR="006A18FD" w:rsidRDefault="002D29FC">
            <w:pPr>
              <w:spacing w:before="59"/>
              <w:ind w:right="259"/>
              <w:jc w:val="right"/>
              <w:rPr>
                <w:rFonts w:ascii="Calibri"/>
                <w:sz w:val="20"/>
              </w:rPr>
            </w:pPr>
            <w:r>
              <w:rPr>
                <w:rFonts w:ascii="Calibri"/>
                <w:w w:val="95"/>
                <w:sz w:val="20"/>
              </w:rPr>
              <w:t>50,155</w:t>
            </w:r>
          </w:p>
        </w:tc>
        <w:tc>
          <w:tcPr>
            <w:tcW w:w="1534" w:type="dxa"/>
          </w:tcPr>
          <w:p w:rsidR="006A18FD" w:rsidRDefault="002D29FC">
            <w:pPr>
              <w:spacing w:before="59"/>
              <w:ind w:right="242"/>
              <w:jc w:val="right"/>
              <w:rPr>
                <w:rFonts w:ascii="Calibri" w:hAnsi="Calibri"/>
                <w:sz w:val="20"/>
              </w:rPr>
            </w:pPr>
            <w:r>
              <w:rPr>
                <w:rFonts w:ascii="Calibri" w:hAnsi="Calibri"/>
                <w:sz w:val="20"/>
              </w:rPr>
              <w:t>£888</w:t>
            </w:r>
          </w:p>
        </w:tc>
      </w:tr>
      <w:tr w:rsidR="006A18FD">
        <w:trPr>
          <w:trHeight w:val="340"/>
        </w:trPr>
        <w:tc>
          <w:tcPr>
            <w:tcW w:w="2739" w:type="dxa"/>
          </w:tcPr>
          <w:p w:rsidR="006A18FD" w:rsidRDefault="002D29FC">
            <w:pPr>
              <w:spacing w:before="56"/>
              <w:ind w:left="52"/>
              <w:rPr>
                <w:rFonts w:ascii="Calibri"/>
                <w:sz w:val="20"/>
              </w:rPr>
            </w:pPr>
            <w:r>
              <w:rPr>
                <w:rFonts w:ascii="Calibri"/>
                <w:sz w:val="20"/>
              </w:rPr>
              <w:t>A&amp;E</w:t>
            </w:r>
          </w:p>
        </w:tc>
        <w:tc>
          <w:tcPr>
            <w:tcW w:w="1258" w:type="dxa"/>
          </w:tcPr>
          <w:p w:rsidR="006A18FD" w:rsidRDefault="002D29FC">
            <w:pPr>
              <w:spacing w:before="56"/>
              <w:ind w:right="158"/>
              <w:jc w:val="right"/>
              <w:rPr>
                <w:rFonts w:ascii="Calibri" w:hAnsi="Calibri"/>
                <w:sz w:val="20"/>
              </w:rPr>
            </w:pPr>
            <w:r>
              <w:rPr>
                <w:rFonts w:ascii="Calibri" w:hAnsi="Calibri"/>
                <w:sz w:val="20"/>
              </w:rPr>
              <w:t>£10</w:t>
            </w:r>
          </w:p>
        </w:tc>
        <w:tc>
          <w:tcPr>
            <w:tcW w:w="1536" w:type="dxa"/>
          </w:tcPr>
          <w:p w:rsidR="006A18FD" w:rsidRDefault="002D29FC">
            <w:pPr>
              <w:spacing w:before="56"/>
              <w:ind w:right="232"/>
              <w:jc w:val="right"/>
              <w:rPr>
                <w:rFonts w:ascii="Calibri" w:hAnsi="Calibri"/>
                <w:sz w:val="20"/>
              </w:rPr>
            </w:pPr>
            <w:r>
              <w:rPr>
                <w:rFonts w:ascii="Calibri" w:hAnsi="Calibri"/>
                <w:sz w:val="20"/>
              </w:rPr>
              <w:t>£136</w:t>
            </w:r>
          </w:p>
        </w:tc>
        <w:tc>
          <w:tcPr>
            <w:tcW w:w="1382" w:type="dxa"/>
          </w:tcPr>
          <w:p w:rsidR="006A18FD" w:rsidRDefault="002D29FC">
            <w:pPr>
              <w:spacing w:before="56"/>
              <w:ind w:right="193"/>
              <w:jc w:val="right"/>
              <w:rPr>
                <w:rFonts w:ascii="Calibri"/>
                <w:sz w:val="20"/>
              </w:rPr>
            </w:pPr>
            <w:r>
              <w:rPr>
                <w:rFonts w:ascii="Calibri"/>
                <w:sz w:val="20"/>
              </w:rPr>
              <w:t>2%</w:t>
            </w:r>
          </w:p>
        </w:tc>
        <w:tc>
          <w:tcPr>
            <w:tcW w:w="1537" w:type="dxa"/>
          </w:tcPr>
          <w:p w:rsidR="006A18FD" w:rsidRDefault="002D29FC">
            <w:pPr>
              <w:spacing w:before="56"/>
              <w:ind w:right="259"/>
              <w:jc w:val="right"/>
              <w:rPr>
                <w:rFonts w:ascii="Calibri"/>
                <w:sz w:val="20"/>
              </w:rPr>
            </w:pPr>
            <w:r>
              <w:rPr>
                <w:rFonts w:ascii="Calibri"/>
                <w:w w:val="95"/>
                <w:sz w:val="20"/>
              </w:rPr>
              <w:t>48,000</w:t>
            </w:r>
          </w:p>
        </w:tc>
        <w:tc>
          <w:tcPr>
            <w:tcW w:w="1534" w:type="dxa"/>
          </w:tcPr>
          <w:p w:rsidR="006A18FD" w:rsidRDefault="002D29FC">
            <w:pPr>
              <w:spacing w:before="56"/>
              <w:ind w:right="242"/>
              <w:jc w:val="right"/>
              <w:rPr>
                <w:rFonts w:ascii="Calibri" w:hAnsi="Calibri"/>
                <w:sz w:val="20"/>
              </w:rPr>
            </w:pPr>
            <w:r>
              <w:rPr>
                <w:rFonts w:ascii="Calibri" w:hAnsi="Calibri"/>
                <w:sz w:val="20"/>
              </w:rPr>
              <w:t>£208</w:t>
            </w:r>
          </w:p>
        </w:tc>
      </w:tr>
      <w:tr w:rsidR="006A18FD">
        <w:trPr>
          <w:trHeight w:val="360"/>
        </w:trPr>
        <w:tc>
          <w:tcPr>
            <w:tcW w:w="2739" w:type="dxa"/>
          </w:tcPr>
          <w:p w:rsidR="006A18FD" w:rsidRDefault="002D29FC">
            <w:pPr>
              <w:spacing w:before="59"/>
              <w:ind w:left="52"/>
              <w:rPr>
                <w:rFonts w:ascii="Calibri"/>
                <w:b/>
                <w:sz w:val="20"/>
              </w:rPr>
            </w:pPr>
            <w:r>
              <w:rPr>
                <w:rFonts w:ascii="Calibri"/>
                <w:b/>
                <w:sz w:val="20"/>
              </w:rPr>
              <w:t>Social care</w:t>
            </w:r>
          </w:p>
        </w:tc>
        <w:tc>
          <w:tcPr>
            <w:tcW w:w="1258" w:type="dxa"/>
          </w:tcPr>
          <w:p w:rsidR="006A18FD" w:rsidRDefault="002D29FC">
            <w:pPr>
              <w:spacing w:before="59"/>
              <w:ind w:right="158"/>
              <w:jc w:val="right"/>
              <w:rPr>
                <w:rFonts w:ascii="Calibri" w:hAnsi="Calibri"/>
                <w:b/>
                <w:sz w:val="20"/>
              </w:rPr>
            </w:pPr>
            <w:r>
              <w:rPr>
                <w:rFonts w:ascii="Calibri" w:hAnsi="Calibri"/>
                <w:b/>
                <w:sz w:val="20"/>
              </w:rPr>
              <w:t>£301</w:t>
            </w:r>
          </w:p>
        </w:tc>
        <w:tc>
          <w:tcPr>
            <w:tcW w:w="1536" w:type="dxa"/>
          </w:tcPr>
          <w:p w:rsidR="006A18FD" w:rsidRDefault="002D29FC">
            <w:pPr>
              <w:spacing w:before="59"/>
              <w:ind w:right="231"/>
              <w:jc w:val="right"/>
              <w:rPr>
                <w:rFonts w:ascii="Calibri" w:hAnsi="Calibri"/>
                <w:b/>
                <w:sz w:val="20"/>
              </w:rPr>
            </w:pPr>
            <w:r>
              <w:rPr>
                <w:rFonts w:ascii="Calibri" w:hAnsi="Calibri"/>
                <w:b/>
                <w:sz w:val="20"/>
              </w:rPr>
              <w:t>£4,103</w:t>
            </w:r>
          </w:p>
        </w:tc>
        <w:tc>
          <w:tcPr>
            <w:tcW w:w="1382" w:type="dxa"/>
          </w:tcPr>
          <w:p w:rsidR="006A18FD" w:rsidRDefault="002D29FC">
            <w:pPr>
              <w:spacing w:before="59"/>
              <w:ind w:right="193"/>
              <w:jc w:val="right"/>
              <w:rPr>
                <w:rFonts w:ascii="Calibri"/>
                <w:b/>
                <w:sz w:val="20"/>
              </w:rPr>
            </w:pPr>
            <w:r>
              <w:rPr>
                <w:rFonts w:ascii="Calibri"/>
                <w:b/>
                <w:w w:val="95"/>
                <w:sz w:val="20"/>
              </w:rPr>
              <w:t>35%</w:t>
            </w:r>
          </w:p>
        </w:tc>
        <w:tc>
          <w:tcPr>
            <w:tcW w:w="1537" w:type="dxa"/>
          </w:tcPr>
          <w:p w:rsidR="006A18FD" w:rsidRDefault="002D29FC">
            <w:pPr>
              <w:spacing w:before="59"/>
              <w:ind w:right="260"/>
              <w:jc w:val="right"/>
              <w:rPr>
                <w:rFonts w:ascii="Calibri"/>
                <w:b/>
                <w:sz w:val="20"/>
              </w:rPr>
            </w:pPr>
            <w:r>
              <w:rPr>
                <w:rFonts w:ascii="Calibri"/>
                <w:b/>
                <w:sz w:val="20"/>
              </w:rPr>
              <w:t>20,330</w:t>
            </w:r>
          </w:p>
        </w:tc>
        <w:tc>
          <w:tcPr>
            <w:tcW w:w="1534" w:type="dxa"/>
          </w:tcPr>
          <w:p w:rsidR="006A18FD" w:rsidRDefault="002D29FC">
            <w:pPr>
              <w:spacing w:before="59"/>
              <w:ind w:right="242"/>
              <w:jc w:val="right"/>
              <w:rPr>
                <w:rFonts w:ascii="Calibri" w:hAnsi="Calibri"/>
                <w:b/>
                <w:sz w:val="20"/>
              </w:rPr>
            </w:pPr>
            <w:r>
              <w:rPr>
                <w:rFonts w:ascii="Calibri" w:hAnsi="Calibri"/>
                <w:b/>
                <w:sz w:val="20"/>
              </w:rPr>
              <w:t>£14,782</w:t>
            </w:r>
          </w:p>
        </w:tc>
      </w:tr>
      <w:tr w:rsidR="006A18FD">
        <w:trPr>
          <w:trHeight w:val="340"/>
        </w:trPr>
        <w:tc>
          <w:tcPr>
            <w:tcW w:w="2739" w:type="dxa"/>
          </w:tcPr>
          <w:p w:rsidR="006A18FD" w:rsidRDefault="002D29FC">
            <w:pPr>
              <w:spacing w:before="56"/>
              <w:ind w:left="52"/>
              <w:rPr>
                <w:rFonts w:ascii="Calibri"/>
                <w:sz w:val="20"/>
              </w:rPr>
            </w:pPr>
            <w:r>
              <w:rPr>
                <w:rFonts w:ascii="Calibri"/>
                <w:sz w:val="20"/>
              </w:rPr>
              <w:t>Residential and nursing care</w:t>
            </w:r>
          </w:p>
        </w:tc>
        <w:tc>
          <w:tcPr>
            <w:tcW w:w="1258" w:type="dxa"/>
          </w:tcPr>
          <w:p w:rsidR="006A18FD" w:rsidRDefault="002D29FC">
            <w:pPr>
              <w:spacing w:before="56"/>
              <w:ind w:right="158"/>
              <w:jc w:val="right"/>
              <w:rPr>
                <w:rFonts w:ascii="Calibri" w:hAnsi="Calibri"/>
                <w:sz w:val="20"/>
              </w:rPr>
            </w:pPr>
            <w:r>
              <w:rPr>
                <w:rFonts w:ascii="Calibri" w:hAnsi="Calibri"/>
                <w:sz w:val="20"/>
              </w:rPr>
              <w:t>£241</w:t>
            </w:r>
          </w:p>
        </w:tc>
        <w:tc>
          <w:tcPr>
            <w:tcW w:w="1536" w:type="dxa"/>
          </w:tcPr>
          <w:p w:rsidR="006A18FD" w:rsidRDefault="002D29FC">
            <w:pPr>
              <w:spacing w:before="56"/>
              <w:ind w:right="230"/>
              <w:jc w:val="right"/>
              <w:rPr>
                <w:rFonts w:ascii="Calibri" w:hAnsi="Calibri"/>
                <w:sz w:val="20"/>
              </w:rPr>
            </w:pPr>
            <w:r>
              <w:rPr>
                <w:rFonts w:ascii="Calibri" w:hAnsi="Calibri"/>
                <w:w w:val="95"/>
                <w:sz w:val="20"/>
              </w:rPr>
              <w:t>£3,290</w:t>
            </w:r>
          </w:p>
        </w:tc>
        <w:tc>
          <w:tcPr>
            <w:tcW w:w="1382" w:type="dxa"/>
          </w:tcPr>
          <w:p w:rsidR="006A18FD" w:rsidRDefault="002D29FC">
            <w:pPr>
              <w:spacing w:before="56"/>
              <w:ind w:right="193"/>
              <w:jc w:val="right"/>
              <w:rPr>
                <w:rFonts w:ascii="Calibri"/>
                <w:sz w:val="20"/>
              </w:rPr>
            </w:pPr>
            <w:r>
              <w:rPr>
                <w:rFonts w:ascii="Calibri"/>
                <w:sz w:val="20"/>
              </w:rPr>
              <w:t>28%</w:t>
            </w:r>
          </w:p>
        </w:tc>
        <w:tc>
          <w:tcPr>
            <w:tcW w:w="1537" w:type="dxa"/>
          </w:tcPr>
          <w:p w:rsidR="006A18FD" w:rsidRDefault="002D29FC">
            <w:pPr>
              <w:spacing w:before="56"/>
              <w:ind w:right="259"/>
              <w:jc w:val="right"/>
              <w:rPr>
                <w:rFonts w:ascii="Calibri"/>
                <w:sz w:val="20"/>
              </w:rPr>
            </w:pPr>
            <w:r>
              <w:rPr>
                <w:rFonts w:ascii="Calibri"/>
                <w:w w:val="95"/>
                <w:sz w:val="20"/>
              </w:rPr>
              <w:t>10,896</w:t>
            </w:r>
          </w:p>
        </w:tc>
        <w:tc>
          <w:tcPr>
            <w:tcW w:w="1534" w:type="dxa"/>
          </w:tcPr>
          <w:p w:rsidR="006A18FD" w:rsidRDefault="002D29FC">
            <w:pPr>
              <w:spacing w:before="56"/>
              <w:ind w:right="242"/>
              <w:jc w:val="right"/>
              <w:rPr>
                <w:rFonts w:ascii="Calibri" w:hAnsi="Calibri"/>
                <w:sz w:val="20"/>
              </w:rPr>
            </w:pPr>
            <w:r>
              <w:rPr>
                <w:rFonts w:ascii="Calibri" w:hAnsi="Calibri"/>
                <w:w w:val="95"/>
                <w:sz w:val="20"/>
              </w:rPr>
              <w:t>£21,085</w:t>
            </w:r>
          </w:p>
        </w:tc>
      </w:tr>
      <w:tr w:rsidR="006A18FD">
        <w:trPr>
          <w:trHeight w:val="340"/>
        </w:trPr>
        <w:tc>
          <w:tcPr>
            <w:tcW w:w="2739" w:type="dxa"/>
          </w:tcPr>
          <w:p w:rsidR="006A18FD" w:rsidRDefault="002D29FC">
            <w:pPr>
              <w:spacing w:before="59"/>
              <w:ind w:left="52"/>
              <w:rPr>
                <w:rFonts w:ascii="Calibri"/>
                <w:sz w:val="20"/>
              </w:rPr>
            </w:pPr>
            <w:r>
              <w:rPr>
                <w:rFonts w:ascii="Calibri"/>
                <w:sz w:val="20"/>
              </w:rPr>
              <w:t>Home care</w:t>
            </w:r>
          </w:p>
        </w:tc>
        <w:tc>
          <w:tcPr>
            <w:tcW w:w="1258" w:type="dxa"/>
          </w:tcPr>
          <w:p w:rsidR="006A18FD" w:rsidRDefault="002D29FC">
            <w:pPr>
              <w:spacing w:before="59"/>
              <w:ind w:right="158"/>
              <w:jc w:val="right"/>
              <w:rPr>
                <w:rFonts w:ascii="Calibri" w:hAnsi="Calibri"/>
                <w:sz w:val="20"/>
              </w:rPr>
            </w:pPr>
            <w:r>
              <w:rPr>
                <w:rFonts w:ascii="Calibri" w:hAnsi="Calibri"/>
                <w:sz w:val="20"/>
              </w:rPr>
              <w:t>£47</w:t>
            </w:r>
          </w:p>
        </w:tc>
        <w:tc>
          <w:tcPr>
            <w:tcW w:w="1536" w:type="dxa"/>
          </w:tcPr>
          <w:p w:rsidR="006A18FD" w:rsidRDefault="002D29FC">
            <w:pPr>
              <w:spacing w:before="59"/>
              <w:ind w:right="232"/>
              <w:jc w:val="right"/>
              <w:rPr>
                <w:rFonts w:ascii="Calibri" w:hAnsi="Calibri"/>
                <w:sz w:val="20"/>
              </w:rPr>
            </w:pPr>
            <w:r>
              <w:rPr>
                <w:rFonts w:ascii="Calibri" w:hAnsi="Calibri"/>
                <w:sz w:val="20"/>
              </w:rPr>
              <w:t>£636</w:t>
            </w:r>
          </w:p>
        </w:tc>
        <w:tc>
          <w:tcPr>
            <w:tcW w:w="1382" w:type="dxa"/>
          </w:tcPr>
          <w:p w:rsidR="006A18FD" w:rsidRDefault="002D29FC">
            <w:pPr>
              <w:spacing w:before="59"/>
              <w:ind w:right="193"/>
              <w:jc w:val="right"/>
              <w:rPr>
                <w:rFonts w:ascii="Calibri"/>
                <w:sz w:val="20"/>
              </w:rPr>
            </w:pPr>
            <w:r>
              <w:rPr>
                <w:rFonts w:ascii="Calibri"/>
                <w:sz w:val="20"/>
              </w:rPr>
              <w:t>5%</w:t>
            </w:r>
          </w:p>
        </w:tc>
        <w:tc>
          <w:tcPr>
            <w:tcW w:w="1537" w:type="dxa"/>
          </w:tcPr>
          <w:p w:rsidR="006A18FD" w:rsidRDefault="002D29FC">
            <w:pPr>
              <w:spacing w:before="59"/>
              <w:ind w:right="259"/>
              <w:jc w:val="right"/>
              <w:rPr>
                <w:rFonts w:ascii="Calibri"/>
                <w:sz w:val="20"/>
              </w:rPr>
            </w:pPr>
            <w:r>
              <w:rPr>
                <w:rFonts w:ascii="Calibri"/>
                <w:w w:val="95"/>
                <w:sz w:val="20"/>
              </w:rPr>
              <w:t>10,970</w:t>
            </w:r>
          </w:p>
        </w:tc>
        <w:tc>
          <w:tcPr>
            <w:tcW w:w="1534" w:type="dxa"/>
          </w:tcPr>
          <w:p w:rsidR="006A18FD" w:rsidRDefault="002D29FC">
            <w:pPr>
              <w:spacing w:before="59"/>
              <w:ind w:right="242"/>
              <w:jc w:val="right"/>
              <w:rPr>
                <w:rFonts w:ascii="Calibri" w:hAnsi="Calibri"/>
                <w:sz w:val="20"/>
              </w:rPr>
            </w:pPr>
            <w:r>
              <w:rPr>
                <w:rFonts w:ascii="Calibri" w:hAnsi="Calibri"/>
                <w:w w:val="95"/>
                <w:sz w:val="20"/>
              </w:rPr>
              <w:t>£4,247</w:t>
            </w:r>
          </w:p>
        </w:tc>
      </w:tr>
      <w:tr w:rsidR="006A18FD">
        <w:trPr>
          <w:trHeight w:val="340"/>
        </w:trPr>
        <w:tc>
          <w:tcPr>
            <w:tcW w:w="2739" w:type="dxa"/>
          </w:tcPr>
          <w:p w:rsidR="006A18FD" w:rsidRDefault="002D29FC">
            <w:pPr>
              <w:spacing w:before="59"/>
              <w:ind w:left="52"/>
              <w:rPr>
                <w:rFonts w:ascii="Calibri"/>
                <w:sz w:val="20"/>
              </w:rPr>
            </w:pPr>
            <w:r>
              <w:rPr>
                <w:rFonts w:ascii="Calibri"/>
                <w:sz w:val="20"/>
              </w:rPr>
              <w:t>Other</w:t>
            </w:r>
          </w:p>
        </w:tc>
        <w:tc>
          <w:tcPr>
            <w:tcW w:w="1258" w:type="dxa"/>
          </w:tcPr>
          <w:p w:rsidR="006A18FD" w:rsidRDefault="002D29FC">
            <w:pPr>
              <w:spacing w:before="59"/>
              <w:ind w:right="158"/>
              <w:jc w:val="right"/>
              <w:rPr>
                <w:rFonts w:ascii="Calibri" w:hAnsi="Calibri"/>
                <w:sz w:val="20"/>
              </w:rPr>
            </w:pPr>
            <w:r>
              <w:rPr>
                <w:rFonts w:ascii="Calibri" w:hAnsi="Calibri"/>
                <w:w w:val="95"/>
                <w:sz w:val="20"/>
              </w:rPr>
              <w:t>£13</w:t>
            </w:r>
          </w:p>
        </w:tc>
        <w:tc>
          <w:tcPr>
            <w:tcW w:w="1536" w:type="dxa"/>
          </w:tcPr>
          <w:p w:rsidR="006A18FD" w:rsidRDefault="002D29FC">
            <w:pPr>
              <w:spacing w:before="59"/>
              <w:ind w:right="232"/>
              <w:jc w:val="right"/>
              <w:rPr>
                <w:rFonts w:ascii="Calibri" w:hAnsi="Calibri"/>
                <w:sz w:val="20"/>
              </w:rPr>
            </w:pPr>
            <w:r>
              <w:rPr>
                <w:rFonts w:ascii="Calibri" w:hAnsi="Calibri"/>
                <w:sz w:val="20"/>
              </w:rPr>
              <w:t>£177</w:t>
            </w:r>
          </w:p>
        </w:tc>
        <w:tc>
          <w:tcPr>
            <w:tcW w:w="1382" w:type="dxa"/>
          </w:tcPr>
          <w:p w:rsidR="006A18FD" w:rsidRDefault="002D29FC">
            <w:pPr>
              <w:spacing w:before="59"/>
              <w:ind w:right="193"/>
              <w:jc w:val="right"/>
              <w:rPr>
                <w:rFonts w:ascii="Calibri"/>
                <w:sz w:val="20"/>
              </w:rPr>
            </w:pPr>
            <w:r>
              <w:rPr>
                <w:rFonts w:ascii="Calibri"/>
                <w:sz w:val="20"/>
              </w:rPr>
              <w:t>2%</w:t>
            </w:r>
          </w:p>
        </w:tc>
        <w:tc>
          <w:tcPr>
            <w:tcW w:w="1537" w:type="dxa"/>
          </w:tcPr>
          <w:p w:rsidR="006A18FD" w:rsidRDefault="002D29FC">
            <w:pPr>
              <w:spacing w:before="59"/>
              <w:ind w:right="259"/>
              <w:jc w:val="right"/>
              <w:rPr>
                <w:rFonts w:ascii="Calibri"/>
                <w:sz w:val="20"/>
              </w:rPr>
            </w:pPr>
            <w:r>
              <w:rPr>
                <w:rFonts w:ascii="Calibri"/>
                <w:w w:val="95"/>
                <w:sz w:val="20"/>
              </w:rPr>
              <w:t>4,084</w:t>
            </w:r>
          </w:p>
        </w:tc>
        <w:tc>
          <w:tcPr>
            <w:tcW w:w="1534" w:type="dxa"/>
          </w:tcPr>
          <w:p w:rsidR="006A18FD" w:rsidRDefault="002D29FC">
            <w:pPr>
              <w:spacing w:before="59"/>
              <w:ind w:right="242"/>
              <w:jc w:val="right"/>
              <w:rPr>
                <w:rFonts w:ascii="Calibri" w:hAnsi="Calibri"/>
                <w:sz w:val="20"/>
              </w:rPr>
            </w:pPr>
            <w:r>
              <w:rPr>
                <w:rFonts w:ascii="Calibri" w:hAnsi="Calibri"/>
                <w:w w:val="95"/>
                <w:sz w:val="20"/>
              </w:rPr>
              <w:t>£3,176</w:t>
            </w:r>
          </w:p>
        </w:tc>
      </w:tr>
      <w:tr w:rsidR="006A18FD">
        <w:trPr>
          <w:trHeight w:val="340"/>
        </w:trPr>
        <w:tc>
          <w:tcPr>
            <w:tcW w:w="2739" w:type="dxa"/>
          </w:tcPr>
          <w:p w:rsidR="006A18FD" w:rsidRDefault="002D29FC">
            <w:pPr>
              <w:spacing w:before="56"/>
              <w:ind w:left="52"/>
              <w:rPr>
                <w:rFonts w:ascii="Calibri"/>
                <w:b/>
                <w:sz w:val="20"/>
              </w:rPr>
            </w:pPr>
            <w:r>
              <w:rPr>
                <w:rFonts w:ascii="Calibri"/>
                <w:b/>
                <w:sz w:val="20"/>
              </w:rPr>
              <w:t>Total</w:t>
            </w:r>
          </w:p>
        </w:tc>
        <w:tc>
          <w:tcPr>
            <w:tcW w:w="1258" w:type="dxa"/>
          </w:tcPr>
          <w:p w:rsidR="006A18FD" w:rsidRDefault="002D29FC">
            <w:pPr>
              <w:spacing w:before="56"/>
              <w:ind w:right="117"/>
              <w:jc w:val="right"/>
              <w:rPr>
                <w:rFonts w:ascii="Calibri" w:hAnsi="Calibri"/>
                <w:b/>
                <w:sz w:val="20"/>
              </w:rPr>
            </w:pPr>
            <w:r>
              <w:rPr>
                <w:rFonts w:ascii="Calibri" w:hAnsi="Calibri"/>
                <w:b/>
                <w:sz w:val="20"/>
              </w:rPr>
              <w:t>£847</w:t>
            </w:r>
          </w:p>
        </w:tc>
        <w:tc>
          <w:tcPr>
            <w:tcW w:w="1536" w:type="dxa"/>
          </w:tcPr>
          <w:p w:rsidR="006A18FD" w:rsidRDefault="002D29FC">
            <w:pPr>
              <w:spacing w:before="56"/>
              <w:ind w:right="230"/>
              <w:jc w:val="right"/>
              <w:rPr>
                <w:rFonts w:ascii="Calibri" w:hAnsi="Calibri"/>
                <w:b/>
                <w:sz w:val="20"/>
              </w:rPr>
            </w:pPr>
            <w:r>
              <w:rPr>
                <w:rFonts w:ascii="Calibri" w:hAnsi="Calibri"/>
                <w:b/>
                <w:sz w:val="20"/>
              </w:rPr>
              <w:t>£11,559</w:t>
            </w:r>
          </w:p>
        </w:tc>
        <w:tc>
          <w:tcPr>
            <w:tcW w:w="1382" w:type="dxa"/>
          </w:tcPr>
          <w:p w:rsidR="006A18FD" w:rsidRDefault="002D29FC">
            <w:pPr>
              <w:spacing w:before="56"/>
              <w:ind w:right="193"/>
              <w:jc w:val="right"/>
              <w:rPr>
                <w:rFonts w:ascii="Calibri"/>
                <w:b/>
                <w:sz w:val="20"/>
              </w:rPr>
            </w:pPr>
            <w:r>
              <w:rPr>
                <w:rFonts w:ascii="Calibri"/>
                <w:b/>
                <w:sz w:val="20"/>
              </w:rPr>
              <w:t>100%</w:t>
            </w:r>
          </w:p>
        </w:tc>
        <w:tc>
          <w:tcPr>
            <w:tcW w:w="1537" w:type="dxa"/>
          </w:tcPr>
          <w:p w:rsidR="006A18FD" w:rsidRDefault="002D29FC">
            <w:pPr>
              <w:spacing w:before="56"/>
              <w:ind w:right="260"/>
              <w:jc w:val="right"/>
              <w:rPr>
                <w:rFonts w:ascii="Calibri"/>
                <w:b/>
                <w:sz w:val="20"/>
              </w:rPr>
            </w:pPr>
            <w:r>
              <w:rPr>
                <w:rFonts w:ascii="Calibri"/>
                <w:b/>
                <w:sz w:val="20"/>
              </w:rPr>
              <w:t>73,243</w:t>
            </w:r>
          </w:p>
        </w:tc>
        <w:tc>
          <w:tcPr>
            <w:tcW w:w="1534" w:type="dxa"/>
          </w:tcPr>
          <w:p w:rsidR="006A18FD" w:rsidRDefault="002D29FC">
            <w:pPr>
              <w:spacing w:before="56"/>
              <w:ind w:right="253"/>
              <w:jc w:val="right"/>
              <w:rPr>
                <w:rFonts w:ascii="Calibri"/>
                <w:b/>
                <w:sz w:val="20"/>
              </w:rPr>
            </w:pPr>
            <w:r>
              <w:rPr>
                <w:rFonts w:ascii="Calibri"/>
                <w:b/>
                <w:w w:val="95"/>
                <w:sz w:val="20"/>
              </w:rPr>
              <w:t>NA</w:t>
            </w:r>
          </w:p>
        </w:tc>
      </w:tr>
    </w:tbl>
    <w:p w:rsidR="006A18FD" w:rsidRDefault="002D29FC">
      <w:pPr>
        <w:spacing w:before="122" w:line="278" w:lineRule="auto"/>
        <w:ind w:left="152" w:right="140"/>
        <w:jc w:val="both"/>
        <w:rPr>
          <w:rFonts w:ascii="Calibri"/>
          <w:sz w:val="16"/>
        </w:rPr>
      </w:pPr>
      <w:r>
        <w:rPr>
          <w:rFonts w:ascii="Calibri"/>
          <w:sz w:val="16"/>
        </w:rPr>
        <w:t>NB The total cost per decedent for any of the services is total cost of the service/the number of people who died. The total cost per user is total cost of the services/number of users of that service.</w:t>
      </w:r>
    </w:p>
    <w:p w:rsidR="006A18FD" w:rsidRDefault="006A18FD">
      <w:pPr>
        <w:spacing w:before="3"/>
        <w:rPr>
          <w:rFonts w:ascii="Calibri"/>
          <w:sz w:val="16"/>
        </w:rPr>
      </w:pPr>
    </w:p>
    <w:p w:rsidR="006A18FD" w:rsidRDefault="002D29FC">
      <w:pPr>
        <w:spacing w:line="276" w:lineRule="auto"/>
        <w:ind w:left="152" w:right="138"/>
        <w:jc w:val="both"/>
        <w:rPr>
          <w:rFonts w:ascii="Calibri"/>
          <w:sz w:val="20"/>
        </w:rPr>
      </w:pPr>
      <w:r>
        <w:rPr>
          <w:rFonts w:ascii="Calibri"/>
          <w:sz w:val="20"/>
        </w:rPr>
        <w:t>One of the key findings of the research was that there were significant differences in the use of social care between groups of individuals with certain long-term conditions: people with dementia, falls and stroke were more likely to use social care services,</w:t>
      </w:r>
      <w:r>
        <w:rPr>
          <w:rFonts w:ascii="Calibri"/>
          <w:spacing w:val="-7"/>
          <w:sz w:val="20"/>
        </w:rPr>
        <w:t xml:space="preserve"> </w:t>
      </w:r>
      <w:r>
        <w:rPr>
          <w:rFonts w:ascii="Calibri"/>
          <w:sz w:val="20"/>
        </w:rPr>
        <w:t>while</w:t>
      </w:r>
      <w:r>
        <w:rPr>
          <w:rFonts w:ascii="Calibri"/>
          <w:spacing w:val="-11"/>
          <w:sz w:val="20"/>
        </w:rPr>
        <w:t xml:space="preserve"> </w:t>
      </w:r>
      <w:r>
        <w:rPr>
          <w:rFonts w:ascii="Calibri"/>
          <w:sz w:val="20"/>
        </w:rPr>
        <w:t>people</w:t>
      </w:r>
      <w:r>
        <w:rPr>
          <w:rFonts w:ascii="Calibri"/>
          <w:spacing w:val="-9"/>
          <w:sz w:val="20"/>
        </w:rPr>
        <w:t xml:space="preserve"> </w:t>
      </w:r>
      <w:r>
        <w:rPr>
          <w:rFonts w:ascii="Calibri"/>
          <w:sz w:val="20"/>
        </w:rPr>
        <w:t>with</w:t>
      </w:r>
      <w:r>
        <w:rPr>
          <w:rFonts w:ascii="Calibri"/>
          <w:spacing w:val="-9"/>
          <w:sz w:val="20"/>
        </w:rPr>
        <w:t xml:space="preserve"> </w:t>
      </w:r>
      <w:r>
        <w:rPr>
          <w:rFonts w:ascii="Calibri"/>
          <w:sz w:val="20"/>
        </w:rPr>
        <w:t>cancer</w:t>
      </w:r>
      <w:r>
        <w:rPr>
          <w:rFonts w:ascii="Calibri"/>
          <w:spacing w:val="-10"/>
          <w:sz w:val="20"/>
        </w:rPr>
        <w:t xml:space="preserve"> </w:t>
      </w:r>
      <w:r>
        <w:rPr>
          <w:rFonts w:ascii="Calibri"/>
          <w:sz w:val="20"/>
        </w:rPr>
        <w:t>were</w:t>
      </w:r>
      <w:r>
        <w:rPr>
          <w:rFonts w:ascii="Calibri"/>
          <w:spacing w:val="-11"/>
          <w:sz w:val="20"/>
        </w:rPr>
        <w:t xml:space="preserve"> </w:t>
      </w:r>
      <w:r>
        <w:rPr>
          <w:rFonts w:ascii="Calibri"/>
          <w:sz w:val="20"/>
        </w:rPr>
        <w:t>least</w:t>
      </w:r>
      <w:r>
        <w:rPr>
          <w:rFonts w:ascii="Calibri"/>
          <w:spacing w:val="-8"/>
          <w:sz w:val="20"/>
        </w:rPr>
        <w:t xml:space="preserve"> </w:t>
      </w:r>
      <w:r>
        <w:rPr>
          <w:rFonts w:ascii="Calibri"/>
          <w:sz w:val="20"/>
        </w:rPr>
        <w:t>likely</w:t>
      </w:r>
      <w:r>
        <w:rPr>
          <w:rFonts w:ascii="Calibri"/>
          <w:spacing w:val="-10"/>
          <w:sz w:val="20"/>
        </w:rPr>
        <w:t xml:space="preserve"> </w:t>
      </w:r>
      <w:r>
        <w:rPr>
          <w:rFonts w:ascii="Calibri"/>
          <w:sz w:val="20"/>
        </w:rPr>
        <w:t>to</w:t>
      </w:r>
      <w:r>
        <w:rPr>
          <w:rFonts w:ascii="Calibri"/>
          <w:spacing w:val="-9"/>
          <w:sz w:val="20"/>
        </w:rPr>
        <w:t xml:space="preserve"> </w:t>
      </w:r>
      <w:r>
        <w:rPr>
          <w:rFonts w:ascii="Calibri"/>
          <w:sz w:val="20"/>
        </w:rPr>
        <w:t>use</w:t>
      </w:r>
      <w:r>
        <w:rPr>
          <w:rFonts w:ascii="Calibri"/>
          <w:spacing w:val="-9"/>
          <w:sz w:val="20"/>
        </w:rPr>
        <w:t xml:space="preserve"> </w:t>
      </w:r>
      <w:r>
        <w:rPr>
          <w:rFonts w:ascii="Calibri"/>
          <w:sz w:val="20"/>
        </w:rPr>
        <w:t>social</w:t>
      </w:r>
      <w:r>
        <w:rPr>
          <w:rFonts w:ascii="Calibri"/>
          <w:spacing w:val="-10"/>
          <w:sz w:val="20"/>
        </w:rPr>
        <w:t xml:space="preserve"> </w:t>
      </w:r>
      <w:r>
        <w:rPr>
          <w:rFonts w:ascii="Calibri"/>
          <w:sz w:val="20"/>
        </w:rPr>
        <w:t>care</w:t>
      </w:r>
      <w:r>
        <w:rPr>
          <w:rFonts w:ascii="Calibri"/>
          <w:spacing w:val="-8"/>
          <w:sz w:val="20"/>
        </w:rPr>
        <w:t xml:space="preserve"> </w:t>
      </w:r>
      <w:r>
        <w:rPr>
          <w:rFonts w:ascii="Calibri"/>
          <w:sz w:val="20"/>
        </w:rPr>
        <w:t>(even</w:t>
      </w:r>
      <w:r>
        <w:rPr>
          <w:rFonts w:ascii="Calibri"/>
          <w:spacing w:val="-3"/>
          <w:sz w:val="20"/>
        </w:rPr>
        <w:t xml:space="preserve"> </w:t>
      </w:r>
      <w:r>
        <w:rPr>
          <w:rFonts w:ascii="Calibri"/>
          <w:sz w:val="20"/>
        </w:rPr>
        <w:t>when</w:t>
      </w:r>
      <w:r>
        <w:rPr>
          <w:rFonts w:ascii="Calibri"/>
          <w:spacing w:val="-10"/>
          <w:sz w:val="20"/>
        </w:rPr>
        <w:t xml:space="preserve"> </w:t>
      </w:r>
      <w:r>
        <w:rPr>
          <w:rFonts w:ascii="Calibri"/>
          <w:sz w:val="20"/>
        </w:rPr>
        <w:t>adjusted</w:t>
      </w:r>
      <w:r>
        <w:rPr>
          <w:rFonts w:ascii="Calibri"/>
          <w:spacing w:val="-7"/>
          <w:sz w:val="20"/>
        </w:rPr>
        <w:t xml:space="preserve"> </w:t>
      </w:r>
      <w:r>
        <w:rPr>
          <w:rFonts w:ascii="Calibri"/>
          <w:sz w:val="20"/>
        </w:rPr>
        <w:t>for</w:t>
      </w:r>
      <w:r>
        <w:rPr>
          <w:rFonts w:ascii="Calibri"/>
          <w:spacing w:val="-10"/>
          <w:sz w:val="20"/>
        </w:rPr>
        <w:t xml:space="preserve"> </w:t>
      </w:r>
      <w:r>
        <w:rPr>
          <w:rFonts w:ascii="Calibri"/>
          <w:sz w:val="20"/>
        </w:rPr>
        <w:t>age).</w:t>
      </w:r>
      <w:r>
        <w:rPr>
          <w:rFonts w:ascii="Calibri"/>
          <w:spacing w:val="-8"/>
          <w:sz w:val="20"/>
        </w:rPr>
        <w:t xml:space="preserve"> </w:t>
      </w:r>
      <w:r>
        <w:rPr>
          <w:rFonts w:ascii="Calibri"/>
          <w:sz w:val="20"/>
        </w:rPr>
        <w:t>Table</w:t>
      </w:r>
      <w:r>
        <w:rPr>
          <w:rFonts w:ascii="Calibri"/>
          <w:spacing w:val="-11"/>
          <w:sz w:val="20"/>
        </w:rPr>
        <w:t xml:space="preserve"> </w:t>
      </w:r>
      <w:r>
        <w:rPr>
          <w:rFonts w:ascii="Calibri"/>
          <w:sz w:val="20"/>
        </w:rPr>
        <w:t>2</w:t>
      </w:r>
      <w:r>
        <w:rPr>
          <w:rFonts w:ascii="Calibri"/>
          <w:spacing w:val="-8"/>
          <w:sz w:val="20"/>
        </w:rPr>
        <w:t xml:space="preserve"> </w:t>
      </w:r>
      <w:r>
        <w:rPr>
          <w:rFonts w:ascii="Calibri"/>
          <w:sz w:val="20"/>
        </w:rPr>
        <w:t>shows</w:t>
      </w:r>
      <w:r>
        <w:rPr>
          <w:rFonts w:ascii="Calibri"/>
          <w:spacing w:val="-9"/>
          <w:sz w:val="20"/>
        </w:rPr>
        <w:t xml:space="preserve"> </w:t>
      </w:r>
      <w:r>
        <w:rPr>
          <w:rFonts w:ascii="Calibri"/>
          <w:sz w:val="20"/>
        </w:rPr>
        <w:t>these</w:t>
      </w:r>
      <w:r>
        <w:rPr>
          <w:rFonts w:ascii="Calibri"/>
          <w:spacing w:val="-9"/>
          <w:sz w:val="20"/>
        </w:rPr>
        <w:t xml:space="preserve"> </w:t>
      </w:r>
      <w:r>
        <w:rPr>
          <w:rFonts w:ascii="Calibri"/>
          <w:sz w:val="20"/>
        </w:rPr>
        <w:t>costs by diagnostic group. A person may have more than one condition so the groups are not mutually exclusive, and the sum of individual rows exceeds the total. Hospital costs were higher for those with more than one long-term condition, and social care costs decreased with an increasing number of long-term</w:t>
      </w:r>
      <w:r>
        <w:rPr>
          <w:rFonts w:ascii="Calibri"/>
          <w:spacing w:val="-20"/>
          <w:sz w:val="20"/>
        </w:rPr>
        <w:t xml:space="preserve"> </w:t>
      </w:r>
      <w:r>
        <w:rPr>
          <w:rFonts w:ascii="Calibri"/>
          <w:sz w:val="20"/>
        </w:rPr>
        <w:t>conditions.</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5"/>
        <w:rPr>
          <w:rFonts w:ascii="Calibri"/>
          <w:sz w:val="16"/>
        </w:rPr>
      </w:pPr>
    </w:p>
    <w:p w:rsidR="006A18FD" w:rsidRDefault="002D29FC">
      <w:pPr>
        <w:ind w:left="152"/>
        <w:jc w:val="both"/>
        <w:rPr>
          <w:rFonts w:ascii="Calibri"/>
          <w:sz w:val="16"/>
        </w:rPr>
      </w:pPr>
      <w:r>
        <w:rPr>
          <w:rFonts w:ascii="Calibri"/>
          <w:position w:val="5"/>
          <w:sz w:val="10"/>
        </w:rPr>
        <w:t xml:space="preserve">1 </w:t>
      </w:r>
      <w:r>
        <w:rPr>
          <w:rFonts w:ascii="Calibri"/>
          <w:sz w:val="16"/>
        </w:rPr>
        <w:t xml:space="preserve">Georghiou, T., Davies, S., Davies, A. &amp; Bardsley, M. (2012) </w:t>
      </w:r>
      <w:r>
        <w:rPr>
          <w:rFonts w:ascii="Calibri"/>
          <w:i/>
          <w:sz w:val="16"/>
        </w:rPr>
        <w:t>Understanding patterns of health and social care at the end of life</w:t>
      </w:r>
      <w:r>
        <w:rPr>
          <w:rFonts w:ascii="Calibri"/>
          <w:sz w:val="16"/>
        </w:rPr>
        <w:t>, Nuffield Trust, London.</w:t>
      </w:r>
    </w:p>
    <w:p w:rsidR="006A18FD" w:rsidRDefault="006A18FD">
      <w:pPr>
        <w:jc w:val="both"/>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4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44" name="Line 10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8B7DE" id="Group 10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1ksKsH4CAACBBQAA&#10;DgAAAAAAAAAAAAAAAAAuAgAAZHJzL2Uyb0RvYy54bWxQSwECLQAUAAYACAAAACEALXfkXNoAAAAE&#10;AQAADwAAAAAAAAAAAAAAAADYBAAAZHJzL2Rvd25yZXYueG1sUEsFBgAAAAAEAAQA8wAAAN8FAAAA&#10;AA==&#10;">
                <v:line id="Line 10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w10:anchorlock/>
              </v:group>
            </w:pict>
          </mc:Fallback>
        </mc:AlternateContent>
      </w:r>
    </w:p>
    <w:p w:rsidR="006A18FD" w:rsidRDefault="002D29FC">
      <w:pPr>
        <w:ind w:left="140"/>
        <w:rPr>
          <w:rFonts w:ascii="Cambria"/>
          <w:b/>
          <w:sz w:val="20"/>
        </w:rPr>
      </w:pPr>
      <w:r>
        <w:rPr>
          <w:rFonts w:ascii="Cambria"/>
          <w:b/>
          <w:sz w:val="20"/>
        </w:rPr>
        <w:t>Table 2 Cost of hospital and social care services by diagnostic group per decedent in the final year of life</w:t>
      </w:r>
    </w:p>
    <w:p w:rsidR="006A18FD" w:rsidRDefault="006A18FD">
      <w:pPr>
        <w:rPr>
          <w:rFonts w:ascii="Cambria"/>
          <w:b/>
          <w:sz w:val="8"/>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4"/>
        <w:gridCol w:w="1858"/>
        <w:gridCol w:w="1853"/>
        <w:gridCol w:w="1856"/>
        <w:gridCol w:w="1853"/>
      </w:tblGrid>
      <w:tr w:rsidR="006A18FD" w:rsidTr="00E2663F">
        <w:trPr>
          <w:trHeight w:val="360"/>
          <w:tblHeader/>
        </w:trPr>
        <w:tc>
          <w:tcPr>
            <w:tcW w:w="2624" w:type="dxa"/>
          </w:tcPr>
          <w:p w:rsidR="006A18FD" w:rsidRDefault="002D29FC">
            <w:pPr>
              <w:spacing w:before="1"/>
              <w:ind w:left="607"/>
              <w:rPr>
                <w:rFonts w:ascii="Calibri"/>
                <w:b/>
                <w:sz w:val="20"/>
              </w:rPr>
            </w:pPr>
            <w:r>
              <w:rPr>
                <w:rFonts w:ascii="Calibri"/>
                <w:b/>
                <w:sz w:val="20"/>
              </w:rPr>
              <w:t>Diagnostic group</w:t>
            </w:r>
          </w:p>
        </w:tc>
        <w:tc>
          <w:tcPr>
            <w:tcW w:w="1858" w:type="dxa"/>
          </w:tcPr>
          <w:p w:rsidR="006A18FD" w:rsidRDefault="006A18FD">
            <w:pPr>
              <w:rPr>
                <w:rFonts w:ascii="Times New Roman"/>
                <w:sz w:val="18"/>
              </w:rPr>
            </w:pPr>
          </w:p>
        </w:tc>
        <w:tc>
          <w:tcPr>
            <w:tcW w:w="5562" w:type="dxa"/>
            <w:gridSpan w:val="3"/>
          </w:tcPr>
          <w:p w:rsidR="006A18FD" w:rsidRDefault="002D29FC">
            <w:pPr>
              <w:spacing w:before="1"/>
              <w:ind w:left="1195"/>
              <w:rPr>
                <w:rFonts w:ascii="Calibri" w:hAnsi="Calibri"/>
                <w:b/>
                <w:sz w:val="20"/>
              </w:rPr>
            </w:pPr>
            <w:r>
              <w:rPr>
                <w:rFonts w:ascii="Calibri" w:hAnsi="Calibri"/>
                <w:b/>
                <w:sz w:val="20"/>
              </w:rPr>
              <w:t>Average costs, final year, £ per person</w:t>
            </w:r>
          </w:p>
        </w:tc>
      </w:tr>
      <w:tr w:rsidR="006A18FD" w:rsidTr="00E2663F">
        <w:trPr>
          <w:trHeight w:val="600"/>
          <w:tblHeader/>
        </w:trPr>
        <w:tc>
          <w:tcPr>
            <w:tcW w:w="2624" w:type="dxa"/>
          </w:tcPr>
          <w:p w:rsidR="006A18FD" w:rsidRDefault="006A18FD">
            <w:pPr>
              <w:rPr>
                <w:rFonts w:ascii="Times New Roman"/>
                <w:sz w:val="18"/>
              </w:rPr>
            </w:pPr>
          </w:p>
        </w:tc>
        <w:tc>
          <w:tcPr>
            <w:tcW w:w="1858" w:type="dxa"/>
          </w:tcPr>
          <w:p w:rsidR="006A18FD" w:rsidRDefault="002D29FC">
            <w:pPr>
              <w:spacing w:before="123"/>
              <w:ind w:left="581"/>
              <w:rPr>
                <w:rFonts w:ascii="Calibri"/>
                <w:b/>
                <w:sz w:val="20"/>
              </w:rPr>
            </w:pPr>
            <w:r>
              <w:rPr>
                <w:rFonts w:ascii="Calibri"/>
                <w:b/>
                <w:sz w:val="20"/>
              </w:rPr>
              <w:t>Number</w:t>
            </w:r>
          </w:p>
        </w:tc>
        <w:tc>
          <w:tcPr>
            <w:tcW w:w="1853" w:type="dxa"/>
          </w:tcPr>
          <w:p w:rsidR="006A18FD" w:rsidRDefault="002D29FC">
            <w:pPr>
              <w:spacing w:before="123"/>
              <w:ind w:left="376"/>
              <w:rPr>
                <w:rFonts w:ascii="Calibri"/>
                <w:b/>
                <w:sz w:val="20"/>
              </w:rPr>
            </w:pPr>
            <w:r>
              <w:rPr>
                <w:rFonts w:ascii="Calibri"/>
                <w:b/>
                <w:sz w:val="20"/>
              </w:rPr>
              <w:t>Hospital care</w:t>
            </w:r>
          </w:p>
        </w:tc>
        <w:tc>
          <w:tcPr>
            <w:tcW w:w="1856" w:type="dxa"/>
          </w:tcPr>
          <w:p w:rsidR="006A18FD" w:rsidRDefault="002D29FC">
            <w:pPr>
              <w:spacing w:before="123"/>
              <w:ind w:left="479"/>
              <w:rPr>
                <w:rFonts w:ascii="Calibri"/>
                <w:b/>
                <w:sz w:val="20"/>
              </w:rPr>
            </w:pPr>
            <w:r>
              <w:rPr>
                <w:rFonts w:ascii="Calibri"/>
                <w:b/>
                <w:sz w:val="20"/>
              </w:rPr>
              <w:t>Social care</w:t>
            </w:r>
          </w:p>
        </w:tc>
        <w:tc>
          <w:tcPr>
            <w:tcW w:w="1853" w:type="dxa"/>
          </w:tcPr>
          <w:p w:rsidR="006A18FD" w:rsidRDefault="002D29FC">
            <w:pPr>
              <w:spacing w:before="1"/>
              <w:ind w:left="743" w:right="123" w:hanging="603"/>
              <w:rPr>
                <w:rFonts w:ascii="Calibri"/>
                <w:b/>
                <w:sz w:val="20"/>
              </w:rPr>
            </w:pPr>
            <w:r>
              <w:rPr>
                <w:rFonts w:ascii="Calibri"/>
                <w:b/>
                <w:sz w:val="20"/>
              </w:rPr>
              <w:t>Hospital and social care</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All people</w:t>
            </w:r>
          </w:p>
        </w:tc>
        <w:tc>
          <w:tcPr>
            <w:tcW w:w="1858" w:type="dxa"/>
          </w:tcPr>
          <w:p w:rsidR="006A18FD" w:rsidRDefault="002D29FC">
            <w:pPr>
              <w:spacing w:before="1" w:line="223" w:lineRule="exact"/>
              <w:ind w:right="105"/>
              <w:jc w:val="right"/>
              <w:rPr>
                <w:rFonts w:ascii="Calibri"/>
                <w:sz w:val="20"/>
              </w:rPr>
            </w:pPr>
            <w:r>
              <w:rPr>
                <w:rFonts w:ascii="Calibri"/>
                <w:w w:val="95"/>
                <w:sz w:val="20"/>
              </w:rPr>
              <w:t>73,243</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£7,456</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£4,104</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£11,560</w:t>
            </w:r>
          </w:p>
        </w:tc>
      </w:tr>
      <w:tr w:rsidR="006A18FD">
        <w:trPr>
          <w:trHeight w:val="240"/>
        </w:trPr>
        <w:tc>
          <w:tcPr>
            <w:tcW w:w="2624" w:type="dxa"/>
          </w:tcPr>
          <w:p w:rsidR="006A18FD" w:rsidRDefault="002D29FC">
            <w:pPr>
              <w:spacing w:line="222" w:lineRule="exact"/>
              <w:ind w:left="103"/>
              <w:rPr>
                <w:rFonts w:ascii="Calibri"/>
                <w:sz w:val="20"/>
              </w:rPr>
            </w:pPr>
            <w:r>
              <w:rPr>
                <w:rFonts w:ascii="Calibri"/>
                <w:sz w:val="20"/>
              </w:rPr>
              <w:t>No diagnoses</w:t>
            </w:r>
          </w:p>
        </w:tc>
        <w:tc>
          <w:tcPr>
            <w:tcW w:w="1858" w:type="dxa"/>
          </w:tcPr>
          <w:p w:rsidR="006A18FD" w:rsidRDefault="002D29FC">
            <w:pPr>
              <w:spacing w:line="222" w:lineRule="exact"/>
              <w:ind w:right="105"/>
              <w:jc w:val="right"/>
              <w:rPr>
                <w:rFonts w:ascii="Calibri"/>
                <w:sz w:val="20"/>
              </w:rPr>
            </w:pPr>
            <w:r>
              <w:rPr>
                <w:rFonts w:ascii="Calibri"/>
                <w:w w:val="95"/>
                <w:sz w:val="20"/>
              </w:rPr>
              <w:t>22,118</w:t>
            </w:r>
          </w:p>
        </w:tc>
        <w:tc>
          <w:tcPr>
            <w:tcW w:w="1853" w:type="dxa"/>
          </w:tcPr>
          <w:p w:rsidR="006A18FD" w:rsidRDefault="002D29FC">
            <w:pPr>
              <w:spacing w:line="222" w:lineRule="exact"/>
              <w:ind w:right="103"/>
              <w:jc w:val="right"/>
              <w:rPr>
                <w:rFonts w:ascii="Calibri" w:hAnsi="Calibri"/>
                <w:sz w:val="20"/>
              </w:rPr>
            </w:pPr>
            <w:r>
              <w:rPr>
                <w:rFonts w:ascii="Calibri" w:hAnsi="Calibri"/>
                <w:w w:val="95"/>
                <w:sz w:val="20"/>
              </w:rPr>
              <w:t>£3,671</w:t>
            </w:r>
          </w:p>
        </w:tc>
        <w:tc>
          <w:tcPr>
            <w:tcW w:w="1856" w:type="dxa"/>
          </w:tcPr>
          <w:p w:rsidR="006A18FD" w:rsidRDefault="002D29FC">
            <w:pPr>
              <w:spacing w:line="222" w:lineRule="exact"/>
              <w:ind w:right="106"/>
              <w:jc w:val="right"/>
              <w:rPr>
                <w:rFonts w:ascii="Calibri" w:hAnsi="Calibri"/>
                <w:sz w:val="20"/>
              </w:rPr>
            </w:pPr>
            <w:r>
              <w:rPr>
                <w:rFonts w:ascii="Calibri" w:hAnsi="Calibri"/>
                <w:w w:val="95"/>
                <w:sz w:val="20"/>
              </w:rPr>
              <w:t>£5,043</w:t>
            </w:r>
          </w:p>
        </w:tc>
        <w:tc>
          <w:tcPr>
            <w:tcW w:w="1853" w:type="dxa"/>
          </w:tcPr>
          <w:p w:rsidR="006A18FD" w:rsidRDefault="002D29FC">
            <w:pPr>
              <w:spacing w:line="222" w:lineRule="exact"/>
              <w:ind w:right="103"/>
              <w:jc w:val="right"/>
              <w:rPr>
                <w:rFonts w:ascii="Calibri" w:hAnsi="Calibri"/>
                <w:sz w:val="20"/>
              </w:rPr>
            </w:pPr>
            <w:r>
              <w:rPr>
                <w:rFonts w:ascii="Calibri" w:hAnsi="Calibri"/>
                <w:w w:val="95"/>
                <w:sz w:val="20"/>
              </w:rPr>
              <w:t>£8,714</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Any diagnosis</w:t>
            </w:r>
          </w:p>
        </w:tc>
        <w:tc>
          <w:tcPr>
            <w:tcW w:w="1858" w:type="dxa"/>
          </w:tcPr>
          <w:p w:rsidR="006A18FD" w:rsidRDefault="002D29FC">
            <w:pPr>
              <w:spacing w:before="1" w:line="223" w:lineRule="exact"/>
              <w:ind w:right="105"/>
              <w:jc w:val="right"/>
              <w:rPr>
                <w:rFonts w:ascii="Calibri"/>
                <w:sz w:val="20"/>
              </w:rPr>
            </w:pPr>
            <w:r>
              <w:rPr>
                <w:rFonts w:ascii="Calibri"/>
                <w:w w:val="95"/>
                <w:sz w:val="20"/>
              </w:rPr>
              <w:t>51,125</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£9,092</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£3,697</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£12,790</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Hypertension</w:t>
            </w:r>
          </w:p>
        </w:tc>
        <w:tc>
          <w:tcPr>
            <w:tcW w:w="1858" w:type="dxa"/>
          </w:tcPr>
          <w:p w:rsidR="006A18FD" w:rsidRDefault="002D29FC">
            <w:pPr>
              <w:spacing w:before="1" w:line="223" w:lineRule="exact"/>
              <w:ind w:right="105"/>
              <w:jc w:val="right"/>
              <w:rPr>
                <w:rFonts w:ascii="Calibri"/>
                <w:sz w:val="20"/>
              </w:rPr>
            </w:pPr>
            <w:r>
              <w:rPr>
                <w:rFonts w:ascii="Calibri"/>
                <w:w w:val="95"/>
                <w:sz w:val="20"/>
              </w:rPr>
              <w:t>21,241</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£10,176</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£3,392</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£13,568</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Cancer</w:t>
            </w:r>
          </w:p>
        </w:tc>
        <w:tc>
          <w:tcPr>
            <w:tcW w:w="1858" w:type="dxa"/>
          </w:tcPr>
          <w:p w:rsidR="006A18FD" w:rsidRDefault="002D29FC">
            <w:pPr>
              <w:spacing w:before="1" w:line="223" w:lineRule="exact"/>
              <w:ind w:right="105"/>
              <w:jc w:val="right"/>
              <w:rPr>
                <w:rFonts w:ascii="Calibri"/>
                <w:sz w:val="20"/>
              </w:rPr>
            </w:pPr>
            <w:r>
              <w:rPr>
                <w:rFonts w:ascii="Calibri"/>
                <w:w w:val="95"/>
                <w:sz w:val="20"/>
              </w:rPr>
              <w:t>19,934</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£10,659</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£1,584</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£12,243</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Injury</w:t>
            </w:r>
          </w:p>
        </w:tc>
        <w:tc>
          <w:tcPr>
            <w:tcW w:w="1858" w:type="dxa"/>
          </w:tcPr>
          <w:p w:rsidR="006A18FD" w:rsidRDefault="002D29FC">
            <w:pPr>
              <w:spacing w:before="1" w:line="223" w:lineRule="exact"/>
              <w:ind w:right="105"/>
              <w:jc w:val="right"/>
              <w:rPr>
                <w:rFonts w:ascii="Calibri"/>
                <w:sz w:val="20"/>
              </w:rPr>
            </w:pPr>
            <w:r>
              <w:rPr>
                <w:rFonts w:ascii="Calibri"/>
                <w:w w:val="95"/>
                <w:sz w:val="20"/>
              </w:rPr>
              <w:t>17,540</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£10,981</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£4,929</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£15,909</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Atrial fibrillation</w:t>
            </w:r>
          </w:p>
        </w:tc>
        <w:tc>
          <w:tcPr>
            <w:tcW w:w="1858" w:type="dxa"/>
          </w:tcPr>
          <w:p w:rsidR="006A18FD" w:rsidRDefault="002D29FC">
            <w:pPr>
              <w:spacing w:before="1" w:line="223" w:lineRule="exact"/>
              <w:ind w:right="105"/>
              <w:jc w:val="right"/>
              <w:rPr>
                <w:rFonts w:ascii="Calibri"/>
                <w:sz w:val="20"/>
              </w:rPr>
            </w:pPr>
            <w:r>
              <w:rPr>
                <w:rFonts w:ascii="Calibri"/>
                <w:w w:val="95"/>
                <w:sz w:val="20"/>
              </w:rPr>
              <w:t>13,567</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£10,281</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£4,018</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£14,299</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Ischaemic heart disease</w:t>
            </w:r>
          </w:p>
        </w:tc>
        <w:tc>
          <w:tcPr>
            <w:tcW w:w="1858" w:type="dxa"/>
          </w:tcPr>
          <w:p w:rsidR="006A18FD" w:rsidRDefault="002D29FC">
            <w:pPr>
              <w:spacing w:before="1" w:line="223" w:lineRule="exact"/>
              <w:ind w:right="105"/>
              <w:jc w:val="right"/>
              <w:rPr>
                <w:rFonts w:ascii="Calibri"/>
                <w:sz w:val="20"/>
              </w:rPr>
            </w:pPr>
            <w:r>
              <w:rPr>
                <w:rFonts w:ascii="Calibri"/>
                <w:w w:val="95"/>
                <w:sz w:val="20"/>
              </w:rPr>
              <w:t>13,213</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£10,429</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£3,423</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£13,852</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Respiratory infection</w:t>
            </w:r>
          </w:p>
        </w:tc>
        <w:tc>
          <w:tcPr>
            <w:tcW w:w="1858" w:type="dxa"/>
          </w:tcPr>
          <w:p w:rsidR="006A18FD" w:rsidRDefault="002D29FC">
            <w:pPr>
              <w:spacing w:before="1" w:line="223" w:lineRule="exact"/>
              <w:ind w:right="105"/>
              <w:jc w:val="right"/>
              <w:rPr>
                <w:rFonts w:ascii="Calibri"/>
                <w:sz w:val="20"/>
              </w:rPr>
            </w:pPr>
            <w:r>
              <w:rPr>
                <w:rFonts w:ascii="Calibri"/>
                <w:w w:val="95"/>
                <w:sz w:val="20"/>
              </w:rPr>
              <w:t>11,136</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£11,412</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£2,725</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£14,137</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Falls</w:t>
            </w:r>
          </w:p>
        </w:tc>
        <w:tc>
          <w:tcPr>
            <w:tcW w:w="1858" w:type="dxa"/>
          </w:tcPr>
          <w:p w:rsidR="006A18FD" w:rsidRDefault="002D29FC">
            <w:pPr>
              <w:spacing w:before="1" w:line="223" w:lineRule="exact"/>
              <w:ind w:right="105"/>
              <w:jc w:val="right"/>
              <w:rPr>
                <w:rFonts w:ascii="Calibri"/>
                <w:sz w:val="20"/>
              </w:rPr>
            </w:pPr>
            <w:r>
              <w:rPr>
                <w:rFonts w:ascii="Calibri"/>
                <w:w w:val="95"/>
                <w:sz w:val="20"/>
              </w:rPr>
              <w:t>10,560</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£10,089</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£6,239</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£16,328</w:t>
            </w:r>
          </w:p>
        </w:tc>
      </w:tr>
      <w:tr w:rsidR="006A18FD">
        <w:trPr>
          <w:trHeight w:val="240"/>
        </w:trPr>
        <w:tc>
          <w:tcPr>
            <w:tcW w:w="2624" w:type="dxa"/>
          </w:tcPr>
          <w:p w:rsidR="006A18FD" w:rsidRDefault="002D29FC">
            <w:pPr>
              <w:spacing w:line="223" w:lineRule="exact"/>
              <w:ind w:left="103"/>
              <w:rPr>
                <w:rFonts w:ascii="Calibri"/>
                <w:sz w:val="20"/>
              </w:rPr>
            </w:pPr>
            <w:r>
              <w:rPr>
                <w:rFonts w:ascii="Calibri"/>
                <w:sz w:val="20"/>
              </w:rPr>
              <w:t>Congestive heart failure</w:t>
            </w:r>
          </w:p>
        </w:tc>
        <w:tc>
          <w:tcPr>
            <w:tcW w:w="1858" w:type="dxa"/>
          </w:tcPr>
          <w:p w:rsidR="006A18FD" w:rsidRDefault="002D29FC">
            <w:pPr>
              <w:spacing w:line="223" w:lineRule="exact"/>
              <w:ind w:right="105"/>
              <w:jc w:val="right"/>
              <w:rPr>
                <w:rFonts w:ascii="Calibri"/>
                <w:sz w:val="20"/>
              </w:rPr>
            </w:pPr>
            <w:r>
              <w:rPr>
                <w:rFonts w:ascii="Calibri"/>
                <w:w w:val="95"/>
                <w:sz w:val="20"/>
              </w:rPr>
              <w:t>10,474</w:t>
            </w:r>
          </w:p>
        </w:tc>
        <w:tc>
          <w:tcPr>
            <w:tcW w:w="1853" w:type="dxa"/>
          </w:tcPr>
          <w:p w:rsidR="006A18FD" w:rsidRDefault="002D29FC">
            <w:pPr>
              <w:spacing w:line="223" w:lineRule="exact"/>
              <w:ind w:right="103"/>
              <w:jc w:val="right"/>
              <w:rPr>
                <w:rFonts w:ascii="Calibri" w:hAnsi="Calibri"/>
                <w:sz w:val="20"/>
              </w:rPr>
            </w:pPr>
            <w:r>
              <w:rPr>
                <w:rFonts w:ascii="Calibri" w:hAnsi="Calibri"/>
                <w:w w:val="95"/>
                <w:sz w:val="20"/>
              </w:rPr>
              <w:t>£10,479</w:t>
            </w:r>
          </w:p>
        </w:tc>
        <w:tc>
          <w:tcPr>
            <w:tcW w:w="1856" w:type="dxa"/>
          </w:tcPr>
          <w:p w:rsidR="006A18FD" w:rsidRDefault="002D29FC">
            <w:pPr>
              <w:spacing w:line="223" w:lineRule="exact"/>
              <w:ind w:right="106"/>
              <w:jc w:val="right"/>
              <w:rPr>
                <w:rFonts w:ascii="Calibri" w:hAnsi="Calibri"/>
                <w:sz w:val="20"/>
              </w:rPr>
            </w:pPr>
            <w:r>
              <w:rPr>
                <w:rFonts w:ascii="Calibri" w:hAnsi="Calibri"/>
                <w:w w:val="95"/>
                <w:sz w:val="20"/>
              </w:rPr>
              <w:t>£3,888</w:t>
            </w:r>
          </w:p>
        </w:tc>
        <w:tc>
          <w:tcPr>
            <w:tcW w:w="1853" w:type="dxa"/>
          </w:tcPr>
          <w:p w:rsidR="006A18FD" w:rsidRDefault="002D29FC">
            <w:pPr>
              <w:spacing w:line="223" w:lineRule="exact"/>
              <w:ind w:right="102"/>
              <w:jc w:val="right"/>
              <w:rPr>
                <w:rFonts w:ascii="Calibri" w:hAnsi="Calibri"/>
                <w:sz w:val="20"/>
              </w:rPr>
            </w:pPr>
            <w:r>
              <w:rPr>
                <w:rFonts w:ascii="Calibri" w:hAnsi="Calibri"/>
                <w:w w:val="95"/>
                <w:sz w:val="20"/>
              </w:rPr>
              <w:t>£14,367</w:t>
            </w:r>
          </w:p>
        </w:tc>
      </w:tr>
      <w:tr w:rsidR="006A18FD">
        <w:trPr>
          <w:trHeight w:val="480"/>
        </w:trPr>
        <w:tc>
          <w:tcPr>
            <w:tcW w:w="2624" w:type="dxa"/>
          </w:tcPr>
          <w:p w:rsidR="006A18FD" w:rsidRDefault="002D29FC">
            <w:pPr>
              <w:spacing w:before="1" w:line="240" w:lineRule="atLeast"/>
              <w:ind w:left="103" w:right="905"/>
              <w:rPr>
                <w:rFonts w:ascii="Calibri"/>
                <w:sz w:val="20"/>
              </w:rPr>
            </w:pPr>
            <w:r>
              <w:rPr>
                <w:rFonts w:ascii="Calibri"/>
                <w:sz w:val="20"/>
              </w:rPr>
              <w:t>Chronic obstructive pulmonary disease</w:t>
            </w:r>
          </w:p>
        </w:tc>
        <w:tc>
          <w:tcPr>
            <w:tcW w:w="1858" w:type="dxa"/>
          </w:tcPr>
          <w:p w:rsidR="006A18FD" w:rsidRDefault="002D29FC">
            <w:pPr>
              <w:spacing w:before="123"/>
              <w:ind w:right="105"/>
              <w:jc w:val="right"/>
              <w:rPr>
                <w:rFonts w:ascii="Calibri"/>
                <w:sz w:val="20"/>
              </w:rPr>
            </w:pPr>
            <w:r>
              <w:rPr>
                <w:rFonts w:ascii="Calibri"/>
                <w:w w:val="95"/>
                <w:sz w:val="20"/>
              </w:rPr>
              <w:t>9,392</w:t>
            </w:r>
          </w:p>
        </w:tc>
        <w:tc>
          <w:tcPr>
            <w:tcW w:w="1853" w:type="dxa"/>
          </w:tcPr>
          <w:p w:rsidR="006A18FD" w:rsidRDefault="002D29FC">
            <w:pPr>
              <w:spacing w:before="123"/>
              <w:ind w:right="103"/>
              <w:jc w:val="right"/>
              <w:rPr>
                <w:rFonts w:ascii="Calibri" w:hAnsi="Calibri"/>
                <w:sz w:val="20"/>
              </w:rPr>
            </w:pPr>
            <w:r>
              <w:rPr>
                <w:rFonts w:ascii="Calibri" w:hAnsi="Calibri"/>
                <w:w w:val="95"/>
                <w:sz w:val="20"/>
              </w:rPr>
              <w:t>£10,237</w:t>
            </w:r>
          </w:p>
        </w:tc>
        <w:tc>
          <w:tcPr>
            <w:tcW w:w="1856" w:type="dxa"/>
          </w:tcPr>
          <w:p w:rsidR="006A18FD" w:rsidRDefault="002D29FC">
            <w:pPr>
              <w:spacing w:before="123"/>
              <w:ind w:right="106"/>
              <w:jc w:val="right"/>
              <w:rPr>
                <w:rFonts w:ascii="Calibri" w:hAnsi="Calibri"/>
                <w:sz w:val="20"/>
              </w:rPr>
            </w:pPr>
            <w:r>
              <w:rPr>
                <w:rFonts w:ascii="Calibri" w:hAnsi="Calibri"/>
                <w:w w:val="95"/>
                <w:sz w:val="20"/>
              </w:rPr>
              <w:t>£3,064</w:t>
            </w:r>
          </w:p>
        </w:tc>
        <w:tc>
          <w:tcPr>
            <w:tcW w:w="1853" w:type="dxa"/>
          </w:tcPr>
          <w:p w:rsidR="006A18FD" w:rsidRDefault="002D29FC">
            <w:pPr>
              <w:spacing w:before="123"/>
              <w:ind w:right="102"/>
              <w:jc w:val="right"/>
              <w:rPr>
                <w:rFonts w:ascii="Calibri" w:hAnsi="Calibri"/>
                <w:sz w:val="20"/>
              </w:rPr>
            </w:pPr>
            <w:r>
              <w:rPr>
                <w:rFonts w:ascii="Calibri" w:hAnsi="Calibri"/>
                <w:w w:val="95"/>
                <w:sz w:val="20"/>
              </w:rPr>
              <w:t>£13,301</w:t>
            </w:r>
          </w:p>
        </w:tc>
      </w:tr>
      <w:tr w:rsidR="006A18FD">
        <w:trPr>
          <w:trHeight w:val="239"/>
        </w:trPr>
        <w:tc>
          <w:tcPr>
            <w:tcW w:w="2624" w:type="dxa"/>
          </w:tcPr>
          <w:p w:rsidR="006A18FD" w:rsidRDefault="002D29FC">
            <w:pPr>
              <w:spacing w:line="223" w:lineRule="exact"/>
              <w:ind w:left="103"/>
              <w:rPr>
                <w:rFonts w:ascii="Calibri"/>
                <w:sz w:val="20"/>
              </w:rPr>
            </w:pPr>
            <w:r>
              <w:rPr>
                <w:rFonts w:ascii="Calibri"/>
                <w:sz w:val="20"/>
              </w:rPr>
              <w:t>Anaemia</w:t>
            </w:r>
          </w:p>
        </w:tc>
        <w:tc>
          <w:tcPr>
            <w:tcW w:w="1858" w:type="dxa"/>
          </w:tcPr>
          <w:p w:rsidR="006A18FD" w:rsidRDefault="002D29FC">
            <w:pPr>
              <w:spacing w:line="223" w:lineRule="exact"/>
              <w:ind w:right="105"/>
              <w:jc w:val="right"/>
              <w:rPr>
                <w:rFonts w:ascii="Calibri"/>
                <w:sz w:val="20"/>
              </w:rPr>
            </w:pPr>
            <w:r>
              <w:rPr>
                <w:rFonts w:ascii="Calibri"/>
                <w:w w:val="95"/>
                <w:sz w:val="20"/>
              </w:rPr>
              <w:t>9,210</w:t>
            </w:r>
          </w:p>
        </w:tc>
        <w:tc>
          <w:tcPr>
            <w:tcW w:w="1853" w:type="dxa"/>
          </w:tcPr>
          <w:p w:rsidR="006A18FD" w:rsidRDefault="002D29FC">
            <w:pPr>
              <w:spacing w:line="223" w:lineRule="exact"/>
              <w:ind w:right="103"/>
              <w:jc w:val="right"/>
              <w:rPr>
                <w:rFonts w:ascii="Calibri" w:hAnsi="Calibri"/>
                <w:sz w:val="20"/>
              </w:rPr>
            </w:pPr>
            <w:r>
              <w:rPr>
                <w:rFonts w:ascii="Calibri" w:hAnsi="Calibri"/>
                <w:w w:val="95"/>
                <w:sz w:val="20"/>
              </w:rPr>
              <w:t>£12,020</w:t>
            </w:r>
          </w:p>
        </w:tc>
        <w:tc>
          <w:tcPr>
            <w:tcW w:w="1856" w:type="dxa"/>
          </w:tcPr>
          <w:p w:rsidR="006A18FD" w:rsidRDefault="002D29FC">
            <w:pPr>
              <w:spacing w:line="223" w:lineRule="exact"/>
              <w:ind w:right="106"/>
              <w:jc w:val="right"/>
              <w:rPr>
                <w:rFonts w:ascii="Calibri" w:hAnsi="Calibri"/>
                <w:sz w:val="20"/>
              </w:rPr>
            </w:pPr>
            <w:r>
              <w:rPr>
                <w:rFonts w:ascii="Calibri" w:hAnsi="Calibri"/>
                <w:w w:val="95"/>
                <w:sz w:val="20"/>
              </w:rPr>
              <w:t>£3,694</w:t>
            </w:r>
          </w:p>
        </w:tc>
        <w:tc>
          <w:tcPr>
            <w:tcW w:w="1853" w:type="dxa"/>
          </w:tcPr>
          <w:p w:rsidR="006A18FD" w:rsidRDefault="002D29FC">
            <w:pPr>
              <w:spacing w:line="223" w:lineRule="exact"/>
              <w:ind w:right="102"/>
              <w:jc w:val="right"/>
              <w:rPr>
                <w:rFonts w:ascii="Calibri" w:hAnsi="Calibri"/>
                <w:sz w:val="20"/>
              </w:rPr>
            </w:pPr>
            <w:r>
              <w:rPr>
                <w:rFonts w:ascii="Calibri" w:hAnsi="Calibri"/>
                <w:w w:val="95"/>
                <w:sz w:val="20"/>
              </w:rPr>
              <w:t>£15,715</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Diabetes</w:t>
            </w:r>
          </w:p>
        </w:tc>
        <w:tc>
          <w:tcPr>
            <w:tcW w:w="1858" w:type="dxa"/>
          </w:tcPr>
          <w:p w:rsidR="006A18FD" w:rsidRDefault="002D29FC">
            <w:pPr>
              <w:spacing w:before="1" w:line="223" w:lineRule="exact"/>
              <w:ind w:right="105"/>
              <w:jc w:val="right"/>
              <w:rPr>
                <w:rFonts w:ascii="Calibri"/>
                <w:sz w:val="20"/>
              </w:rPr>
            </w:pPr>
            <w:r>
              <w:rPr>
                <w:rFonts w:ascii="Calibri"/>
                <w:w w:val="95"/>
                <w:sz w:val="20"/>
              </w:rPr>
              <w:t>8,697</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£10,463</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£3,815</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£14,278</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Cerebrovascular disease</w:t>
            </w:r>
          </w:p>
        </w:tc>
        <w:tc>
          <w:tcPr>
            <w:tcW w:w="1858" w:type="dxa"/>
          </w:tcPr>
          <w:p w:rsidR="006A18FD" w:rsidRDefault="002D29FC">
            <w:pPr>
              <w:spacing w:before="1" w:line="223" w:lineRule="exact"/>
              <w:ind w:right="105"/>
              <w:jc w:val="right"/>
              <w:rPr>
                <w:rFonts w:ascii="Calibri"/>
                <w:sz w:val="20"/>
              </w:rPr>
            </w:pPr>
            <w:r>
              <w:rPr>
                <w:rFonts w:ascii="Calibri"/>
                <w:w w:val="95"/>
                <w:sz w:val="20"/>
              </w:rPr>
              <w:t>8,290</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£10,302</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£5,078</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£15,380</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Peripheral vascular disease</w:t>
            </w:r>
          </w:p>
        </w:tc>
        <w:tc>
          <w:tcPr>
            <w:tcW w:w="1858" w:type="dxa"/>
          </w:tcPr>
          <w:p w:rsidR="006A18FD" w:rsidRDefault="002D29FC">
            <w:pPr>
              <w:spacing w:before="1" w:line="223" w:lineRule="exact"/>
              <w:ind w:right="105"/>
              <w:jc w:val="right"/>
              <w:rPr>
                <w:rFonts w:ascii="Calibri"/>
                <w:sz w:val="20"/>
              </w:rPr>
            </w:pPr>
            <w:r>
              <w:rPr>
                <w:rFonts w:ascii="Calibri"/>
                <w:w w:val="95"/>
                <w:sz w:val="20"/>
              </w:rPr>
              <w:t>6,780</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£11,871</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£3,384</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£15,255</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Dementia</w:t>
            </w:r>
          </w:p>
        </w:tc>
        <w:tc>
          <w:tcPr>
            <w:tcW w:w="1858" w:type="dxa"/>
          </w:tcPr>
          <w:p w:rsidR="006A18FD" w:rsidRDefault="002D29FC">
            <w:pPr>
              <w:spacing w:before="1" w:line="223" w:lineRule="exact"/>
              <w:ind w:right="105"/>
              <w:jc w:val="right"/>
              <w:rPr>
                <w:rFonts w:ascii="Calibri"/>
                <w:sz w:val="20"/>
              </w:rPr>
            </w:pPr>
            <w:r>
              <w:rPr>
                <w:rFonts w:ascii="Calibri"/>
                <w:w w:val="95"/>
                <w:sz w:val="20"/>
              </w:rPr>
              <w:t>6,735</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£8,593</w:t>
            </w:r>
          </w:p>
        </w:tc>
        <w:tc>
          <w:tcPr>
            <w:tcW w:w="1856" w:type="dxa"/>
          </w:tcPr>
          <w:p w:rsidR="006A18FD" w:rsidRDefault="002D29FC">
            <w:pPr>
              <w:spacing w:before="1" w:line="223" w:lineRule="exact"/>
              <w:ind w:right="106"/>
              <w:jc w:val="right"/>
              <w:rPr>
                <w:rFonts w:ascii="Calibri" w:hAnsi="Calibri"/>
                <w:sz w:val="20"/>
              </w:rPr>
            </w:pPr>
            <w:r>
              <w:rPr>
                <w:rFonts w:ascii="Calibri" w:hAnsi="Calibri"/>
                <w:sz w:val="20"/>
              </w:rPr>
              <w:t>£10,877 1</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£19,470</w:t>
            </w:r>
          </w:p>
        </w:tc>
      </w:tr>
      <w:tr w:rsidR="006A18FD">
        <w:trPr>
          <w:trHeight w:val="240"/>
        </w:trPr>
        <w:tc>
          <w:tcPr>
            <w:tcW w:w="2624" w:type="dxa"/>
          </w:tcPr>
          <w:p w:rsidR="006A18FD" w:rsidRDefault="002D29FC">
            <w:pPr>
              <w:spacing w:line="222" w:lineRule="exact"/>
              <w:ind w:left="103"/>
              <w:rPr>
                <w:rFonts w:ascii="Calibri"/>
                <w:sz w:val="20"/>
              </w:rPr>
            </w:pPr>
            <w:r>
              <w:rPr>
                <w:rFonts w:ascii="Calibri"/>
                <w:sz w:val="20"/>
              </w:rPr>
              <w:t>Renal failure</w:t>
            </w:r>
          </w:p>
        </w:tc>
        <w:tc>
          <w:tcPr>
            <w:tcW w:w="1858" w:type="dxa"/>
          </w:tcPr>
          <w:p w:rsidR="006A18FD" w:rsidRDefault="002D29FC">
            <w:pPr>
              <w:spacing w:line="222" w:lineRule="exact"/>
              <w:ind w:right="105"/>
              <w:jc w:val="right"/>
              <w:rPr>
                <w:rFonts w:ascii="Calibri"/>
                <w:sz w:val="20"/>
              </w:rPr>
            </w:pPr>
            <w:r>
              <w:rPr>
                <w:rFonts w:ascii="Calibri"/>
                <w:w w:val="95"/>
                <w:sz w:val="20"/>
              </w:rPr>
              <w:t>6,570</w:t>
            </w:r>
          </w:p>
        </w:tc>
        <w:tc>
          <w:tcPr>
            <w:tcW w:w="1853" w:type="dxa"/>
          </w:tcPr>
          <w:p w:rsidR="006A18FD" w:rsidRDefault="002D29FC">
            <w:pPr>
              <w:spacing w:line="222" w:lineRule="exact"/>
              <w:ind w:right="103"/>
              <w:jc w:val="right"/>
              <w:rPr>
                <w:rFonts w:ascii="Calibri" w:hAnsi="Calibri"/>
                <w:sz w:val="20"/>
              </w:rPr>
            </w:pPr>
            <w:r>
              <w:rPr>
                <w:rFonts w:ascii="Calibri" w:hAnsi="Calibri"/>
                <w:w w:val="95"/>
                <w:sz w:val="20"/>
              </w:rPr>
              <w:t>£11,980</w:t>
            </w:r>
          </w:p>
        </w:tc>
        <w:tc>
          <w:tcPr>
            <w:tcW w:w="1856" w:type="dxa"/>
          </w:tcPr>
          <w:p w:rsidR="006A18FD" w:rsidRDefault="002D29FC">
            <w:pPr>
              <w:spacing w:line="222" w:lineRule="exact"/>
              <w:ind w:right="106"/>
              <w:jc w:val="right"/>
              <w:rPr>
                <w:rFonts w:ascii="Calibri" w:hAnsi="Calibri"/>
                <w:sz w:val="20"/>
              </w:rPr>
            </w:pPr>
            <w:r>
              <w:rPr>
                <w:rFonts w:ascii="Calibri" w:hAnsi="Calibri"/>
                <w:w w:val="95"/>
                <w:sz w:val="20"/>
              </w:rPr>
              <w:t>£3,905</w:t>
            </w:r>
          </w:p>
        </w:tc>
        <w:tc>
          <w:tcPr>
            <w:tcW w:w="1853" w:type="dxa"/>
          </w:tcPr>
          <w:p w:rsidR="006A18FD" w:rsidRDefault="002D29FC">
            <w:pPr>
              <w:spacing w:line="222" w:lineRule="exact"/>
              <w:ind w:right="102"/>
              <w:jc w:val="right"/>
              <w:rPr>
                <w:rFonts w:ascii="Calibri" w:hAnsi="Calibri"/>
                <w:sz w:val="20"/>
              </w:rPr>
            </w:pPr>
            <w:r>
              <w:rPr>
                <w:rFonts w:ascii="Calibri" w:hAnsi="Calibri"/>
                <w:w w:val="95"/>
                <w:sz w:val="20"/>
              </w:rPr>
              <w:t>£15,886</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Angina</w:t>
            </w:r>
          </w:p>
        </w:tc>
        <w:tc>
          <w:tcPr>
            <w:tcW w:w="1858" w:type="dxa"/>
          </w:tcPr>
          <w:p w:rsidR="006A18FD" w:rsidRDefault="002D29FC">
            <w:pPr>
              <w:spacing w:before="1" w:line="223" w:lineRule="exact"/>
              <w:ind w:right="105"/>
              <w:jc w:val="right"/>
              <w:rPr>
                <w:rFonts w:ascii="Calibri"/>
                <w:sz w:val="20"/>
              </w:rPr>
            </w:pPr>
            <w:r>
              <w:rPr>
                <w:rFonts w:ascii="Calibri"/>
                <w:w w:val="95"/>
                <w:sz w:val="20"/>
              </w:rPr>
              <w:t>6,549</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£11,203</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£3,461</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£14,664</w:t>
            </w:r>
          </w:p>
        </w:tc>
      </w:tr>
      <w:tr w:rsidR="006A18FD">
        <w:trPr>
          <w:trHeight w:val="480"/>
        </w:trPr>
        <w:tc>
          <w:tcPr>
            <w:tcW w:w="2624" w:type="dxa"/>
          </w:tcPr>
          <w:p w:rsidR="006A18FD" w:rsidRDefault="002D29FC">
            <w:pPr>
              <w:spacing w:before="1" w:line="240" w:lineRule="atLeast"/>
              <w:ind w:left="103" w:right="731"/>
              <w:rPr>
                <w:rFonts w:ascii="Calibri"/>
                <w:sz w:val="20"/>
              </w:rPr>
            </w:pPr>
            <w:r>
              <w:rPr>
                <w:rFonts w:ascii="Calibri"/>
                <w:sz w:val="20"/>
              </w:rPr>
              <w:t>Mental disorders, not dementia</w:t>
            </w:r>
          </w:p>
        </w:tc>
        <w:tc>
          <w:tcPr>
            <w:tcW w:w="1858" w:type="dxa"/>
          </w:tcPr>
          <w:p w:rsidR="006A18FD" w:rsidRDefault="002D29FC">
            <w:pPr>
              <w:spacing w:before="123"/>
              <w:ind w:right="105"/>
              <w:jc w:val="right"/>
              <w:rPr>
                <w:rFonts w:ascii="Calibri"/>
                <w:sz w:val="20"/>
              </w:rPr>
            </w:pPr>
            <w:r>
              <w:rPr>
                <w:rFonts w:ascii="Calibri"/>
                <w:w w:val="95"/>
                <w:sz w:val="20"/>
              </w:rPr>
              <w:t>4,814</w:t>
            </w:r>
          </w:p>
        </w:tc>
        <w:tc>
          <w:tcPr>
            <w:tcW w:w="1853" w:type="dxa"/>
          </w:tcPr>
          <w:p w:rsidR="006A18FD" w:rsidRDefault="002D29FC">
            <w:pPr>
              <w:spacing w:before="123"/>
              <w:ind w:right="103"/>
              <w:jc w:val="right"/>
              <w:rPr>
                <w:rFonts w:ascii="Calibri" w:hAnsi="Calibri"/>
                <w:sz w:val="20"/>
              </w:rPr>
            </w:pPr>
            <w:r>
              <w:rPr>
                <w:rFonts w:ascii="Calibri" w:hAnsi="Calibri"/>
                <w:w w:val="95"/>
                <w:sz w:val="20"/>
              </w:rPr>
              <w:t>£11,236</w:t>
            </w:r>
          </w:p>
        </w:tc>
        <w:tc>
          <w:tcPr>
            <w:tcW w:w="1856" w:type="dxa"/>
          </w:tcPr>
          <w:p w:rsidR="006A18FD" w:rsidRDefault="002D29FC">
            <w:pPr>
              <w:spacing w:before="123"/>
              <w:ind w:right="106"/>
              <w:jc w:val="right"/>
              <w:rPr>
                <w:rFonts w:ascii="Calibri" w:hAnsi="Calibri"/>
                <w:sz w:val="20"/>
              </w:rPr>
            </w:pPr>
            <w:r>
              <w:rPr>
                <w:rFonts w:ascii="Calibri" w:hAnsi="Calibri"/>
                <w:w w:val="95"/>
                <w:sz w:val="20"/>
              </w:rPr>
              <w:t>£4,396</w:t>
            </w:r>
          </w:p>
        </w:tc>
        <w:tc>
          <w:tcPr>
            <w:tcW w:w="1853" w:type="dxa"/>
          </w:tcPr>
          <w:p w:rsidR="006A18FD" w:rsidRDefault="002D29FC">
            <w:pPr>
              <w:spacing w:before="123"/>
              <w:ind w:right="102"/>
              <w:jc w:val="right"/>
              <w:rPr>
                <w:rFonts w:ascii="Calibri" w:hAnsi="Calibri"/>
                <w:sz w:val="20"/>
              </w:rPr>
            </w:pPr>
            <w:r>
              <w:rPr>
                <w:rFonts w:ascii="Calibri" w:hAnsi="Calibri"/>
                <w:w w:val="95"/>
                <w:sz w:val="20"/>
              </w:rPr>
              <w:t>£15,632</w:t>
            </w:r>
          </w:p>
        </w:tc>
      </w:tr>
      <w:tr w:rsidR="006A18FD">
        <w:trPr>
          <w:trHeight w:val="239"/>
        </w:trPr>
        <w:tc>
          <w:tcPr>
            <w:tcW w:w="2624" w:type="dxa"/>
          </w:tcPr>
          <w:p w:rsidR="006A18FD" w:rsidRDefault="002D29FC">
            <w:pPr>
              <w:spacing w:line="223" w:lineRule="exact"/>
              <w:ind w:left="103"/>
              <w:rPr>
                <w:rFonts w:ascii="Calibri"/>
                <w:sz w:val="20"/>
              </w:rPr>
            </w:pPr>
            <w:r>
              <w:rPr>
                <w:rFonts w:ascii="Calibri"/>
                <w:sz w:val="20"/>
              </w:rPr>
              <w:t>Iatrogenic conditions</w:t>
            </w:r>
          </w:p>
        </w:tc>
        <w:tc>
          <w:tcPr>
            <w:tcW w:w="1858" w:type="dxa"/>
          </w:tcPr>
          <w:p w:rsidR="006A18FD" w:rsidRDefault="002D29FC">
            <w:pPr>
              <w:spacing w:line="223" w:lineRule="exact"/>
              <w:ind w:right="105"/>
              <w:jc w:val="right"/>
              <w:rPr>
                <w:rFonts w:ascii="Calibri"/>
                <w:sz w:val="20"/>
              </w:rPr>
            </w:pPr>
            <w:r>
              <w:rPr>
                <w:rFonts w:ascii="Calibri"/>
                <w:w w:val="95"/>
                <w:sz w:val="20"/>
              </w:rPr>
              <w:t>4,190</w:t>
            </w:r>
          </w:p>
        </w:tc>
        <w:tc>
          <w:tcPr>
            <w:tcW w:w="1853" w:type="dxa"/>
          </w:tcPr>
          <w:p w:rsidR="006A18FD" w:rsidRDefault="002D29FC">
            <w:pPr>
              <w:spacing w:line="223" w:lineRule="exact"/>
              <w:ind w:right="103"/>
              <w:jc w:val="right"/>
              <w:rPr>
                <w:rFonts w:ascii="Calibri" w:hAnsi="Calibri"/>
                <w:sz w:val="20"/>
              </w:rPr>
            </w:pPr>
            <w:r>
              <w:rPr>
                <w:rFonts w:ascii="Calibri" w:hAnsi="Calibri"/>
                <w:w w:val="95"/>
                <w:sz w:val="20"/>
              </w:rPr>
              <w:t>£16,193</w:t>
            </w:r>
          </w:p>
        </w:tc>
        <w:tc>
          <w:tcPr>
            <w:tcW w:w="1856" w:type="dxa"/>
          </w:tcPr>
          <w:p w:rsidR="006A18FD" w:rsidRDefault="002D29FC">
            <w:pPr>
              <w:spacing w:line="223" w:lineRule="exact"/>
              <w:ind w:right="106"/>
              <w:jc w:val="right"/>
              <w:rPr>
                <w:rFonts w:ascii="Calibri" w:hAnsi="Calibri"/>
                <w:sz w:val="20"/>
              </w:rPr>
            </w:pPr>
            <w:r>
              <w:rPr>
                <w:rFonts w:ascii="Calibri" w:hAnsi="Calibri"/>
                <w:w w:val="95"/>
                <w:sz w:val="20"/>
              </w:rPr>
              <w:t>£3,083</w:t>
            </w:r>
          </w:p>
        </w:tc>
        <w:tc>
          <w:tcPr>
            <w:tcW w:w="1853" w:type="dxa"/>
          </w:tcPr>
          <w:p w:rsidR="006A18FD" w:rsidRDefault="002D29FC">
            <w:pPr>
              <w:spacing w:line="223" w:lineRule="exact"/>
              <w:ind w:right="102"/>
              <w:jc w:val="right"/>
              <w:rPr>
                <w:rFonts w:ascii="Calibri" w:hAnsi="Calibri"/>
                <w:sz w:val="20"/>
              </w:rPr>
            </w:pPr>
            <w:r>
              <w:rPr>
                <w:rFonts w:ascii="Calibri" w:hAnsi="Calibri"/>
                <w:w w:val="95"/>
                <w:sz w:val="20"/>
              </w:rPr>
              <w:t>£19,276</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Asthma</w:t>
            </w:r>
          </w:p>
        </w:tc>
        <w:tc>
          <w:tcPr>
            <w:tcW w:w="1858" w:type="dxa"/>
          </w:tcPr>
          <w:p w:rsidR="006A18FD" w:rsidRDefault="002D29FC">
            <w:pPr>
              <w:spacing w:before="1" w:line="223" w:lineRule="exact"/>
              <w:ind w:right="105"/>
              <w:jc w:val="right"/>
              <w:rPr>
                <w:rFonts w:ascii="Calibri"/>
                <w:sz w:val="20"/>
              </w:rPr>
            </w:pPr>
            <w:r>
              <w:rPr>
                <w:rFonts w:ascii="Calibri"/>
                <w:w w:val="95"/>
                <w:sz w:val="20"/>
              </w:rPr>
              <w:t>3,480</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£10,875</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£3,022</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£13,897</w:t>
            </w:r>
          </w:p>
        </w:tc>
      </w:tr>
      <w:tr w:rsidR="006A18FD">
        <w:trPr>
          <w:trHeight w:val="240"/>
        </w:trPr>
        <w:tc>
          <w:tcPr>
            <w:tcW w:w="2624" w:type="dxa"/>
          </w:tcPr>
          <w:p w:rsidR="006A18FD" w:rsidRDefault="002D29FC">
            <w:pPr>
              <w:spacing w:before="1" w:line="223" w:lineRule="exact"/>
              <w:ind w:left="103"/>
              <w:rPr>
                <w:rFonts w:ascii="Calibri"/>
                <w:sz w:val="20"/>
              </w:rPr>
            </w:pPr>
            <w:r>
              <w:rPr>
                <w:rFonts w:ascii="Calibri"/>
                <w:sz w:val="20"/>
              </w:rPr>
              <w:t>Alcoholism</w:t>
            </w:r>
          </w:p>
        </w:tc>
        <w:tc>
          <w:tcPr>
            <w:tcW w:w="1858" w:type="dxa"/>
          </w:tcPr>
          <w:p w:rsidR="006A18FD" w:rsidRDefault="002D29FC">
            <w:pPr>
              <w:spacing w:before="1" w:line="223" w:lineRule="exact"/>
              <w:ind w:right="105"/>
              <w:jc w:val="right"/>
              <w:rPr>
                <w:rFonts w:ascii="Calibri"/>
                <w:sz w:val="20"/>
              </w:rPr>
            </w:pPr>
            <w:r>
              <w:rPr>
                <w:rFonts w:ascii="Calibri"/>
                <w:w w:val="95"/>
                <w:sz w:val="20"/>
              </w:rPr>
              <w:t>2,437</w:t>
            </w:r>
          </w:p>
        </w:tc>
        <w:tc>
          <w:tcPr>
            <w:tcW w:w="1853" w:type="dxa"/>
          </w:tcPr>
          <w:p w:rsidR="006A18FD" w:rsidRDefault="002D29FC">
            <w:pPr>
              <w:spacing w:before="1" w:line="223" w:lineRule="exact"/>
              <w:ind w:right="103"/>
              <w:jc w:val="right"/>
              <w:rPr>
                <w:rFonts w:ascii="Calibri" w:hAnsi="Calibri"/>
                <w:sz w:val="20"/>
              </w:rPr>
            </w:pPr>
            <w:r>
              <w:rPr>
                <w:rFonts w:ascii="Calibri" w:hAnsi="Calibri"/>
                <w:w w:val="95"/>
                <w:sz w:val="20"/>
              </w:rPr>
              <w:t>£9,918</w:t>
            </w:r>
          </w:p>
        </w:tc>
        <w:tc>
          <w:tcPr>
            <w:tcW w:w="1856" w:type="dxa"/>
          </w:tcPr>
          <w:p w:rsidR="006A18FD" w:rsidRDefault="002D29FC">
            <w:pPr>
              <w:spacing w:before="1" w:line="223" w:lineRule="exact"/>
              <w:ind w:right="106"/>
              <w:jc w:val="right"/>
              <w:rPr>
                <w:rFonts w:ascii="Calibri" w:hAnsi="Calibri"/>
                <w:sz w:val="20"/>
              </w:rPr>
            </w:pPr>
            <w:r>
              <w:rPr>
                <w:rFonts w:ascii="Calibri" w:hAnsi="Calibri"/>
                <w:w w:val="95"/>
                <w:sz w:val="20"/>
              </w:rPr>
              <w:t>£1,411</w:t>
            </w:r>
          </w:p>
        </w:tc>
        <w:tc>
          <w:tcPr>
            <w:tcW w:w="1853" w:type="dxa"/>
          </w:tcPr>
          <w:p w:rsidR="006A18FD" w:rsidRDefault="002D29FC">
            <w:pPr>
              <w:spacing w:before="1" w:line="223" w:lineRule="exact"/>
              <w:ind w:right="102"/>
              <w:jc w:val="right"/>
              <w:rPr>
                <w:rFonts w:ascii="Calibri" w:hAnsi="Calibri"/>
                <w:sz w:val="20"/>
              </w:rPr>
            </w:pPr>
            <w:r>
              <w:rPr>
                <w:rFonts w:ascii="Calibri" w:hAnsi="Calibri"/>
                <w:w w:val="95"/>
                <w:sz w:val="20"/>
              </w:rPr>
              <w:t>£11,329</w:t>
            </w:r>
          </w:p>
        </w:tc>
      </w:tr>
      <w:tr w:rsidR="006A18FD">
        <w:trPr>
          <w:trHeight w:val="480"/>
        </w:trPr>
        <w:tc>
          <w:tcPr>
            <w:tcW w:w="2624" w:type="dxa"/>
          </w:tcPr>
          <w:p w:rsidR="006A18FD" w:rsidRDefault="002D29FC">
            <w:pPr>
              <w:spacing w:before="1" w:line="243" w:lineRule="exact"/>
              <w:ind w:left="103"/>
              <w:rPr>
                <w:rFonts w:ascii="Calibri"/>
                <w:sz w:val="20"/>
              </w:rPr>
            </w:pPr>
            <w:r>
              <w:rPr>
                <w:rFonts w:ascii="Calibri"/>
                <w:sz w:val="20"/>
              </w:rPr>
              <w:t>Non-rheumatic valve</w:t>
            </w:r>
          </w:p>
          <w:p w:rsidR="006A18FD" w:rsidRDefault="002D29FC">
            <w:pPr>
              <w:spacing w:line="222" w:lineRule="exact"/>
              <w:ind w:left="103"/>
              <w:rPr>
                <w:rFonts w:ascii="Calibri"/>
                <w:sz w:val="20"/>
              </w:rPr>
            </w:pPr>
            <w:r>
              <w:rPr>
                <w:rFonts w:ascii="Calibri"/>
                <w:sz w:val="20"/>
              </w:rPr>
              <w:t>disorder</w:t>
            </w:r>
          </w:p>
        </w:tc>
        <w:tc>
          <w:tcPr>
            <w:tcW w:w="1858" w:type="dxa"/>
          </w:tcPr>
          <w:p w:rsidR="006A18FD" w:rsidRDefault="002D29FC">
            <w:pPr>
              <w:spacing w:before="121"/>
              <w:ind w:right="105"/>
              <w:jc w:val="right"/>
              <w:rPr>
                <w:rFonts w:ascii="Calibri"/>
                <w:sz w:val="20"/>
              </w:rPr>
            </w:pPr>
            <w:r>
              <w:rPr>
                <w:rFonts w:ascii="Calibri"/>
                <w:w w:val="95"/>
                <w:sz w:val="20"/>
              </w:rPr>
              <w:t>2,059</w:t>
            </w:r>
          </w:p>
        </w:tc>
        <w:tc>
          <w:tcPr>
            <w:tcW w:w="1853" w:type="dxa"/>
          </w:tcPr>
          <w:p w:rsidR="006A18FD" w:rsidRDefault="002D29FC">
            <w:pPr>
              <w:spacing w:before="121"/>
              <w:ind w:right="103"/>
              <w:jc w:val="right"/>
              <w:rPr>
                <w:rFonts w:ascii="Calibri" w:hAnsi="Calibri"/>
                <w:sz w:val="20"/>
              </w:rPr>
            </w:pPr>
            <w:r>
              <w:rPr>
                <w:rFonts w:ascii="Calibri" w:hAnsi="Calibri"/>
                <w:w w:val="95"/>
                <w:sz w:val="20"/>
              </w:rPr>
              <w:t>£12,211</w:t>
            </w:r>
          </w:p>
        </w:tc>
        <w:tc>
          <w:tcPr>
            <w:tcW w:w="1856" w:type="dxa"/>
          </w:tcPr>
          <w:p w:rsidR="006A18FD" w:rsidRDefault="002D29FC">
            <w:pPr>
              <w:spacing w:before="121"/>
              <w:ind w:right="106"/>
              <w:jc w:val="right"/>
              <w:rPr>
                <w:rFonts w:ascii="Calibri" w:hAnsi="Calibri"/>
                <w:sz w:val="20"/>
              </w:rPr>
            </w:pPr>
            <w:r>
              <w:rPr>
                <w:rFonts w:ascii="Calibri" w:hAnsi="Calibri"/>
                <w:w w:val="95"/>
                <w:sz w:val="20"/>
              </w:rPr>
              <w:t>£2,665</w:t>
            </w:r>
          </w:p>
        </w:tc>
        <w:tc>
          <w:tcPr>
            <w:tcW w:w="1853" w:type="dxa"/>
          </w:tcPr>
          <w:p w:rsidR="006A18FD" w:rsidRDefault="002D29FC">
            <w:pPr>
              <w:spacing w:before="121"/>
              <w:ind w:right="102"/>
              <w:jc w:val="right"/>
              <w:rPr>
                <w:rFonts w:ascii="Calibri" w:hAnsi="Calibri"/>
                <w:sz w:val="20"/>
              </w:rPr>
            </w:pPr>
            <w:r>
              <w:rPr>
                <w:rFonts w:ascii="Calibri" w:hAnsi="Calibri"/>
                <w:w w:val="95"/>
                <w:sz w:val="20"/>
              </w:rPr>
              <w:t>£14,875</w:t>
            </w:r>
          </w:p>
        </w:tc>
      </w:tr>
    </w:tbl>
    <w:p w:rsidR="006A18FD" w:rsidRDefault="006A18FD">
      <w:pPr>
        <w:jc w:val="right"/>
        <w:rPr>
          <w:rFonts w:ascii="Calibri" w:hAnsi="Calibri"/>
          <w:sz w:val="20"/>
        </w:rPr>
        <w:sectPr w:rsidR="006A18FD">
          <w:pgSz w:w="11910" w:h="16840"/>
          <w:pgMar w:top="960" w:right="980" w:bottom="280" w:left="580" w:header="751" w:footer="0" w:gutter="0"/>
          <w:cols w:space="720"/>
        </w:sectPr>
      </w:pPr>
    </w:p>
    <w:p w:rsidR="006A18FD" w:rsidRDefault="006A18FD">
      <w:pPr>
        <w:spacing w:before="2"/>
        <w:rPr>
          <w:rFonts w:ascii="Cambria"/>
          <w:b/>
          <w:sz w:val="2"/>
        </w:rPr>
      </w:pPr>
    </w:p>
    <w:p w:rsidR="006A18FD" w:rsidRDefault="00E60AD2">
      <w:pPr>
        <w:spacing w:line="20" w:lineRule="exact"/>
        <w:ind w:left="119"/>
        <w:rPr>
          <w:rFonts w:ascii="Cambria"/>
          <w:sz w:val="2"/>
        </w:rPr>
      </w:pPr>
      <w:r>
        <w:rPr>
          <w:rFonts w:ascii="Cambria"/>
          <w:noProof/>
          <w:sz w:val="2"/>
          <w:lang w:val="en-GB" w:eastAsia="en-GB"/>
        </w:rPr>
        <mc:AlternateContent>
          <mc:Choice Requires="wpg">
            <w:drawing>
              <wp:inline distT="0" distB="0" distL="0" distR="0">
                <wp:extent cx="6426835" cy="6350"/>
                <wp:effectExtent l="9525" t="9525" r="2540" b="3175"/>
                <wp:docPr id="24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42" name="Line 9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3426ED" id="Group 9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LPZzqX4CAAB/BQAA&#10;DgAAAAAAAAAAAAAAAAAuAgAAZHJzL2Uyb0RvYy54bWxQSwECLQAUAAYACAAAACEALXfkXNoAAAAE&#10;AQAADwAAAAAAAAAAAAAAAADYBAAAZHJzL2Rvd25yZXYueG1sUEsFBgAAAAAEAAQA8wAAAN8FAAAA&#10;AA==&#10;">
                <v:line id="Line 9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w10:anchorlock/>
              </v:group>
            </w:pict>
          </mc:Fallback>
        </mc:AlternateContent>
      </w:r>
    </w:p>
    <w:p w:rsidR="006A18FD" w:rsidRDefault="002E1E01" w:rsidP="002E1E01">
      <w:pPr>
        <w:pStyle w:val="Heading2"/>
      </w:pPr>
      <w:r>
        <w:t xml:space="preserve">8.4 </w:t>
      </w:r>
      <w:r w:rsidR="002D29FC">
        <w:t>Smoking cessation</w:t>
      </w:r>
      <w:r w:rsidR="002D29FC">
        <w:rPr>
          <w:spacing w:val="-9"/>
        </w:rPr>
        <w:t xml:space="preserve"> </w:t>
      </w:r>
      <w:r w:rsidR="002D29FC">
        <w:t>services</w:t>
      </w:r>
    </w:p>
    <w:p w:rsidR="006A18FD" w:rsidRDefault="002D29FC">
      <w:pPr>
        <w:spacing w:before="172" w:line="276" w:lineRule="auto"/>
        <w:ind w:left="152" w:right="137"/>
        <w:rPr>
          <w:rFonts w:ascii="Calibri"/>
          <w:sz w:val="20"/>
        </w:rPr>
      </w:pPr>
      <w:r>
        <w:rPr>
          <w:rFonts w:ascii="Calibri"/>
          <w:sz w:val="20"/>
        </w:rPr>
        <w:t>Quit 51 offer a smoking cessation service in accordance with National Institute for Health and Care Excellence (NICE) guidelines (</w:t>
      </w:r>
      <w:hyperlink r:id="rId294">
        <w:r>
          <w:rPr>
            <w:rFonts w:ascii="Calibri"/>
            <w:sz w:val="20"/>
            <w:u w:val="single"/>
          </w:rPr>
          <w:t>https://www.nice.org.uk/guidance/ng92</w:t>
        </w:r>
      </w:hyperlink>
      <w:r>
        <w:rPr>
          <w:rFonts w:ascii="Calibri"/>
          <w:sz w:val="20"/>
        </w:rPr>
        <w:t>). The remit of the service is to provide a maximum of 12 sessions of support with an accredited adviser and provision of tailored pharmacotherapy to smokers attempting to quit. A session is typically 15 minutes duration although the introduction to a session will generally take longer in order to cover triaging and discussions around individual background and requirements. Assuming a patient continues with the service for the full duration, they should receive a minimum of 90 minutes contact time with an adviser covering a period up to 12 weeks after quitting.</w:t>
      </w:r>
    </w:p>
    <w:p w:rsidR="006A18FD" w:rsidRDefault="002D29FC">
      <w:pPr>
        <w:spacing w:before="116" w:line="276" w:lineRule="auto"/>
        <w:ind w:left="152" w:right="195"/>
        <w:rPr>
          <w:rFonts w:ascii="Calibri" w:hAnsi="Calibri"/>
          <w:sz w:val="20"/>
        </w:rPr>
      </w:pPr>
      <w:r>
        <w:rPr>
          <w:rFonts w:ascii="Calibri" w:hAnsi="Calibri"/>
          <w:sz w:val="20"/>
        </w:rPr>
        <w:t>Information for this schema has been drawn from Walker et al. (2018)</w:t>
      </w:r>
      <w:r>
        <w:rPr>
          <w:rFonts w:ascii="Calibri" w:hAnsi="Calibri"/>
          <w:position w:val="7"/>
          <w:sz w:val="13"/>
        </w:rPr>
        <w:t xml:space="preserve">1 </w:t>
      </w:r>
      <w:r>
        <w:rPr>
          <w:rFonts w:ascii="Calibri" w:hAnsi="Calibri"/>
          <w:sz w:val="20"/>
        </w:rPr>
        <w:t>who analysed data from Quit-51 smoking cessation service across five English regions between March 2013 and March 2016 (n=9116). A cost for each individual using the service was estimated based on the pharmacotherapy prescribed and time spent with an adviser. With respect to pharmacotherapy, the costs, including prescription and value added tax (VAT) for each treatment were as follows : NRT (combination) - £21.10 per week; Varenicline - £81.10 per month and Bupropion £73.30 per month. Service use data was multiplied by an hourly charge of £27.80 that included the cost of the adviser, room, equipment, travel and advertising.</w:t>
      </w:r>
    </w:p>
    <w:p w:rsidR="006A18FD" w:rsidRDefault="002D29FC">
      <w:pPr>
        <w:ind w:left="152"/>
        <w:rPr>
          <w:rFonts w:ascii="Calibri"/>
          <w:sz w:val="20"/>
        </w:rPr>
      </w:pPr>
      <w:r>
        <w:rPr>
          <w:rFonts w:ascii="Calibri"/>
          <w:sz w:val="20"/>
        </w:rPr>
        <w:t>Central overhead costs for the service were not included and neither were costs to the individual for travel and parking.</w:t>
      </w:r>
    </w:p>
    <w:p w:rsidR="006A18FD" w:rsidRDefault="002D29FC">
      <w:pPr>
        <w:spacing w:before="156" w:line="276" w:lineRule="auto"/>
        <w:ind w:left="152" w:right="136"/>
        <w:rPr>
          <w:rFonts w:ascii="Calibri" w:hAnsi="Calibri"/>
          <w:sz w:val="20"/>
        </w:rPr>
      </w:pPr>
      <w:r>
        <w:rPr>
          <w:rFonts w:ascii="Calibri" w:hAnsi="Calibri"/>
          <w:sz w:val="20"/>
        </w:rPr>
        <w:t xml:space="preserve">The following table provides the average cost per person quitting (with approximate 95% CI) calculated at the 12 week time point, with supporting information. The average cost per quitter was £426 with a significant degree of variation seen across certain subgroups of the client population. Costs have been uprated from 2015/2016 to current values using the NHS cost inflation index. See </w:t>
      </w:r>
      <w:hyperlink r:id="rId295">
        <w:r>
          <w:rPr>
            <w:rFonts w:ascii="Calibri" w:hAnsi="Calibri"/>
            <w:sz w:val="20"/>
            <w:u w:val="single"/>
          </w:rPr>
          <w:t>https://www.herc.ox.ac.uk/publications/830311</w:t>
        </w:r>
        <w:r>
          <w:rPr>
            <w:rFonts w:ascii="Calibri" w:hAnsi="Calibri"/>
            <w:sz w:val="20"/>
          </w:rPr>
          <w:t xml:space="preserve"> </w:t>
        </w:r>
      </w:hyperlink>
      <w:r>
        <w:rPr>
          <w:rFonts w:ascii="Calibri" w:hAnsi="Calibri"/>
          <w:sz w:val="20"/>
        </w:rPr>
        <w:t>for a summary of the background and method used to derive the costs reported here.</w:t>
      </w:r>
    </w:p>
    <w:p w:rsidR="006A18FD" w:rsidRDefault="002D29FC">
      <w:pPr>
        <w:spacing w:before="119" w:line="276" w:lineRule="auto"/>
        <w:ind w:left="152" w:right="1009"/>
        <w:rPr>
          <w:rFonts w:ascii="Calibri"/>
          <w:b/>
          <w:sz w:val="20"/>
        </w:rPr>
      </w:pPr>
      <w:r>
        <w:rPr>
          <w:rFonts w:ascii="Calibri"/>
          <w:b/>
          <w:sz w:val="20"/>
        </w:rPr>
        <w:t>Table 1 Average cost per quit (with approximate 95% CI) calculated at the 12 week time point, with supporting information.</w:t>
      </w:r>
    </w:p>
    <w:p w:rsidR="006A18FD" w:rsidRDefault="006A18FD">
      <w:pPr>
        <w:spacing w:before="8"/>
        <w:rPr>
          <w:rFonts w:ascii="Calibri"/>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952"/>
        <w:gridCol w:w="1056"/>
        <w:gridCol w:w="1152"/>
        <w:gridCol w:w="965"/>
        <w:gridCol w:w="968"/>
        <w:gridCol w:w="960"/>
        <w:gridCol w:w="989"/>
      </w:tblGrid>
      <w:tr w:rsidR="006A18FD" w:rsidTr="00E2663F">
        <w:trPr>
          <w:trHeight w:val="720"/>
          <w:tblHeader/>
        </w:trPr>
        <w:tc>
          <w:tcPr>
            <w:tcW w:w="1808" w:type="dxa"/>
          </w:tcPr>
          <w:p w:rsidR="006A18FD" w:rsidRDefault="002D29FC">
            <w:pPr>
              <w:spacing w:before="1"/>
              <w:ind w:left="105"/>
              <w:rPr>
                <w:rFonts w:ascii="Calibri"/>
                <w:sz w:val="20"/>
              </w:rPr>
            </w:pPr>
            <w:r>
              <w:rPr>
                <w:rFonts w:ascii="Calibri"/>
                <w:sz w:val="20"/>
              </w:rPr>
              <w:t>Variable</w:t>
            </w:r>
          </w:p>
        </w:tc>
        <w:tc>
          <w:tcPr>
            <w:tcW w:w="1952" w:type="dxa"/>
          </w:tcPr>
          <w:p w:rsidR="006A18FD" w:rsidRDefault="002D29FC">
            <w:pPr>
              <w:spacing w:before="1"/>
              <w:ind w:left="105"/>
              <w:rPr>
                <w:rFonts w:ascii="Calibri"/>
                <w:sz w:val="20"/>
              </w:rPr>
            </w:pPr>
            <w:r>
              <w:rPr>
                <w:rFonts w:ascii="Calibri"/>
                <w:sz w:val="20"/>
              </w:rPr>
              <w:t>Levels</w:t>
            </w:r>
          </w:p>
        </w:tc>
        <w:tc>
          <w:tcPr>
            <w:tcW w:w="1056" w:type="dxa"/>
          </w:tcPr>
          <w:p w:rsidR="006A18FD" w:rsidRDefault="002D29FC">
            <w:pPr>
              <w:spacing w:before="1"/>
              <w:ind w:left="105"/>
              <w:rPr>
                <w:rFonts w:ascii="Calibri"/>
                <w:sz w:val="20"/>
              </w:rPr>
            </w:pPr>
            <w:r>
              <w:rPr>
                <w:rFonts w:ascii="Calibri"/>
                <w:sz w:val="20"/>
              </w:rPr>
              <w:t>12 weeks</w:t>
            </w:r>
          </w:p>
        </w:tc>
        <w:tc>
          <w:tcPr>
            <w:tcW w:w="1152" w:type="dxa"/>
          </w:tcPr>
          <w:p w:rsidR="006A18FD" w:rsidRDefault="002D29FC">
            <w:pPr>
              <w:spacing w:before="1"/>
              <w:ind w:left="105"/>
              <w:rPr>
                <w:rFonts w:ascii="Calibri"/>
                <w:sz w:val="20"/>
              </w:rPr>
            </w:pPr>
            <w:r>
              <w:rPr>
                <w:rFonts w:ascii="Calibri"/>
                <w:sz w:val="20"/>
              </w:rPr>
              <w:t>Total cost</w:t>
            </w:r>
          </w:p>
        </w:tc>
        <w:tc>
          <w:tcPr>
            <w:tcW w:w="965" w:type="dxa"/>
          </w:tcPr>
          <w:p w:rsidR="006A18FD" w:rsidRDefault="002D29FC">
            <w:pPr>
              <w:spacing w:before="1"/>
              <w:ind w:left="103"/>
              <w:rPr>
                <w:rFonts w:ascii="Calibri"/>
                <w:sz w:val="20"/>
              </w:rPr>
            </w:pPr>
            <w:r>
              <w:rPr>
                <w:rFonts w:ascii="Calibri"/>
                <w:sz w:val="20"/>
              </w:rPr>
              <w:t>Cost per head</w:t>
            </w:r>
          </w:p>
        </w:tc>
        <w:tc>
          <w:tcPr>
            <w:tcW w:w="968" w:type="dxa"/>
          </w:tcPr>
          <w:p w:rsidR="006A18FD" w:rsidRDefault="002D29FC">
            <w:pPr>
              <w:spacing w:before="1"/>
              <w:ind w:left="102"/>
              <w:rPr>
                <w:rFonts w:ascii="Calibri"/>
                <w:sz w:val="20"/>
              </w:rPr>
            </w:pPr>
            <w:r>
              <w:rPr>
                <w:rFonts w:ascii="Calibri"/>
                <w:w w:val="95"/>
                <w:sz w:val="20"/>
              </w:rPr>
              <w:t xml:space="preserve">Number </w:t>
            </w:r>
            <w:r>
              <w:rPr>
                <w:rFonts w:ascii="Calibri"/>
                <w:sz w:val="20"/>
              </w:rPr>
              <w:t>quitting</w:t>
            </w:r>
          </w:p>
        </w:tc>
        <w:tc>
          <w:tcPr>
            <w:tcW w:w="960" w:type="dxa"/>
          </w:tcPr>
          <w:p w:rsidR="006A18FD" w:rsidRDefault="002D29FC">
            <w:pPr>
              <w:spacing w:before="1"/>
              <w:ind w:left="102" w:right="98"/>
              <w:rPr>
                <w:rFonts w:ascii="Calibri"/>
                <w:sz w:val="20"/>
              </w:rPr>
            </w:pPr>
            <w:r>
              <w:rPr>
                <w:rFonts w:ascii="Calibri"/>
                <w:sz w:val="20"/>
              </w:rPr>
              <w:t>Quit rate (%)</w:t>
            </w:r>
          </w:p>
        </w:tc>
        <w:tc>
          <w:tcPr>
            <w:tcW w:w="989" w:type="dxa"/>
          </w:tcPr>
          <w:p w:rsidR="006A18FD" w:rsidRDefault="002D29FC">
            <w:pPr>
              <w:spacing w:before="1"/>
              <w:ind w:left="105" w:right="199"/>
              <w:rPr>
                <w:rFonts w:ascii="Calibri"/>
                <w:sz w:val="20"/>
              </w:rPr>
            </w:pPr>
            <w:r>
              <w:rPr>
                <w:rFonts w:ascii="Calibri"/>
                <w:sz w:val="20"/>
              </w:rPr>
              <w:t>Mean cost per</w:t>
            </w:r>
          </w:p>
          <w:p w:rsidR="006A18FD" w:rsidRDefault="002D29FC">
            <w:pPr>
              <w:spacing w:line="223" w:lineRule="exact"/>
              <w:ind w:left="105"/>
              <w:rPr>
                <w:rFonts w:ascii="Calibri" w:hAnsi="Calibri"/>
                <w:sz w:val="20"/>
              </w:rPr>
            </w:pPr>
            <w:r>
              <w:rPr>
                <w:rFonts w:ascii="Calibri" w:hAnsi="Calibri"/>
                <w:sz w:val="20"/>
              </w:rPr>
              <w:t>quit (£)</w:t>
            </w:r>
          </w:p>
        </w:tc>
      </w:tr>
      <w:tr w:rsidR="006A18FD">
        <w:trPr>
          <w:trHeight w:val="240"/>
        </w:trPr>
        <w:tc>
          <w:tcPr>
            <w:tcW w:w="1808" w:type="dxa"/>
          </w:tcPr>
          <w:p w:rsidR="006A18FD" w:rsidRDefault="002D29FC">
            <w:pPr>
              <w:spacing w:before="1" w:line="223" w:lineRule="exact"/>
              <w:ind w:left="105"/>
              <w:rPr>
                <w:rFonts w:ascii="Calibri"/>
                <w:sz w:val="20"/>
              </w:rPr>
            </w:pPr>
            <w:r>
              <w:rPr>
                <w:rFonts w:ascii="Calibri"/>
                <w:sz w:val="20"/>
              </w:rPr>
              <w:t>Age</w:t>
            </w:r>
          </w:p>
        </w:tc>
        <w:tc>
          <w:tcPr>
            <w:tcW w:w="1952" w:type="dxa"/>
          </w:tcPr>
          <w:p w:rsidR="006A18FD" w:rsidRDefault="002D29FC">
            <w:pPr>
              <w:spacing w:before="1" w:line="223" w:lineRule="exact"/>
              <w:ind w:right="102"/>
              <w:jc w:val="right"/>
              <w:rPr>
                <w:rFonts w:ascii="Calibri"/>
                <w:sz w:val="20"/>
              </w:rPr>
            </w:pPr>
            <w:r>
              <w:rPr>
                <w:rFonts w:ascii="Calibri"/>
                <w:sz w:val="20"/>
              </w:rPr>
              <w:t>12-19</w:t>
            </w:r>
          </w:p>
        </w:tc>
        <w:tc>
          <w:tcPr>
            <w:tcW w:w="1056" w:type="dxa"/>
          </w:tcPr>
          <w:p w:rsidR="006A18FD" w:rsidRDefault="002D29FC">
            <w:pPr>
              <w:spacing w:before="1" w:line="223" w:lineRule="exact"/>
              <w:ind w:right="101"/>
              <w:jc w:val="right"/>
              <w:rPr>
                <w:rFonts w:ascii="Calibri"/>
                <w:sz w:val="20"/>
              </w:rPr>
            </w:pPr>
            <w:r>
              <w:rPr>
                <w:rFonts w:ascii="Calibri"/>
                <w:sz w:val="20"/>
              </w:rPr>
              <w:t>509</w:t>
            </w:r>
          </w:p>
        </w:tc>
        <w:tc>
          <w:tcPr>
            <w:tcW w:w="1152" w:type="dxa"/>
          </w:tcPr>
          <w:p w:rsidR="006A18FD" w:rsidRDefault="002D29FC">
            <w:pPr>
              <w:spacing w:before="1" w:line="223" w:lineRule="exact"/>
              <w:ind w:right="102"/>
              <w:jc w:val="right"/>
              <w:rPr>
                <w:rFonts w:ascii="Calibri" w:hAnsi="Calibri"/>
                <w:sz w:val="20"/>
              </w:rPr>
            </w:pPr>
            <w:r>
              <w:rPr>
                <w:rFonts w:ascii="Calibri" w:hAnsi="Calibri"/>
                <w:w w:val="95"/>
                <w:sz w:val="20"/>
              </w:rPr>
              <w:t>£51,929</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£102</w:t>
            </w:r>
          </w:p>
        </w:tc>
        <w:tc>
          <w:tcPr>
            <w:tcW w:w="968" w:type="dxa"/>
          </w:tcPr>
          <w:p w:rsidR="006A18FD" w:rsidRDefault="002D29FC">
            <w:pPr>
              <w:spacing w:before="1" w:line="223" w:lineRule="exact"/>
              <w:ind w:right="104"/>
              <w:jc w:val="right"/>
              <w:rPr>
                <w:rFonts w:ascii="Calibri"/>
                <w:sz w:val="20"/>
              </w:rPr>
            </w:pPr>
            <w:r>
              <w:rPr>
                <w:rFonts w:ascii="Calibri"/>
                <w:sz w:val="20"/>
              </w:rPr>
              <w:t>116</w:t>
            </w:r>
          </w:p>
        </w:tc>
        <w:tc>
          <w:tcPr>
            <w:tcW w:w="960" w:type="dxa"/>
          </w:tcPr>
          <w:p w:rsidR="006A18FD" w:rsidRDefault="002D29FC">
            <w:pPr>
              <w:spacing w:before="1" w:line="223" w:lineRule="exact"/>
              <w:ind w:right="98"/>
              <w:jc w:val="right"/>
              <w:rPr>
                <w:rFonts w:ascii="Calibri"/>
                <w:sz w:val="20"/>
              </w:rPr>
            </w:pPr>
            <w:r>
              <w:rPr>
                <w:rFonts w:ascii="Calibri"/>
                <w:sz w:val="20"/>
              </w:rPr>
              <w:t>23</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£448</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2"/>
              <w:jc w:val="right"/>
              <w:rPr>
                <w:rFonts w:ascii="Calibri"/>
                <w:sz w:val="20"/>
              </w:rPr>
            </w:pPr>
            <w:r>
              <w:rPr>
                <w:rFonts w:ascii="Calibri"/>
                <w:sz w:val="20"/>
              </w:rPr>
              <w:t>20-29</w:t>
            </w:r>
          </w:p>
        </w:tc>
        <w:tc>
          <w:tcPr>
            <w:tcW w:w="1056" w:type="dxa"/>
          </w:tcPr>
          <w:p w:rsidR="006A18FD" w:rsidRDefault="002D29FC">
            <w:pPr>
              <w:spacing w:before="1" w:line="223" w:lineRule="exact"/>
              <w:ind w:right="101"/>
              <w:jc w:val="right"/>
              <w:rPr>
                <w:rFonts w:ascii="Calibri"/>
                <w:sz w:val="20"/>
              </w:rPr>
            </w:pPr>
            <w:r>
              <w:rPr>
                <w:rFonts w:ascii="Calibri"/>
                <w:sz w:val="20"/>
              </w:rPr>
              <w:t>1189</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£134,760</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£113</w:t>
            </w:r>
          </w:p>
        </w:tc>
        <w:tc>
          <w:tcPr>
            <w:tcW w:w="968" w:type="dxa"/>
          </w:tcPr>
          <w:p w:rsidR="006A18FD" w:rsidRDefault="002D29FC">
            <w:pPr>
              <w:spacing w:before="1" w:line="223" w:lineRule="exact"/>
              <w:ind w:right="104"/>
              <w:jc w:val="right"/>
              <w:rPr>
                <w:rFonts w:ascii="Calibri"/>
                <w:sz w:val="20"/>
              </w:rPr>
            </w:pPr>
            <w:r>
              <w:rPr>
                <w:rFonts w:ascii="Calibri"/>
                <w:sz w:val="20"/>
              </w:rPr>
              <w:t>296</w:t>
            </w:r>
          </w:p>
        </w:tc>
        <w:tc>
          <w:tcPr>
            <w:tcW w:w="960" w:type="dxa"/>
          </w:tcPr>
          <w:p w:rsidR="006A18FD" w:rsidRDefault="002D29FC">
            <w:pPr>
              <w:spacing w:before="1" w:line="223" w:lineRule="exact"/>
              <w:ind w:right="98"/>
              <w:jc w:val="right"/>
              <w:rPr>
                <w:rFonts w:ascii="Calibri"/>
                <w:sz w:val="20"/>
              </w:rPr>
            </w:pPr>
            <w:r>
              <w:rPr>
                <w:rFonts w:ascii="Calibri"/>
                <w:sz w:val="20"/>
              </w:rPr>
              <w:t>25</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£455</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2"/>
              <w:jc w:val="right"/>
              <w:rPr>
                <w:rFonts w:ascii="Calibri"/>
                <w:sz w:val="20"/>
              </w:rPr>
            </w:pPr>
            <w:r>
              <w:rPr>
                <w:rFonts w:ascii="Calibri"/>
                <w:sz w:val="20"/>
              </w:rPr>
              <w:t>30-49</w:t>
            </w:r>
          </w:p>
        </w:tc>
        <w:tc>
          <w:tcPr>
            <w:tcW w:w="1056" w:type="dxa"/>
          </w:tcPr>
          <w:p w:rsidR="006A18FD" w:rsidRDefault="002D29FC">
            <w:pPr>
              <w:spacing w:before="1" w:line="223" w:lineRule="exact"/>
              <w:ind w:right="101"/>
              <w:jc w:val="right"/>
              <w:rPr>
                <w:rFonts w:ascii="Calibri"/>
                <w:sz w:val="20"/>
              </w:rPr>
            </w:pPr>
            <w:r>
              <w:rPr>
                <w:rFonts w:ascii="Calibri"/>
                <w:sz w:val="20"/>
              </w:rPr>
              <w:t>3911</w:t>
            </w:r>
          </w:p>
        </w:tc>
        <w:tc>
          <w:tcPr>
            <w:tcW w:w="1152" w:type="dxa"/>
          </w:tcPr>
          <w:p w:rsidR="006A18FD" w:rsidRDefault="002D29FC">
            <w:pPr>
              <w:spacing w:before="1" w:line="223" w:lineRule="exact"/>
              <w:ind w:right="102"/>
              <w:jc w:val="right"/>
              <w:rPr>
                <w:rFonts w:ascii="Calibri" w:hAnsi="Calibri"/>
                <w:sz w:val="20"/>
              </w:rPr>
            </w:pPr>
            <w:r>
              <w:rPr>
                <w:rFonts w:ascii="Calibri" w:hAnsi="Calibri"/>
                <w:w w:val="95"/>
                <w:sz w:val="20"/>
              </w:rPr>
              <w:t>£541,438</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£138</w:t>
            </w:r>
          </w:p>
        </w:tc>
        <w:tc>
          <w:tcPr>
            <w:tcW w:w="968" w:type="dxa"/>
          </w:tcPr>
          <w:p w:rsidR="006A18FD" w:rsidRDefault="002D29FC">
            <w:pPr>
              <w:spacing w:before="1" w:line="223" w:lineRule="exact"/>
              <w:ind w:right="104"/>
              <w:jc w:val="right"/>
              <w:rPr>
                <w:rFonts w:ascii="Calibri"/>
                <w:sz w:val="20"/>
              </w:rPr>
            </w:pPr>
            <w:r>
              <w:rPr>
                <w:rFonts w:ascii="Calibri"/>
                <w:sz w:val="20"/>
              </w:rPr>
              <w:t>1262</w:t>
            </w:r>
          </w:p>
        </w:tc>
        <w:tc>
          <w:tcPr>
            <w:tcW w:w="960" w:type="dxa"/>
          </w:tcPr>
          <w:p w:rsidR="006A18FD" w:rsidRDefault="002D29FC">
            <w:pPr>
              <w:spacing w:before="1" w:line="223" w:lineRule="exact"/>
              <w:ind w:right="98"/>
              <w:jc w:val="right"/>
              <w:rPr>
                <w:rFonts w:ascii="Calibri"/>
                <w:sz w:val="20"/>
              </w:rPr>
            </w:pPr>
            <w:r>
              <w:rPr>
                <w:rFonts w:ascii="Calibri"/>
                <w:sz w:val="20"/>
              </w:rPr>
              <w:t>32</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£429</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2"/>
              <w:jc w:val="right"/>
              <w:rPr>
                <w:rFonts w:ascii="Calibri"/>
                <w:sz w:val="20"/>
              </w:rPr>
            </w:pPr>
            <w:r>
              <w:rPr>
                <w:rFonts w:ascii="Calibri"/>
                <w:sz w:val="20"/>
              </w:rPr>
              <w:t>50-69</w:t>
            </w:r>
          </w:p>
        </w:tc>
        <w:tc>
          <w:tcPr>
            <w:tcW w:w="1056" w:type="dxa"/>
          </w:tcPr>
          <w:p w:rsidR="006A18FD" w:rsidRDefault="002D29FC">
            <w:pPr>
              <w:spacing w:before="1" w:line="223" w:lineRule="exact"/>
              <w:ind w:right="101"/>
              <w:jc w:val="right"/>
              <w:rPr>
                <w:rFonts w:ascii="Calibri"/>
                <w:sz w:val="20"/>
              </w:rPr>
            </w:pPr>
            <w:r>
              <w:rPr>
                <w:rFonts w:ascii="Calibri"/>
                <w:sz w:val="20"/>
              </w:rPr>
              <w:t>2955</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£443,863</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£150</w:t>
            </w:r>
          </w:p>
        </w:tc>
        <w:tc>
          <w:tcPr>
            <w:tcW w:w="968" w:type="dxa"/>
          </w:tcPr>
          <w:p w:rsidR="006A18FD" w:rsidRDefault="002D29FC">
            <w:pPr>
              <w:spacing w:before="1" w:line="223" w:lineRule="exact"/>
              <w:ind w:right="104"/>
              <w:jc w:val="right"/>
              <w:rPr>
                <w:rFonts w:ascii="Calibri"/>
                <w:sz w:val="20"/>
              </w:rPr>
            </w:pPr>
            <w:r>
              <w:rPr>
                <w:rFonts w:ascii="Calibri"/>
                <w:sz w:val="20"/>
              </w:rPr>
              <w:t>1068</w:t>
            </w:r>
          </w:p>
        </w:tc>
        <w:tc>
          <w:tcPr>
            <w:tcW w:w="960" w:type="dxa"/>
          </w:tcPr>
          <w:p w:rsidR="006A18FD" w:rsidRDefault="002D29FC">
            <w:pPr>
              <w:spacing w:before="1" w:line="223" w:lineRule="exact"/>
              <w:ind w:right="98"/>
              <w:jc w:val="right"/>
              <w:rPr>
                <w:rFonts w:ascii="Calibri"/>
                <w:sz w:val="20"/>
              </w:rPr>
            </w:pPr>
            <w:r>
              <w:rPr>
                <w:rFonts w:ascii="Calibri"/>
                <w:sz w:val="20"/>
              </w:rPr>
              <w:t>36</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£416</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0"/>
              <w:jc w:val="right"/>
              <w:rPr>
                <w:rFonts w:ascii="Calibri"/>
                <w:sz w:val="20"/>
              </w:rPr>
            </w:pPr>
            <w:r>
              <w:rPr>
                <w:rFonts w:ascii="Calibri"/>
                <w:sz w:val="20"/>
              </w:rPr>
              <w:t>70+</w:t>
            </w:r>
          </w:p>
        </w:tc>
        <w:tc>
          <w:tcPr>
            <w:tcW w:w="1056" w:type="dxa"/>
          </w:tcPr>
          <w:p w:rsidR="006A18FD" w:rsidRDefault="002D29FC">
            <w:pPr>
              <w:spacing w:before="1" w:line="223" w:lineRule="exact"/>
              <w:ind w:right="101"/>
              <w:jc w:val="right"/>
              <w:rPr>
                <w:rFonts w:ascii="Calibri"/>
                <w:sz w:val="20"/>
              </w:rPr>
            </w:pPr>
            <w:r>
              <w:rPr>
                <w:rFonts w:ascii="Calibri"/>
                <w:sz w:val="20"/>
              </w:rPr>
              <w:t>538</w:t>
            </w:r>
          </w:p>
        </w:tc>
        <w:tc>
          <w:tcPr>
            <w:tcW w:w="1152" w:type="dxa"/>
          </w:tcPr>
          <w:p w:rsidR="006A18FD" w:rsidRDefault="002D29FC">
            <w:pPr>
              <w:spacing w:before="1" w:line="223" w:lineRule="exact"/>
              <w:ind w:right="102"/>
              <w:jc w:val="right"/>
              <w:rPr>
                <w:rFonts w:ascii="Calibri" w:hAnsi="Calibri"/>
                <w:sz w:val="20"/>
              </w:rPr>
            </w:pPr>
            <w:r>
              <w:rPr>
                <w:rFonts w:ascii="Calibri" w:hAnsi="Calibri"/>
                <w:w w:val="95"/>
                <w:sz w:val="20"/>
              </w:rPr>
              <w:t>£79,321</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£147</w:t>
            </w:r>
          </w:p>
        </w:tc>
        <w:tc>
          <w:tcPr>
            <w:tcW w:w="968" w:type="dxa"/>
          </w:tcPr>
          <w:p w:rsidR="006A18FD" w:rsidRDefault="002D29FC">
            <w:pPr>
              <w:spacing w:before="1" w:line="223" w:lineRule="exact"/>
              <w:ind w:right="104"/>
              <w:jc w:val="right"/>
              <w:rPr>
                <w:rFonts w:ascii="Calibri"/>
                <w:sz w:val="20"/>
              </w:rPr>
            </w:pPr>
            <w:r>
              <w:rPr>
                <w:rFonts w:ascii="Calibri"/>
                <w:sz w:val="20"/>
              </w:rPr>
              <w:t>192</w:t>
            </w:r>
          </w:p>
        </w:tc>
        <w:tc>
          <w:tcPr>
            <w:tcW w:w="960" w:type="dxa"/>
          </w:tcPr>
          <w:p w:rsidR="006A18FD" w:rsidRDefault="002D29FC">
            <w:pPr>
              <w:spacing w:before="1" w:line="223" w:lineRule="exact"/>
              <w:ind w:right="98"/>
              <w:jc w:val="right"/>
              <w:rPr>
                <w:rFonts w:ascii="Calibri"/>
                <w:sz w:val="20"/>
              </w:rPr>
            </w:pPr>
            <w:r>
              <w:rPr>
                <w:rFonts w:ascii="Calibri"/>
                <w:sz w:val="20"/>
              </w:rPr>
              <w:t>36</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£413</w:t>
            </w:r>
          </w:p>
        </w:tc>
      </w:tr>
      <w:tr w:rsidR="006A18FD">
        <w:trPr>
          <w:trHeight w:val="240"/>
        </w:trPr>
        <w:tc>
          <w:tcPr>
            <w:tcW w:w="1808" w:type="dxa"/>
          </w:tcPr>
          <w:p w:rsidR="006A18FD" w:rsidRDefault="002D29FC">
            <w:pPr>
              <w:spacing w:line="222" w:lineRule="exact"/>
              <w:ind w:left="105"/>
              <w:rPr>
                <w:rFonts w:ascii="Calibri"/>
                <w:sz w:val="20"/>
              </w:rPr>
            </w:pPr>
            <w:r>
              <w:rPr>
                <w:rFonts w:ascii="Calibri"/>
                <w:sz w:val="20"/>
              </w:rPr>
              <w:t>Gender</w:t>
            </w:r>
          </w:p>
        </w:tc>
        <w:tc>
          <w:tcPr>
            <w:tcW w:w="1952" w:type="dxa"/>
          </w:tcPr>
          <w:p w:rsidR="006A18FD" w:rsidRDefault="002D29FC">
            <w:pPr>
              <w:spacing w:line="222" w:lineRule="exact"/>
              <w:ind w:right="100"/>
              <w:jc w:val="right"/>
              <w:rPr>
                <w:rFonts w:ascii="Calibri"/>
                <w:sz w:val="20"/>
              </w:rPr>
            </w:pPr>
            <w:r>
              <w:rPr>
                <w:rFonts w:ascii="Calibri"/>
                <w:w w:val="95"/>
                <w:sz w:val="20"/>
              </w:rPr>
              <w:t>Male</w:t>
            </w:r>
          </w:p>
        </w:tc>
        <w:tc>
          <w:tcPr>
            <w:tcW w:w="1056" w:type="dxa"/>
          </w:tcPr>
          <w:p w:rsidR="006A18FD" w:rsidRDefault="002D29FC">
            <w:pPr>
              <w:spacing w:line="222" w:lineRule="exact"/>
              <w:ind w:right="101"/>
              <w:jc w:val="right"/>
              <w:rPr>
                <w:rFonts w:ascii="Calibri"/>
                <w:sz w:val="20"/>
              </w:rPr>
            </w:pPr>
            <w:r>
              <w:rPr>
                <w:rFonts w:ascii="Calibri"/>
                <w:sz w:val="20"/>
              </w:rPr>
              <w:t>4249</w:t>
            </w:r>
          </w:p>
        </w:tc>
        <w:tc>
          <w:tcPr>
            <w:tcW w:w="1152" w:type="dxa"/>
          </w:tcPr>
          <w:p w:rsidR="006A18FD" w:rsidRDefault="002D29FC">
            <w:pPr>
              <w:spacing w:line="222" w:lineRule="exact"/>
              <w:ind w:right="103"/>
              <w:jc w:val="right"/>
              <w:rPr>
                <w:rFonts w:ascii="Calibri" w:hAnsi="Calibri"/>
                <w:sz w:val="20"/>
              </w:rPr>
            </w:pPr>
            <w:r>
              <w:rPr>
                <w:rFonts w:ascii="Calibri" w:hAnsi="Calibri"/>
                <w:sz w:val="20"/>
              </w:rPr>
              <w:t>£593,353</w:t>
            </w:r>
          </w:p>
        </w:tc>
        <w:tc>
          <w:tcPr>
            <w:tcW w:w="965" w:type="dxa"/>
          </w:tcPr>
          <w:p w:rsidR="006A18FD" w:rsidRDefault="002D29FC">
            <w:pPr>
              <w:spacing w:line="222" w:lineRule="exact"/>
              <w:ind w:right="101"/>
              <w:jc w:val="right"/>
              <w:rPr>
                <w:rFonts w:ascii="Calibri" w:hAnsi="Calibri"/>
                <w:sz w:val="20"/>
              </w:rPr>
            </w:pPr>
            <w:r>
              <w:rPr>
                <w:rFonts w:ascii="Calibri" w:hAnsi="Calibri"/>
                <w:sz w:val="20"/>
              </w:rPr>
              <w:t>£140</w:t>
            </w:r>
          </w:p>
        </w:tc>
        <w:tc>
          <w:tcPr>
            <w:tcW w:w="968" w:type="dxa"/>
          </w:tcPr>
          <w:p w:rsidR="006A18FD" w:rsidRDefault="002D29FC">
            <w:pPr>
              <w:spacing w:line="222" w:lineRule="exact"/>
              <w:ind w:right="104"/>
              <w:jc w:val="right"/>
              <w:rPr>
                <w:rFonts w:ascii="Calibri"/>
                <w:sz w:val="20"/>
              </w:rPr>
            </w:pPr>
            <w:r>
              <w:rPr>
                <w:rFonts w:ascii="Calibri"/>
                <w:sz w:val="20"/>
              </w:rPr>
              <w:t>1425</w:t>
            </w:r>
          </w:p>
        </w:tc>
        <w:tc>
          <w:tcPr>
            <w:tcW w:w="960" w:type="dxa"/>
          </w:tcPr>
          <w:p w:rsidR="006A18FD" w:rsidRDefault="002D29FC">
            <w:pPr>
              <w:spacing w:line="222" w:lineRule="exact"/>
              <w:ind w:right="98"/>
              <w:jc w:val="right"/>
              <w:rPr>
                <w:rFonts w:ascii="Calibri"/>
                <w:sz w:val="20"/>
              </w:rPr>
            </w:pPr>
            <w:r>
              <w:rPr>
                <w:rFonts w:ascii="Calibri"/>
                <w:sz w:val="20"/>
              </w:rPr>
              <w:t>33</w:t>
            </w:r>
          </w:p>
        </w:tc>
        <w:tc>
          <w:tcPr>
            <w:tcW w:w="989" w:type="dxa"/>
          </w:tcPr>
          <w:p w:rsidR="006A18FD" w:rsidRDefault="002D29FC">
            <w:pPr>
              <w:spacing w:line="222" w:lineRule="exact"/>
              <w:ind w:right="103"/>
              <w:jc w:val="right"/>
              <w:rPr>
                <w:rFonts w:ascii="Calibri" w:hAnsi="Calibri"/>
                <w:sz w:val="20"/>
              </w:rPr>
            </w:pPr>
            <w:r>
              <w:rPr>
                <w:rFonts w:ascii="Calibri" w:hAnsi="Calibri"/>
                <w:sz w:val="20"/>
              </w:rPr>
              <w:t>£416</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0"/>
              <w:jc w:val="right"/>
              <w:rPr>
                <w:rFonts w:ascii="Calibri"/>
                <w:sz w:val="20"/>
              </w:rPr>
            </w:pPr>
            <w:r>
              <w:rPr>
                <w:rFonts w:ascii="Calibri"/>
                <w:sz w:val="20"/>
              </w:rPr>
              <w:t>Female</w:t>
            </w:r>
          </w:p>
        </w:tc>
        <w:tc>
          <w:tcPr>
            <w:tcW w:w="1056" w:type="dxa"/>
          </w:tcPr>
          <w:p w:rsidR="006A18FD" w:rsidRDefault="002D29FC">
            <w:pPr>
              <w:spacing w:before="1" w:line="223" w:lineRule="exact"/>
              <w:ind w:right="101"/>
              <w:jc w:val="right"/>
              <w:rPr>
                <w:rFonts w:ascii="Calibri"/>
                <w:sz w:val="20"/>
              </w:rPr>
            </w:pPr>
            <w:r>
              <w:rPr>
                <w:rFonts w:ascii="Calibri"/>
                <w:sz w:val="20"/>
              </w:rPr>
              <w:t>4867</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£658,589</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£135</w:t>
            </w:r>
          </w:p>
        </w:tc>
        <w:tc>
          <w:tcPr>
            <w:tcW w:w="968" w:type="dxa"/>
          </w:tcPr>
          <w:p w:rsidR="006A18FD" w:rsidRDefault="002D29FC">
            <w:pPr>
              <w:spacing w:before="1" w:line="223" w:lineRule="exact"/>
              <w:ind w:right="104"/>
              <w:jc w:val="right"/>
              <w:rPr>
                <w:rFonts w:ascii="Calibri"/>
                <w:sz w:val="20"/>
              </w:rPr>
            </w:pPr>
            <w:r>
              <w:rPr>
                <w:rFonts w:ascii="Calibri"/>
                <w:sz w:val="20"/>
              </w:rPr>
              <w:t>1510</w:t>
            </w:r>
          </w:p>
        </w:tc>
        <w:tc>
          <w:tcPr>
            <w:tcW w:w="960" w:type="dxa"/>
          </w:tcPr>
          <w:p w:rsidR="006A18FD" w:rsidRDefault="002D29FC">
            <w:pPr>
              <w:spacing w:before="1" w:line="223" w:lineRule="exact"/>
              <w:ind w:right="98"/>
              <w:jc w:val="right"/>
              <w:rPr>
                <w:rFonts w:ascii="Calibri"/>
                <w:sz w:val="20"/>
              </w:rPr>
            </w:pPr>
            <w:r>
              <w:rPr>
                <w:rFonts w:ascii="Calibri"/>
                <w:sz w:val="20"/>
              </w:rPr>
              <w:t>31</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£436</w:t>
            </w:r>
          </w:p>
        </w:tc>
      </w:tr>
      <w:tr w:rsidR="006A18FD">
        <w:trPr>
          <w:trHeight w:val="480"/>
        </w:trPr>
        <w:tc>
          <w:tcPr>
            <w:tcW w:w="1808" w:type="dxa"/>
          </w:tcPr>
          <w:p w:rsidR="006A18FD" w:rsidRDefault="002D29FC">
            <w:pPr>
              <w:spacing w:before="1"/>
              <w:ind w:left="105"/>
              <w:rPr>
                <w:rFonts w:ascii="Calibri"/>
                <w:sz w:val="20"/>
              </w:rPr>
            </w:pPr>
            <w:r>
              <w:rPr>
                <w:rFonts w:ascii="Calibri"/>
                <w:sz w:val="20"/>
              </w:rPr>
              <w:t>Treatment</w:t>
            </w:r>
          </w:p>
        </w:tc>
        <w:tc>
          <w:tcPr>
            <w:tcW w:w="1952" w:type="dxa"/>
          </w:tcPr>
          <w:p w:rsidR="006A18FD" w:rsidRDefault="002D29FC">
            <w:pPr>
              <w:spacing w:before="1" w:line="240" w:lineRule="atLeast"/>
              <w:ind w:left="131" w:right="81" w:firstLine="1027"/>
              <w:rPr>
                <w:rFonts w:ascii="Calibri"/>
                <w:sz w:val="20"/>
              </w:rPr>
            </w:pPr>
            <w:r>
              <w:rPr>
                <w:rFonts w:ascii="Calibri"/>
                <w:sz w:val="20"/>
              </w:rPr>
              <w:t>Nicotine replacement therapy</w:t>
            </w:r>
          </w:p>
        </w:tc>
        <w:tc>
          <w:tcPr>
            <w:tcW w:w="1056" w:type="dxa"/>
          </w:tcPr>
          <w:p w:rsidR="006A18FD" w:rsidRDefault="002D29FC">
            <w:pPr>
              <w:spacing w:before="1"/>
              <w:ind w:right="101"/>
              <w:jc w:val="right"/>
              <w:rPr>
                <w:rFonts w:ascii="Calibri"/>
                <w:sz w:val="20"/>
              </w:rPr>
            </w:pPr>
            <w:r>
              <w:rPr>
                <w:rFonts w:ascii="Calibri"/>
                <w:sz w:val="20"/>
              </w:rPr>
              <w:t>7373</w:t>
            </w:r>
          </w:p>
        </w:tc>
        <w:tc>
          <w:tcPr>
            <w:tcW w:w="1152" w:type="dxa"/>
          </w:tcPr>
          <w:p w:rsidR="006A18FD" w:rsidRDefault="002D29FC">
            <w:pPr>
              <w:spacing w:before="1"/>
              <w:ind w:right="102"/>
              <w:jc w:val="right"/>
              <w:rPr>
                <w:rFonts w:ascii="Calibri" w:hAnsi="Calibri"/>
                <w:sz w:val="20"/>
              </w:rPr>
            </w:pPr>
            <w:r>
              <w:rPr>
                <w:rFonts w:ascii="Calibri" w:hAnsi="Calibri"/>
                <w:w w:val="95"/>
                <w:sz w:val="20"/>
              </w:rPr>
              <w:t>£898,575</w:t>
            </w:r>
          </w:p>
        </w:tc>
        <w:tc>
          <w:tcPr>
            <w:tcW w:w="965" w:type="dxa"/>
          </w:tcPr>
          <w:p w:rsidR="006A18FD" w:rsidRDefault="002D29FC">
            <w:pPr>
              <w:spacing w:before="1"/>
              <w:ind w:right="101"/>
              <w:jc w:val="right"/>
              <w:rPr>
                <w:rFonts w:ascii="Calibri" w:hAnsi="Calibri"/>
                <w:sz w:val="20"/>
              </w:rPr>
            </w:pPr>
            <w:r>
              <w:rPr>
                <w:rFonts w:ascii="Calibri" w:hAnsi="Calibri"/>
                <w:sz w:val="20"/>
              </w:rPr>
              <w:t>£122</w:t>
            </w:r>
          </w:p>
        </w:tc>
        <w:tc>
          <w:tcPr>
            <w:tcW w:w="968" w:type="dxa"/>
          </w:tcPr>
          <w:p w:rsidR="006A18FD" w:rsidRDefault="002D29FC">
            <w:pPr>
              <w:spacing w:before="1"/>
              <w:ind w:right="104"/>
              <w:jc w:val="right"/>
              <w:rPr>
                <w:rFonts w:ascii="Calibri"/>
                <w:sz w:val="20"/>
              </w:rPr>
            </w:pPr>
            <w:r>
              <w:rPr>
                <w:rFonts w:ascii="Calibri"/>
                <w:sz w:val="20"/>
              </w:rPr>
              <w:t>2117</w:t>
            </w:r>
          </w:p>
        </w:tc>
        <w:tc>
          <w:tcPr>
            <w:tcW w:w="960" w:type="dxa"/>
          </w:tcPr>
          <w:p w:rsidR="006A18FD" w:rsidRDefault="002D29FC">
            <w:pPr>
              <w:spacing w:before="1"/>
              <w:ind w:right="98"/>
              <w:jc w:val="right"/>
              <w:rPr>
                <w:rFonts w:ascii="Calibri"/>
                <w:sz w:val="20"/>
              </w:rPr>
            </w:pPr>
            <w:r>
              <w:rPr>
                <w:rFonts w:ascii="Calibri"/>
                <w:sz w:val="20"/>
              </w:rPr>
              <w:t>29</w:t>
            </w:r>
          </w:p>
        </w:tc>
        <w:tc>
          <w:tcPr>
            <w:tcW w:w="989" w:type="dxa"/>
          </w:tcPr>
          <w:p w:rsidR="006A18FD" w:rsidRDefault="002D29FC">
            <w:pPr>
              <w:spacing w:before="1"/>
              <w:ind w:right="103"/>
              <w:jc w:val="right"/>
              <w:rPr>
                <w:rFonts w:ascii="Calibri" w:hAnsi="Calibri"/>
                <w:sz w:val="20"/>
              </w:rPr>
            </w:pPr>
            <w:r>
              <w:rPr>
                <w:rFonts w:ascii="Calibri" w:hAnsi="Calibri"/>
                <w:sz w:val="20"/>
              </w:rPr>
              <w:t>£424</w:t>
            </w:r>
          </w:p>
        </w:tc>
      </w:tr>
      <w:tr w:rsidR="006A18FD">
        <w:trPr>
          <w:trHeight w:val="239"/>
        </w:trPr>
        <w:tc>
          <w:tcPr>
            <w:tcW w:w="1808" w:type="dxa"/>
          </w:tcPr>
          <w:p w:rsidR="006A18FD" w:rsidRDefault="006A18FD">
            <w:pPr>
              <w:rPr>
                <w:rFonts w:ascii="Times New Roman"/>
                <w:sz w:val="16"/>
              </w:rPr>
            </w:pPr>
          </w:p>
        </w:tc>
        <w:tc>
          <w:tcPr>
            <w:tcW w:w="1952" w:type="dxa"/>
          </w:tcPr>
          <w:p w:rsidR="006A18FD" w:rsidRDefault="002D29FC">
            <w:pPr>
              <w:spacing w:line="223" w:lineRule="exact"/>
              <w:ind w:right="101"/>
              <w:jc w:val="right"/>
              <w:rPr>
                <w:rFonts w:ascii="Calibri"/>
                <w:sz w:val="20"/>
              </w:rPr>
            </w:pPr>
            <w:r>
              <w:rPr>
                <w:rFonts w:ascii="Calibri"/>
                <w:sz w:val="20"/>
              </w:rPr>
              <w:t>Varenicline/champix</w:t>
            </w:r>
          </w:p>
        </w:tc>
        <w:tc>
          <w:tcPr>
            <w:tcW w:w="1056" w:type="dxa"/>
          </w:tcPr>
          <w:p w:rsidR="006A18FD" w:rsidRDefault="002D29FC">
            <w:pPr>
              <w:spacing w:line="223" w:lineRule="exact"/>
              <w:ind w:right="101"/>
              <w:jc w:val="right"/>
              <w:rPr>
                <w:rFonts w:ascii="Calibri"/>
                <w:sz w:val="20"/>
              </w:rPr>
            </w:pPr>
            <w:r>
              <w:rPr>
                <w:rFonts w:ascii="Calibri"/>
                <w:sz w:val="20"/>
              </w:rPr>
              <w:t>1708</w:t>
            </w:r>
          </w:p>
        </w:tc>
        <w:tc>
          <w:tcPr>
            <w:tcW w:w="1152" w:type="dxa"/>
          </w:tcPr>
          <w:p w:rsidR="006A18FD" w:rsidRDefault="002D29FC">
            <w:pPr>
              <w:spacing w:line="223" w:lineRule="exact"/>
              <w:ind w:right="103"/>
              <w:jc w:val="right"/>
              <w:rPr>
                <w:rFonts w:ascii="Calibri" w:hAnsi="Calibri"/>
                <w:sz w:val="20"/>
              </w:rPr>
            </w:pPr>
            <w:r>
              <w:rPr>
                <w:rFonts w:ascii="Calibri" w:hAnsi="Calibri"/>
                <w:sz w:val="20"/>
              </w:rPr>
              <w:t>£348,817</w:t>
            </w:r>
          </w:p>
        </w:tc>
        <w:tc>
          <w:tcPr>
            <w:tcW w:w="965" w:type="dxa"/>
          </w:tcPr>
          <w:p w:rsidR="006A18FD" w:rsidRDefault="002D29FC">
            <w:pPr>
              <w:spacing w:line="223" w:lineRule="exact"/>
              <w:ind w:right="101"/>
              <w:jc w:val="right"/>
              <w:rPr>
                <w:rFonts w:ascii="Calibri" w:hAnsi="Calibri"/>
                <w:sz w:val="20"/>
              </w:rPr>
            </w:pPr>
            <w:r>
              <w:rPr>
                <w:rFonts w:ascii="Calibri" w:hAnsi="Calibri"/>
                <w:sz w:val="20"/>
              </w:rPr>
              <w:t>£204</w:t>
            </w:r>
          </w:p>
        </w:tc>
        <w:tc>
          <w:tcPr>
            <w:tcW w:w="968" w:type="dxa"/>
          </w:tcPr>
          <w:p w:rsidR="006A18FD" w:rsidRDefault="002D29FC">
            <w:pPr>
              <w:spacing w:line="223" w:lineRule="exact"/>
              <w:ind w:right="104"/>
              <w:jc w:val="right"/>
              <w:rPr>
                <w:rFonts w:ascii="Calibri"/>
                <w:sz w:val="20"/>
              </w:rPr>
            </w:pPr>
            <w:r>
              <w:rPr>
                <w:rFonts w:ascii="Calibri"/>
                <w:sz w:val="20"/>
              </w:rPr>
              <w:t>799</w:t>
            </w:r>
          </w:p>
        </w:tc>
        <w:tc>
          <w:tcPr>
            <w:tcW w:w="960" w:type="dxa"/>
          </w:tcPr>
          <w:p w:rsidR="006A18FD" w:rsidRDefault="002D29FC">
            <w:pPr>
              <w:spacing w:line="223" w:lineRule="exact"/>
              <w:ind w:right="98"/>
              <w:jc w:val="right"/>
              <w:rPr>
                <w:rFonts w:ascii="Calibri"/>
                <w:sz w:val="20"/>
              </w:rPr>
            </w:pPr>
            <w:r>
              <w:rPr>
                <w:rFonts w:ascii="Calibri"/>
                <w:sz w:val="20"/>
              </w:rPr>
              <w:t>47</w:t>
            </w:r>
          </w:p>
        </w:tc>
        <w:tc>
          <w:tcPr>
            <w:tcW w:w="989" w:type="dxa"/>
          </w:tcPr>
          <w:p w:rsidR="006A18FD" w:rsidRDefault="002D29FC">
            <w:pPr>
              <w:spacing w:line="223" w:lineRule="exact"/>
              <w:ind w:right="103"/>
              <w:jc w:val="right"/>
              <w:rPr>
                <w:rFonts w:ascii="Calibri" w:hAnsi="Calibri"/>
                <w:sz w:val="20"/>
              </w:rPr>
            </w:pPr>
            <w:r>
              <w:rPr>
                <w:rFonts w:ascii="Calibri" w:hAnsi="Calibri"/>
                <w:w w:val="95"/>
                <w:sz w:val="20"/>
              </w:rPr>
              <w:t>£437</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98"/>
              <w:jc w:val="right"/>
              <w:rPr>
                <w:rFonts w:ascii="Calibri"/>
                <w:sz w:val="20"/>
              </w:rPr>
            </w:pPr>
            <w:r>
              <w:rPr>
                <w:rFonts w:ascii="Calibri"/>
                <w:sz w:val="20"/>
              </w:rPr>
              <w:t>Bupropion/Zyban</w:t>
            </w:r>
          </w:p>
        </w:tc>
        <w:tc>
          <w:tcPr>
            <w:tcW w:w="1056" w:type="dxa"/>
          </w:tcPr>
          <w:p w:rsidR="006A18FD" w:rsidRDefault="002D29FC">
            <w:pPr>
              <w:spacing w:before="1" w:line="223" w:lineRule="exact"/>
              <w:ind w:right="98"/>
              <w:jc w:val="right"/>
              <w:rPr>
                <w:rFonts w:ascii="Calibri"/>
                <w:sz w:val="20"/>
              </w:rPr>
            </w:pPr>
            <w:r>
              <w:rPr>
                <w:rFonts w:ascii="Calibri"/>
                <w:sz w:val="20"/>
              </w:rPr>
              <w:t>35</w:t>
            </w:r>
          </w:p>
        </w:tc>
        <w:tc>
          <w:tcPr>
            <w:tcW w:w="1152" w:type="dxa"/>
          </w:tcPr>
          <w:p w:rsidR="006A18FD" w:rsidRDefault="002D29FC">
            <w:pPr>
              <w:spacing w:before="1" w:line="223" w:lineRule="exact"/>
              <w:ind w:right="103"/>
              <w:jc w:val="right"/>
              <w:rPr>
                <w:rFonts w:ascii="Calibri" w:hAnsi="Calibri"/>
                <w:sz w:val="20"/>
              </w:rPr>
            </w:pPr>
            <w:r>
              <w:rPr>
                <w:rFonts w:ascii="Calibri" w:hAnsi="Calibri"/>
                <w:w w:val="95"/>
                <w:sz w:val="20"/>
              </w:rPr>
              <w:t>£4,550</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£130</w:t>
            </w:r>
          </w:p>
        </w:tc>
        <w:tc>
          <w:tcPr>
            <w:tcW w:w="968" w:type="dxa"/>
          </w:tcPr>
          <w:p w:rsidR="006A18FD" w:rsidRDefault="002D29FC">
            <w:pPr>
              <w:spacing w:before="1" w:line="223" w:lineRule="exact"/>
              <w:ind w:right="101"/>
              <w:jc w:val="right"/>
              <w:rPr>
                <w:rFonts w:ascii="Calibri"/>
                <w:sz w:val="20"/>
              </w:rPr>
            </w:pPr>
            <w:r>
              <w:rPr>
                <w:rFonts w:ascii="Calibri"/>
                <w:sz w:val="20"/>
              </w:rPr>
              <w:t>19</w:t>
            </w:r>
          </w:p>
        </w:tc>
        <w:tc>
          <w:tcPr>
            <w:tcW w:w="960" w:type="dxa"/>
          </w:tcPr>
          <w:p w:rsidR="006A18FD" w:rsidRDefault="002D29FC">
            <w:pPr>
              <w:spacing w:before="1" w:line="223" w:lineRule="exact"/>
              <w:ind w:right="98"/>
              <w:jc w:val="right"/>
              <w:rPr>
                <w:rFonts w:ascii="Calibri"/>
                <w:sz w:val="20"/>
              </w:rPr>
            </w:pPr>
            <w:r>
              <w:rPr>
                <w:rFonts w:ascii="Calibri"/>
                <w:sz w:val="20"/>
              </w:rPr>
              <w:t>54</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£239</w:t>
            </w:r>
          </w:p>
        </w:tc>
      </w:tr>
      <w:tr w:rsidR="006A18FD">
        <w:trPr>
          <w:trHeight w:val="240"/>
        </w:trPr>
        <w:tc>
          <w:tcPr>
            <w:tcW w:w="1808" w:type="dxa"/>
          </w:tcPr>
          <w:p w:rsidR="006A18FD" w:rsidRDefault="002D29FC">
            <w:pPr>
              <w:spacing w:line="225" w:lineRule="exact"/>
              <w:ind w:left="105"/>
              <w:rPr>
                <w:rFonts w:ascii="Calibri"/>
                <w:sz w:val="13"/>
              </w:rPr>
            </w:pPr>
            <w:r>
              <w:rPr>
                <w:rFonts w:ascii="Calibri"/>
                <w:sz w:val="20"/>
              </w:rPr>
              <w:t>FTND</w:t>
            </w:r>
            <w:r>
              <w:rPr>
                <w:rFonts w:ascii="Calibri"/>
                <w:position w:val="7"/>
                <w:sz w:val="13"/>
              </w:rPr>
              <w:t>2</w:t>
            </w:r>
          </w:p>
        </w:tc>
        <w:tc>
          <w:tcPr>
            <w:tcW w:w="1952" w:type="dxa"/>
          </w:tcPr>
          <w:p w:rsidR="006A18FD" w:rsidRDefault="002D29FC">
            <w:pPr>
              <w:spacing w:before="2" w:line="223" w:lineRule="exact"/>
              <w:ind w:right="100"/>
              <w:jc w:val="right"/>
              <w:rPr>
                <w:rFonts w:ascii="Calibri"/>
                <w:sz w:val="20"/>
              </w:rPr>
            </w:pPr>
            <w:r>
              <w:rPr>
                <w:rFonts w:ascii="Calibri"/>
                <w:w w:val="95"/>
                <w:sz w:val="20"/>
              </w:rPr>
              <w:t>0-3</w:t>
            </w:r>
          </w:p>
        </w:tc>
        <w:tc>
          <w:tcPr>
            <w:tcW w:w="1056" w:type="dxa"/>
          </w:tcPr>
          <w:p w:rsidR="006A18FD" w:rsidRDefault="002D29FC">
            <w:pPr>
              <w:spacing w:before="2" w:line="223" w:lineRule="exact"/>
              <w:ind w:right="101"/>
              <w:jc w:val="right"/>
              <w:rPr>
                <w:rFonts w:ascii="Calibri"/>
                <w:sz w:val="20"/>
              </w:rPr>
            </w:pPr>
            <w:r>
              <w:rPr>
                <w:rFonts w:ascii="Calibri"/>
                <w:sz w:val="20"/>
              </w:rPr>
              <w:t>1534</w:t>
            </w:r>
          </w:p>
        </w:tc>
        <w:tc>
          <w:tcPr>
            <w:tcW w:w="1152" w:type="dxa"/>
          </w:tcPr>
          <w:p w:rsidR="006A18FD" w:rsidRDefault="002D29FC">
            <w:pPr>
              <w:spacing w:before="2" w:line="223" w:lineRule="exact"/>
              <w:ind w:right="103"/>
              <w:jc w:val="right"/>
              <w:rPr>
                <w:rFonts w:ascii="Calibri" w:hAnsi="Calibri"/>
                <w:sz w:val="20"/>
              </w:rPr>
            </w:pPr>
            <w:r>
              <w:rPr>
                <w:rFonts w:ascii="Calibri" w:hAnsi="Calibri"/>
                <w:sz w:val="20"/>
              </w:rPr>
              <w:t>£250,030</w:t>
            </w:r>
          </w:p>
        </w:tc>
        <w:tc>
          <w:tcPr>
            <w:tcW w:w="965" w:type="dxa"/>
          </w:tcPr>
          <w:p w:rsidR="006A18FD" w:rsidRDefault="002D29FC">
            <w:pPr>
              <w:spacing w:before="2" w:line="223" w:lineRule="exact"/>
              <w:ind w:right="101"/>
              <w:jc w:val="right"/>
              <w:rPr>
                <w:rFonts w:ascii="Calibri" w:hAnsi="Calibri"/>
                <w:sz w:val="20"/>
              </w:rPr>
            </w:pPr>
            <w:r>
              <w:rPr>
                <w:rFonts w:ascii="Calibri" w:hAnsi="Calibri"/>
                <w:sz w:val="20"/>
              </w:rPr>
              <w:t>£162</w:t>
            </w:r>
          </w:p>
        </w:tc>
        <w:tc>
          <w:tcPr>
            <w:tcW w:w="968" w:type="dxa"/>
          </w:tcPr>
          <w:p w:rsidR="006A18FD" w:rsidRDefault="002D29FC">
            <w:pPr>
              <w:spacing w:before="2" w:line="223" w:lineRule="exact"/>
              <w:ind w:right="104"/>
              <w:jc w:val="right"/>
              <w:rPr>
                <w:rFonts w:ascii="Calibri"/>
                <w:sz w:val="20"/>
              </w:rPr>
            </w:pPr>
            <w:r>
              <w:rPr>
                <w:rFonts w:ascii="Calibri"/>
                <w:sz w:val="20"/>
              </w:rPr>
              <w:t>622</w:t>
            </w:r>
          </w:p>
        </w:tc>
        <w:tc>
          <w:tcPr>
            <w:tcW w:w="960" w:type="dxa"/>
          </w:tcPr>
          <w:p w:rsidR="006A18FD" w:rsidRDefault="002D29FC">
            <w:pPr>
              <w:spacing w:before="2" w:line="223" w:lineRule="exact"/>
              <w:ind w:right="101"/>
              <w:jc w:val="right"/>
              <w:rPr>
                <w:rFonts w:ascii="Calibri"/>
                <w:sz w:val="20"/>
              </w:rPr>
            </w:pPr>
            <w:r>
              <w:rPr>
                <w:rFonts w:ascii="Calibri"/>
                <w:sz w:val="20"/>
              </w:rPr>
              <w:t>4141</w:t>
            </w:r>
          </w:p>
        </w:tc>
        <w:tc>
          <w:tcPr>
            <w:tcW w:w="989" w:type="dxa"/>
          </w:tcPr>
          <w:p w:rsidR="006A18FD" w:rsidRDefault="002D29FC">
            <w:pPr>
              <w:spacing w:before="2" w:line="223" w:lineRule="exact"/>
              <w:ind w:right="103"/>
              <w:jc w:val="right"/>
              <w:rPr>
                <w:rFonts w:ascii="Calibri" w:hAnsi="Calibri"/>
                <w:sz w:val="20"/>
              </w:rPr>
            </w:pPr>
            <w:r>
              <w:rPr>
                <w:rFonts w:ascii="Calibri" w:hAnsi="Calibri"/>
                <w:sz w:val="20"/>
              </w:rPr>
              <w:t>£400</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0"/>
              <w:jc w:val="right"/>
              <w:rPr>
                <w:rFonts w:ascii="Calibri"/>
                <w:sz w:val="20"/>
              </w:rPr>
            </w:pPr>
            <w:r>
              <w:rPr>
                <w:rFonts w:ascii="Calibri"/>
                <w:w w:val="95"/>
                <w:sz w:val="20"/>
              </w:rPr>
              <w:t>4-5</w:t>
            </w:r>
          </w:p>
        </w:tc>
        <w:tc>
          <w:tcPr>
            <w:tcW w:w="1056" w:type="dxa"/>
          </w:tcPr>
          <w:p w:rsidR="006A18FD" w:rsidRDefault="002D29FC">
            <w:pPr>
              <w:spacing w:before="1" w:line="223" w:lineRule="exact"/>
              <w:ind w:right="101"/>
              <w:jc w:val="right"/>
              <w:rPr>
                <w:rFonts w:ascii="Calibri"/>
                <w:sz w:val="20"/>
              </w:rPr>
            </w:pPr>
            <w:r>
              <w:rPr>
                <w:rFonts w:ascii="Calibri"/>
                <w:sz w:val="20"/>
              </w:rPr>
              <w:t>1884</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£316,398</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£168</w:t>
            </w:r>
          </w:p>
        </w:tc>
        <w:tc>
          <w:tcPr>
            <w:tcW w:w="968" w:type="dxa"/>
          </w:tcPr>
          <w:p w:rsidR="006A18FD" w:rsidRDefault="002D29FC">
            <w:pPr>
              <w:spacing w:before="1" w:line="223" w:lineRule="exact"/>
              <w:ind w:right="104"/>
              <w:jc w:val="right"/>
              <w:rPr>
                <w:rFonts w:ascii="Calibri"/>
                <w:sz w:val="20"/>
              </w:rPr>
            </w:pPr>
            <w:r>
              <w:rPr>
                <w:rFonts w:ascii="Calibri"/>
                <w:sz w:val="20"/>
              </w:rPr>
              <w:t>727</w:t>
            </w:r>
          </w:p>
        </w:tc>
        <w:tc>
          <w:tcPr>
            <w:tcW w:w="960" w:type="dxa"/>
          </w:tcPr>
          <w:p w:rsidR="006A18FD" w:rsidRDefault="002D29FC">
            <w:pPr>
              <w:spacing w:before="1" w:line="223" w:lineRule="exact"/>
              <w:ind w:right="98"/>
              <w:jc w:val="right"/>
              <w:rPr>
                <w:rFonts w:ascii="Calibri"/>
                <w:sz w:val="20"/>
              </w:rPr>
            </w:pPr>
            <w:r>
              <w:rPr>
                <w:rFonts w:ascii="Calibri"/>
                <w:sz w:val="20"/>
              </w:rPr>
              <w:t>39</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£435</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line="222" w:lineRule="exact"/>
              <w:ind w:right="100"/>
              <w:jc w:val="right"/>
              <w:rPr>
                <w:rFonts w:ascii="Calibri"/>
                <w:sz w:val="20"/>
              </w:rPr>
            </w:pPr>
            <w:r>
              <w:rPr>
                <w:rFonts w:ascii="Calibri"/>
                <w:w w:val="95"/>
                <w:sz w:val="20"/>
              </w:rPr>
              <w:t>6-7</w:t>
            </w:r>
          </w:p>
        </w:tc>
        <w:tc>
          <w:tcPr>
            <w:tcW w:w="1056" w:type="dxa"/>
          </w:tcPr>
          <w:p w:rsidR="006A18FD" w:rsidRDefault="002D29FC">
            <w:pPr>
              <w:spacing w:line="222" w:lineRule="exact"/>
              <w:ind w:right="101"/>
              <w:jc w:val="right"/>
              <w:rPr>
                <w:rFonts w:ascii="Calibri"/>
                <w:sz w:val="20"/>
              </w:rPr>
            </w:pPr>
            <w:r>
              <w:rPr>
                <w:rFonts w:ascii="Calibri"/>
                <w:sz w:val="20"/>
              </w:rPr>
              <w:t>1676</w:t>
            </w:r>
          </w:p>
        </w:tc>
        <w:tc>
          <w:tcPr>
            <w:tcW w:w="1152" w:type="dxa"/>
          </w:tcPr>
          <w:p w:rsidR="006A18FD" w:rsidRDefault="002D29FC">
            <w:pPr>
              <w:spacing w:line="222" w:lineRule="exact"/>
              <w:ind w:right="102"/>
              <w:jc w:val="right"/>
              <w:rPr>
                <w:rFonts w:ascii="Calibri" w:hAnsi="Calibri"/>
                <w:sz w:val="20"/>
              </w:rPr>
            </w:pPr>
            <w:r>
              <w:rPr>
                <w:rFonts w:ascii="Calibri" w:hAnsi="Calibri"/>
                <w:w w:val="95"/>
                <w:sz w:val="20"/>
              </w:rPr>
              <w:t>£285,564</w:t>
            </w:r>
          </w:p>
        </w:tc>
        <w:tc>
          <w:tcPr>
            <w:tcW w:w="965" w:type="dxa"/>
          </w:tcPr>
          <w:p w:rsidR="006A18FD" w:rsidRDefault="002D29FC">
            <w:pPr>
              <w:spacing w:line="222" w:lineRule="exact"/>
              <w:ind w:right="101"/>
              <w:jc w:val="right"/>
              <w:rPr>
                <w:rFonts w:ascii="Calibri" w:hAnsi="Calibri"/>
                <w:sz w:val="20"/>
              </w:rPr>
            </w:pPr>
            <w:r>
              <w:rPr>
                <w:rFonts w:ascii="Calibri" w:hAnsi="Calibri"/>
                <w:sz w:val="20"/>
              </w:rPr>
              <w:t>£170</w:t>
            </w:r>
          </w:p>
        </w:tc>
        <w:tc>
          <w:tcPr>
            <w:tcW w:w="968" w:type="dxa"/>
          </w:tcPr>
          <w:p w:rsidR="006A18FD" w:rsidRDefault="002D29FC">
            <w:pPr>
              <w:spacing w:line="222" w:lineRule="exact"/>
              <w:ind w:right="104"/>
              <w:jc w:val="right"/>
              <w:rPr>
                <w:rFonts w:ascii="Calibri"/>
                <w:sz w:val="20"/>
              </w:rPr>
            </w:pPr>
            <w:r>
              <w:rPr>
                <w:rFonts w:ascii="Calibri"/>
                <w:sz w:val="20"/>
              </w:rPr>
              <w:t>641</w:t>
            </w:r>
          </w:p>
        </w:tc>
        <w:tc>
          <w:tcPr>
            <w:tcW w:w="960" w:type="dxa"/>
          </w:tcPr>
          <w:p w:rsidR="006A18FD" w:rsidRDefault="002D29FC">
            <w:pPr>
              <w:spacing w:line="222" w:lineRule="exact"/>
              <w:ind w:right="98"/>
              <w:jc w:val="right"/>
              <w:rPr>
                <w:rFonts w:ascii="Calibri"/>
                <w:sz w:val="20"/>
              </w:rPr>
            </w:pPr>
            <w:r>
              <w:rPr>
                <w:rFonts w:ascii="Calibri"/>
                <w:sz w:val="20"/>
              </w:rPr>
              <w:t>38</w:t>
            </w:r>
          </w:p>
        </w:tc>
        <w:tc>
          <w:tcPr>
            <w:tcW w:w="989" w:type="dxa"/>
          </w:tcPr>
          <w:p w:rsidR="006A18FD" w:rsidRDefault="002D29FC">
            <w:pPr>
              <w:spacing w:line="222" w:lineRule="exact"/>
              <w:ind w:right="103"/>
              <w:jc w:val="right"/>
              <w:rPr>
                <w:rFonts w:ascii="Calibri" w:hAnsi="Calibri"/>
                <w:sz w:val="20"/>
              </w:rPr>
            </w:pPr>
            <w:r>
              <w:rPr>
                <w:rFonts w:ascii="Calibri" w:hAnsi="Calibri"/>
                <w:sz w:val="20"/>
              </w:rPr>
              <w:t>£445</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2"/>
              <w:jc w:val="right"/>
              <w:rPr>
                <w:rFonts w:ascii="Calibri"/>
                <w:sz w:val="20"/>
              </w:rPr>
            </w:pPr>
            <w:r>
              <w:rPr>
                <w:rFonts w:ascii="Calibri"/>
                <w:sz w:val="20"/>
              </w:rPr>
              <w:t>8-10</w:t>
            </w:r>
          </w:p>
        </w:tc>
        <w:tc>
          <w:tcPr>
            <w:tcW w:w="1056" w:type="dxa"/>
          </w:tcPr>
          <w:p w:rsidR="006A18FD" w:rsidRDefault="002D29FC">
            <w:pPr>
              <w:spacing w:before="1" w:line="223" w:lineRule="exact"/>
              <w:ind w:right="101"/>
              <w:jc w:val="right"/>
              <w:rPr>
                <w:rFonts w:ascii="Calibri"/>
                <w:sz w:val="20"/>
              </w:rPr>
            </w:pPr>
            <w:r>
              <w:rPr>
                <w:rFonts w:ascii="Calibri"/>
                <w:sz w:val="20"/>
              </w:rPr>
              <w:t>766</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£127,031</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£166</w:t>
            </w:r>
          </w:p>
        </w:tc>
        <w:tc>
          <w:tcPr>
            <w:tcW w:w="968" w:type="dxa"/>
          </w:tcPr>
          <w:p w:rsidR="006A18FD" w:rsidRDefault="002D29FC">
            <w:pPr>
              <w:spacing w:before="1" w:line="223" w:lineRule="exact"/>
              <w:ind w:right="104"/>
              <w:jc w:val="right"/>
              <w:rPr>
                <w:rFonts w:ascii="Calibri"/>
                <w:sz w:val="20"/>
              </w:rPr>
            </w:pPr>
            <w:r>
              <w:rPr>
                <w:rFonts w:ascii="Calibri"/>
                <w:sz w:val="20"/>
              </w:rPr>
              <w:t>236</w:t>
            </w:r>
          </w:p>
        </w:tc>
        <w:tc>
          <w:tcPr>
            <w:tcW w:w="960" w:type="dxa"/>
          </w:tcPr>
          <w:p w:rsidR="006A18FD" w:rsidRDefault="002D29FC">
            <w:pPr>
              <w:spacing w:before="1" w:line="223" w:lineRule="exact"/>
              <w:ind w:right="98"/>
              <w:jc w:val="right"/>
              <w:rPr>
                <w:rFonts w:ascii="Calibri"/>
                <w:sz w:val="20"/>
              </w:rPr>
            </w:pPr>
            <w:r>
              <w:rPr>
                <w:rFonts w:ascii="Calibri"/>
                <w:sz w:val="20"/>
              </w:rPr>
              <w:t>31</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£538</w:t>
            </w:r>
          </w:p>
        </w:tc>
      </w:tr>
      <w:tr w:rsidR="006A18FD">
        <w:trPr>
          <w:trHeight w:val="240"/>
        </w:trPr>
        <w:tc>
          <w:tcPr>
            <w:tcW w:w="1808" w:type="dxa"/>
          </w:tcPr>
          <w:p w:rsidR="006A18FD" w:rsidRDefault="002D29FC">
            <w:pPr>
              <w:spacing w:line="224" w:lineRule="exact"/>
              <w:ind w:left="105"/>
              <w:rPr>
                <w:rFonts w:ascii="Calibri"/>
                <w:sz w:val="13"/>
              </w:rPr>
            </w:pPr>
            <w:r>
              <w:rPr>
                <w:rFonts w:ascii="Calibri"/>
                <w:sz w:val="20"/>
              </w:rPr>
              <w:t>IMD</w:t>
            </w:r>
            <w:r>
              <w:rPr>
                <w:rFonts w:ascii="Calibri"/>
                <w:position w:val="7"/>
                <w:sz w:val="13"/>
              </w:rPr>
              <w:t>3</w:t>
            </w:r>
          </w:p>
        </w:tc>
        <w:tc>
          <w:tcPr>
            <w:tcW w:w="1952" w:type="dxa"/>
          </w:tcPr>
          <w:p w:rsidR="006A18FD" w:rsidRDefault="002D29FC">
            <w:pPr>
              <w:spacing w:before="1" w:line="223" w:lineRule="exact"/>
              <w:ind w:right="100"/>
              <w:jc w:val="right"/>
              <w:rPr>
                <w:rFonts w:ascii="Calibri"/>
                <w:sz w:val="20"/>
              </w:rPr>
            </w:pPr>
            <w:r>
              <w:rPr>
                <w:rFonts w:ascii="Calibri"/>
                <w:w w:val="95"/>
                <w:sz w:val="20"/>
              </w:rPr>
              <w:t>1-3</w:t>
            </w:r>
          </w:p>
        </w:tc>
        <w:tc>
          <w:tcPr>
            <w:tcW w:w="1056" w:type="dxa"/>
          </w:tcPr>
          <w:p w:rsidR="006A18FD" w:rsidRDefault="002D29FC">
            <w:pPr>
              <w:spacing w:before="1" w:line="223" w:lineRule="exact"/>
              <w:ind w:right="101"/>
              <w:jc w:val="right"/>
              <w:rPr>
                <w:rFonts w:ascii="Calibri"/>
                <w:sz w:val="20"/>
              </w:rPr>
            </w:pPr>
            <w:r>
              <w:rPr>
                <w:rFonts w:ascii="Calibri"/>
                <w:sz w:val="20"/>
              </w:rPr>
              <w:t>886</w:t>
            </w:r>
          </w:p>
        </w:tc>
        <w:tc>
          <w:tcPr>
            <w:tcW w:w="1152" w:type="dxa"/>
          </w:tcPr>
          <w:p w:rsidR="006A18FD" w:rsidRDefault="002D29FC">
            <w:pPr>
              <w:spacing w:before="1" w:line="223" w:lineRule="exact"/>
              <w:ind w:right="102"/>
              <w:jc w:val="right"/>
              <w:rPr>
                <w:rFonts w:ascii="Calibri" w:hAnsi="Calibri"/>
                <w:sz w:val="20"/>
              </w:rPr>
            </w:pPr>
            <w:r>
              <w:rPr>
                <w:rFonts w:ascii="Calibri" w:hAnsi="Calibri"/>
                <w:w w:val="95"/>
                <w:sz w:val="20"/>
              </w:rPr>
              <w:t>£143,781</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£162</w:t>
            </w:r>
          </w:p>
        </w:tc>
        <w:tc>
          <w:tcPr>
            <w:tcW w:w="968" w:type="dxa"/>
          </w:tcPr>
          <w:p w:rsidR="006A18FD" w:rsidRDefault="002D29FC">
            <w:pPr>
              <w:spacing w:before="1" w:line="223" w:lineRule="exact"/>
              <w:ind w:right="104"/>
              <w:jc w:val="right"/>
              <w:rPr>
                <w:rFonts w:ascii="Calibri"/>
                <w:sz w:val="20"/>
              </w:rPr>
            </w:pPr>
            <w:r>
              <w:rPr>
                <w:rFonts w:ascii="Calibri"/>
                <w:sz w:val="20"/>
              </w:rPr>
              <w:t>319</w:t>
            </w:r>
          </w:p>
        </w:tc>
        <w:tc>
          <w:tcPr>
            <w:tcW w:w="960" w:type="dxa"/>
          </w:tcPr>
          <w:p w:rsidR="006A18FD" w:rsidRDefault="002D29FC">
            <w:pPr>
              <w:spacing w:before="1" w:line="223" w:lineRule="exact"/>
              <w:ind w:right="98"/>
              <w:jc w:val="right"/>
              <w:rPr>
                <w:rFonts w:ascii="Calibri"/>
                <w:sz w:val="20"/>
              </w:rPr>
            </w:pPr>
            <w:r>
              <w:rPr>
                <w:rFonts w:ascii="Calibri"/>
                <w:sz w:val="20"/>
              </w:rPr>
              <w:t>36</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£451</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0"/>
              <w:jc w:val="right"/>
              <w:rPr>
                <w:rFonts w:ascii="Calibri"/>
                <w:sz w:val="20"/>
              </w:rPr>
            </w:pPr>
            <w:r>
              <w:rPr>
                <w:rFonts w:ascii="Calibri"/>
                <w:w w:val="95"/>
                <w:sz w:val="20"/>
              </w:rPr>
              <w:t>4-6</w:t>
            </w:r>
          </w:p>
        </w:tc>
        <w:tc>
          <w:tcPr>
            <w:tcW w:w="1056" w:type="dxa"/>
          </w:tcPr>
          <w:p w:rsidR="006A18FD" w:rsidRDefault="002D29FC">
            <w:pPr>
              <w:spacing w:before="1" w:line="223" w:lineRule="exact"/>
              <w:ind w:right="101"/>
              <w:jc w:val="right"/>
              <w:rPr>
                <w:rFonts w:ascii="Calibri"/>
                <w:sz w:val="20"/>
              </w:rPr>
            </w:pPr>
            <w:r>
              <w:rPr>
                <w:rFonts w:ascii="Calibri"/>
                <w:sz w:val="20"/>
              </w:rPr>
              <w:t>1838</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£281,243</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£153</w:t>
            </w:r>
          </w:p>
        </w:tc>
        <w:tc>
          <w:tcPr>
            <w:tcW w:w="968" w:type="dxa"/>
          </w:tcPr>
          <w:p w:rsidR="006A18FD" w:rsidRDefault="002D29FC">
            <w:pPr>
              <w:spacing w:before="1" w:line="223" w:lineRule="exact"/>
              <w:ind w:right="104"/>
              <w:jc w:val="right"/>
              <w:rPr>
                <w:rFonts w:ascii="Calibri"/>
                <w:sz w:val="20"/>
              </w:rPr>
            </w:pPr>
            <w:r>
              <w:rPr>
                <w:rFonts w:ascii="Calibri"/>
                <w:sz w:val="20"/>
              </w:rPr>
              <w:t>635</w:t>
            </w:r>
          </w:p>
        </w:tc>
        <w:tc>
          <w:tcPr>
            <w:tcW w:w="960" w:type="dxa"/>
          </w:tcPr>
          <w:p w:rsidR="006A18FD" w:rsidRDefault="002D29FC">
            <w:pPr>
              <w:spacing w:before="1" w:line="223" w:lineRule="exact"/>
              <w:ind w:right="98"/>
              <w:jc w:val="right"/>
              <w:rPr>
                <w:rFonts w:ascii="Calibri"/>
                <w:sz w:val="20"/>
              </w:rPr>
            </w:pPr>
            <w:r>
              <w:rPr>
                <w:rFonts w:ascii="Calibri"/>
                <w:sz w:val="20"/>
              </w:rPr>
              <w:t>35</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£443</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0"/>
              <w:jc w:val="right"/>
              <w:rPr>
                <w:rFonts w:ascii="Calibri"/>
                <w:sz w:val="20"/>
              </w:rPr>
            </w:pPr>
            <w:r>
              <w:rPr>
                <w:rFonts w:ascii="Calibri"/>
                <w:w w:val="95"/>
                <w:sz w:val="20"/>
              </w:rPr>
              <w:t>7-8</w:t>
            </w:r>
          </w:p>
        </w:tc>
        <w:tc>
          <w:tcPr>
            <w:tcW w:w="1056" w:type="dxa"/>
          </w:tcPr>
          <w:p w:rsidR="006A18FD" w:rsidRDefault="002D29FC">
            <w:pPr>
              <w:spacing w:before="1" w:line="223" w:lineRule="exact"/>
              <w:ind w:right="101"/>
              <w:jc w:val="right"/>
              <w:rPr>
                <w:rFonts w:ascii="Calibri"/>
                <w:sz w:val="20"/>
              </w:rPr>
            </w:pPr>
            <w:r>
              <w:rPr>
                <w:rFonts w:ascii="Calibri"/>
                <w:sz w:val="20"/>
              </w:rPr>
              <w:t>2157</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£317,415</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£147</w:t>
            </w:r>
          </w:p>
        </w:tc>
        <w:tc>
          <w:tcPr>
            <w:tcW w:w="968" w:type="dxa"/>
          </w:tcPr>
          <w:p w:rsidR="006A18FD" w:rsidRDefault="002D29FC">
            <w:pPr>
              <w:spacing w:before="1" w:line="223" w:lineRule="exact"/>
              <w:ind w:right="104"/>
              <w:jc w:val="right"/>
              <w:rPr>
                <w:rFonts w:ascii="Calibri"/>
                <w:sz w:val="20"/>
              </w:rPr>
            </w:pPr>
            <w:r>
              <w:rPr>
                <w:rFonts w:ascii="Calibri"/>
                <w:sz w:val="20"/>
              </w:rPr>
              <w:t>698</w:t>
            </w:r>
          </w:p>
        </w:tc>
        <w:tc>
          <w:tcPr>
            <w:tcW w:w="960" w:type="dxa"/>
          </w:tcPr>
          <w:p w:rsidR="006A18FD" w:rsidRDefault="002D29FC">
            <w:pPr>
              <w:spacing w:before="1" w:line="223" w:lineRule="exact"/>
              <w:ind w:right="98"/>
              <w:jc w:val="right"/>
              <w:rPr>
                <w:rFonts w:ascii="Calibri"/>
                <w:sz w:val="20"/>
              </w:rPr>
            </w:pPr>
            <w:r>
              <w:rPr>
                <w:rFonts w:ascii="Calibri"/>
                <w:sz w:val="20"/>
              </w:rPr>
              <w:t>32</w:t>
            </w:r>
          </w:p>
        </w:tc>
        <w:tc>
          <w:tcPr>
            <w:tcW w:w="989" w:type="dxa"/>
          </w:tcPr>
          <w:p w:rsidR="006A18FD" w:rsidRDefault="002D29FC">
            <w:pPr>
              <w:spacing w:before="1" w:line="223" w:lineRule="exact"/>
              <w:ind w:right="103"/>
              <w:jc w:val="right"/>
              <w:rPr>
                <w:rFonts w:ascii="Calibri" w:hAnsi="Calibri"/>
                <w:sz w:val="20"/>
              </w:rPr>
            </w:pPr>
            <w:r>
              <w:rPr>
                <w:rFonts w:ascii="Calibri" w:hAnsi="Calibri"/>
                <w:w w:val="95"/>
                <w:sz w:val="20"/>
              </w:rPr>
              <w:t>£455</w:t>
            </w:r>
          </w:p>
        </w:tc>
      </w:tr>
      <w:tr w:rsidR="006A18FD">
        <w:trPr>
          <w:trHeight w:val="240"/>
        </w:trPr>
        <w:tc>
          <w:tcPr>
            <w:tcW w:w="1808" w:type="dxa"/>
          </w:tcPr>
          <w:p w:rsidR="006A18FD" w:rsidRDefault="006A18FD">
            <w:pPr>
              <w:rPr>
                <w:rFonts w:ascii="Times New Roman"/>
                <w:sz w:val="16"/>
              </w:rPr>
            </w:pPr>
          </w:p>
        </w:tc>
        <w:tc>
          <w:tcPr>
            <w:tcW w:w="1952" w:type="dxa"/>
          </w:tcPr>
          <w:p w:rsidR="006A18FD" w:rsidRDefault="002D29FC">
            <w:pPr>
              <w:spacing w:before="1" w:line="223" w:lineRule="exact"/>
              <w:ind w:right="102"/>
              <w:jc w:val="right"/>
              <w:rPr>
                <w:rFonts w:ascii="Calibri"/>
                <w:sz w:val="20"/>
              </w:rPr>
            </w:pPr>
            <w:r>
              <w:rPr>
                <w:rFonts w:ascii="Calibri"/>
                <w:sz w:val="20"/>
              </w:rPr>
              <w:t>9-10</w:t>
            </w:r>
          </w:p>
        </w:tc>
        <w:tc>
          <w:tcPr>
            <w:tcW w:w="1056" w:type="dxa"/>
          </w:tcPr>
          <w:p w:rsidR="006A18FD" w:rsidRDefault="002D29FC">
            <w:pPr>
              <w:spacing w:before="1" w:line="223" w:lineRule="exact"/>
              <w:ind w:right="101"/>
              <w:jc w:val="right"/>
              <w:rPr>
                <w:rFonts w:ascii="Calibri"/>
                <w:sz w:val="20"/>
              </w:rPr>
            </w:pPr>
            <w:r>
              <w:rPr>
                <w:rFonts w:ascii="Calibri"/>
                <w:sz w:val="20"/>
              </w:rPr>
              <w:t>3321</w:t>
            </w:r>
          </w:p>
        </w:tc>
        <w:tc>
          <w:tcPr>
            <w:tcW w:w="1152" w:type="dxa"/>
          </w:tcPr>
          <w:p w:rsidR="006A18FD" w:rsidRDefault="002D29FC">
            <w:pPr>
              <w:spacing w:before="1" w:line="223" w:lineRule="exact"/>
              <w:ind w:right="103"/>
              <w:jc w:val="right"/>
              <w:rPr>
                <w:rFonts w:ascii="Calibri" w:hAnsi="Calibri"/>
                <w:sz w:val="20"/>
              </w:rPr>
            </w:pPr>
            <w:r>
              <w:rPr>
                <w:rFonts w:ascii="Calibri" w:hAnsi="Calibri"/>
                <w:sz w:val="20"/>
              </w:rPr>
              <w:t>£477,039</w:t>
            </w:r>
          </w:p>
        </w:tc>
        <w:tc>
          <w:tcPr>
            <w:tcW w:w="965" w:type="dxa"/>
          </w:tcPr>
          <w:p w:rsidR="006A18FD" w:rsidRDefault="002D29FC">
            <w:pPr>
              <w:spacing w:before="1" w:line="223" w:lineRule="exact"/>
              <w:ind w:right="101"/>
              <w:jc w:val="right"/>
              <w:rPr>
                <w:rFonts w:ascii="Calibri" w:hAnsi="Calibri"/>
                <w:sz w:val="20"/>
              </w:rPr>
            </w:pPr>
            <w:r>
              <w:rPr>
                <w:rFonts w:ascii="Calibri" w:hAnsi="Calibri"/>
                <w:sz w:val="20"/>
              </w:rPr>
              <w:t>£144</w:t>
            </w:r>
          </w:p>
        </w:tc>
        <w:tc>
          <w:tcPr>
            <w:tcW w:w="968" w:type="dxa"/>
          </w:tcPr>
          <w:p w:rsidR="006A18FD" w:rsidRDefault="002D29FC">
            <w:pPr>
              <w:spacing w:before="1" w:line="223" w:lineRule="exact"/>
              <w:ind w:right="104"/>
              <w:jc w:val="right"/>
              <w:rPr>
                <w:rFonts w:ascii="Calibri"/>
                <w:sz w:val="20"/>
              </w:rPr>
            </w:pPr>
            <w:r>
              <w:rPr>
                <w:rFonts w:ascii="Calibri"/>
                <w:sz w:val="20"/>
              </w:rPr>
              <w:t>1180</w:t>
            </w:r>
          </w:p>
        </w:tc>
        <w:tc>
          <w:tcPr>
            <w:tcW w:w="960" w:type="dxa"/>
          </w:tcPr>
          <w:p w:rsidR="006A18FD" w:rsidRDefault="002D29FC">
            <w:pPr>
              <w:spacing w:before="1" w:line="223" w:lineRule="exact"/>
              <w:ind w:right="98"/>
              <w:jc w:val="right"/>
              <w:rPr>
                <w:rFonts w:ascii="Calibri"/>
                <w:sz w:val="20"/>
              </w:rPr>
            </w:pPr>
            <w:r>
              <w:rPr>
                <w:rFonts w:ascii="Calibri"/>
                <w:sz w:val="20"/>
              </w:rPr>
              <w:t>36</w:t>
            </w:r>
          </w:p>
        </w:tc>
        <w:tc>
          <w:tcPr>
            <w:tcW w:w="989" w:type="dxa"/>
          </w:tcPr>
          <w:p w:rsidR="006A18FD" w:rsidRDefault="002D29FC">
            <w:pPr>
              <w:spacing w:before="1" w:line="223" w:lineRule="exact"/>
              <w:ind w:right="103"/>
              <w:jc w:val="right"/>
              <w:rPr>
                <w:rFonts w:ascii="Calibri" w:hAnsi="Calibri"/>
                <w:sz w:val="20"/>
              </w:rPr>
            </w:pPr>
            <w:r>
              <w:rPr>
                <w:rFonts w:ascii="Calibri" w:hAnsi="Calibri"/>
                <w:sz w:val="20"/>
              </w:rPr>
              <w:t>£404</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2D29FC">
      <w:pPr>
        <w:spacing w:before="174"/>
        <w:ind w:left="436" w:right="195" w:hanging="284"/>
        <w:rPr>
          <w:rFonts w:ascii="Calibri"/>
          <w:sz w:val="16"/>
        </w:rPr>
      </w:pPr>
      <w:r>
        <w:rPr>
          <w:rFonts w:ascii="Calibri"/>
          <w:position w:val="5"/>
          <w:sz w:val="10"/>
        </w:rPr>
        <w:t xml:space="preserve">1 </w:t>
      </w:r>
      <w:r>
        <w:rPr>
          <w:rFonts w:ascii="Calibri"/>
          <w:sz w:val="16"/>
        </w:rPr>
        <w:t xml:space="preserve">Walker, N., Yang, Y., Kiparoglou, V., Pokhrel, S., Robinson, H. &amp; van Woerden, H. (2018) An examination of user costs in relation to smokers using a cessation service based in the UK, </w:t>
      </w:r>
      <w:r>
        <w:rPr>
          <w:rFonts w:ascii="Calibri"/>
          <w:i/>
          <w:sz w:val="16"/>
        </w:rPr>
        <w:t xml:space="preserve">BMC Health Services Research </w:t>
      </w:r>
      <w:r>
        <w:rPr>
          <w:rFonts w:ascii="Calibri"/>
          <w:sz w:val="16"/>
        </w:rPr>
        <w:t>(2018) 18:182</w:t>
      </w:r>
    </w:p>
    <w:p w:rsidR="006A18FD" w:rsidRDefault="002D29FC">
      <w:pPr>
        <w:spacing w:line="194" w:lineRule="exact"/>
        <w:ind w:left="152"/>
        <w:rPr>
          <w:rFonts w:ascii="Calibri"/>
          <w:sz w:val="16"/>
        </w:rPr>
      </w:pPr>
      <w:r>
        <w:rPr>
          <w:rFonts w:ascii="Calibri"/>
          <w:position w:val="5"/>
          <w:sz w:val="10"/>
        </w:rPr>
        <w:t xml:space="preserve">2 </w:t>
      </w:r>
      <w:r>
        <w:rPr>
          <w:rFonts w:ascii="Calibri"/>
          <w:sz w:val="16"/>
        </w:rPr>
        <w:t>FTND = Fagerstrom test for nicotine dependence.</w:t>
      </w:r>
    </w:p>
    <w:p w:rsidR="006A18FD" w:rsidRDefault="002D29FC">
      <w:pPr>
        <w:spacing w:line="195" w:lineRule="exact"/>
        <w:ind w:left="152"/>
        <w:rPr>
          <w:rFonts w:ascii="Calibri"/>
          <w:sz w:val="16"/>
        </w:rPr>
      </w:pPr>
      <w:r>
        <w:rPr>
          <w:rFonts w:ascii="Calibri"/>
          <w:position w:val="5"/>
          <w:sz w:val="10"/>
        </w:rPr>
        <w:t xml:space="preserve">3  </w:t>
      </w:r>
      <w:r>
        <w:rPr>
          <w:rFonts w:ascii="Calibri"/>
          <w:sz w:val="16"/>
        </w:rPr>
        <w:t>Index of Multiple Deprivation</w:t>
      </w:r>
    </w:p>
    <w:p w:rsidR="006A18FD" w:rsidRDefault="006A18FD">
      <w:pPr>
        <w:spacing w:line="195" w:lineRule="exact"/>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40" name="Line 9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498EAB" id="Group 9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5gUTin4CAAB/BQAA&#10;DgAAAAAAAAAAAAAAAAAuAgAAZHJzL2Uyb0RvYy54bWxQSwECLQAUAAYACAAAACEALXfkXNoAAAAE&#10;AQAADwAAAAAAAAAAAAAAAADYBAAAZHJzL2Rvd25yZXYueG1sUEsFBgAAAAAEAAQA8wAAAN8FAAAA&#10;AA==&#10;">
                <v:line id="Line 9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w10:anchorlock/>
              </v:group>
            </w:pict>
          </mc:Fallback>
        </mc:AlternateContent>
      </w:r>
    </w:p>
    <w:p w:rsidR="006A18FD" w:rsidRDefault="002E1E01" w:rsidP="002E1E01">
      <w:pPr>
        <w:pStyle w:val="Heading2"/>
      </w:pPr>
      <w:r>
        <w:t xml:space="preserve">8.5 </w:t>
      </w:r>
      <w:r w:rsidR="002D29FC">
        <w:t>Social</w:t>
      </w:r>
      <w:r w:rsidR="002D29FC">
        <w:rPr>
          <w:spacing w:val="-8"/>
        </w:rPr>
        <w:t xml:space="preserve"> </w:t>
      </w:r>
      <w:r w:rsidR="002D29FC">
        <w:t>prescribing</w:t>
      </w:r>
    </w:p>
    <w:p w:rsidR="006A18FD" w:rsidRDefault="002D29FC">
      <w:pPr>
        <w:spacing w:before="172" w:line="276" w:lineRule="auto"/>
        <w:ind w:left="140" w:right="279"/>
        <w:rPr>
          <w:rFonts w:ascii="Calibri"/>
          <w:sz w:val="20"/>
        </w:rPr>
      </w:pPr>
      <w:r>
        <w:rPr>
          <w:rFonts w:ascii="Calibri"/>
          <w:sz w:val="20"/>
        </w:rPr>
        <w:t xml:space="preserve">Social prescribing enables GPs, nurses and other primary care professionals to refer people to a range of local, non-clinical services. Social prescribing schemes can involve a variety of activities which are typically provided by voluntary and community sector organisations. Examples include volunteering, arts activities, group learning, gardening, befriending, cookery, healthy eating advice and a range of sports: </w:t>
      </w:r>
      <w:hyperlink r:id="rId296">
        <w:r>
          <w:rPr>
            <w:rFonts w:ascii="Calibri"/>
            <w:sz w:val="20"/>
            <w:u w:val="single"/>
          </w:rPr>
          <w:t>https://www.kingsfund.org.uk/publications/social-prescribing</w:t>
        </w:r>
        <w:r>
          <w:rPr>
            <w:rFonts w:ascii="Calibri"/>
            <w:sz w:val="20"/>
          </w:rPr>
          <w:t>.</w:t>
        </w:r>
      </w:hyperlink>
    </w:p>
    <w:p w:rsidR="006A18FD" w:rsidRDefault="002D29FC">
      <w:pPr>
        <w:spacing w:before="113" w:line="276" w:lineRule="auto"/>
        <w:ind w:left="140" w:right="325"/>
        <w:rPr>
          <w:rFonts w:ascii="Calibri"/>
          <w:sz w:val="20"/>
        </w:rPr>
      </w:pPr>
      <w:r>
        <w:rPr>
          <w:rFonts w:ascii="Calibri"/>
          <w:sz w:val="20"/>
        </w:rPr>
        <w:t>There is a growing body of evidence assessing the impact of social prescribing to healthcare demand and cost</w:t>
      </w:r>
      <w:r>
        <w:rPr>
          <w:rFonts w:ascii="Calibri"/>
          <w:sz w:val="24"/>
        </w:rPr>
        <w:t>.</w:t>
      </w:r>
      <w:r>
        <w:rPr>
          <w:rFonts w:ascii="Calibri"/>
          <w:position w:val="8"/>
          <w:sz w:val="16"/>
        </w:rPr>
        <w:t xml:space="preserve">1 </w:t>
      </w:r>
      <w:r>
        <w:rPr>
          <w:rFonts w:ascii="Calibri"/>
          <w:sz w:val="20"/>
        </w:rPr>
        <w:t xml:space="preserve">Much of the focus has been on the benefit of social prescribing where policy makers and commissioners have drawn from areas of good practice like Rotherham. In 2014, the Healthy London Partnership published evidence demonstrating the effectiveness of Social Prescribing in reducing patients use of hospital resources by a fifth in the 12 months following referral to a scheme: </w:t>
      </w:r>
      <w:hyperlink r:id="rId297">
        <w:r>
          <w:rPr>
            <w:rFonts w:ascii="Calibri"/>
            <w:sz w:val="20"/>
            <w:u w:val="single"/>
          </w:rPr>
          <w:t>http://i5health.com/SPReports/COP_Report_SP_EPP_SouthWestLondonSTP_ver2.0.pdf</w:t>
        </w:r>
        <w:r>
          <w:rPr>
            <w:rFonts w:ascii="Calibri"/>
            <w:sz w:val="20"/>
          </w:rPr>
          <w:t>.</w:t>
        </w:r>
      </w:hyperlink>
    </w:p>
    <w:p w:rsidR="006A18FD" w:rsidRDefault="002D29FC">
      <w:pPr>
        <w:spacing w:before="119" w:line="276" w:lineRule="auto"/>
        <w:ind w:left="140" w:right="205"/>
        <w:rPr>
          <w:rFonts w:ascii="Calibri" w:hAnsi="Calibri"/>
          <w:sz w:val="13"/>
        </w:rPr>
      </w:pPr>
      <w:r>
        <w:rPr>
          <w:rFonts w:ascii="Calibri" w:hAnsi="Calibri"/>
          <w:sz w:val="20"/>
        </w:rPr>
        <w:t>The Rotherham Social Prescribing pilot was commissioned by NHS Rotherham as part of a GP-led Integrated Case Management Pilot and delivered by Voluntary Action Rotherham (VAR). It received around £1m as part of a programme to provide ‘additional investment in the community’. Funded for two years from April 2012 to March 2014, it aimed to increase the capacity of GP practices to meet the non-clinical needs of their patients with long-term conditions. The five most common types of referral to funded services were for information and advice, community activity, physical activities, befriending and enabling. Twenty-four voluntary and community organisations (VCOs) received grants to deliver a menu of 31 separate social prescribing services. 1,607 patients were referred to the service.</w:t>
      </w:r>
      <w:r>
        <w:rPr>
          <w:rFonts w:ascii="Calibri" w:hAnsi="Calibri"/>
          <w:position w:val="7"/>
          <w:sz w:val="13"/>
        </w:rPr>
        <w:t>2</w:t>
      </w:r>
    </w:p>
    <w:p w:rsidR="006A18FD" w:rsidRDefault="002D29FC">
      <w:pPr>
        <w:spacing w:before="119" w:line="276" w:lineRule="auto"/>
        <w:ind w:left="140" w:right="297"/>
        <w:rPr>
          <w:rFonts w:ascii="Calibri"/>
          <w:sz w:val="20"/>
        </w:rPr>
      </w:pPr>
      <w:r>
        <w:rPr>
          <w:rFonts w:ascii="Calibri"/>
          <w:sz w:val="20"/>
        </w:rPr>
        <w:t>Table 1 provides the direct costs to the Clinical Commissioning Group of commissioning the Pilot, but excludes other costs such as for the time taken to develop the service model and consultations with GPs and voluntary sector organisations, costs to the Foundation Trust which supported the development of a complex client management system and also volunteer time.</w:t>
      </w:r>
    </w:p>
    <w:p w:rsidR="006A18FD" w:rsidRDefault="002D29FC">
      <w:pPr>
        <w:spacing w:before="120" w:line="276" w:lineRule="auto"/>
        <w:ind w:left="140" w:right="183"/>
        <w:rPr>
          <w:rFonts w:ascii="Calibri" w:hAnsi="Calibri"/>
          <w:sz w:val="20"/>
        </w:rPr>
      </w:pPr>
      <w:r>
        <w:rPr>
          <w:rFonts w:ascii="Calibri" w:hAnsi="Calibri"/>
          <w:sz w:val="20"/>
        </w:rPr>
        <w:t>Excluding the grants provided to the VCOs for delivering the social prescribing services, the average cost per person per year for those referred to the scheme was £171. Including grants to providers and additional support grants, the average cost per person referred per year was £384. The average cost per person referred on to funded voluntary care services was</w:t>
      </w:r>
    </w:p>
    <w:p w:rsidR="006A18FD" w:rsidRDefault="002D29FC">
      <w:pPr>
        <w:ind w:left="140"/>
        <w:rPr>
          <w:rFonts w:ascii="Calibri" w:hAnsi="Calibri"/>
          <w:sz w:val="20"/>
        </w:rPr>
      </w:pPr>
      <w:r>
        <w:rPr>
          <w:rFonts w:ascii="Calibri" w:hAnsi="Calibri"/>
          <w:sz w:val="20"/>
        </w:rPr>
        <w:t>£552. All costs have been uprated to 2018/2019 levels using PSS Inflators.</w:t>
      </w:r>
    </w:p>
    <w:p w:rsidR="006A18FD" w:rsidRDefault="002D29FC">
      <w:pPr>
        <w:spacing w:before="156" w:line="276" w:lineRule="auto"/>
        <w:ind w:left="140" w:right="354"/>
        <w:jc w:val="both"/>
        <w:rPr>
          <w:rFonts w:ascii="Calibri" w:hAnsi="Calibri"/>
          <w:sz w:val="20"/>
        </w:rPr>
      </w:pPr>
      <w:r>
        <w:rPr>
          <w:rFonts w:ascii="Calibri" w:hAnsi="Calibri"/>
          <w:sz w:val="20"/>
        </w:rPr>
        <w:t>A</w:t>
      </w:r>
      <w:r>
        <w:rPr>
          <w:rFonts w:ascii="Calibri" w:hAnsi="Calibri"/>
          <w:spacing w:val="-3"/>
          <w:sz w:val="20"/>
        </w:rPr>
        <w:t xml:space="preserve"> </w:t>
      </w:r>
      <w:r>
        <w:rPr>
          <w:rFonts w:ascii="Calibri" w:hAnsi="Calibri"/>
          <w:sz w:val="20"/>
        </w:rPr>
        <w:t>number</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positive</w:t>
      </w:r>
      <w:r>
        <w:rPr>
          <w:rFonts w:ascii="Calibri" w:hAnsi="Calibri"/>
          <w:spacing w:val="-3"/>
          <w:sz w:val="20"/>
        </w:rPr>
        <w:t xml:space="preserve"> </w:t>
      </w:r>
      <w:r>
        <w:rPr>
          <w:rFonts w:ascii="Calibri" w:hAnsi="Calibri"/>
          <w:sz w:val="20"/>
        </w:rPr>
        <w:t>economic</w:t>
      </w:r>
      <w:r>
        <w:rPr>
          <w:rFonts w:ascii="Calibri" w:hAnsi="Calibri"/>
          <w:spacing w:val="-3"/>
          <w:sz w:val="20"/>
        </w:rPr>
        <w:t xml:space="preserve"> </w:t>
      </w:r>
      <w:r>
        <w:rPr>
          <w:rFonts w:ascii="Calibri" w:hAnsi="Calibri"/>
          <w:sz w:val="20"/>
        </w:rPr>
        <w:t>benefits</w:t>
      </w:r>
      <w:r>
        <w:rPr>
          <w:rFonts w:ascii="Calibri" w:hAnsi="Calibri"/>
          <w:spacing w:val="-4"/>
          <w:sz w:val="20"/>
        </w:rPr>
        <w:t xml:space="preserve"> </w:t>
      </w:r>
      <w:r>
        <w:rPr>
          <w:rFonts w:ascii="Calibri" w:hAnsi="Calibri"/>
          <w:sz w:val="20"/>
        </w:rPr>
        <w:t>to</w:t>
      </w:r>
      <w:r>
        <w:rPr>
          <w:rFonts w:ascii="Calibri" w:hAnsi="Calibri"/>
          <w:spacing w:val="-2"/>
          <w:sz w:val="20"/>
        </w:rPr>
        <w:t xml:space="preserve"> </w:t>
      </w:r>
      <w:r>
        <w:rPr>
          <w:rFonts w:ascii="Calibri" w:hAnsi="Calibri"/>
          <w:sz w:val="20"/>
        </w:rPr>
        <w:t>commissioners</w:t>
      </w:r>
      <w:r>
        <w:rPr>
          <w:rFonts w:ascii="Calibri" w:hAnsi="Calibri"/>
          <w:spacing w:val="-4"/>
          <w:sz w:val="20"/>
        </w:rPr>
        <w:t xml:space="preserve"> </w:t>
      </w:r>
      <w:r>
        <w:rPr>
          <w:rFonts w:ascii="Calibri" w:hAnsi="Calibri"/>
          <w:sz w:val="20"/>
        </w:rPr>
        <w:t>linked</w:t>
      </w:r>
      <w:r>
        <w:rPr>
          <w:rFonts w:ascii="Calibri" w:hAnsi="Calibri"/>
          <w:spacing w:val="-2"/>
          <w:sz w:val="20"/>
        </w:rPr>
        <w:t xml:space="preserve"> </w:t>
      </w:r>
      <w:r>
        <w:rPr>
          <w:rFonts w:ascii="Calibri" w:hAnsi="Calibri"/>
          <w:sz w:val="20"/>
        </w:rPr>
        <w:t>to</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Social</w:t>
      </w:r>
      <w:r>
        <w:rPr>
          <w:rFonts w:ascii="Calibri" w:hAnsi="Calibri"/>
          <w:spacing w:val="-3"/>
          <w:sz w:val="20"/>
        </w:rPr>
        <w:t xml:space="preserve"> </w:t>
      </w:r>
      <w:r>
        <w:rPr>
          <w:rFonts w:ascii="Calibri" w:hAnsi="Calibri"/>
          <w:sz w:val="20"/>
        </w:rPr>
        <w:t>Prescribing</w:t>
      </w:r>
      <w:r>
        <w:rPr>
          <w:rFonts w:ascii="Calibri" w:hAnsi="Calibri"/>
          <w:spacing w:val="-3"/>
          <w:sz w:val="20"/>
        </w:rPr>
        <w:t xml:space="preserve"> </w:t>
      </w:r>
      <w:r>
        <w:rPr>
          <w:rFonts w:ascii="Calibri" w:hAnsi="Calibri"/>
          <w:sz w:val="20"/>
        </w:rPr>
        <w:t>Pilot</w:t>
      </w:r>
      <w:r>
        <w:rPr>
          <w:rFonts w:ascii="Calibri" w:hAnsi="Calibri"/>
          <w:spacing w:val="-2"/>
          <w:sz w:val="20"/>
        </w:rPr>
        <w:t xml:space="preserve"> </w:t>
      </w:r>
      <w:r>
        <w:rPr>
          <w:rFonts w:ascii="Calibri" w:hAnsi="Calibri"/>
          <w:sz w:val="20"/>
        </w:rPr>
        <w:t>were</w:t>
      </w:r>
      <w:r>
        <w:rPr>
          <w:rFonts w:ascii="Calibri" w:hAnsi="Calibri"/>
          <w:spacing w:val="-3"/>
          <w:sz w:val="20"/>
        </w:rPr>
        <w:t xml:space="preserve"> </w:t>
      </w:r>
      <w:r>
        <w:rPr>
          <w:rFonts w:ascii="Calibri" w:hAnsi="Calibri"/>
          <w:sz w:val="20"/>
        </w:rPr>
        <w:t>estimated:</w:t>
      </w:r>
      <w:r>
        <w:rPr>
          <w:rFonts w:ascii="Calibri" w:hAnsi="Calibri"/>
          <w:spacing w:val="-3"/>
          <w:sz w:val="20"/>
        </w:rPr>
        <w:t xml:space="preserve"> </w:t>
      </w:r>
      <w:r>
        <w:rPr>
          <w:rFonts w:ascii="Calibri" w:hAnsi="Calibri"/>
          <w:sz w:val="20"/>
        </w:rPr>
        <w:t>total</w:t>
      </w:r>
      <w:r>
        <w:rPr>
          <w:rFonts w:ascii="Calibri" w:hAnsi="Calibri"/>
          <w:spacing w:val="-2"/>
          <w:sz w:val="20"/>
        </w:rPr>
        <w:t xml:space="preserve"> </w:t>
      </w:r>
      <w:r>
        <w:rPr>
          <w:rFonts w:ascii="Calibri" w:hAnsi="Calibri"/>
          <w:sz w:val="20"/>
        </w:rPr>
        <w:t>NHS cost reductions by the end of the pilot of £552,000; a return on investment of 50 pence for each pound (£1) invested and potential</w:t>
      </w:r>
      <w:r>
        <w:rPr>
          <w:rFonts w:ascii="Calibri" w:hAnsi="Calibri"/>
          <w:spacing w:val="-2"/>
          <w:sz w:val="20"/>
        </w:rPr>
        <w:t xml:space="preserve"> </w:t>
      </w:r>
      <w:r>
        <w:rPr>
          <w:rFonts w:ascii="Calibri" w:hAnsi="Calibri"/>
          <w:sz w:val="20"/>
        </w:rPr>
        <w:t>NHS</w:t>
      </w:r>
      <w:r>
        <w:rPr>
          <w:rFonts w:ascii="Calibri" w:hAnsi="Calibri"/>
          <w:spacing w:val="-3"/>
          <w:sz w:val="20"/>
        </w:rPr>
        <w:t xml:space="preserve"> </w:t>
      </w:r>
      <w:r>
        <w:rPr>
          <w:rFonts w:ascii="Calibri" w:hAnsi="Calibri"/>
          <w:sz w:val="20"/>
        </w:rPr>
        <w:t>cost</w:t>
      </w:r>
      <w:r>
        <w:rPr>
          <w:rFonts w:ascii="Calibri" w:hAnsi="Calibri"/>
          <w:spacing w:val="-2"/>
          <w:sz w:val="20"/>
        </w:rPr>
        <w:t xml:space="preserve"> </w:t>
      </w:r>
      <w:r>
        <w:rPr>
          <w:rFonts w:ascii="Calibri" w:hAnsi="Calibri"/>
          <w:sz w:val="20"/>
        </w:rPr>
        <w:t>reductions</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£415,000</w:t>
      </w:r>
      <w:r>
        <w:rPr>
          <w:rFonts w:ascii="Calibri" w:hAnsi="Calibri"/>
          <w:spacing w:val="-3"/>
          <w:sz w:val="20"/>
        </w:rPr>
        <w:t xml:space="preserve"> </w:t>
      </w:r>
      <w:r>
        <w:rPr>
          <w:rFonts w:ascii="Calibri" w:hAnsi="Calibri"/>
          <w:sz w:val="20"/>
        </w:rPr>
        <w:t>in</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first</w:t>
      </w:r>
      <w:r>
        <w:rPr>
          <w:rFonts w:ascii="Calibri" w:hAnsi="Calibri"/>
          <w:spacing w:val="-2"/>
          <w:sz w:val="20"/>
        </w:rPr>
        <w:t xml:space="preserve"> </w:t>
      </w:r>
      <w:r>
        <w:rPr>
          <w:rFonts w:ascii="Calibri" w:hAnsi="Calibri"/>
          <w:sz w:val="20"/>
        </w:rPr>
        <w:t>year</w:t>
      </w:r>
      <w:r>
        <w:rPr>
          <w:rFonts w:ascii="Calibri" w:hAnsi="Calibri"/>
          <w:spacing w:val="-2"/>
          <w:sz w:val="20"/>
        </w:rPr>
        <w:t xml:space="preserve"> </w:t>
      </w:r>
      <w:r>
        <w:rPr>
          <w:rFonts w:ascii="Calibri" w:hAnsi="Calibri"/>
          <w:sz w:val="20"/>
        </w:rPr>
        <w:t>post-referral</w:t>
      </w:r>
      <w:r>
        <w:rPr>
          <w:rFonts w:ascii="Calibri" w:hAnsi="Calibri"/>
          <w:spacing w:val="-2"/>
          <w:sz w:val="20"/>
        </w:rPr>
        <w:t xml:space="preserve"> </w:t>
      </w:r>
      <w:r>
        <w:rPr>
          <w:rFonts w:ascii="Calibri" w:hAnsi="Calibri"/>
          <w:sz w:val="20"/>
        </w:rPr>
        <w:t>when</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service</w:t>
      </w:r>
      <w:r>
        <w:rPr>
          <w:rFonts w:ascii="Calibri" w:hAnsi="Calibri"/>
          <w:spacing w:val="-1"/>
          <w:sz w:val="20"/>
        </w:rPr>
        <w:t xml:space="preserve"> </w:t>
      </w:r>
      <w:r>
        <w:rPr>
          <w:rFonts w:ascii="Calibri" w:hAnsi="Calibri"/>
          <w:sz w:val="20"/>
        </w:rPr>
        <w:t>was</w:t>
      </w:r>
      <w:r>
        <w:rPr>
          <w:rFonts w:ascii="Calibri" w:hAnsi="Calibri"/>
          <w:spacing w:val="-3"/>
          <w:sz w:val="20"/>
        </w:rPr>
        <w:t xml:space="preserve"> </w:t>
      </w:r>
      <w:r>
        <w:rPr>
          <w:rFonts w:ascii="Calibri" w:hAnsi="Calibri"/>
          <w:sz w:val="20"/>
        </w:rPr>
        <w:t>running</w:t>
      </w:r>
      <w:r>
        <w:rPr>
          <w:rFonts w:ascii="Calibri" w:hAnsi="Calibri"/>
          <w:spacing w:val="-3"/>
          <w:sz w:val="20"/>
        </w:rPr>
        <w:t xml:space="preserve"> </w:t>
      </w:r>
      <w:r>
        <w:rPr>
          <w:rFonts w:ascii="Calibri" w:hAnsi="Calibri"/>
          <w:sz w:val="20"/>
        </w:rPr>
        <w:t>at</w:t>
      </w:r>
      <w:r>
        <w:rPr>
          <w:rFonts w:ascii="Calibri" w:hAnsi="Calibri"/>
          <w:spacing w:val="-2"/>
          <w:sz w:val="20"/>
        </w:rPr>
        <w:t xml:space="preserve"> </w:t>
      </w:r>
      <w:r>
        <w:rPr>
          <w:rFonts w:ascii="Calibri" w:hAnsi="Calibri"/>
          <w:sz w:val="20"/>
        </w:rPr>
        <w:t>full</w:t>
      </w:r>
      <w:r>
        <w:rPr>
          <w:rFonts w:ascii="Calibri" w:hAnsi="Calibri"/>
          <w:spacing w:val="-2"/>
          <w:sz w:val="20"/>
        </w:rPr>
        <w:t xml:space="preserve"> </w:t>
      </w:r>
      <w:r>
        <w:rPr>
          <w:rFonts w:ascii="Calibri" w:hAnsi="Calibri"/>
          <w:sz w:val="20"/>
        </w:rPr>
        <w:t>capacity.</w:t>
      </w:r>
    </w:p>
    <w:p w:rsidR="006A18FD" w:rsidRDefault="002D29FC">
      <w:pPr>
        <w:spacing w:before="119" w:line="276" w:lineRule="auto"/>
        <w:ind w:left="140" w:right="195"/>
        <w:rPr>
          <w:rFonts w:ascii="Calibri" w:hAnsi="Calibri"/>
          <w:sz w:val="20"/>
        </w:rPr>
      </w:pPr>
      <w:r>
        <w:rPr>
          <w:rFonts w:ascii="Calibri" w:hAnsi="Calibri"/>
          <w:sz w:val="20"/>
        </w:rPr>
        <w:t>If the benefits identified were fully sustained over a longer period, the authors estimated that the costs of delivering the service for a year would be recouped after between 18 and 24 months and the five year cost reductions for commissioners for each full year of service delivery could be as high as £1.9 million: a return on investment of £3.38 for each pound (£1) invested. The authors also estimated that even if the benefits were sustained but dropped off at a rate of 33 per cent each year, they could lead to total cost reductions of £807,000; a return on investment of £1.41 for each pound (£1) invested.</w:t>
      </w:r>
    </w:p>
    <w:p w:rsidR="006A18FD" w:rsidRDefault="002D29FC">
      <w:pPr>
        <w:spacing w:before="117"/>
        <w:ind w:left="140"/>
        <w:rPr>
          <w:rFonts w:ascii="Calibri"/>
          <w:sz w:val="20"/>
        </w:rPr>
      </w:pPr>
      <w:r>
        <w:rPr>
          <w:rFonts w:ascii="Calibri"/>
          <w:sz w:val="20"/>
        </w:rPr>
        <w:t>See also an evaluation of a Social Prescribing Service set in Doncaster</w:t>
      </w:r>
      <w:r>
        <w:rPr>
          <w:rFonts w:ascii="Calibri"/>
          <w:position w:val="7"/>
          <w:sz w:val="13"/>
        </w:rPr>
        <w:t xml:space="preserve">3 </w:t>
      </w:r>
      <w:r>
        <w:rPr>
          <w:rFonts w:ascii="Calibri"/>
          <w:sz w:val="20"/>
        </w:rPr>
        <w:t>for cost information on a different service.</w:t>
      </w:r>
    </w:p>
    <w:p w:rsidR="006A18FD" w:rsidRDefault="002D29FC">
      <w:pPr>
        <w:spacing w:before="157"/>
        <w:ind w:left="140"/>
        <w:rPr>
          <w:rFonts w:ascii="Calibri"/>
          <w:b/>
          <w:sz w:val="20"/>
        </w:rPr>
      </w:pPr>
      <w:r>
        <w:rPr>
          <w:rFonts w:ascii="Calibri"/>
          <w:b/>
          <w:sz w:val="20"/>
        </w:rPr>
        <w:t>Table 1 Overview of Social Prescribing Pilot (Inputs).</w:t>
      </w:r>
    </w:p>
    <w:p w:rsidR="006A18FD" w:rsidRDefault="006A18FD">
      <w:pPr>
        <w:spacing w:before="8" w:after="1"/>
        <w:rPr>
          <w:rFonts w:ascii="Calibri"/>
          <w:b/>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844"/>
        <w:gridCol w:w="1702"/>
        <w:gridCol w:w="1702"/>
        <w:gridCol w:w="1700"/>
      </w:tblGrid>
      <w:tr w:rsidR="006A18FD" w:rsidTr="00E2663F">
        <w:trPr>
          <w:trHeight w:val="480"/>
          <w:tblHeader/>
        </w:trPr>
        <w:tc>
          <w:tcPr>
            <w:tcW w:w="2405" w:type="dxa"/>
          </w:tcPr>
          <w:p w:rsidR="006A18FD" w:rsidRDefault="006A18FD">
            <w:pPr>
              <w:rPr>
                <w:rFonts w:ascii="Times New Roman"/>
                <w:sz w:val="18"/>
              </w:rPr>
            </w:pPr>
          </w:p>
        </w:tc>
        <w:tc>
          <w:tcPr>
            <w:tcW w:w="1844" w:type="dxa"/>
          </w:tcPr>
          <w:p w:rsidR="006A18FD" w:rsidRDefault="002D29FC">
            <w:pPr>
              <w:spacing w:before="1"/>
              <w:ind w:left="103"/>
              <w:rPr>
                <w:rFonts w:ascii="Calibri"/>
                <w:b/>
                <w:sz w:val="20"/>
              </w:rPr>
            </w:pPr>
            <w:r>
              <w:rPr>
                <w:rFonts w:ascii="Calibri"/>
                <w:b/>
                <w:sz w:val="20"/>
              </w:rPr>
              <w:t>Year 1</w:t>
            </w:r>
          </w:p>
        </w:tc>
        <w:tc>
          <w:tcPr>
            <w:tcW w:w="1702" w:type="dxa"/>
          </w:tcPr>
          <w:p w:rsidR="006A18FD" w:rsidRDefault="002D29FC">
            <w:pPr>
              <w:spacing w:before="1"/>
              <w:ind w:left="102"/>
              <w:rPr>
                <w:rFonts w:ascii="Calibri"/>
                <w:b/>
                <w:sz w:val="20"/>
              </w:rPr>
            </w:pPr>
            <w:r>
              <w:rPr>
                <w:rFonts w:ascii="Calibri"/>
                <w:b/>
                <w:sz w:val="20"/>
              </w:rPr>
              <w:t>Year 2</w:t>
            </w:r>
          </w:p>
        </w:tc>
        <w:tc>
          <w:tcPr>
            <w:tcW w:w="1702" w:type="dxa"/>
          </w:tcPr>
          <w:p w:rsidR="006A18FD" w:rsidRDefault="002D29FC">
            <w:pPr>
              <w:spacing w:before="1"/>
              <w:ind w:left="102"/>
              <w:rPr>
                <w:rFonts w:ascii="Calibri"/>
                <w:b/>
                <w:sz w:val="20"/>
              </w:rPr>
            </w:pPr>
            <w:r>
              <w:rPr>
                <w:rFonts w:ascii="Calibri"/>
                <w:b/>
                <w:sz w:val="20"/>
              </w:rPr>
              <w:t>Total</w:t>
            </w:r>
          </w:p>
        </w:tc>
        <w:tc>
          <w:tcPr>
            <w:tcW w:w="1700" w:type="dxa"/>
          </w:tcPr>
          <w:p w:rsidR="006A18FD" w:rsidRDefault="002D29FC">
            <w:pPr>
              <w:spacing w:before="1" w:line="240" w:lineRule="atLeast"/>
              <w:ind w:left="134" w:right="115" w:firstLine="57"/>
              <w:rPr>
                <w:rFonts w:ascii="Calibri"/>
                <w:b/>
                <w:sz w:val="20"/>
              </w:rPr>
            </w:pPr>
            <w:r>
              <w:rPr>
                <w:rFonts w:ascii="Calibri"/>
                <w:b/>
                <w:sz w:val="20"/>
              </w:rPr>
              <w:t>Cost per person referred per year</w:t>
            </w:r>
          </w:p>
        </w:tc>
      </w:tr>
      <w:tr w:rsidR="006A18FD">
        <w:trPr>
          <w:trHeight w:val="479"/>
        </w:trPr>
        <w:tc>
          <w:tcPr>
            <w:tcW w:w="2405" w:type="dxa"/>
          </w:tcPr>
          <w:p w:rsidR="006A18FD" w:rsidRDefault="002D29FC">
            <w:pPr>
              <w:spacing w:line="242" w:lineRule="exact"/>
              <w:ind w:left="103"/>
              <w:rPr>
                <w:rFonts w:ascii="Calibri"/>
                <w:sz w:val="20"/>
              </w:rPr>
            </w:pPr>
            <w:r>
              <w:rPr>
                <w:rFonts w:ascii="Calibri"/>
                <w:sz w:val="20"/>
              </w:rPr>
              <w:t>Grants to providers and</w:t>
            </w:r>
          </w:p>
          <w:p w:rsidR="006A18FD" w:rsidRDefault="002D29FC">
            <w:pPr>
              <w:spacing w:line="223" w:lineRule="exact"/>
              <w:ind w:left="103"/>
              <w:rPr>
                <w:rFonts w:ascii="Calibri"/>
                <w:sz w:val="20"/>
              </w:rPr>
            </w:pPr>
            <w:r>
              <w:rPr>
                <w:rFonts w:ascii="Calibri"/>
                <w:sz w:val="20"/>
              </w:rPr>
              <w:t>additional support grants</w:t>
            </w:r>
          </w:p>
        </w:tc>
        <w:tc>
          <w:tcPr>
            <w:tcW w:w="1844" w:type="dxa"/>
          </w:tcPr>
          <w:p w:rsidR="006A18FD" w:rsidRDefault="002D29FC">
            <w:pPr>
              <w:spacing w:line="242" w:lineRule="exact"/>
              <w:ind w:right="103"/>
              <w:jc w:val="right"/>
              <w:rPr>
                <w:rFonts w:ascii="Calibri" w:hAnsi="Calibri"/>
                <w:sz w:val="20"/>
              </w:rPr>
            </w:pPr>
            <w:r>
              <w:rPr>
                <w:rFonts w:ascii="Calibri" w:hAnsi="Calibri"/>
                <w:sz w:val="20"/>
              </w:rPr>
              <w:t>£352,757</w:t>
            </w:r>
          </w:p>
        </w:tc>
        <w:tc>
          <w:tcPr>
            <w:tcW w:w="1702" w:type="dxa"/>
          </w:tcPr>
          <w:p w:rsidR="006A18FD" w:rsidRDefault="002D29FC">
            <w:pPr>
              <w:spacing w:line="242" w:lineRule="exact"/>
              <w:ind w:right="103"/>
              <w:jc w:val="right"/>
              <w:rPr>
                <w:rFonts w:ascii="Calibri" w:hAnsi="Calibri"/>
                <w:sz w:val="20"/>
              </w:rPr>
            </w:pPr>
            <w:r>
              <w:rPr>
                <w:rFonts w:ascii="Calibri" w:hAnsi="Calibri"/>
                <w:sz w:val="20"/>
              </w:rPr>
              <w:t>£330,459</w:t>
            </w:r>
          </w:p>
        </w:tc>
        <w:tc>
          <w:tcPr>
            <w:tcW w:w="1702" w:type="dxa"/>
          </w:tcPr>
          <w:p w:rsidR="006A18FD" w:rsidRDefault="002D29FC">
            <w:pPr>
              <w:spacing w:line="242" w:lineRule="exact"/>
              <w:ind w:right="103"/>
              <w:jc w:val="right"/>
              <w:rPr>
                <w:rFonts w:ascii="Calibri" w:hAnsi="Calibri"/>
                <w:sz w:val="20"/>
              </w:rPr>
            </w:pPr>
            <w:r>
              <w:rPr>
                <w:rFonts w:ascii="Calibri" w:hAnsi="Calibri"/>
                <w:sz w:val="20"/>
              </w:rPr>
              <w:t>£683,216</w:t>
            </w:r>
          </w:p>
        </w:tc>
        <w:tc>
          <w:tcPr>
            <w:tcW w:w="1700" w:type="dxa"/>
          </w:tcPr>
          <w:p w:rsidR="006A18FD" w:rsidRDefault="002D29FC">
            <w:pPr>
              <w:spacing w:line="242" w:lineRule="exact"/>
              <w:ind w:right="101"/>
              <w:jc w:val="right"/>
              <w:rPr>
                <w:rFonts w:ascii="Calibri" w:hAnsi="Calibri"/>
                <w:sz w:val="20"/>
              </w:rPr>
            </w:pPr>
            <w:r>
              <w:rPr>
                <w:rFonts w:ascii="Calibri" w:hAnsi="Calibri"/>
                <w:sz w:val="20"/>
              </w:rPr>
              <w:t>£212</w:t>
            </w:r>
          </w:p>
        </w:tc>
      </w:tr>
      <w:tr w:rsidR="006A18FD">
        <w:trPr>
          <w:trHeight w:val="240"/>
        </w:trPr>
        <w:tc>
          <w:tcPr>
            <w:tcW w:w="2405" w:type="dxa"/>
          </w:tcPr>
          <w:p w:rsidR="006A18FD" w:rsidRDefault="002D29FC">
            <w:pPr>
              <w:spacing w:before="1" w:line="223" w:lineRule="exact"/>
              <w:ind w:left="103"/>
              <w:rPr>
                <w:rFonts w:ascii="Calibri"/>
                <w:sz w:val="20"/>
              </w:rPr>
            </w:pPr>
            <w:r>
              <w:rPr>
                <w:rFonts w:ascii="Calibri"/>
                <w:sz w:val="20"/>
              </w:rPr>
              <w:t>Salaries and overheads</w:t>
            </w:r>
          </w:p>
        </w:tc>
        <w:tc>
          <w:tcPr>
            <w:tcW w:w="1844" w:type="dxa"/>
          </w:tcPr>
          <w:p w:rsidR="006A18FD" w:rsidRDefault="002D29FC">
            <w:pPr>
              <w:spacing w:before="1" w:line="223" w:lineRule="exact"/>
              <w:ind w:right="103"/>
              <w:jc w:val="right"/>
              <w:rPr>
                <w:rFonts w:ascii="Calibri" w:hAnsi="Calibri"/>
                <w:sz w:val="20"/>
              </w:rPr>
            </w:pPr>
            <w:r>
              <w:rPr>
                <w:rFonts w:ascii="Calibri" w:hAnsi="Calibri"/>
                <w:sz w:val="20"/>
              </w:rPr>
              <w:t>£243,647</w:t>
            </w:r>
          </w:p>
        </w:tc>
        <w:tc>
          <w:tcPr>
            <w:tcW w:w="1702" w:type="dxa"/>
          </w:tcPr>
          <w:p w:rsidR="006A18FD" w:rsidRDefault="002D29FC">
            <w:pPr>
              <w:spacing w:before="1" w:line="223" w:lineRule="exact"/>
              <w:ind w:right="103"/>
              <w:jc w:val="right"/>
              <w:rPr>
                <w:rFonts w:ascii="Calibri" w:hAnsi="Calibri"/>
                <w:sz w:val="20"/>
              </w:rPr>
            </w:pPr>
            <w:r>
              <w:rPr>
                <w:rFonts w:ascii="Calibri" w:hAnsi="Calibri"/>
                <w:sz w:val="20"/>
              </w:rPr>
              <w:t>£307,697</w:t>
            </w:r>
          </w:p>
        </w:tc>
        <w:tc>
          <w:tcPr>
            <w:tcW w:w="1702" w:type="dxa"/>
          </w:tcPr>
          <w:p w:rsidR="006A18FD" w:rsidRDefault="002D29FC">
            <w:pPr>
              <w:spacing w:before="1" w:line="223" w:lineRule="exact"/>
              <w:ind w:right="103"/>
              <w:jc w:val="right"/>
              <w:rPr>
                <w:rFonts w:ascii="Calibri" w:hAnsi="Calibri"/>
                <w:sz w:val="20"/>
              </w:rPr>
            </w:pPr>
            <w:r>
              <w:rPr>
                <w:rFonts w:ascii="Calibri" w:hAnsi="Calibri"/>
                <w:sz w:val="20"/>
              </w:rPr>
              <w:t>£551,344</w:t>
            </w:r>
          </w:p>
        </w:tc>
        <w:tc>
          <w:tcPr>
            <w:tcW w:w="1700" w:type="dxa"/>
          </w:tcPr>
          <w:p w:rsidR="006A18FD" w:rsidRDefault="002D29FC">
            <w:pPr>
              <w:spacing w:before="1" w:line="223" w:lineRule="exact"/>
              <w:ind w:right="101"/>
              <w:jc w:val="right"/>
              <w:rPr>
                <w:rFonts w:ascii="Calibri" w:hAnsi="Calibri"/>
                <w:sz w:val="20"/>
              </w:rPr>
            </w:pPr>
            <w:r>
              <w:rPr>
                <w:rFonts w:ascii="Calibri" w:hAnsi="Calibri"/>
                <w:sz w:val="20"/>
              </w:rPr>
              <w:t>£171</w:t>
            </w:r>
          </w:p>
        </w:tc>
      </w:tr>
      <w:tr w:rsidR="006A18FD">
        <w:trPr>
          <w:trHeight w:val="240"/>
        </w:trPr>
        <w:tc>
          <w:tcPr>
            <w:tcW w:w="2405" w:type="dxa"/>
          </w:tcPr>
          <w:p w:rsidR="006A18FD" w:rsidRDefault="002D29FC">
            <w:pPr>
              <w:spacing w:before="1" w:line="223" w:lineRule="exact"/>
              <w:ind w:left="103"/>
              <w:rPr>
                <w:rFonts w:ascii="Calibri"/>
                <w:b/>
                <w:sz w:val="20"/>
              </w:rPr>
            </w:pPr>
            <w:r>
              <w:rPr>
                <w:rFonts w:ascii="Calibri"/>
                <w:b/>
                <w:sz w:val="20"/>
              </w:rPr>
              <w:t>Total</w:t>
            </w:r>
          </w:p>
        </w:tc>
        <w:tc>
          <w:tcPr>
            <w:tcW w:w="1844" w:type="dxa"/>
          </w:tcPr>
          <w:p w:rsidR="006A18FD" w:rsidRDefault="002D29FC">
            <w:pPr>
              <w:spacing w:before="1" w:line="223" w:lineRule="exact"/>
              <w:ind w:right="103"/>
              <w:jc w:val="right"/>
              <w:rPr>
                <w:rFonts w:ascii="Calibri" w:hAnsi="Calibri"/>
                <w:b/>
                <w:sz w:val="20"/>
              </w:rPr>
            </w:pPr>
            <w:r>
              <w:rPr>
                <w:rFonts w:ascii="Calibri" w:hAnsi="Calibri"/>
                <w:b/>
                <w:sz w:val="20"/>
              </w:rPr>
              <w:t>£596,404</w:t>
            </w:r>
          </w:p>
        </w:tc>
        <w:tc>
          <w:tcPr>
            <w:tcW w:w="1702" w:type="dxa"/>
          </w:tcPr>
          <w:p w:rsidR="006A18FD" w:rsidRDefault="002D29FC">
            <w:pPr>
              <w:spacing w:before="1" w:line="223" w:lineRule="exact"/>
              <w:ind w:right="103"/>
              <w:jc w:val="right"/>
              <w:rPr>
                <w:rFonts w:ascii="Calibri" w:hAnsi="Calibri"/>
                <w:b/>
                <w:sz w:val="20"/>
              </w:rPr>
            </w:pPr>
            <w:r>
              <w:rPr>
                <w:rFonts w:ascii="Calibri" w:hAnsi="Calibri"/>
                <w:b/>
                <w:sz w:val="20"/>
              </w:rPr>
              <w:t>£638,156</w:t>
            </w:r>
          </w:p>
        </w:tc>
        <w:tc>
          <w:tcPr>
            <w:tcW w:w="1702" w:type="dxa"/>
          </w:tcPr>
          <w:p w:rsidR="006A18FD" w:rsidRDefault="002D29FC">
            <w:pPr>
              <w:spacing w:before="1" w:line="223" w:lineRule="exact"/>
              <w:ind w:right="103"/>
              <w:jc w:val="right"/>
              <w:rPr>
                <w:rFonts w:ascii="Calibri" w:hAnsi="Calibri"/>
                <w:b/>
                <w:sz w:val="20"/>
              </w:rPr>
            </w:pPr>
            <w:r>
              <w:rPr>
                <w:rFonts w:ascii="Calibri" w:hAnsi="Calibri"/>
                <w:b/>
                <w:sz w:val="20"/>
              </w:rPr>
              <w:t>£1,234,560</w:t>
            </w:r>
          </w:p>
        </w:tc>
        <w:tc>
          <w:tcPr>
            <w:tcW w:w="1700" w:type="dxa"/>
          </w:tcPr>
          <w:p w:rsidR="006A18FD" w:rsidRDefault="002D29FC">
            <w:pPr>
              <w:spacing w:before="1" w:line="223" w:lineRule="exact"/>
              <w:ind w:right="101"/>
              <w:jc w:val="right"/>
              <w:rPr>
                <w:rFonts w:ascii="Calibri" w:hAnsi="Calibri"/>
                <w:b/>
                <w:sz w:val="20"/>
              </w:rPr>
            </w:pPr>
            <w:r>
              <w:rPr>
                <w:rFonts w:ascii="Calibri" w:hAnsi="Calibri"/>
                <w:b/>
                <w:sz w:val="20"/>
              </w:rPr>
              <w:t>£384</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10"/>
        <w:rPr>
          <w:rFonts w:ascii="Calibri"/>
          <w:b/>
          <w:sz w:val="25"/>
        </w:rPr>
      </w:pPr>
    </w:p>
    <w:p w:rsidR="006A18FD" w:rsidRDefault="002D29FC">
      <w:pPr>
        <w:ind w:left="423" w:right="195" w:hanging="284"/>
        <w:rPr>
          <w:rFonts w:ascii="Calibri"/>
          <w:sz w:val="16"/>
        </w:rPr>
      </w:pPr>
      <w:r>
        <w:rPr>
          <w:rFonts w:ascii="Calibri"/>
          <w:position w:val="5"/>
          <w:sz w:val="10"/>
        </w:rPr>
        <w:t xml:space="preserve">1 </w:t>
      </w:r>
      <w:r>
        <w:rPr>
          <w:rFonts w:ascii="Calibri"/>
          <w:sz w:val="16"/>
        </w:rPr>
        <w:t xml:space="preserve">Polley, M., Bertotti, M. Kimberlee, R., Pilkinton, K., &amp; Refsum, C. (2017) </w:t>
      </w:r>
      <w:r>
        <w:rPr>
          <w:rFonts w:ascii="Calibri"/>
          <w:i/>
          <w:sz w:val="16"/>
        </w:rPr>
        <w:t>A review of the evidence assessing impact of social prescribing on healthcare demand and cost implications</w:t>
      </w:r>
      <w:r>
        <w:rPr>
          <w:rFonts w:ascii="Calibri"/>
          <w:sz w:val="16"/>
        </w:rPr>
        <w:t>, University of Westminster.</w:t>
      </w:r>
    </w:p>
    <w:p w:rsidR="006A18FD" w:rsidRDefault="002D29FC">
      <w:pPr>
        <w:ind w:left="423" w:right="425" w:hanging="284"/>
        <w:rPr>
          <w:rFonts w:ascii="Calibri"/>
          <w:sz w:val="16"/>
        </w:rPr>
      </w:pPr>
      <w:r>
        <w:rPr>
          <w:rFonts w:ascii="Calibri"/>
          <w:position w:val="5"/>
          <w:sz w:val="10"/>
        </w:rPr>
        <w:t xml:space="preserve">2 </w:t>
      </w:r>
      <w:r>
        <w:rPr>
          <w:rFonts w:ascii="Calibri"/>
          <w:sz w:val="16"/>
        </w:rPr>
        <w:t xml:space="preserve">Dayson, C. &amp; Bashir, N. (2014) The social and economic impact of the Rotherham Social Prescribing Pilot: Main Evaluation Report, Centre for Regional Economic Research, Sheffield Hallam University, Sheffield. </w:t>
      </w:r>
      <w:hyperlink r:id="rId298">
        <w:r>
          <w:rPr>
            <w:rFonts w:ascii="Calibri"/>
            <w:sz w:val="16"/>
            <w:u w:val="single"/>
          </w:rPr>
          <w:t>https://www4.shu.ac.uk/research/cresr/sites/shu.ac.uk/files/social-economic-impact-</w:t>
        </w:r>
      </w:hyperlink>
      <w:r>
        <w:rPr>
          <w:rFonts w:ascii="Calibri"/>
          <w:sz w:val="16"/>
        </w:rPr>
        <w:t xml:space="preserve"> </w:t>
      </w:r>
      <w:hyperlink r:id="rId299">
        <w:r>
          <w:rPr>
            <w:rFonts w:ascii="Calibri"/>
            <w:sz w:val="16"/>
            <w:u w:val="single"/>
          </w:rPr>
          <w:t>rotherham.pdf</w:t>
        </w:r>
        <w:r>
          <w:rPr>
            <w:rFonts w:ascii="Calibri"/>
            <w:sz w:val="16"/>
          </w:rPr>
          <w:t>.</w:t>
        </w:r>
      </w:hyperlink>
    </w:p>
    <w:p w:rsidR="006A18FD" w:rsidRDefault="002D29FC">
      <w:pPr>
        <w:ind w:left="423" w:right="382" w:hanging="284"/>
        <w:rPr>
          <w:rFonts w:ascii="Calibri"/>
          <w:sz w:val="16"/>
        </w:rPr>
      </w:pPr>
      <w:r>
        <w:rPr>
          <w:rFonts w:ascii="Calibri"/>
          <w:position w:val="5"/>
          <w:sz w:val="10"/>
        </w:rPr>
        <w:t xml:space="preserve">3 </w:t>
      </w:r>
      <w:r>
        <w:rPr>
          <w:rFonts w:ascii="Calibri"/>
          <w:sz w:val="16"/>
        </w:rPr>
        <w:t xml:space="preserve">Dayson, C., &amp; Bennett, E. (2016) Evaluation of Doncaster Social Prescribing Service: understanding outcomes and impact, </w:t>
      </w:r>
      <w:hyperlink r:id="rId300">
        <w:r>
          <w:rPr>
            <w:rFonts w:ascii="Calibri"/>
            <w:sz w:val="16"/>
            <w:u w:val="single"/>
          </w:rPr>
          <w:t>http://www.syha.co.uk/wp-</w:t>
        </w:r>
      </w:hyperlink>
      <w:r>
        <w:rPr>
          <w:rFonts w:ascii="Calibri"/>
          <w:sz w:val="16"/>
        </w:rPr>
        <w:t xml:space="preserve"> </w:t>
      </w:r>
      <w:hyperlink r:id="rId301">
        <w:r>
          <w:rPr>
            <w:rFonts w:ascii="Calibri"/>
            <w:sz w:val="16"/>
            <w:u w:val="single"/>
          </w:rPr>
          <w:t>content/uploads/2017/01/Evaluation-of-Doncaster-Social-Prescribing-Service-Final-Report-.pdf</w:t>
        </w:r>
        <w:r>
          <w:rPr>
            <w:rFonts w:ascii="Calibri"/>
            <w:sz w:val="16"/>
          </w:rPr>
          <w:t>.</w:t>
        </w:r>
      </w:hyperlink>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3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38" name="Line 9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8AEB0" id="Group 9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A784rR/AgAAfwUA&#10;AA4AAAAAAAAAAAAAAAAALgIAAGRycy9lMm9Eb2MueG1sUEsBAi0AFAAGAAgAAAAhAC135FzaAAAA&#10;BAEAAA8AAAAAAAAAAAAAAAAA2QQAAGRycy9kb3ducmV2LnhtbFBLBQYAAAAABAAEAPMAAADgBQAA&#10;AAA=&#10;">
                <v:line id="Line 9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w10:anchorlock/>
              </v:group>
            </w:pict>
          </mc:Fallback>
        </mc:AlternateContent>
      </w:r>
    </w:p>
    <w:p w:rsidR="006A18FD" w:rsidRDefault="002E1E01" w:rsidP="002E1E01">
      <w:pPr>
        <w:pStyle w:val="Heading2"/>
      </w:pPr>
      <w:r>
        <w:t xml:space="preserve">8.6 </w:t>
      </w:r>
      <w:r w:rsidR="002D29FC">
        <w:t>Low intensity interventions for the management of obsessive-compulsive disorder</w:t>
      </w:r>
    </w:p>
    <w:p w:rsidR="006A18FD" w:rsidRDefault="002D29FC">
      <w:pPr>
        <w:spacing w:before="119" w:line="276" w:lineRule="auto"/>
        <w:ind w:left="152" w:right="195"/>
        <w:rPr>
          <w:rFonts w:ascii="Calibri"/>
          <w:sz w:val="20"/>
        </w:rPr>
      </w:pPr>
      <w:r>
        <w:rPr>
          <w:rFonts w:ascii="Calibri"/>
          <w:sz w:val="20"/>
        </w:rPr>
        <w:t>Information for this schema has been drawn from a study carried out by Lovell et al. (2017)</w:t>
      </w:r>
      <w:r>
        <w:rPr>
          <w:rFonts w:ascii="Calibri"/>
          <w:position w:val="7"/>
          <w:sz w:val="13"/>
        </w:rPr>
        <w:t xml:space="preserve">1 </w:t>
      </w:r>
      <w:r>
        <w:rPr>
          <w:rFonts w:ascii="Calibri"/>
          <w:sz w:val="20"/>
        </w:rPr>
        <w:t>to explore the cost- effectiveness of three low intensity interventions for the management of obsessive-compulsive disorder (OCD):</w:t>
      </w:r>
    </w:p>
    <w:p w:rsidR="006A18FD" w:rsidRDefault="002D29FC" w:rsidP="008E3FA8">
      <w:pPr>
        <w:numPr>
          <w:ilvl w:val="0"/>
          <w:numId w:val="10"/>
        </w:numPr>
        <w:tabs>
          <w:tab w:val="left" w:pos="873"/>
          <w:tab w:val="left" w:pos="874"/>
        </w:tabs>
        <w:spacing w:before="119" w:line="276" w:lineRule="auto"/>
        <w:ind w:right="183"/>
        <w:rPr>
          <w:rFonts w:ascii="Calibri"/>
          <w:sz w:val="20"/>
        </w:rPr>
      </w:pPr>
      <w:r>
        <w:rPr>
          <w:rFonts w:ascii="Calibri"/>
          <w:sz w:val="20"/>
        </w:rPr>
        <w:t>cognitive-behavioural therapy delivered using OCFighter (received by 157 people in the study), a commercially produced cCBT program for people with OCD to design, carry out and monitor their treatment progress. Participants</w:t>
      </w:r>
      <w:r>
        <w:rPr>
          <w:rFonts w:ascii="Calibri"/>
          <w:spacing w:val="-4"/>
          <w:sz w:val="20"/>
        </w:rPr>
        <w:t xml:space="preserve"> </w:t>
      </w:r>
      <w:r>
        <w:rPr>
          <w:rFonts w:ascii="Calibri"/>
          <w:sz w:val="20"/>
        </w:rPr>
        <w:t>randomised</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OCFighter</w:t>
      </w:r>
      <w:r>
        <w:rPr>
          <w:rFonts w:ascii="Calibri"/>
          <w:spacing w:val="-1"/>
          <w:sz w:val="20"/>
        </w:rPr>
        <w:t xml:space="preserve"> </w:t>
      </w:r>
      <w:r>
        <w:rPr>
          <w:rFonts w:ascii="Calibri"/>
          <w:sz w:val="20"/>
        </w:rPr>
        <w:t>were</w:t>
      </w:r>
      <w:r>
        <w:rPr>
          <w:rFonts w:ascii="Calibri"/>
          <w:spacing w:val="-4"/>
          <w:sz w:val="20"/>
        </w:rPr>
        <w:t xml:space="preserve"> </w:t>
      </w:r>
      <w:r>
        <w:rPr>
          <w:rFonts w:ascii="Calibri"/>
          <w:sz w:val="20"/>
        </w:rPr>
        <w:t>given</w:t>
      </w:r>
      <w:r>
        <w:rPr>
          <w:rFonts w:ascii="Calibri"/>
          <w:spacing w:val="-3"/>
          <w:sz w:val="20"/>
        </w:rPr>
        <w:t xml:space="preserve"> </w:t>
      </w:r>
      <w:r>
        <w:rPr>
          <w:rFonts w:ascii="Calibri"/>
          <w:sz w:val="20"/>
        </w:rPr>
        <w:t>an</w:t>
      </w:r>
      <w:r>
        <w:rPr>
          <w:rFonts w:ascii="Calibri"/>
          <w:spacing w:val="-3"/>
          <w:sz w:val="20"/>
        </w:rPr>
        <w:t xml:space="preserve"> </w:t>
      </w:r>
      <w:r>
        <w:rPr>
          <w:rFonts w:ascii="Calibri"/>
          <w:sz w:val="20"/>
        </w:rPr>
        <w:t>access</w:t>
      </w:r>
      <w:r>
        <w:rPr>
          <w:rFonts w:ascii="Calibri"/>
          <w:spacing w:val="-3"/>
          <w:sz w:val="20"/>
        </w:rPr>
        <w:t xml:space="preserve"> </w:t>
      </w:r>
      <w:r>
        <w:rPr>
          <w:rFonts w:ascii="Calibri"/>
          <w:sz w:val="20"/>
        </w:rPr>
        <w:t>ID</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password</w:t>
      </w:r>
      <w:r>
        <w:rPr>
          <w:rFonts w:ascii="Calibri"/>
          <w:spacing w:val="-3"/>
          <w:sz w:val="20"/>
        </w:rPr>
        <w:t xml:space="preserve"> </w:t>
      </w:r>
      <w:r>
        <w:rPr>
          <w:rFonts w:ascii="Calibri"/>
          <w:spacing w:val="1"/>
          <w:sz w:val="20"/>
        </w:rPr>
        <w:t>to</w:t>
      </w:r>
      <w:r>
        <w:rPr>
          <w:rFonts w:ascii="Calibri"/>
          <w:spacing w:val="-3"/>
          <w:sz w:val="20"/>
        </w:rPr>
        <w:t xml:space="preserve"> </w:t>
      </w:r>
      <w:r>
        <w:rPr>
          <w:rFonts w:ascii="Calibri"/>
          <w:sz w:val="20"/>
        </w:rPr>
        <w:t>log</w:t>
      </w:r>
      <w:r>
        <w:rPr>
          <w:rFonts w:ascii="Calibri"/>
          <w:spacing w:val="-4"/>
          <w:sz w:val="20"/>
        </w:rPr>
        <w:t xml:space="preserve"> </w:t>
      </w:r>
      <w:r>
        <w:rPr>
          <w:rFonts w:ascii="Calibri"/>
          <w:sz w:val="20"/>
        </w:rPr>
        <w:t>in</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system</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advised</w:t>
      </w:r>
      <w:r>
        <w:rPr>
          <w:rFonts w:ascii="Calibri"/>
          <w:spacing w:val="-3"/>
          <w:sz w:val="20"/>
        </w:rPr>
        <w:t xml:space="preserve"> </w:t>
      </w:r>
      <w:r>
        <w:rPr>
          <w:rFonts w:ascii="Calibri"/>
          <w:sz w:val="20"/>
        </w:rPr>
        <w:t>to use the program at least six times over a 12 week period. OCFighter was available to patients for 12 months following activation. Participants received six brief (10 minute) scheduled telephone calls from a PWP (total direct clinical input 60 minutes). The support offered consisted of a brief risk assessment, ensuring patients had been able</w:t>
      </w:r>
      <w:r>
        <w:rPr>
          <w:rFonts w:ascii="Calibri"/>
          <w:spacing w:val="-5"/>
          <w:sz w:val="20"/>
        </w:rPr>
        <w:t xml:space="preserve"> </w:t>
      </w:r>
      <w:r>
        <w:rPr>
          <w:rFonts w:ascii="Calibri"/>
          <w:sz w:val="20"/>
        </w:rPr>
        <w:t>to</w:t>
      </w:r>
      <w:r>
        <w:rPr>
          <w:rFonts w:ascii="Calibri"/>
          <w:spacing w:val="-3"/>
          <w:sz w:val="20"/>
        </w:rPr>
        <w:t xml:space="preserve"> </w:t>
      </w:r>
      <w:r>
        <w:rPr>
          <w:rFonts w:ascii="Calibri"/>
          <w:sz w:val="20"/>
        </w:rPr>
        <w:t>access</w:t>
      </w:r>
      <w:r>
        <w:rPr>
          <w:rFonts w:ascii="Calibri"/>
          <w:spacing w:val="-5"/>
          <w:sz w:val="20"/>
        </w:rPr>
        <w:t xml:space="preserve"> </w:t>
      </w:r>
      <w:r>
        <w:rPr>
          <w:rFonts w:ascii="Calibri"/>
          <w:sz w:val="20"/>
        </w:rPr>
        <w:t>OCFighter,</w:t>
      </w:r>
      <w:r>
        <w:rPr>
          <w:rFonts w:ascii="Calibri"/>
          <w:spacing w:val="-3"/>
          <w:sz w:val="20"/>
        </w:rPr>
        <w:t xml:space="preserve"> </w:t>
      </w:r>
      <w:r>
        <w:rPr>
          <w:rFonts w:ascii="Calibri"/>
          <w:sz w:val="20"/>
        </w:rPr>
        <w:t>reviewing</w:t>
      </w:r>
      <w:r>
        <w:rPr>
          <w:rFonts w:ascii="Calibri"/>
          <w:spacing w:val="-4"/>
          <w:sz w:val="20"/>
        </w:rPr>
        <w:t xml:space="preserve"> </w:t>
      </w:r>
      <w:r>
        <w:rPr>
          <w:rFonts w:ascii="Calibri"/>
          <w:sz w:val="20"/>
        </w:rPr>
        <w:t>progress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solving</w:t>
      </w:r>
      <w:r>
        <w:rPr>
          <w:rFonts w:ascii="Calibri"/>
          <w:spacing w:val="-4"/>
          <w:sz w:val="20"/>
        </w:rPr>
        <w:t xml:space="preserve"> </w:t>
      </w:r>
      <w:r>
        <w:rPr>
          <w:rFonts w:ascii="Calibri"/>
          <w:sz w:val="20"/>
        </w:rPr>
        <w:t>any</w:t>
      </w:r>
      <w:r>
        <w:rPr>
          <w:rFonts w:ascii="Calibri"/>
          <w:spacing w:val="-3"/>
          <w:sz w:val="20"/>
        </w:rPr>
        <w:t xml:space="preserve"> </w:t>
      </w:r>
      <w:r>
        <w:rPr>
          <w:rFonts w:ascii="Calibri"/>
          <w:sz w:val="20"/>
        </w:rPr>
        <w:t>difficulties</w:t>
      </w:r>
      <w:r>
        <w:rPr>
          <w:rFonts w:ascii="Calibri"/>
          <w:spacing w:val="-5"/>
          <w:sz w:val="20"/>
        </w:rPr>
        <w:t xml:space="preserve"> </w:t>
      </w:r>
      <w:r>
        <w:rPr>
          <w:rFonts w:ascii="Calibri"/>
          <w:sz w:val="20"/>
        </w:rPr>
        <w:t>that</w:t>
      </w:r>
      <w:r>
        <w:rPr>
          <w:rFonts w:ascii="Calibri"/>
          <w:spacing w:val="-3"/>
          <w:sz w:val="20"/>
        </w:rPr>
        <w:t xml:space="preserve"> </w:t>
      </w:r>
      <w:r>
        <w:rPr>
          <w:rFonts w:ascii="Calibri"/>
          <w:sz w:val="20"/>
        </w:rPr>
        <w:t>were</w:t>
      </w:r>
      <w:r>
        <w:rPr>
          <w:rFonts w:ascii="Calibri"/>
          <w:spacing w:val="-4"/>
          <w:sz w:val="20"/>
        </w:rPr>
        <w:t xml:space="preserve"> </w:t>
      </w:r>
      <w:r>
        <w:rPr>
          <w:rFonts w:ascii="Calibri"/>
          <w:sz w:val="20"/>
        </w:rPr>
        <w:t>impeding</w:t>
      </w:r>
      <w:r>
        <w:rPr>
          <w:rFonts w:ascii="Calibri"/>
          <w:spacing w:val="-4"/>
          <w:sz w:val="20"/>
        </w:rPr>
        <w:t xml:space="preserve"> </w:t>
      </w:r>
      <w:r>
        <w:rPr>
          <w:rFonts w:ascii="Calibri"/>
          <w:sz w:val="20"/>
        </w:rPr>
        <w:t>progress.</w:t>
      </w:r>
    </w:p>
    <w:p w:rsidR="006A18FD" w:rsidRDefault="006A18FD">
      <w:pPr>
        <w:rPr>
          <w:rFonts w:ascii="Calibri"/>
          <w:sz w:val="23"/>
        </w:rPr>
      </w:pPr>
    </w:p>
    <w:p w:rsidR="006A18FD" w:rsidRDefault="002D29FC" w:rsidP="008E3FA8">
      <w:pPr>
        <w:numPr>
          <w:ilvl w:val="0"/>
          <w:numId w:val="10"/>
        </w:numPr>
        <w:tabs>
          <w:tab w:val="left" w:pos="874"/>
        </w:tabs>
        <w:spacing w:line="276" w:lineRule="auto"/>
        <w:ind w:right="158"/>
        <w:rPr>
          <w:rFonts w:ascii="Calibri"/>
          <w:sz w:val="20"/>
        </w:rPr>
      </w:pPr>
      <w:r>
        <w:rPr>
          <w:rFonts w:ascii="Calibri"/>
          <w:sz w:val="20"/>
        </w:rPr>
        <w:t>guided self-help (received by 158 people in the study) which consisted of a self-help book focused on information about OCD, maintenance and provided guidance on how to implement the NICE-recommended treatment for OCD (i.e. CBT using exposure response therapy). Participants received six brief (10-minute) scheduled telephone calls from a psychological wellbeing practitioner (PWP), with one initial session of up to 60 minutes (either face to face or by telephone, dependent on patient preference) followed by up to 10-30 minute sessions over a 12-week period (total direct clinical input 6</w:t>
      </w:r>
      <w:r>
        <w:rPr>
          <w:rFonts w:ascii="Calibri"/>
          <w:spacing w:val="-14"/>
          <w:sz w:val="20"/>
        </w:rPr>
        <w:t xml:space="preserve"> </w:t>
      </w:r>
      <w:r>
        <w:rPr>
          <w:rFonts w:ascii="Calibri"/>
          <w:sz w:val="20"/>
        </w:rPr>
        <w:t>hours).</w:t>
      </w:r>
    </w:p>
    <w:p w:rsidR="006A18FD" w:rsidRDefault="006A18FD">
      <w:pPr>
        <w:spacing w:before="12"/>
        <w:rPr>
          <w:rFonts w:ascii="Calibri"/>
        </w:rPr>
      </w:pPr>
    </w:p>
    <w:p w:rsidR="006A18FD" w:rsidRDefault="002D29FC" w:rsidP="008E3FA8">
      <w:pPr>
        <w:numPr>
          <w:ilvl w:val="0"/>
          <w:numId w:val="10"/>
        </w:numPr>
        <w:tabs>
          <w:tab w:val="left" w:pos="873"/>
          <w:tab w:val="left" w:pos="874"/>
        </w:tabs>
        <w:rPr>
          <w:rFonts w:ascii="Calibri"/>
          <w:sz w:val="20"/>
        </w:rPr>
      </w:pPr>
      <w:r>
        <w:rPr>
          <w:rFonts w:ascii="Calibri"/>
          <w:sz w:val="20"/>
        </w:rPr>
        <w:t>waiting list for high-intensity CBT (received by 158</w:t>
      </w:r>
      <w:r>
        <w:rPr>
          <w:rFonts w:ascii="Calibri"/>
          <w:spacing w:val="-27"/>
          <w:sz w:val="20"/>
        </w:rPr>
        <w:t xml:space="preserve"> </w:t>
      </w:r>
      <w:r>
        <w:rPr>
          <w:rFonts w:ascii="Calibri"/>
          <w:sz w:val="20"/>
        </w:rPr>
        <w:t>people).</w:t>
      </w:r>
    </w:p>
    <w:p w:rsidR="006A18FD" w:rsidRDefault="006A18FD">
      <w:pPr>
        <w:rPr>
          <w:rFonts w:ascii="Calibri"/>
          <w:sz w:val="26"/>
        </w:rPr>
      </w:pPr>
    </w:p>
    <w:p w:rsidR="006A18FD" w:rsidRDefault="002D29FC">
      <w:pPr>
        <w:spacing w:line="276" w:lineRule="auto"/>
        <w:ind w:left="152" w:right="168"/>
        <w:jc w:val="both"/>
        <w:rPr>
          <w:rFonts w:ascii="Calibri"/>
          <w:sz w:val="20"/>
        </w:rPr>
      </w:pPr>
      <w:r>
        <w:rPr>
          <w:rFonts w:ascii="Calibri"/>
          <w:sz w:val="20"/>
        </w:rPr>
        <w:t>Table 1 provides a breakdown of mean costs associated with the supported cCBT and guided self-help intervention. Table 2 provides</w:t>
      </w:r>
      <w:r>
        <w:rPr>
          <w:rFonts w:ascii="Calibri"/>
          <w:spacing w:val="-5"/>
          <w:sz w:val="20"/>
        </w:rPr>
        <w:t xml:space="preserve"> </w:t>
      </w:r>
      <w:r>
        <w:rPr>
          <w:rFonts w:ascii="Calibri"/>
          <w:sz w:val="20"/>
        </w:rPr>
        <w:t>total</w:t>
      </w:r>
      <w:r>
        <w:rPr>
          <w:rFonts w:ascii="Calibri"/>
          <w:spacing w:val="-1"/>
          <w:sz w:val="20"/>
        </w:rPr>
        <w:t xml:space="preserve"> </w:t>
      </w:r>
      <w:r>
        <w:rPr>
          <w:rFonts w:ascii="Calibri"/>
          <w:sz w:val="20"/>
        </w:rPr>
        <w:t>societal</w:t>
      </w:r>
      <w:r>
        <w:rPr>
          <w:rFonts w:ascii="Calibri"/>
          <w:spacing w:val="-3"/>
          <w:sz w:val="20"/>
        </w:rPr>
        <w:t xml:space="preserve"> </w:t>
      </w:r>
      <w:r>
        <w:rPr>
          <w:rFonts w:ascii="Calibri"/>
          <w:sz w:val="20"/>
        </w:rPr>
        <w:t>costs:</w:t>
      </w:r>
      <w:r>
        <w:rPr>
          <w:rFonts w:ascii="Calibri"/>
          <w:spacing w:val="-4"/>
          <w:sz w:val="20"/>
        </w:rPr>
        <w:t xml:space="preserve"> </w:t>
      </w:r>
      <w:r>
        <w:rPr>
          <w:rFonts w:ascii="Calibri"/>
          <w:sz w:val="20"/>
        </w:rPr>
        <w:t>health</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social</w:t>
      </w:r>
      <w:r>
        <w:rPr>
          <w:rFonts w:ascii="Calibri"/>
          <w:spacing w:val="-4"/>
          <w:sz w:val="20"/>
        </w:rPr>
        <w:t xml:space="preserve"> </w:t>
      </w:r>
      <w:r>
        <w:rPr>
          <w:rFonts w:ascii="Calibri"/>
          <w:sz w:val="20"/>
        </w:rPr>
        <w:t>care</w:t>
      </w:r>
      <w:r>
        <w:rPr>
          <w:rFonts w:ascii="Calibri"/>
          <w:spacing w:val="-4"/>
          <w:sz w:val="20"/>
        </w:rPr>
        <w:t xml:space="preserve"> </w:t>
      </w:r>
      <w:r>
        <w:rPr>
          <w:rFonts w:ascii="Calibri"/>
          <w:sz w:val="20"/>
        </w:rPr>
        <w:t>costs</w:t>
      </w:r>
      <w:r>
        <w:rPr>
          <w:rFonts w:ascii="Calibri"/>
          <w:spacing w:val="-5"/>
          <w:sz w:val="20"/>
        </w:rPr>
        <w:t xml:space="preserve"> </w:t>
      </w:r>
      <w:r>
        <w:rPr>
          <w:rFonts w:ascii="Calibri"/>
          <w:sz w:val="20"/>
        </w:rPr>
        <w:t>which</w:t>
      </w:r>
      <w:r>
        <w:rPr>
          <w:rFonts w:ascii="Calibri"/>
          <w:spacing w:val="-2"/>
          <w:sz w:val="20"/>
        </w:rPr>
        <w:t xml:space="preserve"> </w:t>
      </w:r>
      <w:r>
        <w:rPr>
          <w:rFonts w:ascii="Calibri"/>
          <w:sz w:val="20"/>
        </w:rPr>
        <w:t>include</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cost</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4"/>
          <w:sz w:val="20"/>
        </w:rPr>
        <w:t xml:space="preserve"> </w:t>
      </w:r>
      <w:r>
        <w:rPr>
          <w:rFonts w:ascii="Calibri"/>
          <w:sz w:val="20"/>
        </w:rPr>
        <w:t>intervention</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employment</w:t>
      </w:r>
      <w:r>
        <w:rPr>
          <w:rFonts w:ascii="Calibri"/>
          <w:spacing w:val="-3"/>
          <w:sz w:val="20"/>
        </w:rPr>
        <w:t xml:space="preserve"> </w:t>
      </w:r>
      <w:r>
        <w:rPr>
          <w:rFonts w:ascii="Calibri"/>
          <w:sz w:val="20"/>
        </w:rPr>
        <w:t>losses, out-of-pocket</w:t>
      </w:r>
      <w:r>
        <w:rPr>
          <w:rFonts w:ascii="Calibri"/>
          <w:spacing w:val="-2"/>
          <w:sz w:val="20"/>
        </w:rPr>
        <w:t xml:space="preserve"> </w:t>
      </w:r>
      <w:r>
        <w:rPr>
          <w:rFonts w:ascii="Calibri"/>
          <w:sz w:val="20"/>
        </w:rPr>
        <w:t>expenses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out-of-pocket</w:t>
      </w:r>
      <w:r>
        <w:rPr>
          <w:rFonts w:ascii="Calibri"/>
          <w:spacing w:val="-2"/>
          <w:sz w:val="20"/>
        </w:rPr>
        <w:t xml:space="preserve"> </w:t>
      </w:r>
      <w:r>
        <w:rPr>
          <w:rFonts w:ascii="Calibri"/>
          <w:sz w:val="20"/>
        </w:rPr>
        <w:t>savings.</w:t>
      </w:r>
      <w:r>
        <w:rPr>
          <w:rFonts w:ascii="Calibri"/>
          <w:spacing w:val="-1"/>
          <w:sz w:val="20"/>
        </w:rPr>
        <w:t xml:space="preserve"> </w:t>
      </w:r>
      <w:r>
        <w:rPr>
          <w:rFonts w:ascii="Calibri"/>
          <w:sz w:val="20"/>
        </w:rPr>
        <w:t>The</w:t>
      </w:r>
      <w:r>
        <w:rPr>
          <w:rFonts w:ascii="Calibri"/>
          <w:spacing w:val="-4"/>
          <w:sz w:val="20"/>
        </w:rPr>
        <w:t xml:space="preserve"> </w:t>
      </w:r>
      <w:r>
        <w:rPr>
          <w:rFonts w:ascii="Calibri"/>
          <w:sz w:val="20"/>
        </w:rPr>
        <w:t>costs</w:t>
      </w:r>
      <w:r>
        <w:rPr>
          <w:rFonts w:ascii="Calibri"/>
          <w:spacing w:val="-5"/>
          <w:sz w:val="20"/>
        </w:rPr>
        <w:t xml:space="preserve"> </w:t>
      </w:r>
      <w:r>
        <w:rPr>
          <w:rFonts w:ascii="Calibri"/>
          <w:sz w:val="20"/>
        </w:rPr>
        <w:t>have</w:t>
      </w:r>
      <w:r>
        <w:rPr>
          <w:rFonts w:ascii="Calibri"/>
          <w:spacing w:val="-4"/>
          <w:sz w:val="20"/>
        </w:rPr>
        <w:t xml:space="preserve"> </w:t>
      </w:r>
      <w:r>
        <w:rPr>
          <w:rFonts w:ascii="Calibri"/>
          <w:sz w:val="20"/>
        </w:rPr>
        <w:t>been</w:t>
      </w:r>
      <w:r>
        <w:rPr>
          <w:rFonts w:ascii="Calibri"/>
          <w:spacing w:val="-3"/>
          <w:sz w:val="20"/>
        </w:rPr>
        <w:t xml:space="preserve"> </w:t>
      </w:r>
      <w:r>
        <w:rPr>
          <w:rFonts w:ascii="Calibri"/>
          <w:sz w:val="20"/>
        </w:rPr>
        <w:t>uprated</w:t>
      </w:r>
      <w:r>
        <w:rPr>
          <w:rFonts w:ascii="Calibri"/>
          <w:spacing w:val="-3"/>
          <w:sz w:val="20"/>
        </w:rPr>
        <w:t xml:space="preserve"> </w:t>
      </w:r>
      <w:r>
        <w:rPr>
          <w:rFonts w:ascii="Calibri"/>
          <w:sz w:val="20"/>
        </w:rPr>
        <w:t>from</w:t>
      </w:r>
      <w:r>
        <w:rPr>
          <w:rFonts w:ascii="Calibri"/>
          <w:spacing w:val="-4"/>
          <w:sz w:val="20"/>
        </w:rPr>
        <w:t xml:space="preserve"> </w:t>
      </w:r>
      <w:r>
        <w:rPr>
          <w:rFonts w:ascii="Calibri"/>
          <w:sz w:val="20"/>
        </w:rPr>
        <w:t>2013/2014</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current</w:t>
      </w:r>
      <w:r>
        <w:rPr>
          <w:rFonts w:ascii="Calibri"/>
          <w:spacing w:val="-3"/>
          <w:sz w:val="20"/>
        </w:rPr>
        <w:t xml:space="preserve"> </w:t>
      </w:r>
      <w:r>
        <w:rPr>
          <w:rFonts w:ascii="Calibri"/>
          <w:sz w:val="20"/>
        </w:rPr>
        <w:t>values.</w:t>
      </w:r>
    </w:p>
    <w:p w:rsidR="006A18FD" w:rsidRDefault="002D29FC">
      <w:pPr>
        <w:spacing w:before="120" w:line="276" w:lineRule="auto"/>
        <w:ind w:left="152" w:right="267"/>
        <w:rPr>
          <w:rFonts w:ascii="Calibri" w:hAnsi="Calibri"/>
          <w:sz w:val="20"/>
        </w:rPr>
      </w:pPr>
      <w:r>
        <w:rPr>
          <w:rFonts w:ascii="Calibri" w:hAnsi="Calibri"/>
          <w:sz w:val="20"/>
        </w:rPr>
        <w:t>The mean cost of the guided self-help intervention was over twice that of supported cCBT (£404 v £164). From baseline to 12 months, total health-and social-care costs were almost identical between the three groups (supported cCBT=£1,758, guided self-help= £1,770 and waiting list=£1,834. In terms of total costs which includes employment losses, out-of-pocket expenses and out-of-pocket savings, over the 12-month period, guided self-help was the least expensive group (£2,382) compared with £2,404 for the cCBT group and £2,601 for the waiting list option.</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3"/>
        <w:rPr>
          <w:rFonts w:ascii="Calibri"/>
          <w:sz w:val="21"/>
        </w:rPr>
      </w:pPr>
    </w:p>
    <w:p w:rsidR="006A18FD" w:rsidRDefault="002D29FC">
      <w:pPr>
        <w:spacing w:line="283" w:lineRule="auto"/>
        <w:ind w:left="152" w:right="451"/>
        <w:jc w:val="both"/>
        <w:rPr>
          <w:rFonts w:ascii="Calibri"/>
          <w:sz w:val="16"/>
        </w:rPr>
      </w:pPr>
      <w:r>
        <w:rPr>
          <w:rFonts w:ascii="Calibri"/>
          <w:position w:val="7"/>
          <w:sz w:val="13"/>
        </w:rPr>
        <w:t xml:space="preserve">1 </w:t>
      </w:r>
      <w:r>
        <w:rPr>
          <w:rFonts w:ascii="Calibri"/>
          <w:sz w:val="16"/>
        </w:rPr>
        <w:t xml:space="preserve">Lovell, K. Bower, P., Gellatly, J., Byford, S., Bee, P., McMillan, D., Arundel, C., Gilbody, S., Gega, L., Hardy, G., Reynolds, S., Barkham, M., Mottram, Pl, Lidbetter, N., Pedley, R., Molle, J., Peckham, E., Knopp-Hoffer, J., Price, O., Connell, J., Heslin, M., Foley, C., Plummer, G. and Roberts, C. (2017) Clinical effectiveness, cost-effectiveness and acceptability of low-intensity interventions in the management of obsessive-compulsive disorder: the Obsessive- Compulsive Treatment Efficacy randomised controlled Trial (OCTET). </w:t>
      </w:r>
      <w:r>
        <w:rPr>
          <w:rFonts w:ascii="Calibri"/>
          <w:i/>
          <w:sz w:val="16"/>
        </w:rPr>
        <w:t xml:space="preserve">Health Technology Assessment </w:t>
      </w:r>
      <w:r>
        <w:rPr>
          <w:rFonts w:ascii="Calibri"/>
          <w:sz w:val="16"/>
        </w:rPr>
        <w:t>(Winchester, England) 21(37).pp.1-132.</w:t>
      </w:r>
    </w:p>
    <w:p w:rsidR="006A18FD" w:rsidRDefault="006A18FD">
      <w:pPr>
        <w:spacing w:line="283" w:lineRule="auto"/>
        <w:jc w:val="both"/>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3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36" name="Line 9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CFFBB" id="Group 9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OfPY8Z8AgAAfwUAAA4A&#10;AAAAAAAAAAAAAAAALgIAAGRycy9lMm9Eb2MueG1sUEsBAi0AFAAGAAgAAAAhAC135FzaAAAABAEA&#10;AA8AAAAAAAAAAAAAAAAA1gQAAGRycy9kb3ducmV2LnhtbFBLBQYAAAAABAAEAPMAAADdBQAAAAA=&#10;">
                <v:line id="Line 9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w10:anchorlock/>
              </v:group>
            </w:pict>
          </mc:Fallback>
        </mc:AlternateContent>
      </w:r>
    </w:p>
    <w:p w:rsidR="006A18FD" w:rsidRDefault="002D29FC">
      <w:pPr>
        <w:ind w:left="140"/>
        <w:rPr>
          <w:rFonts w:ascii="Calibri"/>
          <w:b/>
          <w:sz w:val="20"/>
        </w:rPr>
      </w:pPr>
      <w:r>
        <w:rPr>
          <w:rFonts w:ascii="Calibri"/>
          <w:b/>
          <w:sz w:val="20"/>
        </w:rPr>
        <w:t>Table 1 Cost of supported cCBT and guided self-help</w:t>
      </w:r>
    </w:p>
    <w:p w:rsidR="006A18FD" w:rsidRDefault="006A18FD">
      <w:pPr>
        <w:spacing w:before="9"/>
        <w:rPr>
          <w:rFonts w:ascii="Calibri"/>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46"/>
        <w:gridCol w:w="3349"/>
      </w:tblGrid>
      <w:tr w:rsidR="006A18FD" w:rsidTr="00E2663F">
        <w:trPr>
          <w:trHeight w:val="220"/>
          <w:tblHeader/>
        </w:trPr>
        <w:tc>
          <w:tcPr>
            <w:tcW w:w="3349" w:type="dxa"/>
            <w:tcBorders>
              <w:bottom w:val="single" w:sz="6" w:space="0" w:color="000000"/>
            </w:tcBorders>
          </w:tcPr>
          <w:p w:rsidR="006A18FD" w:rsidRDefault="006A18FD">
            <w:pPr>
              <w:rPr>
                <w:rFonts w:ascii="Times New Roman"/>
                <w:sz w:val="16"/>
              </w:rPr>
            </w:pPr>
          </w:p>
        </w:tc>
        <w:tc>
          <w:tcPr>
            <w:tcW w:w="6695" w:type="dxa"/>
            <w:gridSpan w:val="2"/>
            <w:tcBorders>
              <w:bottom w:val="single" w:sz="6" w:space="0" w:color="000000"/>
            </w:tcBorders>
          </w:tcPr>
          <w:p w:rsidR="006A18FD" w:rsidRDefault="002D29FC">
            <w:pPr>
              <w:spacing w:line="220" w:lineRule="exact"/>
              <w:ind w:left="2353" w:right="2353"/>
              <w:jc w:val="center"/>
              <w:rPr>
                <w:rFonts w:ascii="Calibri"/>
                <w:b/>
                <w:sz w:val="20"/>
              </w:rPr>
            </w:pPr>
            <w:r>
              <w:rPr>
                <w:rFonts w:ascii="Calibri"/>
                <w:b/>
                <w:sz w:val="20"/>
              </w:rPr>
              <w:t>Intervention mean cost</w:t>
            </w:r>
          </w:p>
        </w:tc>
      </w:tr>
      <w:tr w:rsidR="006A18FD" w:rsidTr="00E2663F">
        <w:trPr>
          <w:trHeight w:val="240"/>
          <w:tblHeader/>
        </w:trPr>
        <w:tc>
          <w:tcPr>
            <w:tcW w:w="3349" w:type="dxa"/>
            <w:tcBorders>
              <w:top w:val="single" w:sz="6" w:space="0" w:color="000000"/>
            </w:tcBorders>
          </w:tcPr>
          <w:p w:rsidR="006A18FD" w:rsidRDefault="002D29FC">
            <w:pPr>
              <w:spacing w:line="222" w:lineRule="exact"/>
              <w:ind w:left="989"/>
              <w:rPr>
                <w:rFonts w:ascii="Calibri"/>
                <w:b/>
                <w:sz w:val="20"/>
              </w:rPr>
            </w:pPr>
            <w:r>
              <w:rPr>
                <w:rFonts w:ascii="Calibri"/>
                <w:b/>
                <w:sz w:val="20"/>
              </w:rPr>
              <w:t>Cost component</w:t>
            </w:r>
          </w:p>
        </w:tc>
        <w:tc>
          <w:tcPr>
            <w:tcW w:w="3346" w:type="dxa"/>
            <w:tcBorders>
              <w:top w:val="single" w:sz="6" w:space="0" w:color="000000"/>
            </w:tcBorders>
          </w:tcPr>
          <w:p w:rsidR="006A18FD" w:rsidRDefault="002D29FC">
            <w:pPr>
              <w:spacing w:line="222" w:lineRule="exact"/>
              <w:ind w:left="1010"/>
              <w:rPr>
                <w:rFonts w:ascii="Calibri"/>
                <w:b/>
                <w:sz w:val="20"/>
              </w:rPr>
            </w:pPr>
            <w:r>
              <w:rPr>
                <w:rFonts w:ascii="Calibri"/>
                <w:b/>
                <w:sz w:val="20"/>
              </w:rPr>
              <w:t>Supported cCBT</w:t>
            </w:r>
          </w:p>
        </w:tc>
        <w:tc>
          <w:tcPr>
            <w:tcW w:w="3349" w:type="dxa"/>
            <w:tcBorders>
              <w:top w:val="single" w:sz="6" w:space="0" w:color="000000"/>
            </w:tcBorders>
          </w:tcPr>
          <w:p w:rsidR="006A18FD" w:rsidRDefault="002D29FC">
            <w:pPr>
              <w:spacing w:line="222" w:lineRule="exact"/>
              <w:ind w:left="986"/>
              <w:rPr>
                <w:rFonts w:ascii="Calibri"/>
                <w:b/>
                <w:sz w:val="20"/>
              </w:rPr>
            </w:pPr>
            <w:r>
              <w:rPr>
                <w:rFonts w:ascii="Calibri"/>
                <w:b/>
                <w:sz w:val="20"/>
              </w:rPr>
              <w:t>Guided self-help</w:t>
            </w:r>
          </w:p>
        </w:tc>
      </w:tr>
      <w:tr w:rsidR="006A18FD">
        <w:trPr>
          <w:trHeight w:val="240"/>
        </w:trPr>
        <w:tc>
          <w:tcPr>
            <w:tcW w:w="3349" w:type="dxa"/>
          </w:tcPr>
          <w:p w:rsidR="006A18FD" w:rsidRDefault="002D29FC">
            <w:pPr>
              <w:spacing w:before="1" w:line="223" w:lineRule="exact"/>
              <w:ind w:left="103"/>
              <w:rPr>
                <w:rFonts w:ascii="Calibri"/>
                <w:sz w:val="20"/>
              </w:rPr>
            </w:pPr>
            <w:r>
              <w:rPr>
                <w:rFonts w:ascii="Calibri"/>
                <w:sz w:val="20"/>
              </w:rPr>
              <w:t>Number of sessions attended</w:t>
            </w:r>
          </w:p>
        </w:tc>
        <w:tc>
          <w:tcPr>
            <w:tcW w:w="3346" w:type="dxa"/>
          </w:tcPr>
          <w:p w:rsidR="006A18FD" w:rsidRDefault="002D29FC">
            <w:pPr>
              <w:spacing w:before="1" w:line="223" w:lineRule="exact"/>
              <w:ind w:right="100"/>
              <w:jc w:val="right"/>
              <w:rPr>
                <w:rFonts w:ascii="Calibri"/>
                <w:sz w:val="20"/>
              </w:rPr>
            </w:pPr>
            <w:r>
              <w:rPr>
                <w:rFonts w:ascii="Calibri"/>
                <w:w w:val="95"/>
                <w:sz w:val="20"/>
              </w:rPr>
              <w:t>2.3</w:t>
            </w:r>
          </w:p>
        </w:tc>
        <w:tc>
          <w:tcPr>
            <w:tcW w:w="3349" w:type="dxa"/>
          </w:tcPr>
          <w:p w:rsidR="006A18FD" w:rsidRDefault="002D29FC">
            <w:pPr>
              <w:spacing w:before="1" w:line="223" w:lineRule="exact"/>
              <w:ind w:right="102"/>
              <w:jc w:val="right"/>
              <w:rPr>
                <w:rFonts w:ascii="Calibri"/>
                <w:sz w:val="20"/>
              </w:rPr>
            </w:pPr>
            <w:r>
              <w:rPr>
                <w:rFonts w:ascii="Calibri"/>
                <w:w w:val="95"/>
                <w:sz w:val="20"/>
              </w:rPr>
              <w:t>4.11</w:t>
            </w:r>
          </w:p>
        </w:tc>
      </w:tr>
      <w:tr w:rsidR="006A18FD">
        <w:trPr>
          <w:trHeight w:val="240"/>
        </w:trPr>
        <w:tc>
          <w:tcPr>
            <w:tcW w:w="3349" w:type="dxa"/>
          </w:tcPr>
          <w:p w:rsidR="006A18FD" w:rsidRDefault="002D29FC">
            <w:pPr>
              <w:spacing w:before="1" w:line="223" w:lineRule="exact"/>
              <w:ind w:left="103"/>
              <w:rPr>
                <w:rFonts w:ascii="Calibri"/>
                <w:sz w:val="20"/>
              </w:rPr>
            </w:pPr>
            <w:r>
              <w:rPr>
                <w:rFonts w:ascii="Calibri"/>
                <w:sz w:val="20"/>
              </w:rPr>
              <w:t>Total session minutes</w:t>
            </w:r>
          </w:p>
        </w:tc>
        <w:tc>
          <w:tcPr>
            <w:tcW w:w="3346" w:type="dxa"/>
          </w:tcPr>
          <w:p w:rsidR="006A18FD" w:rsidRDefault="002D29FC">
            <w:pPr>
              <w:spacing w:before="1" w:line="223" w:lineRule="exact"/>
              <w:ind w:right="100"/>
              <w:jc w:val="right"/>
              <w:rPr>
                <w:rFonts w:ascii="Calibri"/>
                <w:sz w:val="20"/>
              </w:rPr>
            </w:pPr>
            <w:r>
              <w:rPr>
                <w:rFonts w:ascii="Calibri"/>
                <w:w w:val="95"/>
                <w:sz w:val="20"/>
              </w:rPr>
              <w:t>30.2</w:t>
            </w:r>
          </w:p>
        </w:tc>
        <w:tc>
          <w:tcPr>
            <w:tcW w:w="3349" w:type="dxa"/>
          </w:tcPr>
          <w:p w:rsidR="006A18FD" w:rsidRDefault="002D29FC">
            <w:pPr>
              <w:spacing w:before="1" w:line="223" w:lineRule="exact"/>
              <w:ind w:right="102"/>
              <w:jc w:val="right"/>
              <w:rPr>
                <w:rFonts w:ascii="Calibri"/>
                <w:sz w:val="20"/>
              </w:rPr>
            </w:pPr>
            <w:r>
              <w:rPr>
                <w:rFonts w:ascii="Calibri"/>
                <w:w w:val="95"/>
                <w:sz w:val="20"/>
              </w:rPr>
              <w:t>142.9</w:t>
            </w:r>
          </w:p>
        </w:tc>
      </w:tr>
      <w:tr w:rsidR="006A18FD">
        <w:trPr>
          <w:trHeight w:val="240"/>
        </w:trPr>
        <w:tc>
          <w:tcPr>
            <w:tcW w:w="3349" w:type="dxa"/>
          </w:tcPr>
          <w:p w:rsidR="006A18FD" w:rsidRDefault="002D29FC">
            <w:pPr>
              <w:spacing w:before="1" w:line="223" w:lineRule="exact"/>
              <w:ind w:left="103"/>
              <w:rPr>
                <w:rFonts w:ascii="Calibri" w:hAnsi="Calibri"/>
                <w:sz w:val="20"/>
              </w:rPr>
            </w:pPr>
            <w:r>
              <w:rPr>
                <w:rFonts w:ascii="Calibri" w:hAnsi="Calibri"/>
                <w:sz w:val="20"/>
              </w:rPr>
              <w:t>Cost of materials (£)</w:t>
            </w:r>
          </w:p>
        </w:tc>
        <w:tc>
          <w:tcPr>
            <w:tcW w:w="3346" w:type="dxa"/>
          </w:tcPr>
          <w:p w:rsidR="006A18FD" w:rsidRDefault="002D29FC">
            <w:pPr>
              <w:spacing w:before="1" w:line="223" w:lineRule="exact"/>
              <w:ind w:right="102"/>
              <w:jc w:val="right"/>
              <w:rPr>
                <w:rFonts w:ascii="Calibri" w:hAnsi="Calibri"/>
                <w:sz w:val="20"/>
              </w:rPr>
            </w:pPr>
            <w:r>
              <w:rPr>
                <w:rFonts w:ascii="Calibri" w:hAnsi="Calibri"/>
                <w:sz w:val="20"/>
              </w:rPr>
              <w:t>£67</w:t>
            </w:r>
          </w:p>
        </w:tc>
        <w:tc>
          <w:tcPr>
            <w:tcW w:w="3349" w:type="dxa"/>
          </w:tcPr>
          <w:p w:rsidR="006A18FD" w:rsidRDefault="002D29FC">
            <w:pPr>
              <w:spacing w:before="1" w:line="223" w:lineRule="exact"/>
              <w:ind w:right="102"/>
              <w:jc w:val="right"/>
              <w:rPr>
                <w:rFonts w:ascii="Calibri" w:hAnsi="Calibri"/>
                <w:sz w:val="20"/>
              </w:rPr>
            </w:pPr>
            <w:r>
              <w:rPr>
                <w:rFonts w:ascii="Calibri" w:hAnsi="Calibri"/>
                <w:w w:val="95"/>
                <w:sz w:val="20"/>
              </w:rPr>
              <w:t>£5.80</w:t>
            </w:r>
          </w:p>
        </w:tc>
      </w:tr>
      <w:tr w:rsidR="006A18FD">
        <w:trPr>
          <w:trHeight w:val="240"/>
        </w:trPr>
        <w:tc>
          <w:tcPr>
            <w:tcW w:w="3349" w:type="dxa"/>
          </w:tcPr>
          <w:p w:rsidR="006A18FD" w:rsidRDefault="002D29FC">
            <w:pPr>
              <w:spacing w:before="1" w:line="223" w:lineRule="exact"/>
              <w:ind w:left="103"/>
              <w:rPr>
                <w:rFonts w:ascii="Calibri" w:hAnsi="Calibri"/>
                <w:sz w:val="20"/>
              </w:rPr>
            </w:pPr>
            <w:r>
              <w:rPr>
                <w:rFonts w:ascii="Calibri" w:hAnsi="Calibri"/>
                <w:sz w:val="20"/>
              </w:rPr>
              <w:t>Cost of training (£)</w:t>
            </w:r>
          </w:p>
        </w:tc>
        <w:tc>
          <w:tcPr>
            <w:tcW w:w="3346" w:type="dxa"/>
          </w:tcPr>
          <w:p w:rsidR="006A18FD" w:rsidRDefault="002D29FC">
            <w:pPr>
              <w:spacing w:before="1" w:line="223" w:lineRule="exact"/>
              <w:ind w:right="102"/>
              <w:jc w:val="right"/>
              <w:rPr>
                <w:rFonts w:ascii="Calibri" w:hAnsi="Calibri"/>
                <w:sz w:val="20"/>
              </w:rPr>
            </w:pPr>
            <w:r>
              <w:rPr>
                <w:rFonts w:ascii="Calibri" w:hAnsi="Calibri"/>
                <w:sz w:val="20"/>
              </w:rPr>
              <w:t>£20</w:t>
            </w:r>
          </w:p>
        </w:tc>
        <w:tc>
          <w:tcPr>
            <w:tcW w:w="3349" w:type="dxa"/>
          </w:tcPr>
          <w:p w:rsidR="006A18FD" w:rsidRDefault="002D29FC">
            <w:pPr>
              <w:spacing w:before="1" w:line="223" w:lineRule="exact"/>
              <w:ind w:right="103"/>
              <w:jc w:val="right"/>
              <w:rPr>
                <w:rFonts w:ascii="Calibri" w:hAnsi="Calibri"/>
                <w:sz w:val="20"/>
              </w:rPr>
            </w:pPr>
            <w:r>
              <w:rPr>
                <w:rFonts w:ascii="Calibri" w:hAnsi="Calibri"/>
                <w:sz w:val="20"/>
              </w:rPr>
              <w:t>£36</w:t>
            </w:r>
          </w:p>
        </w:tc>
      </w:tr>
      <w:tr w:rsidR="006A18FD">
        <w:trPr>
          <w:trHeight w:val="240"/>
        </w:trPr>
        <w:tc>
          <w:tcPr>
            <w:tcW w:w="3349" w:type="dxa"/>
          </w:tcPr>
          <w:p w:rsidR="006A18FD" w:rsidRDefault="002D29FC">
            <w:pPr>
              <w:spacing w:before="1" w:line="223" w:lineRule="exact"/>
              <w:ind w:left="103"/>
              <w:rPr>
                <w:rFonts w:ascii="Calibri" w:hAnsi="Calibri"/>
                <w:sz w:val="20"/>
              </w:rPr>
            </w:pPr>
            <w:r>
              <w:rPr>
                <w:rFonts w:ascii="Calibri" w:hAnsi="Calibri"/>
                <w:sz w:val="20"/>
              </w:rPr>
              <w:t>Cost of PWP contacts (£)</w:t>
            </w:r>
          </w:p>
        </w:tc>
        <w:tc>
          <w:tcPr>
            <w:tcW w:w="3346" w:type="dxa"/>
          </w:tcPr>
          <w:p w:rsidR="006A18FD" w:rsidRDefault="002D29FC">
            <w:pPr>
              <w:spacing w:before="1" w:line="223" w:lineRule="exact"/>
              <w:ind w:right="102"/>
              <w:jc w:val="right"/>
              <w:rPr>
                <w:rFonts w:ascii="Calibri" w:hAnsi="Calibri"/>
                <w:sz w:val="20"/>
              </w:rPr>
            </w:pPr>
            <w:r>
              <w:rPr>
                <w:rFonts w:ascii="Calibri" w:hAnsi="Calibri"/>
                <w:sz w:val="20"/>
              </w:rPr>
              <w:t>£76</w:t>
            </w:r>
          </w:p>
        </w:tc>
        <w:tc>
          <w:tcPr>
            <w:tcW w:w="3349" w:type="dxa"/>
          </w:tcPr>
          <w:p w:rsidR="006A18FD" w:rsidRDefault="002D29FC">
            <w:pPr>
              <w:spacing w:before="1" w:line="223" w:lineRule="exact"/>
              <w:ind w:right="103"/>
              <w:jc w:val="right"/>
              <w:rPr>
                <w:rFonts w:ascii="Calibri" w:hAnsi="Calibri"/>
                <w:sz w:val="20"/>
              </w:rPr>
            </w:pPr>
            <w:r>
              <w:rPr>
                <w:rFonts w:ascii="Calibri" w:hAnsi="Calibri"/>
                <w:sz w:val="20"/>
              </w:rPr>
              <w:t>£362</w:t>
            </w:r>
          </w:p>
        </w:tc>
      </w:tr>
      <w:tr w:rsidR="006A18FD">
        <w:trPr>
          <w:trHeight w:val="240"/>
        </w:trPr>
        <w:tc>
          <w:tcPr>
            <w:tcW w:w="3349" w:type="dxa"/>
          </w:tcPr>
          <w:p w:rsidR="006A18FD" w:rsidRDefault="002D29FC">
            <w:pPr>
              <w:spacing w:before="1" w:line="223" w:lineRule="exact"/>
              <w:ind w:left="103"/>
              <w:rPr>
                <w:rFonts w:ascii="Calibri" w:hAnsi="Calibri"/>
                <w:sz w:val="20"/>
              </w:rPr>
            </w:pPr>
            <w:r>
              <w:rPr>
                <w:rFonts w:ascii="Calibri" w:hAnsi="Calibri"/>
                <w:sz w:val="20"/>
              </w:rPr>
              <w:t>Total cost (£)</w:t>
            </w:r>
          </w:p>
        </w:tc>
        <w:tc>
          <w:tcPr>
            <w:tcW w:w="3346" w:type="dxa"/>
          </w:tcPr>
          <w:p w:rsidR="006A18FD" w:rsidRDefault="002D29FC">
            <w:pPr>
              <w:spacing w:before="1" w:line="223" w:lineRule="exact"/>
              <w:ind w:right="102"/>
              <w:jc w:val="right"/>
              <w:rPr>
                <w:rFonts w:ascii="Calibri" w:hAnsi="Calibri"/>
                <w:sz w:val="20"/>
              </w:rPr>
            </w:pPr>
            <w:r>
              <w:rPr>
                <w:rFonts w:ascii="Calibri" w:hAnsi="Calibri"/>
                <w:sz w:val="20"/>
              </w:rPr>
              <w:t>£164</w:t>
            </w:r>
          </w:p>
        </w:tc>
        <w:tc>
          <w:tcPr>
            <w:tcW w:w="3349" w:type="dxa"/>
          </w:tcPr>
          <w:p w:rsidR="006A18FD" w:rsidRDefault="002D29FC">
            <w:pPr>
              <w:spacing w:before="1" w:line="223" w:lineRule="exact"/>
              <w:ind w:right="103"/>
              <w:jc w:val="right"/>
              <w:rPr>
                <w:rFonts w:ascii="Calibri" w:hAnsi="Calibri"/>
                <w:sz w:val="20"/>
              </w:rPr>
            </w:pPr>
            <w:r>
              <w:rPr>
                <w:rFonts w:ascii="Calibri" w:hAnsi="Calibri"/>
                <w:sz w:val="20"/>
              </w:rPr>
              <w:t>£404</w:t>
            </w:r>
          </w:p>
        </w:tc>
      </w:tr>
    </w:tbl>
    <w:p w:rsidR="006A18FD" w:rsidRDefault="006A18FD">
      <w:pPr>
        <w:rPr>
          <w:rFonts w:ascii="Calibri"/>
          <w:b/>
          <w:sz w:val="20"/>
        </w:rPr>
      </w:pPr>
    </w:p>
    <w:p w:rsidR="006A18FD" w:rsidRDefault="006A18FD">
      <w:pPr>
        <w:spacing w:before="9"/>
        <w:rPr>
          <w:rFonts w:ascii="Calibri"/>
          <w:b/>
        </w:rPr>
      </w:pPr>
    </w:p>
    <w:p w:rsidR="006A18FD" w:rsidRDefault="002D29FC">
      <w:pPr>
        <w:ind w:left="140"/>
        <w:rPr>
          <w:rFonts w:ascii="Calibri"/>
          <w:b/>
          <w:sz w:val="20"/>
        </w:rPr>
      </w:pPr>
      <w:r>
        <w:rPr>
          <w:rFonts w:ascii="Calibri"/>
          <w:b/>
          <w:sz w:val="20"/>
        </w:rPr>
        <w:t>Table 2 Total societal costs between baseline and 3 months and between baseline and 12 months</w:t>
      </w:r>
    </w:p>
    <w:p w:rsidR="006A18FD" w:rsidRDefault="006A18FD">
      <w:pPr>
        <w:spacing w:before="8" w:after="1"/>
        <w:rPr>
          <w:rFonts w:ascii="Calibri"/>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1011"/>
        <w:gridCol w:w="1274"/>
        <w:gridCol w:w="1277"/>
        <w:gridCol w:w="1291"/>
        <w:gridCol w:w="1234"/>
        <w:gridCol w:w="1427"/>
      </w:tblGrid>
      <w:tr w:rsidR="006A18FD" w:rsidTr="00E2663F">
        <w:trPr>
          <w:trHeight w:val="240"/>
          <w:tblHeader/>
        </w:trPr>
        <w:tc>
          <w:tcPr>
            <w:tcW w:w="2530" w:type="dxa"/>
          </w:tcPr>
          <w:p w:rsidR="006A18FD" w:rsidRDefault="006A18FD">
            <w:pPr>
              <w:rPr>
                <w:rFonts w:ascii="Times New Roman"/>
                <w:sz w:val="16"/>
              </w:rPr>
            </w:pPr>
          </w:p>
        </w:tc>
        <w:tc>
          <w:tcPr>
            <w:tcW w:w="7514" w:type="dxa"/>
            <w:gridSpan w:val="6"/>
          </w:tcPr>
          <w:p w:rsidR="006A18FD" w:rsidRDefault="002D29FC">
            <w:pPr>
              <w:spacing w:line="222" w:lineRule="exact"/>
              <w:ind w:left="3212" w:right="3212"/>
              <w:jc w:val="center"/>
              <w:rPr>
                <w:rFonts w:ascii="Calibri"/>
                <w:b/>
                <w:sz w:val="20"/>
              </w:rPr>
            </w:pPr>
            <w:r>
              <w:rPr>
                <w:rFonts w:ascii="Calibri"/>
                <w:b/>
                <w:sz w:val="20"/>
              </w:rPr>
              <w:t>Intervention</w:t>
            </w:r>
          </w:p>
        </w:tc>
      </w:tr>
      <w:tr w:rsidR="006A18FD" w:rsidTr="00E2663F">
        <w:trPr>
          <w:trHeight w:val="240"/>
          <w:tblHeader/>
        </w:trPr>
        <w:tc>
          <w:tcPr>
            <w:tcW w:w="2530" w:type="dxa"/>
          </w:tcPr>
          <w:p w:rsidR="006A18FD" w:rsidRDefault="002D29FC">
            <w:pPr>
              <w:spacing w:before="1" w:line="223" w:lineRule="exact"/>
              <w:ind w:left="1018" w:right="1018"/>
              <w:jc w:val="center"/>
              <w:rPr>
                <w:rFonts w:ascii="Calibri"/>
                <w:b/>
                <w:sz w:val="20"/>
              </w:rPr>
            </w:pPr>
            <w:r>
              <w:rPr>
                <w:rFonts w:ascii="Calibri"/>
                <w:b/>
                <w:sz w:val="20"/>
              </w:rPr>
              <w:t>Costs</w:t>
            </w:r>
          </w:p>
        </w:tc>
        <w:tc>
          <w:tcPr>
            <w:tcW w:w="2285" w:type="dxa"/>
            <w:gridSpan w:val="2"/>
          </w:tcPr>
          <w:p w:rsidR="006A18FD" w:rsidRDefault="002D29FC">
            <w:pPr>
              <w:spacing w:before="1" w:line="223" w:lineRule="exact"/>
              <w:ind w:left="477"/>
              <w:rPr>
                <w:rFonts w:ascii="Calibri"/>
                <w:b/>
                <w:sz w:val="20"/>
              </w:rPr>
            </w:pPr>
            <w:r>
              <w:rPr>
                <w:rFonts w:ascii="Calibri"/>
                <w:b/>
                <w:sz w:val="20"/>
              </w:rPr>
              <w:t>Supported cCBT</w:t>
            </w:r>
          </w:p>
        </w:tc>
        <w:tc>
          <w:tcPr>
            <w:tcW w:w="2568" w:type="dxa"/>
            <w:gridSpan w:val="2"/>
          </w:tcPr>
          <w:p w:rsidR="006A18FD" w:rsidRDefault="002D29FC">
            <w:pPr>
              <w:spacing w:before="1" w:line="223" w:lineRule="exact"/>
              <w:ind w:left="594"/>
              <w:rPr>
                <w:rFonts w:ascii="Calibri"/>
                <w:b/>
                <w:sz w:val="20"/>
              </w:rPr>
            </w:pPr>
            <w:r>
              <w:rPr>
                <w:rFonts w:ascii="Calibri"/>
                <w:b/>
                <w:sz w:val="20"/>
              </w:rPr>
              <w:t>Guided self-help</w:t>
            </w:r>
          </w:p>
        </w:tc>
        <w:tc>
          <w:tcPr>
            <w:tcW w:w="2660" w:type="dxa"/>
            <w:gridSpan w:val="2"/>
          </w:tcPr>
          <w:p w:rsidR="006A18FD" w:rsidRDefault="002D29FC">
            <w:pPr>
              <w:spacing w:before="1" w:line="223" w:lineRule="exact"/>
              <w:ind w:left="852"/>
              <w:rPr>
                <w:rFonts w:ascii="Calibri"/>
                <w:b/>
                <w:sz w:val="20"/>
              </w:rPr>
            </w:pPr>
            <w:r>
              <w:rPr>
                <w:rFonts w:ascii="Calibri"/>
                <w:b/>
                <w:sz w:val="20"/>
              </w:rPr>
              <w:t>Waiting list</w:t>
            </w:r>
          </w:p>
        </w:tc>
      </w:tr>
      <w:tr w:rsidR="006A18FD" w:rsidTr="00E2663F">
        <w:trPr>
          <w:trHeight w:val="240"/>
          <w:tblHeader/>
        </w:trPr>
        <w:tc>
          <w:tcPr>
            <w:tcW w:w="2530" w:type="dxa"/>
          </w:tcPr>
          <w:p w:rsidR="006A18FD" w:rsidRDefault="006A18FD">
            <w:pPr>
              <w:rPr>
                <w:rFonts w:ascii="Times New Roman"/>
                <w:sz w:val="16"/>
              </w:rPr>
            </w:pPr>
          </w:p>
        </w:tc>
        <w:tc>
          <w:tcPr>
            <w:tcW w:w="1011" w:type="dxa"/>
          </w:tcPr>
          <w:p w:rsidR="006A18FD" w:rsidRDefault="002D29FC">
            <w:pPr>
              <w:spacing w:before="2" w:line="223" w:lineRule="exact"/>
              <w:ind w:left="220"/>
              <w:rPr>
                <w:rFonts w:ascii="Calibri"/>
                <w:sz w:val="20"/>
              </w:rPr>
            </w:pPr>
            <w:r>
              <w:rPr>
                <w:rFonts w:ascii="Calibri"/>
                <w:sz w:val="20"/>
              </w:rPr>
              <w:t>Valid n</w:t>
            </w:r>
          </w:p>
        </w:tc>
        <w:tc>
          <w:tcPr>
            <w:tcW w:w="1274" w:type="dxa"/>
          </w:tcPr>
          <w:p w:rsidR="006A18FD" w:rsidRDefault="002D29FC">
            <w:pPr>
              <w:spacing w:before="2" w:line="223" w:lineRule="exact"/>
              <w:ind w:right="132"/>
              <w:jc w:val="right"/>
              <w:rPr>
                <w:rFonts w:ascii="Calibri" w:hAnsi="Calibri"/>
                <w:sz w:val="20"/>
              </w:rPr>
            </w:pPr>
            <w:r>
              <w:rPr>
                <w:rFonts w:ascii="Calibri" w:hAnsi="Calibri"/>
                <w:sz w:val="20"/>
              </w:rPr>
              <w:t>Mean cost £</w:t>
            </w:r>
          </w:p>
        </w:tc>
        <w:tc>
          <w:tcPr>
            <w:tcW w:w="1277" w:type="dxa"/>
          </w:tcPr>
          <w:p w:rsidR="006A18FD" w:rsidRDefault="002D29FC">
            <w:pPr>
              <w:spacing w:before="2" w:line="223" w:lineRule="exact"/>
              <w:ind w:left="354"/>
              <w:rPr>
                <w:rFonts w:ascii="Calibri"/>
                <w:sz w:val="20"/>
              </w:rPr>
            </w:pPr>
            <w:r>
              <w:rPr>
                <w:rFonts w:ascii="Calibri"/>
                <w:sz w:val="20"/>
              </w:rPr>
              <w:t>Valid n</w:t>
            </w:r>
          </w:p>
        </w:tc>
        <w:tc>
          <w:tcPr>
            <w:tcW w:w="1291" w:type="dxa"/>
          </w:tcPr>
          <w:p w:rsidR="006A18FD" w:rsidRDefault="002D29FC">
            <w:pPr>
              <w:spacing w:before="2" w:line="223" w:lineRule="exact"/>
              <w:ind w:right="144"/>
              <w:jc w:val="right"/>
              <w:rPr>
                <w:rFonts w:ascii="Calibri" w:hAnsi="Calibri"/>
                <w:sz w:val="20"/>
              </w:rPr>
            </w:pPr>
            <w:r>
              <w:rPr>
                <w:rFonts w:ascii="Calibri" w:hAnsi="Calibri"/>
                <w:sz w:val="20"/>
              </w:rPr>
              <w:t>Mean cost £</w:t>
            </w:r>
          </w:p>
        </w:tc>
        <w:tc>
          <w:tcPr>
            <w:tcW w:w="1234" w:type="dxa"/>
          </w:tcPr>
          <w:p w:rsidR="006A18FD" w:rsidRDefault="002D29FC">
            <w:pPr>
              <w:spacing w:before="2" w:line="223" w:lineRule="exact"/>
              <w:ind w:left="331"/>
              <w:rPr>
                <w:rFonts w:ascii="Calibri"/>
                <w:sz w:val="20"/>
              </w:rPr>
            </w:pPr>
            <w:r>
              <w:rPr>
                <w:rFonts w:ascii="Calibri"/>
                <w:sz w:val="20"/>
              </w:rPr>
              <w:t>Valid n</w:t>
            </w:r>
          </w:p>
        </w:tc>
        <w:tc>
          <w:tcPr>
            <w:tcW w:w="1426" w:type="dxa"/>
          </w:tcPr>
          <w:p w:rsidR="006A18FD" w:rsidRDefault="002D29FC">
            <w:pPr>
              <w:spacing w:before="2" w:line="223" w:lineRule="exact"/>
              <w:ind w:left="208"/>
              <w:rPr>
                <w:rFonts w:ascii="Calibri" w:hAnsi="Calibri"/>
                <w:sz w:val="20"/>
              </w:rPr>
            </w:pPr>
            <w:r>
              <w:rPr>
                <w:rFonts w:ascii="Calibri" w:hAnsi="Calibri"/>
                <w:sz w:val="20"/>
              </w:rPr>
              <w:t>Mean cost £</w:t>
            </w:r>
          </w:p>
        </w:tc>
      </w:tr>
      <w:tr w:rsidR="006A18FD">
        <w:trPr>
          <w:trHeight w:val="240"/>
        </w:trPr>
        <w:tc>
          <w:tcPr>
            <w:tcW w:w="2530" w:type="dxa"/>
          </w:tcPr>
          <w:p w:rsidR="006A18FD" w:rsidRDefault="006A18FD">
            <w:pPr>
              <w:rPr>
                <w:rFonts w:ascii="Times New Roman"/>
                <w:sz w:val="16"/>
              </w:rPr>
            </w:pPr>
          </w:p>
        </w:tc>
        <w:tc>
          <w:tcPr>
            <w:tcW w:w="1011" w:type="dxa"/>
          </w:tcPr>
          <w:p w:rsidR="006A18FD" w:rsidRDefault="006A18FD">
            <w:pPr>
              <w:rPr>
                <w:rFonts w:ascii="Times New Roman"/>
                <w:sz w:val="16"/>
              </w:rPr>
            </w:pPr>
          </w:p>
        </w:tc>
        <w:tc>
          <w:tcPr>
            <w:tcW w:w="1274" w:type="dxa"/>
          </w:tcPr>
          <w:p w:rsidR="006A18FD" w:rsidRDefault="006A18FD">
            <w:pPr>
              <w:rPr>
                <w:rFonts w:ascii="Times New Roman"/>
                <w:sz w:val="16"/>
              </w:rPr>
            </w:pPr>
          </w:p>
        </w:tc>
        <w:tc>
          <w:tcPr>
            <w:tcW w:w="1277" w:type="dxa"/>
          </w:tcPr>
          <w:p w:rsidR="006A18FD" w:rsidRDefault="006A18FD">
            <w:pPr>
              <w:rPr>
                <w:rFonts w:ascii="Times New Roman"/>
                <w:sz w:val="16"/>
              </w:rPr>
            </w:pPr>
          </w:p>
        </w:tc>
        <w:tc>
          <w:tcPr>
            <w:tcW w:w="1291" w:type="dxa"/>
          </w:tcPr>
          <w:p w:rsidR="006A18FD" w:rsidRDefault="006A18FD">
            <w:pPr>
              <w:rPr>
                <w:rFonts w:ascii="Times New Roman"/>
                <w:sz w:val="16"/>
              </w:rPr>
            </w:pPr>
          </w:p>
        </w:tc>
        <w:tc>
          <w:tcPr>
            <w:tcW w:w="1234" w:type="dxa"/>
          </w:tcPr>
          <w:p w:rsidR="006A18FD" w:rsidRDefault="006A18FD">
            <w:pPr>
              <w:rPr>
                <w:rFonts w:ascii="Times New Roman"/>
                <w:sz w:val="16"/>
              </w:rPr>
            </w:pPr>
          </w:p>
        </w:tc>
        <w:tc>
          <w:tcPr>
            <w:tcW w:w="1426" w:type="dxa"/>
          </w:tcPr>
          <w:p w:rsidR="006A18FD" w:rsidRDefault="006A18FD">
            <w:pPr>
              <w:rPr>
                <w:rFonts w:ascii="Times New Roman"/>
                <w:sz w:val="16"/>
              </w:rPr>
            </w:pPr>
          </w:p>
        </w:tc>
      </w:tr>
      <w:tr w:rsidR="006A18FD">
        <w:trPr>
          <w:trHeight w:val="240"/>
        </w:trPr>
        <w:tc>
          <w:tcPr>
            <w:tcW w:w="2530" w:type="dxa"/>
          </w:tcPr>
          <w:p w:rsidR="006A18FD" w:rsidRDefault="002D29FC">
            <w:pPr>
              <w:spacing w:before="1" w:line="223" w:lineRule="exact"/>
              <w:ind w:left="103"/>
              <w:rPr>
                <w:rFonts w:ascii="Calibri"/>
                <w:b/>
                <w:sz w:val="20"/>
              </w:rPr>
            </w:pPr>
            <w:r>
              <w:rPr>
                <w:rFonts w:ascii="Calibri"/>
                <w:b/>
                <w:sz w:val="20"/>
              </w:rPr>
              <w:t>Baseline to 3 months</w:t>
            </w:r>
          </w:p>
        </w:tc>
        <w:tc>
          <w:tcPr>
            <w:tcW w:w="1011" w:type="dxa"/>
          </w:tcPr>
          <w:p w:rsidR="006A18FD" w:rsidRDefault="006A18FD">
            <w:pPr>
              <w:rPr>
                <w:rFonts w:ascii="Times New Roman"/>
                <w:sz w:val="16"/>
              </w:rPr>
            </w:pPr>
          </w:p>
        </w:tc>
        <w:tc>
          <w:tcPr>
            <w:tcW w:w="1274" w:type="dxa"/>
          </w:tcPr>
          <w:p w:rsidR="006A18FD" w:rsidRDefault="006A18FD">
            <w:pPr>
              <w:rPr>
                <w:rFonts w:ascii="Times New Roman"/>
                <w:sz w:val="16"/>
              </w:rPr>
            </w:pPr>
          </w:p>
        </w:tc>
        <w:tc>
          <w:tcPr>
            <w:tcW w:w="1277" w:type="dxa"/>
          </w:tcPr>
          <w:p w:rsidR="006A18FD" w:rsidRDefault="006A18FD">
            <w:pPr>
              <w:rPr>
                <w:rFonts w:ascii="Times New Roman"/>
                <w:sz w:val="16"/>
              </w:rPr>
            </w:pPr>
          </w:p>
        </w:tc>
        <w:tc>
          <w:tcPr>
            <w:tcW w:w="1291" w:type="dxa"/>
          </w:tcPr>
          <w:p w:rsidR="006A18FD" w:rsidRDefault="006A18FD">
            <w:pPr>
              <w:rPr>
                <w:rFonts w:ascii="Times New Roman"/>
                <w:sz w:val="16"/>
              </w:rPr>
            </w:pPr>
          </w:p>
        </w:tc>
        <w:tc>
          <w:tcPr>
            <w:tcW w:w="1234" w:type="dxa"/>
          </w:tcPr>
          <w:p w:rsidR="006A18FD" w:rsidRDefault="006A18FD">
            <w:pPr>
              <w:rPr>
                <w:rFonts w:ascii="Times New Roman"/>
                <w:sz w:val="16"/>
              </w:rPr>
            </w:pPr>
          </w:p>
        </w:tc>
        <w:tc>
          <w:tcPr>
            <w:tcW w:w="1426" w:type="dxa"/>
          </w:tcPr>
          <w:p w:rsidR="006A18FD" w:rsidRDefault="006A18FD">
            <w:pPr>
              <w:rPr>
                <w:rFonts w:ascii="Times New Roman"/>
                <w:sz w:val="16"/>
              </w:rPr>
            </w:pPr>
          </w:p>
        </w:tc>
      </w:tr>
      <w:tr w:rsidR="006A18FD">
        <w:trPr>
          <w:trHeight w:val="240"/>
        </w:trPr>
        <w:tc>
          <w:tcPr>
            <w:tcW w:w="2530" w:type="dxa"/>
          </w:tcPr>
          <w:p w:rsidR="006A18FD" w:rsidRDefault="002D29FC">
            <w:pPr>
              <w:spacing w:before="1" w:line="223" w:lineRule="exact"/>
              <w:ind w:left="103"/>
              <w:rPr>
                <w:rFonts w:ascii="Calibri"/>
                <w:sz w:val="20"/>
              </w:rPr>
            </w:pPr>
            <w:r>
              <w:rPr>
                <w:rFonts w:ascii="Calibri"/>
                <w:sz w:val="20"/>
              </w:rPr>
              <w:t>Health and social care costs</w:t>
            </w:r>
          </w:p>
        </w:tc>
        <w:tc>
          <w:tcPr>
            <w:tcW w:w="1011" w:type="dxa"/>
          </w:tcPr>
          <w:p w:rsidR="006A18FD" w:rsidRDefault="002D29FC">
            <w:pPr>
              <w:spacing w:before="1" w:line="223" w:lineRule="exact"/>
              <w:ind w:right="105"/>
              <w:jc w:val="right"/>
              <w:rPr>
                <w:rFonts w:ascii="Calibri"/>
                <w:sz w:val="20"/>
              </w:rPr>
            </w:pPr>
            <w:r>
              <w:rPr>
                <w:rFonts w:ascii="Calibri"/>
                <w:sz w:val="20"/>
              </w:rPr>
              <w:t>157</w:t>
            </w:r>
          </w:p>
        </w:tc>
        <w:tc>
          <w:tcPr>
            <w:tcW w:w="1274" w:type="dxa"/>
          </w:tcPr>
          <w:p w:rsidR="006A18FD" w:rsidRDefault="002D29FC">
            <w:pPr>
              <w:spacing w:before="1" w:line="223" w:lineRule="exact"/>
              <w:ind w:right="101"/>
              <w:jc w:val="right"/>
              <w:rPr>
                <w:rFonts w:ascii="Calibri" w:hAnsi="Calibri"/>
                <w:sz w:val="20"/>
              </w:rPr>
            </w:pPr>
            <w:r>
              <w:rPr>
                <w:rFonts w:ascii="Calibri" w:hAnsi="Calibri"/>
                <w:sz w:val="20"/>
              </w:rPr>
              <w:t>£564</w:t>
            </w:r>
          </w:p>
        </w:tc>
        <w:tc>
          <w:tcPr>
            <w:tcW w:w="1277" w:type="dxa"/>
          </w:tcPr>
          <w:p w:rsidR="006A18FD" w:rsidRDefault="002D29FC">
            <w:pPr>
              <w:spacing w:before="1" w:line="223" w:lineRule="exact"/>
              <w:ind w:right="103"/>
              <w:jc w:val="right"/>
              <w:rPr>
                <w:rFonts w:ascii="Calibri"/>
                <w:sz w:val="20"/>
              </w:rPr>
            </w:pPr>
            <w:r>
              <w:rPr>
                <w:rFonts w:ascii="Calibri"/>
                <w:sz w:val="20"/>
              </w:rPr>
              <w:t>158</w:t>
            </w:r>
          </w:p>
        </w:tc>
        <w:tc>
          <w:tcPr>
            <w:tcW w:w="1291" w:type="dxa"/>
          </w:tcPr>
          <w:p w:rsidR="006A18FD" w:rsidRDefault="002D29FC">
            <w:pPr>
              <w:spacing w:before="1" w:line="223" w:lineRule="exact"/>
              <w:ind w:right="105"/>
              <w:jc w:val="right"/>
              <w:rPr>
                <w:rFonts w:ascii="Calibri" w:hAnsi="Calibri"/>
                <w:sz w:val="20"/>
              </w:rPr>
            </w:pPr>
            <w:r>
              <w:rPr>
                <w:rFonts w:ascii="Calibri" w:hAnsi="Calibri"/>
                <w:sz w:val="20"/>
              </w:rPr>
              <w:t>£761</w:t>
            </w:r>
          </w:p>
        </w:tc>
        <w:tc>
          <w:tcPr>
            <w:tcW w:w="1234" w:type="dxa"/>
          </w:tcPr>
          <w:p w:rsidR="006A18FD" w:rsidRDefault="002D29FC">
            <w:pPr>
              <w:spacing w:before="1" w:line="223" w:lineRule="exact"/>
              <w:ind w:right="105"/>
              <w:jc w:val="right"/>
              <w:rPr>
                <w:rFonts w:ascii="Calibri"/>
                <w:sz w:val="20"/>
              </w:rPr>
            </w:pPr>
            <w:r>
              <w:rPr>
                <w:rFonts w:ascii="Calibri"/>
                <w:sz w:val="20"/>
              </w:rPr>
              <w:t>158</w:t>
            </w:r>
          </w:p>
        </w:tc>
        <w:tc>
          <w:tcPr>
            <w:tcW w:w="1426" w:type="dxa"/>
          </w:tcPr>
          <w:p w:rsidR="006A18FD" w:rsidRDefault="002D29FC">
            <w:pPr>
              <w:spacing w:before="1" w:line="223" w:lineRule="exact"/>
              <w:ind w:right="102"/>
              <w:jc w:val="right"/>
              <w:rPr>
                <w:rFonts w:ascii="Calibri" w:hAnsi="Calibri"/>
                <w:sz w:val="20"/>
              </w:rPr>
            </w:pPr>
            <w:r>
              <w:rPr>
                <w:rFonts w:ascii="Calibri" w:hAnsi="Calibri"/>
                <w:sz w:val="20"/>
              </w:rPr>
              <w:t>£468</w:t>
            </w:r>
          </w:p>
        </w:tc>
      </w:tr>
      <w:tr w:rsidR="006A18FD">
        <w:trPr>
          <w:trHeight w:val="720"/>
        </w:trPr>
        <w:tc>
          <w:tcPr>
            <w:tcW w:w="2530" w:type="dxa"/>
          </w:tcPr>
          <w:p w:rsidR="006A18FD" w:rsidRDefault="002D29FC">
            <w:pPr>
              <w:spacing w:before="1"/>
              <w:ind w:left="103" w:right="84"/>
              <w:rPr>
                <w:rFonts w:ascii="Calibri"/>
                <w:sz w:val="20"/>
              </w:rPr>
            </w:pPr>
            <w:r>
              <w:rPr>
                <w:rFonts w:ascii="Calibri"/>
                <w:sz w:val="20"/>
              </w:rPr>
              <w:t>Employment losses, out-of- pocket expenses and out-of-</w:t>
            </w:r>
          </w:p>
          <w:p w:rsidR="006A18FD" w:rsidRDefault="002D29FC">
            <w:pPr>
              <w:spacing w:line="221" w:lineRule="exact"/>
              <w:ind w:left="103"/>
              <w:rPr>
                <w:rFonts w:ascii="Calibri"/>
                <w:sz w:val="20"/>
              </w:rPr>
            </w:pPr>
            <w:r>
              <w:rPr>
                <w:rFonts w:ascii="Calibri"/>
                <w:sz w:val="20"/>
              </w:rPr>
              <w:t>pocket savings.</w:t>
            </w:r>
          </w:p>
        </w:tc>
        <w:tc>
          <w:tcPr>
            <w:tcW w:w="1011" w:type="dxa"/>
          </w:tcPr>
          <w:p w:rsidR="006A18FD" w:rsidRDefault="002D29FC">
            <w:pPr>
              <w:spacing w:before="1"/>
              <w:ind w:right="105"/>
              <w:jc w:val="right"/>
              <w:rPr>
                <w:rFonts w:ascii="Calibri"/>
                <w:sz w:val="20"/>
              </w:rPr>
            </w:pPr>
            <w:r>
              <w:rPr>
                <w:rFonts w:ascii="Calibri"/>
                <w:sz w:val="20"/>
              </w:rPr>
              <w:t>157</w:t>
            </w:r>
          </w:p>
        </w:tc>
        <w:tc>
          <w:tcPr>
            <w:tcW w:w="1274" w:type="dxa"/>
          </w:tcPr>
          <w:p w:rsidR="006A18FD" w:rsidRDefault="002D29FC">
            <w:pPr>
              <w:spacing w:before="1"/>
              <w:ind w:right="101"/>
              <w:jc w:val="right"/>
              <w:rPr>
                <w:rFonts w:ascii="Calibri" w:hAnsi="Calibri"/>
                <w:sz w:val="20"/>
              </w:rPr>
            </w:pPr>
            <w:r>
              <w:rPr>
                <w:rFonts w:ascii="Calibri" w:hAnsi="Calibri"/>
                <w:sz w:val="20"/>
              </w:rPr>
              <w:t>£252</w:t>
            </w:r>
          </w:p>
        </w:tc>
        <w:tc>
          <w:tcPr>
            <w:tcW w:w="1277" w:type="dxa"/>
          </w:tcPr>
          <w:p w:rsidR="006A18FD" w:rsidRDefault="006A18FD">
            <w:pPr>
              <w:rPr>
                <w:rFonts w:ascii="Times New Roman"/>
                <w:sz w:val="20"/>
              </w:rPr>
            </w:pPr>
          </w:p>
        </w:tc>
        <w:tc>
          <w:tcPr>
            <w:tcW w:w="1291" w:type="dxa"/>
          </w:tcPr>
          <w:p w:rsidR="006A18FD" w:rsidRDefault="002D29FC">
            <w:pPr>
              <w:spacing w:before="1"/>
              <w:ind w:right="105"/>
              <w:jc w:val="right"/>
              <w:rPr>
                <w:rFonts w:ascii="Calibri" w:hAnsi="Calibri"/>
                <w:sz w:val="20"/>
              </w:rPr>
            </w:pPr>
            <w:r>
              <w:rPr>
                <w:rFonts w:ascii="Calibri" w:hAnsi="Calibri"/>
                <w:sz w:val="20"/>
              </w:rPr>
              <w:t>£227</w:t>
            </w:r>
          </w:p>
        </w:tc>
        <w:tc>
          <w:tcPr>
            <w:tcW w:w="1234" w:type="dxa"/>
          </w:tcPr>
          <w:p w:rsidR="006A18FD" w:rsidRDefault="002D29FC">
            <w:pPr>
              <w:spacing w:before="1"/>
              <w:ind w:right="105"/>
              <w:jc w:val="right"/>
              <w:rPr>
                <w:rFonts w:ascii="Calibri"/>
                <w:sz w:val="20"/>
              </w:rPr>
            </w:pPr>
            <w:r>
              <w:rPr>
                <w:rFonts w:ascii="Calibri"/>
                <w:sz w:val="20"/>
              </w:rPr>
              <w:t>158</w:t>
            </w:r>
          </w:p>
        </w:tc>
        <w:tc>
          <w:tcPr>
            <w:tcW w:w="1426" w:type="dxa"/>
          </w:tcPr>
          <w:p w:rsidR="006A18FD" w:rsidRDefault="002D29FC">
            <w:pPr>
              <w:spacing w:before="1"/>
              <w:ind w:right="102"/>
              <w:jc w:val="right"/>
              <w:rPr>
                <w:rFonts w:ascii="Calibri" w:hAnsi="Calibri"/>
                <w:sz w:val="20"/>
              </w:rPr>
            </w:pPr>
            <w:r>
              <w:rPr>
                <w:rFonts w:ascii="Calibri" w:hAnsi="Calibri"/>
                <w:sz w:val="20"/>
              </w:rPr>
              <w:t>£205</w:t>
            </w:r>
          </w:p>
        </w:tc>
      </w:tr>
      <w:tr w:rsidR="006A18FD">
        <w:trPr>
          <w:trHeight w:val="240"/>
        </w:trPr>
        <w:tc>
          <w:tcPr>
            <w:tcW w:w="2530" w:type="dxa"/>
          </w:tcPr>
          <w:p w:rsidR="006A18FD" w:rsidRDefault="002D29FC">
            <w:pPr>
              <w:spacing w:before="1" w:line="223" w:lineRule="exact"/>
              <w:ind w:left="103"/>
              <w:rPr>
                <w:rFonts w:ascii="Calibri"/>
                <w:b/>
                <w:sz w:val="20"/>
              </w:rPr>
            </w:pPr>
            <w:r>
              <w:rPr>
                <w:rFonts w:ascii="Calibri"/>
                <w:b/>
                <w:sz w:val="20"/>
              </w:rPr>
              <w:t>Total costs</w:t>
            </w:r>
          </w:p>
        </w:tc>
        <w:tc>
          <w:tcPr>
            <w:tcW w:w="1011" w:type="dxa"/>
          </w:tcPr>
          <w:p w:rsidR="006A18FD" w:rsidRDefault="002D29FC">
            <w:pPr>
              <w:spacing w:before="1" w:line="223" w:lineRule="exact"/>
              <w:ind w:right="105"/>
              <w:jc w:val="right"/>
              <w:rPr>
                <w:rFonts w:ascii="Calibri"/>
                <w:b/>
                <w:sz w:val="20"/>
              </w:rPr>
            </w:pPr>
            <w:r>
              <w:rPr>
                <w:rFonts w:ascii="Calibri"/>
                <w:b/>
                <w:sz w:val="20"/>
              </w:rPr>
              <w:t>157</w:t>
            </w:r>
          </w:p>
        </w:tc>
        <w:tc>
          <w:tcPr>
            <w:tcW w:w="1274" w:type="dxa"/>
          </w:tcPr>
          <w:p w:rsidR="006A18FD" w:rsidRDefault="002D29FC">
            <w:pPr>
              <w:spacing w:before="1" w:line="223" w:lineRule="exact"/>
              <w:ind w:right="101"/>
              <w:jc w:val="right"/>
              <w:rPr>
                <w:rFonts w:ascii="Calibri" w:hAnsi="Calibri"/>
                <w:b/>
                <w:sz w:val="20"/>
              </w:rPr>
            </w:pPr>
            <w:r>
              <w:rPr>
                <w:rFonts w:ascii="Calibri" w:hAnsi="Calibri"/>
                <w:b/>
                <w:sz w:val="20"/>
              </w:rPr>
              <w:t>£817</w:t>
            </w:r>
          </w:p>
        </w:tc>
        <w:tc>
          <w:tcPr>
            <w:tcW w:w="1277" w:type="dxa"/>
          </w:tcPr>
          <w:p w:rsidR="006A18FD" w:rsidRDefault="002D29FC">
            <w:pPr>
              <w:spacing w:before="1" w:line="223" w:lineRule="exact"/>
              <w:ind w:right="103"/>
              <w:jc w:val="right"/>
              <w:rPr>
                <w:rFonts w:ascii="Calibri"/>
                <w:b/>
                <w:sz w:val="20"/>
              </w:rPr>
            </w:pPr>
            <w:r>
              <w:rPr>
                <w:rFonts w:ascii="Calibri"/>
                <w:b/>
                <w:sz w:val="20"/>
              </w:rPr>
              <w:t>158</w:t>
            </w:r>
          </w:p>
        </w:tc>
        <w:tc>
          <w:tcPr>
            <w:tcW w:w="1291" w:type="dxa"/>
          </w:tcPr>
          <w:p w:rsidR="006A18FD" w:rsidRDefault="002D29FC">
            <w:pPr>
              <w:spacing w:before="1" w:line="223" w:lineRule="exact"/>
              <w:ind w:right="105"/>
              <w:jc w:val="right"/>
              <w:rPr>
                <w:rFonts w:ascii="Calibri" w:hAnsi="Calibri"/>
                <w:b/>
                <w:sz w:val="20"/>
              </w:rPr>
            </w:pPr>
            <w:r>
              <w:rPr>
                <w:rFonts w:ascii="Calibri" w:hAnsi="Calibri"/>
                <w:b/>
                <w:sz w:val="20"/>
              </w:rPr>
              <w:t>£989</w:t>
            </w:r>
          </w:p>
        </w:tc>
        <w:tc>
          <w:tcPr>
            <w:tcW w:w="1234" w:type="dxa"/>
          </w:tcPr>
          <w:p w:rsidR="006A18FD" w:rsidRDefault="002D29FC">
            <w:pPr>
              <w:spacing w:before="1" w:line="223" w:lineRule="exact"/>
              <w:ind w:right="105"/>
              <w:jc w:val="right"/>
              <w:rPr>
                <w:rFonts w:ascii="Calibri"/>
                <w:b/>
                <w:sz w:val="20"/>
              </w:rPr>
            </w:pPr>
            <w:r>
              <w:rPr>
                <w:rFonts w:ascii="Calibri"/>
                <w:b/>
                <w:sz w:val="20"/>
              </w:rPr>
              <w:t>158</w:t>
            </w:r>
          </w:p>
        </w:tc>
        <w:tc>
          <w:tcPr>
            <w:tcW w:w="1426" w:type="dxa"/>
          </w:tcPr>
          <w:p w:rsidR="006A18FD" w:rsidRDefault="002D29FC">
            <w:pPr>
              <w:spacing w:before="1" w:line="223" w:lineRule="exact"/>
              <w:ind w:right="102"/>
              <w:jc w:val="right"/>
              <w:rPr>
                <w:rFonts w:ascii="Calibri" w:hAnsi="Calibri"/>
                <w:b/>
                <w:sz w:val="20"/>
              </w:rPr>
            </w:pPr>
            <w:r>
              <w:rPr>
                <w:rFonts w:ascii="Calibri" w:hAnsi="Calibri"/>
                <w:b/>
                <w:sz w:val="20"/>
              </w:rPr>
              <w:t>£672</w:t>
            </w:r>
          </w:p>
        </w:tc>
      </w:tr>
      <w:tr w:rsidR="006A18FD">
        <w:trPr>
          <w:trHeight w:val="240"/>
        </w:trPr>
        <w:tc>
          <w:tcPr>
            <w:tcW w:w="2530" w:type="dxa"/>
          </w:tcPr>
          <w:p w:rsidR="006A18FD" w:rsidRDefault="006A18FD">
            <w:pPr>
              <w:rPr>
                <w:rFonts w:ascii="Times New Roman"/>
                <w:sz w:val="16"/>
              </w:rPr>
            </w:pPr>
          </w:p>
        </w:tc>
        <w:tc>
          <w:tcPr>
            <w:tcW w:w="1011" w:type="dxa"/>
          </w:tcPr>
          <w:p w:rsidR="006A18FD" w:rsidRDefault="006A18FD">
            <w:pPr>
              <w:rPr>
                <w:rFonts w:ascii="Times New Roman"/>
                <w:sz w:val="16"/>
              </w:rPr>
            </w:pPr>
          </w:p>
        </w:tc>
        <w:tc>
          <w:tcPr>
            <w:tcW w:w="1274" w:type="dxa"/>
          </w:tcPr>
          <w:p w:rsidR="006A18FD" w:rsidRDefault="006A18FD">
            <w:pPr>
              <w:rPr>
                <w:rFonts w:ascii="Times New Roman"/>
                <w:sz w:val="16"/>
              </w:rPr>
            </w:pPr>
          </w:p>
        </w:tc>
        <w:tc>
          <w:tcPr>
            <w:tcW w:w="1277" w:type="dxa"/>
          </w:tcPr>
          <w:p w:rsidR="006A18FD" w:rsidRDefault="006A18FD">
            <w:pPr>
              <w:rPr>
                <w:rFonts w:ascii="Times New Roman"/>
                <w:sz w:val="16"/>
              </w:rPr>
            </w:pPr>
          </w:p>
        </w:tc>
        <w:tc>
          <w:tcPr>
            <w:tcW w:w="1291" w:type="dxa"/>
          </w:tcPr>
          <w:p w:rsidR="006A18FD" w:rsidRDefault="006A18FD">
            <w:pPr>
              <w:rPr>
                <w:rFonts w:ascii="Times New Roman"/>
                <w:sz w:val="16"/>
              </w:rPr>
            </w:pPr>
          </w:p>
        </w:tc>
        <w:tc>
          <w:tcPr>
            <w:tcW w:w="1234" w:type="dxa"/>
          </w:tcPr>
          <w:p w:rsidR="006A18FD" w:rsidRDefault="006A18FD">
            <w:pPr>
              <w:rPr>
                <w:rFonts w:ascii="Times New Roman"/>
                <w:sz w:val="16"/>
              </w:rPr>
            </w:pPr>
          </w:p>
        </w:tc>
        <w:tc>
          <w:tcPr>
            <w:tcW w:w="1426" w:type="dxa"/>
          </w:tcPr>
          <w:p w:rsidR="006A18FD" w:rsidRDefault="006A18FD">
            <w:pPr>
              <w:rPr>
                <w:rFonts w:ascii="Times New Roman"/>
                <w:sz w:val="16"/>
              </w:rPr>
            </w:pPr>
          </w:p>
        </w:tc>
      </w:tr>
      <w:tr w:rsidR="006A18FD">
        <w:trPr>
          <w:trHeight w:val="240"/>
        </w:trPr>
        <w:tc>
          <w:tcPr>
            <w:tcW w:w="2530" w:type="dxa"/>
          </w:tcPr>
          <w:p w:rsidR="006A18FD" w:rsidRDefault="002D29FC">
            <w:pPr>
              <w:spacing w:before="1" w:line="223" w:lineRule="exact"/>
              <w:ind w:left="103"/>
              <w:rPr>
                <w:rFonts w:ascii="Calibri"/>
                <w:b/>
                <w:sz w:val="20"/>
              </w:rPr>
            </w:pPr>
            <w:r>
              <w:rPr>
                <w:rFonts w:ascii="Calibri"/>
                <w:b/>
                <w:sz w:val="20"/>
              </w:rPr>
              <w:t>Baseline to 12 months</w:t>
            </w:r>
          </w:p>
        </w:tc>
        <w:tc>
          <w:tcPr>
            <w:tcW w:w="1011" w:type="dxa"/>
          </w:tcPr>
          <w:p w:rsidR="006A18FD" w:rsidRDefault="006A18FD">
            <w:pPr>
              <w:rPr>
                <w:rFonts w:ascii="Times New Roman"/>
                <w:sz w:val="16"/>
              </w:rPr>
            </w:pPr>
          </w:p>
        </w:tc>
        <w:tc>
          <w:tcPr>
            <w:tcW w:w="1274" w:type="dxa"/>
          </w:tcPr>
          <w:p w:rsidR="006A18FD" w:rsidRDefault="006A18FD">
            <w:pPr>
              <w:rPr>
                <w:rFonts w:ascii="Times New Roman"/>
                <w:sz w:val="16"/>
              </w:rPr>
            </w:pPr>
          </w:p>
        </w:tc>
        <w:tc>
          <w:tcPr>
            <w:tcW w:w="1277" w:type="dxa"/>
          </w:tcPr>
          <w:p w:rsidR="006A18FD" w:rsidRDefault="006A18FD">
            <w:pPr>
              <w:rPr>
                <w:rFonts w:ascii="Times New Roman"/>
                <w:sz w:val="16"/>
              </w:rPr>
            </w:pPr>
          </w:p>
        </w:tc>
        <w:tc>
          <w:tcPr>
            <w:tcW w:w="1291" w:type="dxa"/>
          </w:tcPr>
          <w:p w:rsidR="006A18FD" w:rsidRDefault="006A18FD">
            <w:pPr>
              <w:rPr>
                <w:rFonts w:ascii="Times New Roman"/>
                <w:sz w:val="16"/>
              </w:rPr>
            </w:pPr>
          </w:p>
        </w:tc>
        <w:tc>
          <w:tcPr>
            <w:tcW w:w="1234" w:type="dxa"/>
          </w:tcPr>
          <w:p w:rsidR="006A18FD" w:rsidRDefault="006A18FD">
            <w:pPr>
              <w:rPr>
                <w:rFonts w:ascii="Times New Roman"/>
                <w:sz w:val="16"/>
              </w:rPr>
            </w:pPr>
          </w:p>
        </w:tc>
        <w:tc>
          <w:tcPr>
            <w:tcW w:w="1426" w:type="dxa"/>
          </w:tcPr>
          <w:p w:rsidR="006A18FD" w:rsidRDefault="006A18FD">
            <w:pPr>
              <w:rPr>
                <w:rFonts w:ascii="Times New Roman"/>
                <w:sz w:val="16"/>
              </w:rPr>
            </w:pPr>
          </w:p>
        </w:tc>
      </w:tr>
      <w:tr w:rsidR="006A18FD">
        <w:trPr>
          <w:trHeight w:val="240"/>
        </w:trPr>
        <w:tc>
          <w:tcPr>
            <w:tcW w:w="2530" w:type="dxa"/>
          </w:tcPr>
          <w:p w:rsidR="006A18FD" w:rsidRDefault="002D29FC">
            <w:pPr>
              <w:spacing w:before="1" w:line="223" w:lineRule="exact"/>
              <w:ind w:left="103"/>
              <w:rPr>
                <w:rFonts w:ascii="Calibri"/>
                <w:sz w:val="20"/>
              </w:rPr>
            </w:pPr>
            <w:r>
              <w:rPr>
                <w:rFonts w:ascii="Calibri"/>
                <w:sz w:val="20"/>
              </w:rPr>
              <w:t>Health and social care costs</w:t>
            </w:r>
          </w:p>
        </w:tc>
        <w:tc>
          <w:tcPr>
            <w:tcW w:w="1011" w:type="dxa"/>
          </w:tcPr>
          <w:p w:rsidR="006A18FD" w:rsidRDefault="002D29FC">
            <w:pPr>
              <w:spacing w:before="1" w:line="223" w:lineRule="exact"/>
              <w:ind w:right="105"/>
              <w:jc w:val="right"/>
              <w:rPr>
                <w:rFonts w:ascii="Calibri"/>
                <w:sz w:val="20"/>
              </w:rPr>
            </w:pPr>
            <w:r>
              <w:rPr>
                <w:rFonts w:ascii="Calibri"/>
                <w:sz w:val="20"/>
              </w:rPr>
              <w:t>157</w:t>
            </w:r>
          </w:p>
        </w:tc>
        <w:tc>
          <w:tcPr>
            <w:tcW w:w="1274" w:type="dxa"/>
          </w:tcPr>
          <w:p w:rsidR="006A18FD" w:rsidRDefault="002D29FC">
            <w:pPr>
              <w:spacing w:before="1" w:line="223" w:lineRule="exact"/>
              <w:ind w:right="100"/>
              <w:jc w:val="right"/>
              <w:rPr>
                <w:rFonts w:ascii="Calibri" w:hAnsi="Calibri"/>
                <w:sz w:val="20"/>
              </w:rPr>
            </w:pPr>
            <w:r>
              <w:rPr>
                <w:rFonts w:ascii="Calibri" w:hAnsi="Calibri"/>
                <w:w w:val="95"/>
                <w:sz w:val="20"/>
              </w:rPr>
              <w:t>£1,758</w:t>
            </w:r>
          </w:p>
        </w:tc>
        <w:tc>
          <w:tcPr>
            <w:tcW w:w="1277" w:type="dxa"/>
          </w:tcPr>
          <w:p w:rsidR="006A18FD" w:rsidRDefault="002D29FC">
            <w:pPr>
              <w:spacing w:before="1" w:line="223" w:lineRule="exact"/>
              <w:ind w:right="103"/>
              <w:jc w:val="right"/>
              <w:rPr>
                <w:rFonts w:ascii="Calibri"/>
                <w:sz w:val="20"/>
              </w:rPr>
            </w:pPr>
            <w:r>
              <w:rPr>
                <w:rFonts w:ascii="Calibri"/>
                <w:sz w:val="20"/>
              </w:rPr>
              <w:t>158</w:t>
            </w:r>
          </w:p>
        </w:tc>
        <w:tc>
          <w:tcPr>
            <w:tcW w:w="1291" w:type="dxa"/>
          </w:tcPr>
          <w:p w:rsidR="006A18FD" w:rsidRDefault="002D29FC">
            <w:pPr>
              <w:spacing w:before="1" w:line="223" w:lineRule="exact"/>
              <w:ind w:right="105"/>
              <w:jc w:val="right"/>
              <w:rPr>
                <w:rFonts w:ascii="Calibri" w:hAnsi="Calibri"/>
                <w:sz w:val="20"/>
              </w:rPr>
            </w:pPr>
            <w:r>
              <w:rPr>
                <w:rFonts w:ascii="Calibri" w:hAnsi="Calibri"/>
                <w:w w:val="95"/>
                <w:sz w:val="20"/>
              </w:rPr>
              <w:t>£1,770</w:t>
            </w:r>
          </w:p>
        </w:tc>
        <w:tc>
          <w:tcPr>
            <w:tcW w:w="1234" w:type="dxa"/>
          </w:tcPr>
          <w:p w:rsidR="006A18FD" w:rsidRDefault="002D29FC">
            <w:pPr>
              <w:spacing w:before="1" w:line="223" w:lineRule="exact"/>
              <w:ind w:right="105"/>
              <w:jc w:val="right"/>
              <w:rPr>
                <w:rFonts w:ascii="Calibri"/>
                <w:sz w:val="20"/>
              </w:rPr>
            </w:pPr>
            <w:r>
              <w:rPr>
                <w:rFonts w:ascii="Calibri"/>
                <w:sz w:val="20"/>
              </w:rPr>
              <w:t>158</w:t>
            </w:r>
          </w:p>
        </w:tc>
        <w:tc>
          <w:tcPr>
            <w:tcW w:w="1426" w:type="dxa"/>
          </w:tcPr>
          <w:p w:rsidR="006A18FD" w:rsidRDefault="002D29FC">
            <w:pPr>
              <w:spacing w:before="1" w:line="223" w:lineRule="exact"/>
              <w:ind w:right="100"/>
              <w:jc w:val="right"/>
              <w:rPr>
                <w:rFonts w:ascii="Calibri" w:hAnsi="Calibri"/>
                <w:sz w:val="20"/>
              </w:rPr>
            </w:pPr>
            <w:r>
              <w:rPr>
                <w:rFonts w:ascii="Calibri" w:hAnsi="Calibri"/>
                <w:w w:val="95"/>
                <w:sz w:val="20"/>
              </w:rPr>
              <w:t>£1,834</w:t>
            </w:r>
          </w:p>
        </w:tc>
      </w:tr>
      <w:tr w:rsidR="006A18FD">
        <w:trPr>
          <w:trHeight w:val="720"/>
        </w:trPr>
        <w:tc>
          <w:tcPr>
            <w:tcW w:w="2530" w:type="dxa"/>
          </w:tcPr>
          <w:p w:rsidR="006A18FD" w:rsidRDefault="002D29FC">
            <w:pPr>
              <w:spacing w:before="1"/>
              <w:ind w:left="103" w:right="84"/>
              <w:rPr>
                <w:rFonts w:ascii="Calibri"/>
                <w:sz w:val="20"/>
              </w:rPr>
            </w:pPr>
            <w:r>
              <w:rPr>
                <w:rFonts w:ascii="Calibri"/>
                <w:sz w:val="20"/>
              </w:rPr>
              <w:t>Employment losses, out-of- pocket expenses and out-of-</w:t>
            </w:r>
          </w:p>
          <w:p w:rsidR="006A18FD" w:rsidRDefault="002D29FC">
            <w:pPr>
              <w:spacing w:line="223" w:lineRule="exact"/>
              <w:ind w:left="103"/>
              <w:rPr>
                <w:rFonts w:ascii="Calibri"/>
                <w:sz w:val="20"/>
              </w:rPr>
            </w:pPr>
            <w:r>
              <w:rPr>
                <w:rFonts w:ascii="Calibri"/>
                <w:sz w:val="20"/>
              </w:rPr>
              <w:t>pocket savings.</w:t>
            </w:r>
          </w:p>
        </w:tc>
        <w:tc>
          <w:tcPr>
            <w:tcW w:w="1011" w:type="dxa"/>
          </w:tcPr>
          <w:p w:rsidR="006A18FD" w:rsidRDefault="002D29FC">
            <w:pPr>
              <w:spacing w:before="1"/>
              <w:ind w:right="105"/>
              <w:jc w:val="right"/>
              <w:rPr>
                <w:rFonts w:ascii="Calibri"/>
                <w:sz w:val="20"/>
              </w:rPr>
            </w:pPr>
            <w:r>
              <w:rPr>
                <w:rFonts w:ascii="Calibri"/>
                <w:sz w:val="20"/>
              </w:rPr>
              <w:t>157</w:t>
            </w:r>
          </w:p>
        </w:tc>
        <w:tc>
          <w:tcPr>
            <w:tcW w:w="1274" w:type="dxa"/>
          </w:tcPr>
          <w:p w:rsidR="006A18FD" w:rsidRDefault="002D29FC">
            <w:pPr>
              <w:spacing w:before="1"/>
              <w:ind w:right="101"/>
              <w:jc w:val="right"/>
              <w:rPr>
                <w:rFonts w:ascii="Calibri" w:hAnsi="Calibri"/>
                <w:sz w:val="20"/>
              </w:rPr>
            </w:pPr>
            <w:r>
              <w:rPr>
                <w:rFonts w:ascii="Calibri" w:hAnsi="Calibri"/>
                <w:sz w:val="20"/>
              </w:rPr>
              <w:t>£646</w:t>
            </w:r>
          </w:p>
        </w:tc>
        <w:tc>
          <w:tcPr>
            <w:tcW w:w="1277" w:type="dxa"/>
          </w:tcPr>
          <w:p w:rsidR="006A18FD" w:rsidRDefault="002D29FC">
            <w:pPr>
              <w:spacing w:before="1"/>
              <w:ind w:right="103"/>
              <w:jc w:val="right"/>
              <w:rPr>
                <w:rFonts w:ascii="Calibri"/>
                <w:sz w:val="20"/>
              </w:rPr>
            </w:pPr>
            <w:r>
              <w:rPr>
                <w:rFonts w:ascii="Calibri"/>
                <w:sz w:val="20"/>
              </w:rPr>
              <w:t>158</w:t>
            </w:r>
          </w:p>
        </w:tc>
        <w:tc>
          <w:tcPr>
            <w:tcW w:w="1291" w:type="dxa"/>
          </w:tcPr>
          <w:p w:rsidR="006A18FD" w:rsidRDefault="002D29FC">
            <w:pPr>
              <w:spacing w:before="1"/>
              <w:ind w:right="105"/>
              <w:jc w:val="right"/>
              <w:rPr>
                <w:rFonts w:ascii="Calibri" w:hAnsi="Calibri"/>
                <w:sz w:val="20"/>
              </w:rPr>
            </w:pPr>
            <w:r>
              <w:rPr>
                <w:rFonts w:ascii="Calibri" w:hAnsi="Calibri"/>
                <w:sz w:val="20"/>
              </w:rPr>
              <w:t>£612</w:t>
            </w:r>
          </w:p>
        </w:tc>
        <w:tc>
          <w:tcPr>
            <w:tcW w:w="1234" w:type="dxa"/>
          </w:tcPr>
          <w:p w:rsidR="006A18FD" w:rsidRDefault="002D29FC">
            <w:pPr>
              <w:spacing w:before="1"/>
              <w:ind w:right="105"/>
              <w:jc w:val="right"/>
              <w:rPr>
                <w:rFonts w:ascii="Calibri"/>
                <w:sz w:val="20"/>
              </w:rPr>
            </w:pPr>
            <w:r>
              <w:rPr>
                <w:rFonts w:ascii="Calibri"/>
                <w:sz w:val="20"/>
              </w:rPr>
              <w:t>158</w:t>
            </w:r>
          </w:p>
        </w:tc>
        <w:tc>
          <w:tcPr>
            <w:tcW w:w="1426" w:type="dxa"/>
          </w:tcPr>
          <w:p w:rsidR="006A18FD" w:rsidRDefault="002D29FC">
            <w:pPr>
              <w:spacing w:before="1"/>
              <w:ind w:right="102"/>
              <w:jc w:val="right"/>
              <w:rPr>
                <w:rFonts w:ascii="Calibri" w:hAnsi="Calibri"/>
                <w:sz w:val="20"/>
              </w:rPr>
            </w:pPr>
            <w:r>
              <w:rPr>
                <w:rFonts w:ascii="Calibri" w:hAnsi="Calibri"/>
                <w:sz w:val="20"/>
              </w:rPr>
              <w:t>£767</w:t>
            </w:r>
          </w:p>
        </w:tc>
      </w:tr>
      <w:tr w:rsidR="006A18FD">
        <w:trPr>
          <w:trHeight w:val="240"/>
        </w:trPr>
        <w:tc>
          <w:tcPr>
            <w:tcW w:w="2530" w:type="dxa"/>
          </w:tcPr>
          <w:p w:rsidR="006A18FD" w:rsidRDefault="002D29FC">
            <w:pPr>
              <w:spacing w:before="1" w:line="223" w:lineRule="exact"/>
              <w:ind w:left="103"/>
              <w:rPr>
                <w:rFonts w:ascii="Calibri"/>
                <w:b/>
                <w:sz w:val="20"/>
              </w:rPr>
            </w:pPr>
            <w:r>
              <w:rPr>
                <w:rFonts w:ascii="Calibri"/>
                <w:b/>
                <w:sz w:val="20"/>
              </w:rPr>
              <w:t>Total costs</w:t>
            </w:r>
          </w:p>
        </w:tc>
        <w:tc>
          <w:tcPr>
            <w:tcW w:w="1011" w:type="dxa"/>
          </w:tcPr>
          <w:p w:rsidR="006A18FD" w:rsidRDefault="002D29FC">
            <w:pPr>
              <w:spacing w:before="1" w:line="223" w:lineRule="exact"/>
              <w:ind w:right="105"/>
              <w:jc w:val="right"/>
              <w:rPr>
                <w:rFonts w:ascii="Calibri"/>
                <w:b/>
                <w:sz w:val="20"/>
              </w:rPr>
            </w:pPr>
            <w:r>
              <w:rPr>
                <w:rFonts w:ascii="Calibri"/>
                <w:b/>
                <w:sz w:val="20"/>
              </w:rPr>
              <w:t>157</w:t>
            </w:r>
          </w:p>
        </w:tc>
        <w:tc>
          <w:tcPr>
            <w:tcW w:w="1274" w:type="dxa"/>
          </w:tcPr>
          <w:p w:rsidR="006A18FD" w:rsidRDefault="002D29FC">
            <w:pPr>
              <w:spacing w:before="1" w:line="223" w:lineRule="exact"/>
              <w:ind w:right="101"/>
              <w:jc w:val="right"/>
              <w:rPr>
                <w:rFonts w:ascii="Calibri" w:hAnsi="Calibri"/>
                <w:b/>
                <w:sz w:val="20"/>
              </w:rPr>
            </w:pPr>
            <w:r>
              <w:rPr>
                <w:rFonts w:ascii="Calibri" w:hAnsi="Calibri"/>
                <w:b/>
                <w:sz w:val="20"/>
              </w:rPr>
              <w:t>£2,404</w:t>
            </w:r>
          </w:p>
        </w:tc>
        <w:tc>
          <w:tcPr>
            <w:tcW w:w="1277" w:type="dxa"/>
          </w:tcPr>
          <w:p w:rsidR="006A18FD" w:rsidRDefault="002D29FC">
            <w:pPr>
              <w:spacing w:before="1" w:line="223" w:lineRule="exact"/>
              <w:ind w:right="103"/>
              <w:jc w:val="right"/>
              <w:rPr>
                <w:rFonts w:ascii="Calibri"/>
                <w:b/>
                <w:sz w:val="20"/>
              </w:rPr>
            </w:pPr>
            <w:r>
              <w:rPr>
                <w:rFonts w:ascii="Calibri"/>
                <w:b/>
                <w:sz w:val="20"/>
              </w:rPr>
              <w:t>158</w:t>
            </w:r>
          </w:p>
        </w:tc>
        <w:tc>
          <w:tcPr>
            <w:tcW w:w="1291" w:type="dxa"/>
          </w:tcPr>
          <w:p w:rsidR="006A18FD" w:rsidRDefault="002D29FC">
            <w:pPr>
              <w:spacing w:before="1" w:line="223" w:lineRule="exact"/>
              <w:ind w:right="105"/>
              <w:jc w:val="right"/>
              <w:rPr>
                <w:rFonts w:ascii="Calibri" w:hAnsi="Calibri"/>
                <w:b/>
                <w:sz w:val="20"/>
              </w:rPr>
            </w:pPr>
            <w:r>
              <w:rPr>
                <w:rFonts w:ascii="Calibri" w:hAnsi="Calibri"/>
                <w:b/>
                <w:sz w:val="20"/>
              </w:rPr>
              <w:t>£2,382</w:t>
            </w:r>
          </w:p>
        </w:tc>
        <w:tc>
          <w:tcPr>
            <w:tcW w:w="1234" w:type="dxa"/>
          </w:tcPr>
          <w:p w:rsidR="006A18FD" w:rsidRDefault="002D29FC">
            <w:pPr>
              <w:spacing w:before="1" w:line="223" w:lineRule="exact"/>
              <w:ind w:right="105"/>
              <w:jc w:val="right"/>
              <w:rPr>
                <w:rFonts w:ascii="Calibri"/>
                <w:b/>
                <w:sz w:val="20"/>
              </w:rPr>
            </w:pPr>
            <w:r>
              <w:rPr>
                <w:rFonts w:ascii="Calibri"/>
                <w:b/>
                <w:sz w:val="20"/>
              </w:rPr>
              <w:t>158</w:t>
            </w:r>
          </w:p>
        </w:tc>
        <w:tc>
          <w:tcPr>
            <w:tcW w:w="1426" w:type="dxa"/>
          </w:tcPr>
          <w:p w:rsidR="006A18FD" w:rsidRDefault="002D29FC">
            <w:pPr>
              <w:spacing w:before="1" w:line="223" w:lineRule="exact"/>
              <w:ind w:right="101"/>
              <w:jc w:val="right"/>
              <w:rPr>
                <w:rFonts w:ascii="Calibri" w:hAnsi="Calibri"/>
                <w:b/>
                <w:sz w:val="20"/>
              </w:rPr>
            </w:pPr>
            <w:r>
              <w:rPr>
                <w:rFonts w:ascii="Calibri" w:hAnsi="Calibri"/>
                <w:b/>
                <w:sz w:val="20"/>
              </w:rPr>
              <w:t>£2,601</w:t>
            </w:r>
          </w:p>
        </w:tc>
      </w:tr>
    </w:tbl>
    <w:p w:rsidR="006A18FD" w:rsidRDefault="006A18FD">
      <w:pPr>
        <w:spacing w:line="223" w:lineRule="exact"/>
        <w:jc w:val="right"/>
        <w:rPr>
          <w:rFonts w:ascii="Calibri" w:hAnsi="Calibri"/>
          <w:sz w:val="20"/>
        </w:rPr>
        <w:sectPr w:rsidR="006A18FD">
          <w:pgSz w:w="11910" w:h="16840"/>
          <w:pgMar w:top="960" w:right="980" w:bottom="280" w:left="580" w:header="751" w:footer="0" w:gutter="0"/>
          <w:cols w:space="720"/>
        </w:sectPr>
      </w:pPr>
    </w:p>
    <w:p w:rsidR="006A18FD" w:rsidRDefault="006A18FD">
      <w:pPr>
        <w:spacing w:before="1"/>
        <w:rPr>
          <w:rFonts w:ascii="Calibri"/>
          <w:b/>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3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34" name="Line 9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0CA9E9" id="Group 9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fa3refQIAAH8FAAAO&#10;AAAAAAAAAAAAAAAAAC4CAABkcnMvZTJvRG9jLnhtbFBLAQItABQABgAIAAAAIQAtd+Rc2gAAAAQB&#10;AAAPAAAAAAAAAAAAAAAAANcEAABkcnMvZG93bnJldi54bWxQSwUGAAAAAAQABADzAAAA3gUAAAAA&#10;">
                <v:line id="Line 9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w10:anchorlock/>
              </v:group>
            </w:pict>
          </mc:Fallback>
        </mc:AlternateContent>
      </w:r>
    </w:p>
    <w:p w:rsidR="006A18FD" w:rsidRDefault="002E1E01" w:rsidP="002E1E01">
      <w:pPr>
        <w:pStyle w:val="Heading2"/>
      </w:pPr>
      <w:r>
        <w:t xml:space="preserve">8.7 </w:t>
      </w:r>
      <w:r w:rsidR="002D29FC">
        <w:t>The cost of diagnosis and early support in patients with cognitive</w:t>
      </w:r>
      <w:r w:rsidR="002D29FC">
        <w:rPr>
          <w:spacing w:val="-36"/>
        </w:rPr>
        <w:t xml:space="preserve"> </w:t>
      </w:r>
      <w:r w:rsidR="002D29FC">
        <w:t>decline</w:t>
      </w:r>
    </w:p>
    <w:p w:rsidR="006A18FD" w:rsidRDefault="002D29FC">
      <w:pPr>
        <w:spacing w:before="172"/>
        <w:ind w:left="152"/>
        <w:rPr>
          <w:rFonts w:ascii="Calibri" w:hAnsi="Calibri"/>
          <w:sz w:val="20"/>
        </w:rPr>
      </w:pPr>
      <w:r>
        <w:rPr>
          <w:rFonts w:ascii="Calibri" w:hAnsi="Calibri"/>
          <w:sz w:val="20"/>
        </w:rPr>
        <w:t>Average costs to health and social care of mild, moderate and severe dementia are estimated to be £24,400, £27,450 and</w:t>
      </w:r>
    </w:p>
    <w:p w:rsidR="006A18FD" w:rsidRDefault="002D29FC">
      <w:pPr>
        <w:spacing w:before="36" w:line="273" w:lineRule="auto"/>
        <w:ind w:left="152" w:right="477"/>
        <w:rPr>
          <w:rFonts w:ascii="Calibri" w:hAnsi="Calibri"/>
          <w:sz w:val="13"/>
        </w:rPr>
      </w:pPr>
      <w:r>
        <w:rPr>
          <w:rFonts w:ascii="Calibri" w:hAnsi="Calibri"/>
          <w:sz w:val="20"/>
        </w:rPr>
        <w:t>£46,050, respectively, per person per year which includes one-off costs of £6,415 per person related to end-of-life care, diagnosis, and social care assessment at 2015 prices.</w:t>
      </w:r>
      <w:r>
        <w:rPr>
          <w:rFonts w:ascii="Calibri" w:hAnsi="Calibri"/>
          <w:position w:val="7"/>
          <w:sz w:val="13"/>
        </w:rPr>
        <w:t>1</w:t>
      </w:r>
    </w:p>
    <w:p w:rsidR="006A18FD" w:rsidRDefault="002D29FC">
      <w:pPr>
        <w:spacing w:before="118" w:line="276" w:lineRule="auto"/>
        <w:ind w:left="152" w:right="195"/>
        <w:rPr>
          <w:rFonts w:ascii="Calibri"/>
          <w:sz w:val="20"/>
        </w:rPr>
      </w:pPr>
      <w:r>
        <w:rPr>
          <w:rFonts w:ascii="Calibri"/>
          <w:sz w:val="20"/>
        </w:rPr>
        <w:t>Research carried out by Pennington &amp; colleagues (2016)</w:t>
      </w:r>
      <w:r>
        <w:rPr>
          <w:rFonts w:ascii="Calibri"/>
          <w:position w:val="7"/>
          <w:sz w:val="13"/>
        </w:rPr>
        <w:t xml:space="preserve">2 </w:t>
      </w:r>
      <w:r>
        <w:rPr>
          <w:rFonts w:ascii="Calibri"/>
          <w:sz w:val="20"/>
        </w:rPr>
        <w:t>investigated the costs of supporting patients with suspected dementia, including assessment and support six months after diagnosis. The study is based on the costs incurred by 1,353 patients from 69 Memory Assessment Services (MAS) and the mean patient age was 78 years (range 42-98 years). These costs were estimated using 2013/14 sources of data and have been uprated using the appropriate inflators.</w:t>
      </w:r>
    </w:p>
    <w:p w:rsidR="006A18FD" w:rsidRDefault="002D29FC">
      <w:pPr>
        <w:spacing w:before="119" w:line="276" w:lineRule="auto"/>
        <w:ind w:left="152" w:right="321"/>
        <w:rPr>
          <w:rFonts w:ascii="Calibri" w:hAnsi="Calibri"/>
          <w:sz w:val="20"/>
        </w:rPr>
      </w:pPr>
      <w:r>
        <w:rPr>
          <w:rFonts w:ascii="Calibri" w:hAnsi="Calibri"/>
          <w:sz w:val="20"/>
        </w:rPr>
        <w:t>Table 1 shows that slightly under half of all costs were attributed to assessment but across MAS, total monthly costs attributable to assessment activities varied from £2,138 to £141 which was driven primarily by the number of staff employed. Between 4-54% was attributed to post-diagnosis and the proportion attributed to follow-up varied from 6-7%.</w:t>
      </w:r>
    </w:p>
    <w:p w:rsidR="006A18FD" w:rsidRDefault="002D29FC">
      <w:pPr>
        <w:spacing w:before="119" w:line="276" w:lineRule="auto"/>
        <w:ind w:left="152" w:right="374"/>
        <w:rPr>
          <w:rFonts w:ascii="Calibri"/>
          <w:sz w:val="20"/>
        </w:rPr>
      </w:pPr>
      <w:r>
        <w:rPr>
          <w:rFonts w:ascii="Calibri"/>
          <w:sz w:val="20"/>
        </w:rPr>
        <w:t>Table 2 shows the costs of additional health and social care reported by carers after imputation of missing data and after excluding psychosocial support that may have been provided by MAS.</w:t>
      </w:r>
    </w:p>
    <w:p w:rsidR="006A18FD" w:rsidRDefault="002D29FC">
      <w:pPr>
        <w:spacing w:before="119"/>
        <w:ind w:left="198"/>
        <w:rPr>
          <w:rFonts w:ascii="Calibri"/>
          <w:b/>
          <w:sz w:val="20"/>
        </w:rPr>
      </w:pPr>
      <w:r>
        <w:rPr>
          <w:rFonts w:ascii="Calibri"/>
          <w:b/>
          <w:sz w:val="20"/>
        </w:rPr>
        <w:t>Table 1 Cost per new patient associated with Memory Assessment Services</w:t>
      </w:r>
    </w:p>
    <w:p w:rsidR="006A18FD" w:rsidRDefault="006A18FD">
      <w:pPr>
        <w:spacing w:before="8"/>
        <w:rPr>
          <w:rFonts w:ascii="Calibri"/>
          <w:b/>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050"/>
        <w:gridCol w:w="2511"/>
        <w:gridCol w:w="2511"/>
      </w:tblGrid>
      <w:tr w:rsidR="006A18FD" w:rsidTr="00E2663F">
        <w:trPr>
          <w:trHeight w:val="480"/>
          <w:tblHeader/>
        </w:trPr>
        <w:tc>
          <w:tcPr>
            <w:tcW w:w="2972" w:type="dxa"/>
          </w:tcPr>
          <w:p w:rsidR="006A18FD" w:rsidRDefault="006A18FD">
            <w:pPr>
              <w:rPr>
                <w:rFonts w:ascii="Times New Roman"/>
                <w:sz w:val="18"/>
              </w:rPr>
            </w:pPr>
          </w:p>
        </w:tc>
        <w:tc>
          <w:tcPr>
            <w:tcW w:w="2050" w:type="dxa"/>
          </w:tcPr>
          <w:p w:rsidR="006A18FD" w:rsidRDefault="002D29FC">
            <w:pPr>
              <w:spacing w:before="121"/>
              <w:ind w:left="642"/>
              <w:rPr>
                <w:rFonts w:ascii="Calibri" w:hAnsi="Calibri"/>
                <w:b/>
                <w:sz w:val="20"/>
              </w:rPr>
            </w:pPr>
            <w:r>
              <w:rPr>
                <w:rFonts w:ascii="Calibri" w:hAnsi="Calibri"/>
                <w:b/>
                <w:sz w:val="20"/>
              </w:rPr>
              <w:t>Mean (£)</w:t>
            </w:r>
          </w:p>
        </w:tc>
        <w:tc>
          <w:tcPr>
            <w:tcW w:w="2511" w:type="dxa"/>
          </w:tcPr>
          <w:p w:rsidR="006A18FD" w:rsidRDefault="002D29FC">
            <w:pPr>
              <w:spacing w:before="121"/>
              <w:ind w:left="312"/>
              <w:rPr>
                <w:rFonts w:ascii="Calibri" w:hAnsi="Calibri"/>
                <w:b/>
                <w:sz w:val="20"/>
              </w:rPr>
            </w:pPr>
            <w:r>
              <w:rPr>
                <w:rFonts w:ascii="Calibri" w:hAnsi="Calibri"/>
                <w:b/>
                <w:sz w:val="20"/>
              </w:rPr>
              <w:t>Standard Deviation (£)</w:t>
            </w:r>
          </w:p>
        </w:tc>
        <w:tc>
          <w:tcPr>
            <w:tcW w:w="2511" w:type="dxa"/>
          </w:tcPr>
          <w:p w:rsidR="006A18FD" w:rsidRDefault="002D29FC">
            <w:pPr>
              <w:spacing w:before="121"/>
              <w:ind w:left="794"/>
              <w:rPr>
                <w:rFonts w:ascii="Calibri" w:hAnsi="Calibri"/>
                <w:b/>
                <w:sz w:val="20"/>
              </w:rPr>
            </w:pPr>
            <w:r>
              <w:rPr>
                <w:rFonts w:ascii="Calibri" w:hAnsi="Calibri"/>
                <w:b/>
                <w:sz w:val="20"/>
              </w:rPr>
              <w:t>Median (£)</w:t>
            </w:r>
          </w:p>
        </w:tc>
      </w:tr>
      <w:tr w:rsidR="006A18FD">
        <w:trPr>
          <w:trHeight w:val="480"/>
        </w:trPr>
        <w:tc>
          <w:tcPr>
            <w:tcW w:w="2972" w:type="dxa"/>
          </w:tcPr>
          <w:p w:rsidR="006A18FD" w:rsidRDefault="002D29FC">
            <w:pPr>
              <w:spacing w:before="118"/>
              <w:ind w:left="105"/>
              <w:rPr>
                <w:rFonts w:ascii="Calibri"/>
                <w:sz w:val="13"/>
              </w:rPr>
            </w:pPr>
            <w:r>
              <w:rPr>
                <w:rFonts w:ascii="Calibri"/>
                <w:sz w:val="20"/>
              </w:rPr>
              <w:t>Assessment (including imaging)</w:t>
            </w:r>
            <w:r>
              <w:rPr>
                <w:rFonts w:ascii="Calibri"/>
                <w:position w:val="7"/>
                <w:sz w:val="13"/>
              </w:rPr>
              <w:t>a</w:t>
            </w:r>
          </w:p>
        </w:tc>
        <w:tc>
          <w:tcPr>
            <w:tcW w:w="2050" w:type="dxa"/>
          </w:tcPr>
          <w:p w:rsidR="006A18FD" w:rsidRDefault="002D29FC">
            <w:pPr>
              <w:spacing w:before="121"/>
              <w:ind w:right="103"/>
              <w:jc w:val="right"/>
              <w:rPr>
                <w:rFonts w:ascii="Calibri" w:hAnsi="Calibri"/>
                <w:sz w:val="20"/>
              </w:rPr>
            </w:pPr>
            <w:r>
              <w:rPr>
                <w:rFonts w:ascii="Calibri" w:hAnsi="Calibri"/>
                <w:sz w:val="20"/>
              </w:rPr>
              <w:t>£960</w:t>
            </w:r>
          </w:p>
        </w:tc>
        <w:tc>
          <w:tcPr>
            <w:tcW w:w="2511" w:type="dxa"/>
          </w:tcPr>
          <w:p w:rsidR="006A18FD" w:rsidRDefault="002D29FC">
            <w:pPr>
              <w:spacing w:before="121"/>
              <w:ind w:right="103"/>
              <w:jc w:val="right"/>
              <w:rPr>
                <w:rFonts w:ascii="Calibri" w:hAnsi="Calibri"/>
                <w:sz w:val="20"/>
              </w:rPr>
            </w:pPr>
            <w:r>
              <w:rPr>
                <w:rFonts w:ascii="Calibri" w:hAnsi="Calibri"/>
                <w:sz w:val="20"/>
              </w:rPr>
              <w:t>£807</w:t>
            </w:r>
          </w:p>
        </w:tc>
        <w:tc>
          <w:tcPr>
            <w:tcW w:w="2511" w:type="dxa"/>
          </w:tcPr>
          <w:p w:rsidR="006A18FD" w:rsidRDefault="002D29FC">
            <w:pPr>
              <w:spacing w:before="121"/>
              <w:ind w:right="103"/>
              <w:jc w:val="right"/>
              <w:rPr>
                <w:rFonts w:ascii="Calibri" w:hAnsi="Calibri"/>
                <w:sz w:val="20"/>
              </w:rPr>
            </w:pPr>
            <w:r>
              <w:rPr>
                <w:rFonts w:ascii="Calibri" w:hAnsi="Calibri"/>
                <w:sz w:val="20"/>
              </w:rPr>
              <w:t>£791</w:t>
            </w:r>
          </w:p>
        </w:tc>
      </w:tr>
      <w:tr w:rsidR="006A18FD">
        <w:trPr>
          <w:trHeight w:val="480"/>
        </w:trPr>
        <w:tc>
          <w:tcPr>
            <w:tcW w:w="2972" w:type="dxa"/>
          </w:tcPr>
          <w:p w:rsidR="006A18FD" w:rsidRDefault="002D29FC">
            <w:pPr>
              <w:spacing w:before="121"/>
              <w:ind w:left="105"/>
              <w:rPr>
                <w:rFonts w:ascii="Calibri"/>
                <w:sz w:val="20"/>
              </w:rPr>
            </w:pPr>
            <w:r>
              <w:rPr>
                <w:rFonts w:ascii="Calibri"/>
                <w:sz w:val="20"/>
              </w:rPr>
              <w:t>Post diagnosis support</w:t>
            </w:r>
          </w:p>
        </w:tc>
        <w:tc>
          <w:tcPr>
            <w:tcW w:w="2050" w:type="dxa"/>
          </w:tcPr>
          <w:p w:rsidR="006A18FD" w:rsidRDefault="002D29FC">
            <w:pPr>
              <w:spacing w:before="121"/>
              <w:ind w:right="103"/>
              <w:jc w:val="right"/>
              <w:rPr>
                <w:rFonts w:ascii="Calibri" w:hAnsi="Calibri"/>
                <w:sz w:val="20"/>
              </w:rPr>
            </w:pPr>
            <w:r>
              <w:rPr>
                <w:rFonts w:ascii="Calibri" w:hAnsi="Calibri"/>
                <w:sz w:val="20"/>
              </w:rPr>
              <w:t>£456</w:t>
            </w:r>
          </w:p>
        </w:tc>
        <w:tc>
          <w:tcPr>
            <w:tcW w:w="2511" w:type="dxa"/>
          </w:tcPr>
          <w:p w:rsidR="006A18FD" w:rsidRDefault="002D29FC">
            <w:pPr>
              <w:spacing w:before="121"/>
              <w:ind w:right="103"/>
              <w:jc w:val="right"/>
              <w:rPr>
                <w:rFonts w:ascii="Calibri" w:hAnsi="Calibri"/>
                <w:sz w:val="20"/>
              </w:rPr>
            </w:pPr>
            <w:r>
              <w:rPr>
                <w:rFonts w:ascii="Calibri" w:hAnsi="Calibri"/>
                <w:sz w:val="20"/>
              </w:rPr>
              <w:t>£379</w:t>
            </w:r>
          </w:p>
        </w:tc>
        <w:tc>
          <w:tcPr>
            <w:tcW w:w="2511" w:type="dxa"/>
          </w:tcPr>
          <w:p w:rsidR="006A18FD" w:rsidRDefault="002D29FC">
            <w:pPr>
              <w:spacing w:before="121"/>
              <w:ind w:right="103"/>
              <w:jc w:val="right"/>
              <w:rPr>
                <w:rFonts w:ascii="Calibri" w:hAnsi="Calibri"/>
                <w:sz w:val="20"/>
              </w:rPr>
            </w:pPr>
            <w:r>
              <w:rPr>
                <w:rFonts w:ascii="Calibri" w:hAnsi="Calibri"/>
                <w:sz w:val="20"/>
              </w:rPr>
              <w:t>£385</w:t>
            </w:r>
          </w:p>
        </w:tc>
      </w:tr>
      <w:tr w:rsidR="006A18FD">
        <w:trPr>
          <w:trHeight w:val="480"/>
        </w:trPr>
        <w:tc>
          <w:tcPr>
            <w:tcW w:w="2972" w:type="dxa"/>
          </w:tcPr>
          <w:p w:rsidR="006A18FD" w:rsidRDefault="002D29FC">
            <w:pPr>
              <w:spacing w:before="121"/>
              <w:ind w:left="105"/>
              <w:rPr>
                <w:rFonts w:ascii="Calibri"/>
                <w:sz w:val="20"/>
              </w:rPr>
            </w:pPr>
            <w:r>
              <w:rPr>
                <w:rFonts w:ascii="Calibri"/>
                <w:sz w:val="20"/>
              </w:rPr>
              <w:t>Follow-up</w:t>
            </w:r>
          </w:p>
        </w:tc>
        <w:tc>
          <w:tcPr>
            <w:tcW w:w="2050" w:type="dxa"/>
          </w:tcPr>
          <w:p w:rsidR="006A18FD" w:rsidRDefault="002D29FC">
            <w:pPr>
              <w:spacing w:before="121"/>
              <w:ind w:right="103"/>
              <w:jc w:val="right"/>
              <w:rPr>
                <w:rFonts w:ascii="Calibri" w:hAnsi="Calibri"/>
                <w:sz w:val="20"/>
              </w:rPr>
            </w:pPr>
            <w:r>
              <w:rPr>
                <w:rFonts w:ascii="Calibri" w:hAnsi="Calibri"/>
                <w:sz w:val="20"/>
              </w:rPr>
              <w:t>£568</w:t>
            </w:r>
          </w:p>
        </w:tc>
        <w:tc>
          <w:tcPr>
            <w:tcW w:w="2511" w:type="dxa"/>
          </w:tcPr>
          <w:p w:rsidR="006A18FD" w:rsidRDefault="002D29FC">
            <w:pPr>
              <w:spacing w:before="121"/>
              <w:ind w:right="103"/>
              <w:jc w:val="right"/>
              <w:rPr>
                <w:rFonts w:ascii="Calibri" w:hAnsi="Calibri"/>
                <w:sz w:val="20"/>
              </w:rPr>
            </w:pPr>
            <w:r>
              <w:rPr>
                <w:rFonts w:ascii="Calibri" w:hAnsi="Calibri"/>
                <w:sz w:val="20"/>
              </w:rPr>
              <w:t>£531</w:t>
            </w:r>
          </w:p>
        </w:tc>
        <w:tc>
          <w:tcPr>
            <w:tcW w:w="2511" w:type="dxa"/>
          </w:tcPr>
          <w:p w:rsidR="006A18FD" w:rsidRDefault="002D29FC">
            <w:pPr>
              <w:spacing w:before="121"/>
              <w:ind w:right="103"/>
              <w:jc w:val="right"/>
              <w:rPr>
                <w:rFonts w:ascii="Calibri" w:hAnsi="Calibri"/>
                <w:sz w:val="20"/>
              </w:rPr>
            </w:pPr>
            <w:r>
              <w:rPr>
                <w:rFonts w:ascii="Calibri" w:hAnsi="Calibri"/>
                <w:sz w:val="20"/>
              </w:rPr>
              <w:t>£409</w:t>
            </w:r>
          </w:p>
        </w:tc>
      </w:tr>
      <w:tr w:rsidR="006A18FD">
        <w:trPr>
          <w:trHeight w:val="480"/>
        </w:trPr>
        <w:tc>
          <w:tcPr>
            <w:tcW w:w="2972" w:type="dxa"/>
          </w:tcPr>
          <w:p w:rsidR="006A18FD" w:rsidRDefault="002D29FC">
            <w:pPr>
              <w:spacing w:before="123"/>
              <w:ind w:left="105"/>
              <w:rPr>
                <w:rFonts w:ascii="Calibri"/>
                <w:sz w:val="20"/>
              </w:rPr>
            </w:pPr>
            <w:r>
              <w:rPr>
                <w:rFonts w:ascii="Calibri"/>
                <w:sz w:val="20"/>
              </w:rPr>
              <w:t>Total</w:t>
            </w:r>
          </w:p>
        </w:tc>
        <w:tc>
          <w:tcPr>
            <w:tcW w:w="2050" w:type="dxa"/>
          </w:tcPr>
          <w:p w:rsidR="006A18FD" w:rsidRDefault="002D29FC">
            <w:pPr>
              <w:spacing w:before="123"/>
              <w:ind w:right="103"/>
              <w:jc w:val="right"/>
              <w:rPr>
                <w:rFonts w:ascii="Calibri" w:hAnsi="Calibri"/>
                <w:sz w:val="20"/>
              </w:rPr>
            </w:pPr>
            <w:r>
              <w:rPr>
                <w:rFonts w:ascii="Calibri" w:hAnsi="Calibri"/>
                <w:w w:val="95"/>
                <w:sz w:val="20"/>
              </w:rPr>
              <w:t>£1,984</w:t>
            </w:r>
          </w:p>
        </w:tc>
        <w:tc>
          <w:tcPr>
            <w:tcW w:w="2511" w:type="dxa"/>
          </w:tcPr>
          <w:p w:rsidR="006A18FD" w:rsidRDefault="002D29FC">
            <w:pPr>
              <w:spacing w:before="123"/>
              <w:ind w:right="103"/>
              <w:jc w:val="right"/>
              <w:rPr>
                <w:rFonts w:ascii="Calibri" w:hAnsi="Calibri"/>
                <w:sz w:val="20"/>
              </w:rPr>
            </w:pPr>
            <w:r>
              <w:rPr>
                <w:rFonts w:ascii="Calibri" w:hAnsi="Calibri"/>
                <w:sz w:val="20"/>
              </w:rPr>
              <w:t>£130</w:t>
            </w:r>
          </w:p>
        </w:tc>
        <w:tc>
          <w:tcPr>
            <w:tcW w:w="2511" w:type="dxa"/>
          </w:tcPr>
          <w:p w:rsidR="006A18FD" w:rsidRDefault="002D29FC">
            <w:pPr>
              <w:spacing w:before="123"/>
              <w:ind w:right="103"/>
              <w:jc w:val="right"/>
              <w:rPr>
                <w:rFonts w:ascii="Calibri" w:hAnsi="Calibri"/>
                <w:sz w:val="20"/>
              </w:rPr>
            </w:pPr>
            <w:r>
              <w:rPr>
                <w:rFonts w:ascii="Calibri" w:hAnsi="Calibri"/>
                <w:w w:val="95"/>
                <w:sz w:val="20"/>
              </w:rPr>
              <w:t>£1,683</w:t>
            </w:r>
          </w:p>
        </w:tc>
      </w:tr>
    </w:tbl>
    <w:p w:rsidR="006A18FD" w:rsidRDefault="002D29FC">
      <w:pPr>
        <w:spacing w:before="121"/>
        <w:ind w:left="152"/>
        <w:rPr>
          <w:rFonts w:ascii="Calibri"/>
          <w:sz w:val="16"/>
        </w:rPr>
      </w:pPr>
      <w:r>
        <w:rPr>
          <w:rFonts w:ascii="Calibri"/>
          <w:position w:val="5"/>
          <w:sz w:val="10"/>
        </w:rPr>
        <w:t xml:space="preserve">a </w:t>
      </w:r>
      <w:r>
        <w:rPr>
          <w:rFonts w:ascii="Calibri"/>
          <w:sz w:val="16"/>
        </w:rPr>
        <w:t>Costs include a proportion of administration, management and audit costs</w:t>
      </w:r>
    </w:p>
    <w:p w:rsidR="006A18FD" w:rsidRDefault="006A18FD">
      <w:pPr>
        <w:spacing w:before="1"/>
        <w:rPr>
          <w:rFonts w:ascii="Calibri"/>
          <w:sz w:val="12"/>
        </w:rPr>
      </w:pPr>
    </w:p>
    <w:p w:rsidR="006A18FD" w:rsidRDefault="002D29FC">
      <w:pPr>
        <w:ind w:left="152"/>
        <w:rPr>
          <w:rFonts w:ascii="Calibri"/>
          <w:sz w:val="20"/>
        </w:rPr>
      </w:pPr>
      <w:r>
        <w:rPr>
          <w:rFonts w:ascii="Calibri"/>
          <w:b/>
          <w:sz w:val="20"/>
        </w:rPr>
        <w:t>Table 2 Cost of care and services received outside memory assessment services reported by carers at baseline</w:t>
      </w:r>
      <w:r>
        <w:rPr>
          <w:rFonts w:ascii="Calibri"/>
          <w:sz w:val="20"/>
        </w:rPr>
        <w:t>,</w:t>
      </w:r>
    </w:p>
    <w:p w:rsidR="006A18FD" w:rsidRDefault="006A18FD">
      <w:pPr>
        <w:spacing w:before="8"/>
        <w:rPr>
          <w:rFonts w:ascii="Calibri"/>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840"/>
        <w:gridCol w:w="793"/>
        <w:gridCol w:w="1142"/>
        <w:gridCol w:w="826"/>
        <w:gridCol w:w="792"/>
        <w:gridCol w:w="1046"/>
        <w:gridCol w:w="720"/>
        <w:gridCol w:w="845"/>
        <w:gridCol w:w="1635"/>
      </w:tblGrid>
      <w:tr w:rsidR="006A18FD" w:rsidTr="00E2663F">
        <w:trPr>
          <w:trHeight w:val="460"/>
          <w:tblHeader/>
        </w:trPr>
        <w:tc>
          <w:tcPr>
            <w:tcW w:w="1424" w:type="dxa"/>
          </w:tcPr>
          <w:p w:rsidR="006A18FD" w:rsidRDefault="006A18FD">
            <w:pPr>
              <w:rPr>
                <w:rFonts w:ascii="Times New Roman"/>
                <w:sz w:val="18"/>
              </w:rPr>
            </w:pPr>
          </w:p>
        </w:tc>
        <w:tc>
          <w:tcPr>
            <w:tcW w:w="2775" w:type="dxa"/>
            <w:gridSpan w:val="3"/>
          </w:tcPr>
          <w:p w:rsidR="006A18FD" w:rsidRDefault="002D29FC">
            <w:pPr>
              <w:spacing w:before="121"/>
              <w:ind w:left="925" w:right="927"/>
              <w:jc w:val="center"/>
              <w:rPr>
                <w:rFonts w:ascii="Calibri" w:hAnsi="Calibri"/>
                <w:b/>
                <w:sz w:val="18"/>
              </w:rPr>
            </w:pPr>
            <w:r>
              <w:rPr>
                <w:rFonts w:ascii="Calibri" w:hAnsi="Calibri"/>
                <w:b/>
                <w:sz w:val="18"/>
              </w:rPr>
              <w:t>Baseline (£)</w:t>
            </w:r>
          </w:p>
        </w:tc>
        <w:tc>
          <w:tcPr>
            <w:tcW w:w="2664" w:type="dxa"/>
            <w:gridSpan w:val="3"/>
          </w:tcPr>
          <w:p w:rsidR="006A18FD" w:rsidRDefault="002D29FC">
            <w:pPr>
              <w:spacing w:before="121"/>
              <w:ind w:left="105"/>
              <w:rPr>
                <w:rFonts w:ascii="Calibri"/>
                <w:b/>
                <w:sz w:val="18"/>
              </w:rPr>
            </w:pPr>
            <w:r>
              <w:rPr>
                <w:rFonts w:ascii="Calibri"/>
                <w:b/>
                <w:sz w:val="18"/>
              </w:rPr>
              <w:t>3 month follow-up</w:t>
            </w:r>
          </w:p>
        </w:tc>
        <w:tc>
          <w:tcPr>
            <w:tcW w:w="3200" w:type="dxa"/>
            <w:gridSpan w:val="3"/>
          </w:tcPr>
          <w:p w:rsidR="006A18FD" w:rsidRDefault="002D29FC">
            <w:pPr>
              <w:spacing w:before="121"/>
              <w:ind w:left="105"/>
              <w:rPr>
                <w:rFonts w:ascii="Calibri"/>
                <w:b/>
                <w:sz w:val="18"/>
              </w:rPr>
            </w:pPr>
            <w:r>
              <w:rPr>
                <w:rFonts w:ascii="Calibri"/>
                <w:b/>
                <w:sz w:val="18"/>
              </w:rPr>
              <w:t>6-month follow-up</w:t>
            </w:r>
          </w:p>
        </w:tc>
      </w:tr>
      <w:tr w:rsidR="006A18FD" w:rsidTr="00E2663F">
        <w:trPr>
          <w:trHeight w:val="460"/>
          <w:tblHeader/>
        </w:trPr>
        <w:tc>
          <w:tcPr>
            <w:tcW w:w="1424" w:type="dxa"/>
          </w:tcPr>
          <w:p w:rsidR="006A18FD" w:rsidRDefault="006A18FD">
            <w:pPr>
              <w:rPr>
                <w:rFonts w:ascii="Times New Roman"/>
                <w:sz w:val="18"/>
              </w:rPr>
            </w:pPr>
          </w:p>
        </w:tc>
        <w:tc>
          <w:tcPr>
            <w:tcW w:w="840" w:type="dxa"/>
          </w:tcPr>
          <w:p w:rsidR="006A18FD" w:rsidRDefault="002D29FC">
            <w:pPr>
              <w:spacing w:before="121"/>
              <w:ind w:left="103"/>
              <w:rPr>
                <w:rFonts w:ascii="Calibri"/>
                <w:b/>
                <w:sz w:val="18"/>
              </w:rPr>
            </w:pPr>
            <w:r>
              <w:rPr>
                <w:rFonts w:ascii="Calibri"/>
                <w:b/>
                <w:sz w:val="18"/>
              </w:rPr>
              <w:t>Mean</w:t>
            </w:r>
          </w:p>
        </w:tc>
        <w:tc>
          <w:tcPr>
            <w:tcW w:w="793" w:type="dxa"/>
          </w:tcPr>
          <w:p w:rsidR="006A18FD" w:rsidRDefault="002D29FC">
            <w:pPr>
              <w:spacing w:before="121"/>
              <w:ind w:right="103"/>
              <w:jc w:val="right"/>
              <w:rPr>
                <w:rFonts w:ascii="Calibri"/>
                <w:b/>
                <w:sz w:val="18"/>
              </w:rPr>
            </w:pPr>
            <w:r>
              <w:rPr>
                <w:rFonts w:ascii="Calibri"/>
                <w:b/>
                <w:sz w:val="18"/>
              </w:rPr>
              <w:t>Median</w:t>
            </w:r>
          </w:p>
        </w:tc>
        <w:tc>
          <w:tcPr>
            <w:tcW w:w="1142" w:type="dxa"/>
          </w:tcPr>
          <w:p w:rsidR="006A18FD" w:rsidRDefault="002D29FC">
            <w:pPr>
              <w:spacing w:before="121"/>
              <w:ind w:left="102"/>
              <w:rPr>
                <w:rFonts w:ascii="Calibri"/>
                <w:b/>
                <w:sz w:val="18"/>
              </w:rPr>
            </w:pPr>
            <w:r>
              <w:rPr>
                <w:rFonts w:ascii="Calibri"/>
                <w:b/>
                <w:sz w:val="18"/>
              </w:rPr>
              <w:t>Range</w:t>
            </w:r>
          </w:p>
        </w:tc>
        <w:tc>
          <w:tcPr>
            <w:tcW w:w="826" w:type="dxa"/>
          </w:tcPr>
          <w:p w:rsidR="006A18FD" w:rsidRDefault="002D29FC">
            <w:pPr>
              <w:spacing w:before="121"/>
              <w:ind w:left="105"/>
              <w:rPr>
                <w:rFonts w:ascii="Calibri"/>
                <w:b/>
                <w:sz w:val="18"/>
              </w:rPr>
            </w:pPr>
            <w:r>
              <w:rPr>
                <w:rFonts w:ascii="Calibri"/>
                <w:b/>
                <w:sz w:val="18"/>
              </w:rPr>
              <w:t>Mean</w:t>
            </w:r>
          </w:p>
        </w:tc>
        <w:tc>
          <w:tcPr>
            <w:tcW w:w="792" w:type="dxa"/>
          </w:tcPr>
          <w:p w:rsidR="006A18FD" w:rsidRDefault="002D29FC">
            <w:pPr>
              <w:spacing w:before="121"/>
              <w:ind w:right="100"/>
              <w:jc w:val="right"/>
              <w:rPr>
                <w:rFonts w:ascii="Calibri"/>
                <w:b/>
                <w:sz w:val="18"/>
              </w:rPr>
            </w:pPr>
            <w:r>
              <w:rPr>
                <w:rFonts w:ascii="Calibri"/>
                <w:b/>
                <w:sz w:val="18"/>
              </w:rPr>
              <w:t>Median</w:t>
            </w:r>
          </w:p>
        </w:tc>
        <w:tc>
          <w:tcPr>
            <w:tcW w:w="1046" w:type="dxa"/>
          </w:tcPr>
          <w:p w:rsidR="006A18FD" w:rsidRDefault="002D29FC">
            <w:pPr>
              <w:spacing w:before="121"/>
              <w:ind w:left="103"/>
              <w:rPr>
                <w:rFonts w:ascii="Calibri"/>
                <w:b/>
                <w:sz w:val="18"/>
              </w:rPr>
            </w:pPr>
            <w:r>
              <w:rPr>
                <w:rFonts w:ascii="Calibri"/>
                <w:b/>
                <w:sz w:val="18"/>
              </w:rPr>
              <w:t>Range</w:t>
            </w:r>
          </w:p>
        </w:tc>
        <w:tc>
          <w:tcPr>
            <w:tcW w:w="720" w:type="dxa"/>
          </w:tcPr>
          <w:p w:rsidR="006A18FD" w:rsidRDefault="002D29FC">
            <w:pPr>
              <w:spacing w:before="121"/>
              <w:ind w:left="105"/>
              <w:rPr>
                <w:rFonts w:ascii="Calibri"/>
                <w:b/>
                <w:sz w:val="18"/>
              </w:rPr>
            </w:pPr>
            <w:r>
              <w:rPr>
                <w:rFonts w:ascii="Calibri"/>
                <w:b/>
                <w:sz w:val="18"/>
              </w:rPr>
              <w:t>Mean</w:t>
            </w:r>
          </w:p>
        </w:tc>
        <w:tc>
          <w:tcPr>
            <w:tcW w:w="845" w:type="dxa"/>
          </w:tcPr>
          <w:p w:rsidR="006A18FD" w:rsidRDefault="002D29FC">
            <w:pPr>
              <w:spacing w:before="121"/>
              <w:ind w:right="156"/>
              <w:jc w:val="right"/>
              <w:rPr>
                <w:rFonts w:ascii="Calibri"/>
                <w:b/>
                <w:sz w:val="18"/>
              </w:rPr>
            </w:pPr>
            <w:r>
              <w:rPr>
                <w:rFonts w:ascii="Calibri"/>
                <w:b/>
                <w:sz w:val="18"/>
              </w:rPr>
              <w:t>Median</w:t>
            </w:r>
          </w:p>
        </w:tc>
        <w:tc>
          <w:tcPr>
            <w:tcW w:w="1634" w:type="dxa"/>
          </w:tcPr>
          <w:p w:rsidR="006A18FD" w:rsidRDefault="002D29FC">
            <w:pPr>
              <w:spacing w:before="121"/>
              <w:ind w:left="105"/>
              <w:rPr>
                <w:rFonts w:ascii="Calibri"/>
                <w:b/>
                <w:sz w:val="18"/>
              </w:rPr>
            </w:pPr>
            <w:r>
              <w:rPr>
                <w:rFonts w:ascii="Calibri"/>
                <w:b/>
                <w:sz w:val="18"/>
              </w:rPr>
              <w:t>Range</w:t>
            </w:r>
          </w:p>
        </w:tc>
      </w:tr>
      <w:tr w:rsidR="006A18FD">
        <w:trPr>
          <w:trHeight w:val="440"/>
        </w:trPr>
        <w:tc>
          <w:tcPr>
            <w:tcW w:w="1424" w:type="dxa"/>
          </w:tcPr>
          <w:p w:rsidR="006A18FD" w:rsidRDefault="002D29FC">
            <w:pPr>
              <w:spacing w:before="121"/>
              <w:ind w:left="105"/>
              <w:rPr>
                <w:rFonts w:ascii="Calibri"/>
                <w:sz w:val="18"/>
              </w:rPr>
            </w:pPr>
            <w:r>
              <w:rPr>
                <w:rFonts w:ascii="Calibri"/>
                <w:sz w:val="18"/>
              </w:rPr>
              <w:t>Health care</w:t>
            </w:r>
          </w:p>
        </w:tc>
        <w:tc>
          <w:tcPr>
            <w:tcW w:w="840" w:type="dxa"/>
          </w:tcPr>
          <w:p w:rsidR="006A18FD" w:rsidRDefault="002D29FC">
            <w:pPr>
              <w:spacing w:before="121"/>
              <w:ind w:right="102"/>
              <w:jc w:val="right"/>
              <w:rPr>
                <w:rFonts w:ascii="Calibri" w:hAnsi="Calibri"/>
                <w:sz w:val="18"/>
              </w:rPr>
            </w:pPr>
            <w:r>
              <w:rPr>
                <w:rFonts w:ascii="Calibri" w:hAnsi="Calibri"/>
                <w:sz w:val="18"/>
              </w:rPr>
              <w:t>£64</w:t>
            </w:r>
          </w:p>
        </w:tc>
        <w:tc>
          <w:tcPr>
            <w:tcW w:w="793" w:type="dxa"/>
          </w:tcPr>
          <w:p w:rsidR="006A18FD" w:rsidRDefault="002D29FC">
            <w:pPr>
              <w:spacing w:before="121"/>
              <w:ind w:right="101"/>
              <w:jc w:val="right"/>
              <w:rPr>
                <w:rFonts w:ascii="Calibri" w:hAnsi="Calibri"/>
                <w:sz w:val="18"/>
              </w:rPr>
            </w:pPr>
            <w:r>
              <w:rPr>
                <w:rFonts w:ascii="Calibri" w:hAnsi="Calibri"/>
                <w:sz w:val="18"/>
              </w:rPr>
              <w:t>£0</w:t>
            </w:r>
          </w:p>
        </w:tc>
        <w:tc>
          <w:tcPr>
            <w:tcW w:w="1142" w:type="dxa"/>
          </w:tcPr>
          <w:p w:rsidR="006A18FD" w:rsidRDefault="002D29FC">
            <w:pPr>
              <w:spacing w:before="121"/>
              <w:ind w:right="98"/>
              <w:jc w:val="right"/>
              <w:rPr>
                <w:rFonts w:ascii="Calibri" w:hAnsi="Calibri"/>
                <w:sz w:val="18"/>
              </w:rPr>
            </w:pPr>
            <w:r>
              <w:rPr>
                <w:rFonts w:ascii="Calibri" w:hAnsi="Calibri"/>
                <w:sz w:val="18"/>
              </w:rPr>
              <w:t>£0-£7,383</w:t>
            </w:r>
          </w:p>
        </w:tc>
        <w:tc>
          <w:tcPr>
            <w:tcW w:w="826" w:type="dxa"/>
          </w:tcPr>
          <w:p w:rsidR="006A18FD" w:rsidRDefault="002D29FC">
            <w:pPr>
              <w:spacing w:before="121"/>
              <w:ind w:right="98"/>
              <w:jc w:val="right"/>
              <w:rPr>
                <w:rFonts w:ascii="Calibri" w:hAnsi="Calibri"/>
                <w:sz w:val="18"/>
              </w:rPr>
            </w:pPr>
            <w:r>
              <w:rPr>
                <w:rFonts w:ascii="Calibri" w:hAnsi="Calibri"/>
                <w:sz w:val="18"/>
              </w:rPr>
              <w:t>£32</w:t>
            </w:r>
          </w:p>
        </w:tc>
        <w:tc>
          <w:tcPr>
            <w:tcW w:w="792" w:type="dxa"/>
          </w:tcPr>
          <w:p w:rsidR="006A18FD" w:rsidRDefault="002D29FC">
            <w:pPr>
              <w:spacing w:before="121"/>
              <w:ind w:right="98"/>
              <w:jc w:val="right"/>
              <w:rPr>
                <w:rFonts w:ascii="Calibri" w:hAnsi="Calibri"/>
                <w:sz w:val="18"/>
              </w:rPr>
            </w:pPr>
            <w:r>
              <w:rPr>
                <w:rFonts w:ascii="Calibri" w:hAnsi="Calibri"/>
                <w:sz w:val="18"/>
              </w:rPr>
              <w:t>£0</w:t>
            </w:r>
          </w:p>
        </w:tc>
        <w:tc>
          <w:tcPr>
            <w:tcW w:w="1046" w:type="dxa"/>
          </w:tcPr>
          <w:p w:rsidR="006A18FD" w:rsidRDefault="002D29FC">
            <w:pPr>
              <w:spacing w:before="121"/>
              <w:ind w:right="101"/>
              <w:jc w:val="right"/>
              <w:rPr>
                <w:rFonts w:ascii="Calibri" w:hAnsi="Calibri"/>
                <w:sz w:val="18"/>
              </w:rPr>
            </w:pPr>
            <w:r>
              <w:rPr>
                <w:rFonts w:ascii="Calibri" w:hAnsi="Calibri"/>
                <w:sz w:val="18"/>
              </w:rPr>
              <w:t>£0-£589</w:t>
            </w:r>
          </w:p>
        </w:tc>
        <w:tc>
          <w:tcPr>
            <w:tcW w:w="720" w:type="dxa"/>
          </w:tcPr>
          <w:p w:rsidR="006A18FD" w:rsidRDefault="002D29FC">
            <w:pPr>
              <w:spacing w:before="121"/>
              <w:ind w:right="98"/>
              <w:jc w:val="right"/>
              <w:rPr>
                <w:rFonts w:ascii="Calibri" w:hAnsi="Calibri"/>
                <w:sz w:val="18"/>
              </w:rPr>
            </w:pPr>
            <w:r>
              <w:rPr>
                <w:rFonts w:ascii="Calibri" w:hAnsi="Calibri"/>
                <w:sz w:val="18"/>
              </w:rPr>
              <w:t>£63</w:t>
            </w:r>
          </w:p>
        </w:tc>
        <w:tc>
          <w:tcPr>
            <w:tcW w:w="845" w:type="dxa"/>
          </w:tcPr>
          <w:p w:rsidR="006A18FD" w:rsidRDefault="002D29FC">
            <w:pPr>
              <w:spacing w:before="121"/>
              <w:ind w:right="98"/>
              <w:jc w:val="right"/>
              <w:rPr>
                <w:rFonts w:ascii="Calibri" w:hAnsi="Calibri"/>
                <w:sz w:val="18"/>
              </w:rPr>
            </w:pPr>
            <w:r>
              <w:rPr>
                <w:rFonts w:ascii="Calibri" w:hAnsi="Calibri"/>
                <w:sz w:val="18"/>
              </w:rPr>
              <w:t>£2</w:t>
            </w:r>
          </w:p>
        </w:tc>
        <w:tc>
          <w:tcPr>
            <w:tcW w:w="1634" w:type="dxa"/>
          </w:tcPr>
          <w:p w:rsidR="006A18FD" w:rsidRDefault="002D29FC">
            <w:pPr>
              <w:spacing w:before="121"/>
              <w:ind w:right="102"/>
              <w:jc w:val="right"/>
              <w:rPr>
                <w:rFonts w:ascii="Calibri" w:hAnsi="Calibri"/>
                <w:sz w:val="18"/>
              </w:rPr>
            </w:pPr>
            <w:r>
              <w:rPr>
                <w:rFonts w:ascii="Calibri" w:hAnsi="Calibri"/>
                <w:sz w:val="18"/>
              </w:rPr>
              <w:t>£0-956</w:t>
            </w:r>
          </w:p>
        </w:tc>
      </w:tr>
      <w:tr w:rsidR="006A18FD">
        <w:trPr>
          <w:trHeight w:val="460"/>
        </w:trPr>
        <w:tc>
          <w:tcPr>
            <w:tcW w:w="1424" w:type="dxa"/>
          </w:tcPr>
          <w:p w:rsidR="006A18FD" w:rsidRDefault="002D29FC">
            <w:pPr>
              <w:spacing w:before="121"/>
              <w:ind w:left="105"/>
              <w:rPr>
                <w:rFonts w:ascii="Calibri"/>
                <w:sz w:val="18"/>
              </w:rPr>
            </w:pPr>
            <w:r>
              <w:rPr>
                <w:rFonts w:ascii="Calibri"/>
                <w:sz w:val="18"/>
              </w:rPr>
              <w:t>Social care</w:t>
            </w:r>
          </w:p>
        </w:tc>
        <w:tc>
          <w:tcPr>
            <w:tcW w:w="840" w:type="dxa"/>
          </w:tcPr>
          <w:p w:rsidR="006A18FD" w:rsidRDefault="002D29FC">
            <w:pPr>
              <w:spacing w:before="121"/>
              <w:ind w:right="102"/>
              <w:jc w:val="right"/>
              <w:rPr>
                <w:rFonts w:ascii="Calibri" w:hAnsi="Calibri"/>
                <w:sz w:val="18"/>
              </w:rPr>
            </w:pPr>
            <w:r>
              <w:rPr>
                <w:rFonts w:ascii="Calibri" w:hAnsi="Calibri"/>
                <w:sz w:val="18"/>
              </w:rPr>
              <w:t>£79</w:t>
            </w:r>
          </w:p>
        </w:tc>
        <w:tc>
          <w:tcPr>
            <w:tcW w:w="793" w:type="dxa"/>
          </w:tcPr>
          <w:p w:rsidR="006A18FD" w:rsidRDefault="002D29FC">
            <w:pPr>
              <w:spacing w:before="121"/>
              <w:ind w:right="101"/>
              <w:jc w:val="right"/>
              <w:rPr>
                <w:rFonts w:ascii="Calibri" w:hAnsi="Calibri"/>
                <w:sz w:val="18"/>
              </w:rPr>
            </w:pPr>
            <w:r>
              <w:rPr>
                <w:rFonts w:ascii="Calibri" w:hAnsi="Calibri"/>
                <w:sz w:val="18"/>
              </w:rPr>
              <w:t>£0</w:t>
            </w:r>
          </w:p>
        </w:tc>
        <w:tc>
          <w:tcPr>
            <w:tcW w:w="1142" w:type="dxa"/>
          </w:tcPr>
          <w:p w:rsidR="006A18FD" w:rsidRDefault="002D29FC">
            <w:pPr>
              <w:spacing w:before="121"/>
              <w:ind w:right="98"/>
              <w:jc w:val="right"/>
              <w:rPr>
                <w:rFonts w:ascii="Calibri" w:hAnsi="Calibri"/>
                <w:sz w:val="18"/>
              </w:rPr>
            </w:pPr>
            <w:r>
              <w:rPr>
                <w:rFonts w:ascii="Calibri" w:hAnsi="Calibri"/>
                <w:sz w:val="18"/>
              </w:rPr>
              <w:t>£0-£3,849</w:t>
            </w:r>
          </w:p>
        </w:tc>
        <w:tc>
          <w:tcPr>
            <w:tcW w:w="826" w:type="dxa"/>
          </w:tcPr>
          <w:p w:rsidR="006A18FD" w:rsidRDefault="002D29FC">
            <w:pPr>
              <w:spacing w:before="121"/>
              <w:ind w:right="98"/>
              <w:jc w:val="right"/>
              <w:rPr>
                <w:rFonts w:ascii="Calibri" w:hAnsi="Calibri"/>
                <w:sz w:val="18"/>
              </w:rPr>
            </w:pPr>
            <w:r>
              <w:rPr>
                <w:rFonts w:ascii="Calibri" w:hAnsi="Calibri"/>
                <w:sz w:val="18"/>
              </w:rPr>
              <w:t>£105</w:t>
            </w:r>
          </w:p>
        </w:tc>
        <w:tc>
          <w:tcPr>
            <w:tcW w:w="792" w:type="dxa"/>
          </w:tcPr>
          <w:p w:rsidR="006A18FD" w:rsidRDefault="002D29FC">
            <w:pPr>
              <w:spacing w:before="121"/>
              <w:ind w:right="98"/>
              <w:jc w:val="right"/>
              <w:rPr>
                <w:rFonts w:ascii="Calibri" w:hAnsi="Calibri"/>
                <w:sz w:val="18"/>
              </w:rPr>
            </w:pPr>
            <w:r>
              <w:rPr>
                <w:rFonts w:ascii="Calibri" w:hAnsi="Calibri"/>
                <w:sz w:val="18"/>
              </w:rPr>
              <w:t>£0</w:t>
            </w:r>
          </w:p>
        </w:tc>
        <w:tc>
          <w:tcPr>
            <w:tcW w:w="1046" w:type="dxa"/>
          </w:tcPr>
          <w:p w:rsidR="006A18FD" w:rsidRDefault="002D29FC">
            <w:pPr>
              <w:spacing w:before="121"/>
              <w:ind w:right="101"/>
              <w:jc w:val="right"/>
              <w:rPr>
                <w:rFonts w:ascii="Calibri" w:hAnsi="Calibri"/>
                <w:sz w:val="18"/>
              </w:rPr>
            </w:pPr>
            <w:r>
              <w:rPr>
                <w:rFonts w:ascii="Calibri" w:hAnsi="Calibri"/>
                <w:sz w:val="18"/>
              </w:rPr>
              <w:t>£0-£6,218</w:t>
            </w:r>
          </w:p>
        </w:tc>
        <w:tc>
          <w:tcPr>
            <w:tcW w:w="720" w:type="dxa"/>
          </w:tcPr>
          <w:p w:rsidR="006A18FD" w:rsidRDefault="002D29FC">
            <w:pPr>
              <w:spacing w:before="121"/>
              <w:ind w:right="98"/>
              <w:jc w:val="right"/>
              <w:rPr>
                <w:rFonts w:ascii="Calibri" w:hAnsi="Calibri"/>
                <w:sz w:val="18"/>
              </w:rPr>
            </w:pPr>
            <w:r>
              <w:rPr>
                <w:rFonts w:ascii="Calibri" w:hAnsi="Calibri"/>
                <w:sz w:val="18"/>
              </w:rPr>
              <w:t>£176</w:t>
            </w:r>
          </w:p>
        </w:tc>
        <w:tc>
          <w:tcPr>
            <w:tcW w:w="845" w:type="dxa"/>
          </w:tcPr>
          <w:p w:rsidR="006A18FD" w:rsidRDefault="002D29FC">
            <w:pPr>
              <w:spacing w:before="121"/>
              <w:ind w:right="98"/>
              <w:jc w:val="right"/>
              <w:rPr>
                <w:rFonts w:ascii="Calibri" w:hAnsi="Calibri"/>
                <w:sz w:val="18"/>
              </w:rPr>
            </w:pPr>
            <w:r>
              <w:rPr>
                <w:rFonts w:ascii="Calibri" w:hAnsi="Calibri"/>
                <w:sz w:val="18"/>
              </w:rPr>
              <w:t>£0</w:t>
            </w:r>
          </w:p>
        </w:tc>
        <w:tc>
          <w:tcPr>
            <w:tcW w:w="1634" w:type="dxa"/>
          </w:tcPr>
          <w:p w:rsidR="006A18FD" w:rsidRDefault="002D29FC">
            <w:pPr>
              <w:spacing w:before="121"/>
              <w:ind w:right="101"/>
              <w:jc w:val="right"/>
              <w:rPr>
                <w:rFonts w:ascii="Calibri" w:hAnsi="Calibri"/>
                <w:sz w:val="18"/>
              </w:rPr>
            </w:pPr>
            <w:r>
              <w:rPr>
                <w:rFonts w:ascii="Calibri" w:hAnsi="Calibri"/>
                <w:sz w:val="18"/>
              </w:rPr>
              <w:t>£0-£8,248</w:t>
            </w:r>
          </w:p>
        </w:tc>
      </w:tr>
      <w:tr w:rsidR="006A18FD">
        <w:trPr>
          <w:trHeight w:val="660"/>
        </w:trPr>
        <w:tc>
          <w:tcPr>
            <w:tcW w:w="1424" w:type="dxa"/>
          </w:tcPr>
          <w:p w:rsidR="006A18FD" w:rsidRDefault="002D29FC">
            <w:pPr>
              <w:spacing w:before="121"/>
              <w:ind w:left="105" w:right="367"/>
              <w:rPr>
                <w:rFonts w:ascii="Calibri"/>
                <w:sz w:val="18"/>
              </w:rPr>
            </w:pPr>
            <w:r>
              <w:rPr>
                <w:rFonts w:ascii="Calibri"/>
                <w:sz w:val="18"/>
              </w:rPr>
              <w:t>Psychosocial support</w:t>
            </w:r>
          </w:p>
        </w:tc>
        <w:tc>
          <w:tcPr>
            <w:tcW w:w="840" w:type="dxa"/>
          </w:tcPr>
          <w:p w:rsidR="006A18FD" w:rsidRDefault="002D29FC">
            <w:pPr>
              <w:spacing w:before="121"/>
              <w:ind w:right="102"/>
              <w:jc w:val="right"/>
              <w:rPr>
                <w:rFonts w:ascii="Calibri" w:hAnsi="Calibri"/>
                <w:sz w:val="18"/>
              </w:rPr>
            </w:pPr>
            <w:r>
              <w:rPr>
                <w:rFonts w:ascii="Calibri" w:hAnsi="Calibri"/>
                <w:sz w:val="18"/>
              </w:rPr>
              <w:t>£13</w:t>
            </w:r>
          </w:p>
        </w:tc>
        <w:tc>
          <w:tcPr>
            <w:tcW w:w="793" w:type="dxa"/>
          </w:tcPr>
          <w:p w:rsidR="006A18FD" w:rsidRDefault="002D29FC">
            <w:pPr>
              <w:spacing w:before="121"/>
              <w:ind w:right="101"/>
              <w:jc w:val="right"/>
              <w:rPr>
                <w:rFonts w:ascii="Calibri" w:hAnsi="Calibri"/>
                <w:sz w:val="18"/>
              </w:rPr>
            </w:pPr>
            <w:r>
              <w:rPr>
                <w:rFonts w:ascii="Calibri" w:hAnsi="Calibri"/>
                <w:sz w:val="18"/>
              </w:rPr>
              <w:t>£0</w:t>
            </w:r>
          </w:p>
        </w:tc>
        <w:tc>
          <w:tcPr>
            <w:tcW w:w="1142" w:type="dxa"/>
          </w:tcPr>
          <w:p w:rsidR="006A18FD" w:rsidRDefault="002D29FC">
            <w:pPr>
              <w:spacing w:before="121"/>
              <w:ind w:right="98"/>
              <w:jc w:val="right"/>
              <w:rPr>
                <w:rFonts w:ascii="Calibri" w:hAnsi="Calibri"/>
                <w:sz w:val="18"/>
              </w:rPr>
            </w:pPr>
            <w:r>
              <w:rPr>
                <w:rFonts w:ascii="Calibri" w:hAnsi="Calibri"/>
                <w:sz w:val="18"/>
              </w:rPr>
              <w:t>£0-£1,572</w:t>
            </w:r>
          </w:p>
        </w:tc>
        <w:tc>
          <w:tcPr>
            <w:tcW w:w="826" w:type="dxa"/>
          </w:tcPr>
          <w:p w:rsidR="006A18FD" w:rsidRDefault="002D29FC">
            <w:pPr>
              <w:spacing w:before="121"/>
              <w:ind w:right="98"/>
              <w:jc w:val="right"/>
              <w:rPr>
                <w:rFonts w:ascii="Calibri" w:hAnsi="Calibri"/>
                <w:sz w:val="18"/>
              </w:rPr>
            </w:pPr>
            <w:r>
              <w:rPr>
                <w:rFonts w:ascii="Calibri" w:hAnsi="Calibri"/>
                <w:sz w:val="18"/>
              </w:rPr>
              <w:t>£5</w:t>
            </w:r>
          </w:p>
        </w:tc>
        <w:tc>
          <w:tcPr>
            <w:tcW w:w="792" w:type="dxa"/>
          </w:tcPr>
          <w:p w:rsidR="006A18FD" w:rsidRDefault="002D29FC">
            <w:pPr>
              <w:spacing w:before="121"/>
              <w:ind w:right="98"/>
              <w:jc w:val="right"/>
              <w:rPr>
                <w:rFonts w:ascii="Calibri" w:hAnsi="Calibri"/>
                <w:sz w:val="18"/>
              </w:rPr>
            </w:pPr>
            <w:r>
              <w:rPr>
                <w:rFonts w:ascii="Calibri" w:hAnsi="Calibri"/>
                <w:sz w:val="18"/>
              </w:rPr>
              <w:t>£0</w:t>
            </w:r>
          </w:p>
        </w:tc>
        <w:tc>
          <w:tcPr>
            <w:tcW w:w="1046" w:type="dxa"/>
          </w:tcPr>
          <w:p w:rsidR="006A18FD" w:rsidRDefault="002D29FC">
            <w:pPr>
              <w:spacing w:before="121"/>
              <w:ind w:right="101"/>
              <w:jc w:val="right"/>
              <w:rPr>
                <w:rFonts w:ascii="Calibri" w:hAnsi="Calibri"/>
                <w:sz w:val="18"/>
              </w:rPr>
            </w:pPr>
            <w:r>
              <w:rPr>
                <w:rFonts w:ascii="Calibri" w:hAnsi="Calibri"/>
                <w:sz w:val="18"/>
              </w:rPr>
              <w:t>£0-£385</w:t>
            </w:r>
          </w:p>
        </w:tc>
        <w:tc>
          <w:tcPr>
            <w:tcW w:w="720" w:type="dxa"/>
          </w:tcPr>
          <w:p w:rsidR="006A18FD" w:rsidRDefault="002D29FC">
            <w:pPr>
              <w:spacing w:before="121"/>
              <w:ind w:right="98"/>
              <w:jc w:val="right"/>
              <w:rPr>
                <w:rFonts w:ascii="Calibri" w:hAnsi="Calibri"/>
                <w:sz w:val="18"/>
              </w:rPr>
            </w:pPr>
            <w:r>
              <w:rPr>
                <w:rFonts w:ascii="Calibri" w:hAnsi="Calibri"/>
                <w:sz w:val="18"/>
              </w:rPr>
              <w:t>£13</w:t>
            </w:r>
          </w:p>
        </w:tc>
        <w:tc>
          <w:tcPr>
            <w:tcW w:w="845" w:type="dxa"/>
          </w:tcPr>
          <w:p w:rsidR="006A18FD" w:rsidRDefault="002D29FC">
            <w:pPr>
              <w:spacing w:before="121"/>
              <w:ind w:right="98"/>
              <w:jc w:val="right"/>
              <w:rPr>
                <w:rFonts w:ascii="Calibri" w:hAnsi="Calibri"/>
                <w:sz w:val="18"/>
              </w:rPr>
            </w:pPr>
            <w:r>
              <w:rPr>
                <w:rFonts w:ascii="Calibri" w:hAnsi="Calibri"/>
                <w:sz w:val="18"/>
              </w:rPr>
              <w:t>£0</w:t>
            </w:r>
          </w:p>
        </w:tc>
        <w:tc>
          <w:tcPr>
            <w:tcW w:w="1634" w:type="dxa"/>
          </w:tcPr>
          <w:p w:rsidR="006A18FD" w:rsidRDefault="002D29FC">
            <w:pPr>
              <w:spacing w:before="121"/>
              <w:ind w:right="102"/>
              <w:jc w:val="right"/>
              <w:rPr>
                <w:rFonts w:ascii="Calibri" w:hAnsi="Calibri"/>
                <w:sz w:val="18"/>
              </w:rPr>
            </w:pPr>
            <w:r>
              <w:rPr>
                <w:rFonts w:ascii="Calibri" w:hAnsi="Calibri"/>
                <w:sz w:val="18"/>
              </w:rPr>
              <w:t>£0-£770</w:t>
            </w:r>
          </w:p>
        </w:tc>
      </w:tr>
      <w:tr w:rsidR="006A18FD">
        <w:trPr>
          <w:trHeight w:val="680"/>
        </w:trPr>
        <w:tc>
          <w:tcPr>
            <w:tcW w:w="1424" w:type="dxa"/>
          </w:tcPr>
          <w:p w:rsidR="006A18FD" w:rsidRDefault="002D29FC">
            <w:pPr>
              <w:spacing w:before="121"/>
              <w:ind w:left="105"/>
              <w:rPr>
                <w:rFonts w:ascii="Calibri"/>
                <w:sz w:val="18"/>
              </w:rPr>
            </w:pPr>
            <w:r>
              <w:rPr>
                <w:rFonts w:ascii="Calibri"/>
                <w:sz w:val="18"/>
              </w:rPr>
              <w:t>Social security benefits</w:t>
            </w:r>
          </w:p>
        </w:tc>
        <w:tc>
          <w:tcPr>
            <w:tcW w:w="840" w:type="dxa"/>
          </w:tcPr>
          <w:p w:rsidR="006A18FD" w:rsidRDefault="002D29FC">
            <w:pPr>
              <w:spacing w:before="121"/>
              <w:ind w:right="102"/>
              <w:jc w:val="right"/>
              <w:rPr>
                <w:rFonts w:ascii="Calibri" w:hAnsi="Calibri"/>
                <w:sz w:val="18"/>
              </w:rPr>
            </w:pPr>
            <w:r>
              <w:rPr>
                <w:rFonts w:ascii="Calibri" w:hAnsi="Calibri"/>
                <w:sz w:val="18"/>
              </w:rPr>
              <w:t>£143</w:t>
            </w:r>
          </w:p>
        </w:tc>
        <w:tc>
          <w:tcPr>
            <w:tcW w:w="793" w:type="dxa"/>
          </w:tcPr>
          <w:p w:rsidR="006A18FD" w:rsidRDefault="002D29FC">
            <w:pPr>
              <w:spacing w:before="121"/>
              <w:ind w:right="101"/>
              <w:jc w:val="right"/>
              <w:rPr>
                <w:rFonts w:ascii="Calibri" w:hAnsi="Calibri"/>
                <w:sz w:val="18"/>
              </w:rPr>
            </w:pPr>
            <w:r>
              <w:rPr>
                <w:rFonts w:ascii="Calibri" w:hAnsi="Calibri"/>
                <w:sz w:val="18"/>
              </w:rPr>
              <w:t>£0</w:t>
            </w:r>
          </w:p>
        </w:tc>
        <w:tc>
          <w:tcPr>
            <w:tcW w:w="1142" w:type="dxa"/>
          </w:tcPr>
          <w:p w:rsidR="006A18FD" w:rsidRDefault="002D29FC">
            <w:pPr>
              <w:spacing w:before="121"/>
              <w:ind w:right="98"/>
              <w:jc w:val="right"/>
              <w:rPr>
                <w:rFonts w:ascii="Calibri" w:hAnsi="Calibri"/>
                <w:sz w:val="18"/>
              </w:rPr>
            </w:pPr>
            <w:r>
              <w:rPr>
                <w:rFonts w:ascii="Calibri" w:hAnsi="Calibri"/>
                <w:sz w:val="18"/>
              </w:rPr>
              <w:t>£0-£698</w:t>
            </w:r>
          </w:p>
        </w:tc>
        <w:tc>
          <w:tcPr>
            <w:tcW w:w="826" w:type="dxa"/>
          </w:tcPr>
          <w:p w:rsidR="006A18FD" w:rsidRDefault="002D29FC">
            <w:pPr>
              <w:spacing w:before="121"/>
              <w:ind w:right="98"/>
              <w:jc w:val="right"/>
              <w:rPr>
                <w:rFonts w:ascii="Calibri" w:hAnsi="Calibri"/>
                <w:sz w:val="18"/>
              </w:rPr>
            </w:pPr>
            <w:r>
              <w:rPr>
                <w:rFonts w:ascii="Calibri" w:hAnsi="Calibri"/>
                <w:sz w:val="18"/>
              </w:rPr>
              <w:t>£149</w:t>
            </w:r>
          </w:p>
        </w:tc>
        <w:tc>
          <w:tcPr>
            <w:tcW w:w="792" w:type="dxa"/>
          </w:tcPr>
          <w:p w:rsidR="006A18FD" w:rsidRDefault="002D29FC">
            <w:pPr>
              <w:spacing w:before="121"/>
              <w:ind w:right="98"/>
              <w:jc w:val="right"/>
              <w:rPr>
                <w:rFonts w:ascii="Calibri" w:hAnsi="Calibri"/>
                <w:sz w:val="18"/>
              </w:rPr>
            </w:pPr>
            <w:r>
              <w:rPr>
                <w:rFonts w:ascii="Calibri" w:hAnsi="Calibri"/>
                <w:sz w:val="18"/>
              </w:rPr>
              <w:t>£0</w:t>
            </w:r>
          </w:p>
        </w:tc>
        <w:tc>
          <w:tcPr>
            <w:tcW w:w="1046" w:type="dxa"/>
          </w:tcPr>
          <w:p w:rsidR="006A18FD" w:rsidRDefault="002D29FC">
            <w:pPr>
              <w:spacing w:before="121"/>
              <w:ind w:right="101"/>
              <w:jc w:val="right"/>
              <w:rPr>
                <w:rFonts w:ascii="Calibri" w:hAnsi="Calibri"/>
                <w:sz w:val="18"/>
              </w:rPr>
            </w:pPr>
            <w:r>
              <w:rPr>
                <w:rFonts w:ascii="Calibri" w:hAnsi="Calibri"/>
                <w:sz w:val="18"/>
              </w:rPr>
              <w:t>£0-£698</w:t>
            </w:r>
          </w:p>
        </w:tc>
        <w:tc>
          <w:tcPr>
            <w:tcW w:w="720" w:type="dxa"/>
          </w:tcPr>
          <w:p w:rsidR="006A18FD" w:rsidRDefault="002D29FC">
            <w:pPr>
              <w:spacing w:before="121"/>
              <w:ind w:right="98"/>
              <w:jc w:val="right"/>
              <w:rPr>
                <w:rFonts w:ascii="Calibri" w:hAnsi="Calibri"/>
                <w:sz w:val="18"/>
              </w:rPr>
            </w:pPr>
            <w:r>
              <w:rPr>
                <w:rFonts w:ascii="Calibri" w:hAnsi="Calibri"/>
                <w:sz w:val="18"/>
              </w:rPr>
              <w:t>£190</w:t>
            </w:r>
          </w:p>
        </w:tc>
        <w:tc>
          <w:tcPr>
            <w:tcW w:w="845" w:type="dxa"/>
          </w:tcPr>
          <w:p w:rsidR="006A18FD" w:rsidRDefault="002D29FC">
            <w:pPr>
              <w:spacing w:before="121"/>
              <w:ind w:right="98"/>
              <w:jc w:val="right"/>
              <w:rPr>
                <w:rFonts w:ascii="Calibri" w:hAnsi="Calibri"/>
                <w:sz w:val="18"/>
              </w:rPr>
            </w:pPr>
            <w:r>
              <w:rPr>
                <w:rFonts w:ascii="Calibri" w:hAnsi="Calibri"/>
                <w:sz w:val="18"/>
              </w:rPr>
              <w:t>£14</w:t>
            </w:r>
          </w:p>
        </w:tc>
        <w:tc>
          <w:tcPr>
            <w:tcW w:w="1634" w:type="dxa"/>
          </w:tcPr>
          <w:p w:rsidR="006A18FD" w:rsidRDefault="002D29FC">
            <w:pPr>
              <w:spacing w:before="121"/>
              <w:ind w:right="102"/>
              <w:jc w:val="right"/>
              <w:rPr>
                <w:rFonts w:ascii="Calibri" w:hAnsi="Calibri"/>
                <w:sz w:val="18"/>
              </w:rPr>
            </w:pPr>
            <w:r>
              <w:rPr>
                <w:rFonts w:ascii="Calibri" w:hAnsi="Calibri"/>
                <w:sz w:val="18"/>
              </w:rPr>
              <w:t>£0-£698</w:t>
            </w:r>
          </w:p>
        </w:tc>
      </w:tr>
      <w:tr w:rsidR="006A18FD">
        <w:trPr>
          <w:trHeight w:val="660"/>
        </w:trPr>
        <w:tc>
          <w:tcPr>
            <w:tcW w:w="1424" w:type="dxa"/>
          </w:tcPr>
          <w:p w:rsidR="006A18FD" w:rsidRDefault="002D29FC">
            <w:pPr>
              <w:spacing w:before="119"/>
              <w:ind w:left="105" w:right="365"/>
              <w:rPr>
                <w:rFonts w:ascii="Calibri"/>
                <w:b/>
                <w:sz w:val="18"/>
              </w:rPr>
            </w:pPr>
            <w:r>
              <w:rPr>
                <w:rFonts w:ascii="Calibri"/>
                <w:b/>
                <w:sz w:val="18"/>
              </w:rPr>
              <w:t>Total cost of formal care</w:t>
            </w:r>
          </w:p>
        </w:tc>
        <w:tc>
          <w:tcPr>
            <w:tcW w:w="840" w:type="dxa"/>
          </w:tcPr>
          <w:p w:rsidR="006A18FD" w:rsidRDefault="002D29FC">
            <w:pPr>
              <w:spacing w:before="121"/>
              <w:ind w:right="102"/>
              <w:jc w:val="right"/>
              <w:rPr>
                <w:rFonts w:ascii="Calibri" w:hAnsi="Calibri"/>
                <w:b/>
                <w:sz w:val="18"/>
              </w:rPr>
            </w:pPr>
            <w:r>
              <w:rPr>
                <w:rFonts w:ascii="Calibri" w:hAnsi="Calibri"/>
                <w:b/>
                <w:sz w:val="18"/>
              </w:rPr>
              <w:t>£159</w:t>
            </w:r>
          </w:p>
        </w:tc>
        <w:tc>
          <w:tcPr>
            <w:tcW w:w="793" w:type="dxa"/>
          </w:tcPr>
          <w:p w:rsidR="006A18FD" w:rsidRDefault="002D29FC">
            <w:pPr>
              <w:spacing w:before="121"/>
              <w:ind w:right="101"/>
              <w:jc w:val="right"/>
              <w:rPr>
                <w:rFonts w:ascii="Calibri" w:hAnsi="Calibri"/>
                <w:b/>
                <w:sz w:val="18"/>
              </w:rPr>
            </w:pPr>
            <w:r>
              <w:rPr>
                <w:rFonts w:ascii="Calibri" w:hAnsi="Calibri"/>
                <w:b/>
                <w:sz w:val="18"/>
              </w:rPr>
              <w:t>£1</w:t>
            </w:r>
          </w:p>
        </w:tc>
        <w:tc>
          <w:tcPr>
            <w:tcW w:w="1142" w:type="dxa"/>
          </w:tcPr>
          <w:p w:rsidR="006A18FD" w:rsidRDefault="002D29FC">
            <w:pPr>
              <w:spacing w:before="121"/>
              <w:ind w:right="98"/>
              <w:jc w:val="right"/>
              <w:rPr>
                <w:rFonts w:ascii="Calibri" w:hAnsi="Calibri"/>
                <w:b/>
                <w:sz w:val="18"/>
              </w:rPr>
            </w:pPr>
            <w:r>
              <w:rPr>
                <w:rFonts w:ascii="Calibri" w:hAnsi="Calibri"/>
                <w:b/>
                <w:sz w:val="18"/>
              </w:rPr>
              <w:t>£0-£11,835</w:t>
            </w:r>
          </w:p>
        </w:tc>
        <w:tc>
          <w:tcPr>
            <w:tcW w:w="826" w:type="dxa"/>
          </w:tcPr>
          <w:p w:rsidR="006A18FD" w:rsidRDefault="002D29FC">
            <w:pPr>
              <w:spacing w:before="121"/>
              <w:ind w:right="98"/>
              <w:jc w:val="right"/>
              <w:rPr>
                <w:rFonts w:ascii="Calibri" w:hAnsi="Calibri"/>
                <w:b/>
                <w:sz w:val="18"/>
              </w:rPr>
            </w:pPr>
            <w:r>
              <w:rPr>
                <w:rFonts w:ascii="Calibri" w:hAnsi="Calibri"/>
                <w:b/>
                <w:sz w:val="18"/>
              </w:rPr>
              <w:t>£144</w:t>
            </w:r>
          </w:p>
        </w:tc>
        <w:tc>
          <w:tcPr>
            <w:tcW w:w="792" w:type="dxa"/>
          </w:tcPr>
          <w:p w:rsidR="006A18FD" w:rsidRDefault="002D29FC">
            <w:pPr>
              <w:spacing w:before="121"/>
              <w:ind w:right="98"/>
              <w:jc w:val="right"/>
              <w:rPr>
                <w:rFonts w:ascii="Calibri" w:hAnsi="Calibri"/>
                <w:b/>
                <w:sz w:val="18"/>
              </w:rPr>
            </w:pPr>
            <w:r>
              <w:rPr>
                <w:rFonts w:ascii="Calibri" w:hAnsi="Calibri"/>
                <w:b/>
                <w:sz w:val="18"/>
              </w:rPr>
              <w:t>£1</w:t>
            </w:r>
          </w:p>
        </w:tc>
        <w:tc>
          <w:tcPr>
            <w:tcW w:w="1046" w:type="dxa"/>
          </w:tcPr>
          <w:p w:rsidR="006A18FD" w:rsidRDefault="002D29FC">
            <w:pPr>
              <w:spacing w:before="121"/>
              <w:ind w:right="100"/>
              <w:jc w:val="right"/>
              <w:rPr>
                <w:rFonts w:ascii="Calibri" w:hAnsi="Calibri"/>
                <w:b/>
                <w:sz w:val="18"/>
              </w:rPr>
            </w:pPr>
            <w:r>
              <w:rPr>
                <w:rFonts w:ascii="Calibri" w:hAnsi="Calibri"/>
                <w:b/>
                <w:sz w:val="18"/>
              </w:rPr>
              <w:t>£0-£6,879</w:t>
            </w:r>
          </w:p>
        </w:tc>
        <w:tc>
          <w:tcPr>
            <w:tcW w:w="720" w:type="dxa"/>
          </w:tcPr>
          <w:p w:rsidR="006A18FD" w:rsidRDefault="002D29FC">
            <w:pPr>
              <w:spacing w:before="121"/>
              <w:ind w:right="98"/>
              <w:jc w:val="right"/>
              <w:rPr>
                <w:rFonts w:ascii="Calibri" w:hAnsi="Calibri"/>
                <w:b/>
                <w:sz w:val="18"/>
              </w:rPr>
            </w:pPr>
            <w:r>
              <w:rPr>
                <w:rFonts w:ascii="Calibri" w:hAnsi="Calibri"/>
                <w:b/>
                <w:sz w:val="18"/>
              </w:rPr>
              <w:t>£252</w:t>
            </w:r>
          </w:p>
        </w:tc>
        <w:tc>
          <w:tcPr>
            <w:tcW w:w="845" w:type="dxa"/>
          </w:tcPr>
          <w:p w:rsidR="006A18FD" w:rsidRDefault="002D29FC">
            <w:pPr>
              <w:spacing w:before="121"/>
              <w:ind w:right="98"/>
              <w:jc w:val="right"/>
              <w:rPr>
                <w:rFonts w:ascii="Calibri" w:hAnsi="Calibri"/>
                <w:b/>
                <w:sz w:val="18"/>
              </w:rPr>
            </w:pPr>
            <w:r>
              <w:rPr>
                <w:rFonts w:ascii="Calibri" w:hAnsi="Calibri"/>
                <w:b/>
                <w:sz w:val="18"/>
              </w:rPr>
              <w:t>£21</w:t>
            </w:r>
          </w:p>
        </w:tc>
        <w:tc>
          <w:tcPr>
            <w:tcW w:w="1634" w:type="dxa"/>
          </w:tcPr>
          <w:p w:rsidR="006A18FD" w:rsidRDefault="002D29FC">
            <w:pPr>
              <w:spacing w:before="121"/>
              <w:ind w:right="100"/>
              <w:jc w:val="right"/>
              <w:rPr>
                <w:rFonts w:ascii="Calibri" w:hAnsi="Calibri"/>
                <w:b/>
                <w:sz w:val="18"/>
              </w:rPr>
            </w:pPr>
            <w:r>
              <w:rPr>
                <w:rFonts w:ascii="Calibri" w:hAnsi="Calibri"/>
                <w:b/>
                <w:sz w:val="18"/>
              </w:rPr>
              <w:t>£0-£9,060</w:t>
            </w:r>
          </w:p>
        </w:tc>
      </w:tr>
      <w:tr w:rsidR="006A18FD">
        <w:trPr>
          <w:trHeight w:val="460"/>
        </w:trPr>
        <w:tc>
          <w:tcPr>
            <w:tcW w:w="1424" w:type="dxa"/>
          </w:tcPr>
          <w:p w:rsidR="006A18FD" w:rsidRDefault="002D29FC">
            <w:pPr>
              <w:spacing w:before="121"/>
              <w:ind w:left="105"/>
              <w:rPr>
                <w:rFonts w:ascii="Calibri"/>
                <w:sz w:val="18"/>
              </w:rPr>
            </w:pPr>
            <w:r>
              <w:rPr>
                <w:rFonts w:ascii="Calibri"/>
                <w:sz w:val="18"/>
              </w:rPr>
              <w:t>Informal Care</w:t>
            </w:r>
          </w:p>
        </w:tc>
        <w:tc>
          <w:tcPr>
            <w:tcW w:w="840" w:type="dxa"/>
          </w:tcPr>
          <w:p w:rsidR="006A18FD" w:rsidRDefault="002D29FC">
            <w:pPr>
              <w:spacing w:before="121"/>
              <w:ind w:right="101"/>
              <w:jc w:val="right"/>
              <w:rPr>
                <w:rFonts w:ascii="Calibri" w:hAnsi="Calibri"/>
                <w:sz w:val="18"/>
              </w:rPr>
            </w:pPr>
            <w:r>
              <w:rPr>
                <w:rFonts w:ascii="Calibri" w:hAnsi="Calibri"/>
                <w:sz w:val="18"/>
              </w:rPr>
              <w:t>£1,710</w:t>
            </w:r>
          </w:p>
        </w:tc>
        <w:tc>
          <w:tcPr>
            <w:tcW w:w="793" w:type="dxa"/>
          </w:tcPr>
          <w:p w:rsidR="006A18FD" w:rsidRDefault="002D29FC">
            <w:pPr>
              <w:spacing w:before="121"/>
              <w:ind w:right="101"/>
              <w:jc w:val="right"/>
              <w:rPr>
                <w:rFonts w:ascii="Calibri" w:hAnsi="Calibri"/>
                <w:sz w:val="18"/>
              </w:rPr>
            </w:pPr>
            <w:r>
              <w:rPr>
                <w:rFonts w:ascii="Calibri" w:hAnsi="Calibri"/>
                <w:sz w:val="18"/>
              </w:rPr>
              <w:t>£1,621</w:t>
            </w:r>
          </w:p>
        </w:tc>
        <w:tc>
          <w:tcPr>
            <w:tcW w:w="1142" w:type="dxa"/>
          </w:tcPr>
          <w:p w:rsidR="006A18FD" w:rsidRDefault="002D29FC">
            <w:pPr>
              <w:spacing w:before="121"/>
              <w:ind w:right="98"/>
              <w:jc w:val="right"/>
              <w:rPr>
                <w:rFonts w:ascii="Calibri" w:hAnsi="Calibri"/>
                <w:sz w:val="18"/>
              </w:rPr>
            </w:pPr>
            <w:r>
              <w:rPr>
                <w:rFonts w:ascii="Calibri" w:hAnsi="Calibri"/>
                <w:sz w:val="18"/>
              </w:rPr>
              <w:t>£0-£4,619</w:t>
            </w:r>
          </w:p>
        </w:tc>
        <w:tc>
          <w:tcPr>
            <w:tcW w:w="826" w:type="dxa"/>
          </w:tcPr>
          <w:p w:rsidR="006A18FD" w:rsidRDefault="002D29FC">
            <w:pPr>
              <w:spacing w:before="121"/>
              <w:ind w:right="98"/>
              <w:jc w:val="right"/>
              <w:rPr>
                <w:rFonts w:ascii="Calibri" w:hAnsi="Calibri"/>
                <w:sz w:val="18"/>
              </w:rPr>
            </w:pPr>
            <w:r>
              <w:rPr>
                <w:rFonts w:ascii="Calibri" w:hAnsi="Calibri"/>
                <w:sz w:val="18"/>
              </w:rPr>
              <w:t>£1,749</w:t>
            </w:r>
          </w:p>
        </w:tc>
        <w:tc>
          <w:tcPr>
            <w:tcW w:w="792" w:type="dxa"/>
          </w:tcPr>
          <w:p w:rsidR="006A18FD" w:rsidRDefault="002D29FC">
            <w:pPr>
              <w:spacing w:before="121"/>
              <w:ind w:right="98"/>
              <w:jc w:val="right"/>
              <w:rPr>
                <w:rFonts w:ascii="Calibri" w:hAnsi="Calibri"/>
                <w:sz w:val="18"/>
              </w:rPr>
            </w:pPr>
            <w:r>
              <w:rPr>
                <w:rFonts w:ascii="Calibri" w:hAnsi="Calibri"/>
                <w:sz w:val="18"/>
              </w:rPr>
              <w:t>£1,540</w:t>
            </w:r>
          </w:p>
        </w:tc>
        <w:tc>
          <w:tcPr>
            <w:tcW w:w="1046" w:type="dxa"/>
          </w:tcPr>
          <w:p w:rsidR="006A18FD" w:rsidRDefault="002D29FC">
            <w:pPr>
              <w:spacing w:before="121"/>
              <w:ind w:right="101"/>
              <w:jc w:val="right"/>
              <w:rPr>
                <w:rFonts w:ascii="Calibri" w:hAnsi="Calibri"/>
                <w:sz w:val="18"/>
              </w:rPr>
            </w:pPr>
            <w:r>
              <w:rPr>
                <w:rFonts w:ascii="Calibri" w:hAnsi="Calibri"/>
                <w:sz w:val="18"/>
              </w:rPr>
              <w:t>£0-£4,564</w:t>
            </w:r>
          </w:p>
        </w:tc>
        <w:tc>
          <w:tcPr>
            <w:tcW w:w="720" w:type="dxa"/>
          </w:tcPr>
          <w:p w:rsidR="006A18FD" w:rsidRDefault="002D29FC">
            <w:pPr>
              <w:spacing w:before="121"/>
              <w:ind w:left="107"/>
              <w:rPr>
                <w:rFonts w:ascii="Calibri" w:hAnsi="Calibri"/>
                <w:sz w:val="18"/>
              </w:rPr>
            </w:pPr>
            <w:r>
              <w:rPr>
                <w:rFonts w:ascii="Calibri" w:hAnsi="Calibri"/>
                <w:sz w:val="18"/>
              </w:rPr>
              <w:t>£1,857</w:t>
            </w:r>
          </w:p>
        </w:tc>
        <w:tc>
          <w:tcPr>
            <w:tcW w:w="845" w:type="dxa"/>
          </w:tcPr>
          <w:p w:rsidR="006A18FD" w:rsidRDefault="002D29FC">
            <w:pPr>
              <w:spacing w:before="121"/>
              <w:ind w:right="98"/>
              <w:jc w:val="right"/>
              <w:rPr>
                <w:rFonts w:ascii="Calibri" w:hAnsi="Calibri"/>
                <w:sz w:val="18"/>
              </w:rPr>
            </w:pPr>
            <w:r>
              <w:rPr>
                <w:rFonts w:ascii="Calibri" w:hAnsi="Calibri"/>
                <w:sz w:val="18"/>
              </w:rPr>
              <w:t>£1,539</w:t>
            </w:r>
          </w:p>
        </w:tc>
        <w:tc>
          <w:tcPr>
            <w:tcW w:w="1634" w:type="dxa"/>
          </w:tcPr>
          <w:p w:rsidR="006A18FD" w:rsidRDefault="002D29FC">
            <w:pPr>
              <w:spacing w:before="121"/>
              <w:ind w:right="101"/>
              <w:jc w:val="right"/>
              <w:rPr>
                <w:rFonts w:ascii="Calibri" w:hAnsi="Calibri"/>
                <w:sz w:val="18"/>
              </w:rPr>
            </w:pPr>
            <w:r>
              <w:rPr>
                <w:rFonts w:ascii="Calibri" w:hAnsi="Calibri"/>
                <w:sz w:val="18"/>
              </w:rPr>
              <w:t>£0-£4,619</w:t>
            </w:r>
          </w:p>
        </w:tc>
      </w:tr>
      <w:tr w:rsidR="006A18FD">
        <w:trPr>
          <w:trHeight w:val="660"/>
        </w:trPr>
        <w:tc>
          <w:tcPr>
            <w:tcW w:w="1424" w:type="dxa"/>
          </w:tcPr>
          <w:p w:rsidR="006A18FD" w:rsidRDefault="002D29FC">
            <w:pPr>
              <w:spacing w:before="119"/>
              <w:ind w:left="105" w:right="292"/>
              <w:rPr>
                <w:rFonts w:ascii="Calibri"/>
                <w:b/>
                <w:sz w:val="18"/>
              </w:rPr>
            </w:pPr>
            <w:r>
              <w:rPr>
                <w:rFonts w:ascii="Calibri"/>
                <w:b/>
                <w:sz w:val="18"/>
              </w:rPr>
              <w:t>Total societal cost</w:t>
            </w:r>
          </w:p>
        </w:tc>
        <w:tc>
          <w:tcPr>
            <w:tcW w:w="840" w:type="dxa"/>
          </w:tcPr>
          <w:p w:rsidR="006A18FD" w:rsidRDefault="002D29FC">
            <w:pPr>
              <w:spacing w:before="121"/>
              <w:ind w:right="100"/>
              <w:jc w:val="right"/>
              <w:rPr>
                <w:rFonts w:ascii="Calibri" w:hAnsi="Calibri"/>
                <w:b/>
                <w:sz w:val="18"/>
              </w:rPr>
            </w:pPr>
            <w:r>
              <w:rPr>
                <w:rFonts w:ascii="Calibri" w:hAnsi="Calibri"/>
                <w:b/>
                <w:sz w:val="18"/>
              </w:rPr>
              <w:t>£1,850</w:t>
            </w:r>
          </w:p>
        </w:tc>
        <w:tc>
          <w:tcPr>
            <w:tcW w:w="793" w:type="dxa"/>
          </w:tcPr>
          <w:p w:rsidR="006A18FD" w:rsidRDefault="002D29FC">
            <w:pPr>
              <w:spacing w:before="121"/>
              <w:ind w:right="101"/>
              <w:jc w:val="right"/>
              <w:rPr>
                <w:rFonts w:ascii="Calibri" w:hAnsi="Calibri"/>
                <w:b/>
                <w:sz w:val="18"/>
              </w:rPr>
            </w:pPr>
            <w:r>
              <w:rPr>
                <w:rFonts w:ascii="Calibri" w:hAnsi="Calibri"/>
                <w:b/>
                <w:sz w:val="18"/>
              </w:rPr>
              <w:t>£1,769</w:t>
            </w:r>
          </w:p>
        </w:tc>
        <w:tc>
          <w:tcPr>
            <w:tcW w:w="1142" w:type="dxa"/>
          </w:tcPr>
          <w:p w:rsidR="006A18FD" w:rsidRDefault="002D29FC">
            <w:pPr>
              <w:spacing w:before="121"/>
              <w:ind w:right="98"/>
              <w:jc w:val="right"/>
              <w:rPr>
                <w:rFonts w:ascii="Calibri" w:hAnsi="Calibri"/>
                <w:b/>
                <w:sz w:val="18"/>
              </w:rPr>
            </w:pPr>
            <w:r>
              <w:rPr>
                <w:rFonts w:ascii="Calibri" w:hAnsi="Calibri"/>
                <w:b/>
                <w:sz w:val="18"/>
              </w:rPr>
              <w:t>£0-£14,877</w:t>
            </w:r>
          </w:p>
        </w:tc>
        <w:tc>
          <w:tcPr>
            <w:tcW w:w="826" w:type="dxa"/>
          </w:tcPr>
          <w:p w:rsidR="006A18FD" w:rsidRDefault="002D29FC">
            <w:pPr>
              <w:spacing w:before="121"/>
              <w:ind w:right="98"/>
              <w:jc w:val="right"/>
              <w:rPr>
                <w:rFonts w:ascii="Calibri" w:hAnsi="Calibri"/>
                <w:b/>
                <w:sz w:val="18"/>
              </w:rPr>
            </w:pPr>
            <w:r>
              <w:rPr>
                <w:rFonts w:ascii="Calibri" w:hAnsi="Calibri"/>
                <w:b/>
                <w:sz w:val="18"/>
              </w:rPr>
              <w:t>£1,874</w:t>
            </w:r>
          </w:p>
        </w:tc>
        <w:tc>
          <w:tcPr>
            <w:tcW w:w="792" w:type="dxa"/>
          </w:tcPr>
          <w:p w:rsidR="006A18FD" w:rsidRDefault="002D29FC">
            <w:pPr>
              <w:spacing w:before="121"/>
              <w:ind w:right="98"/>
              <w:jc w:val="right"/>
              <w:rPr>
                <w:rFonts w:ascii="Calibri" w:hAnsi="Calibri"/>
                <w:b/>
                <w:sz w:val="18"/>
              </w:rPr>
            </w:pPr>
            <w:r>
              <w:rPr>
                <w:rFonts w:ascii="Calibri" w:hAnsi="Calibri"/>
                <w:b/>
                <w:sz w:val="18"/>
              </w:rPr>
              <w:t>£1,539</w:t>
            </w:r>
          </w:p>
        </w:tc>
        <w:tc>
          <w:tcPr>
            <w:tcW w:w="1046" w:type="dxa"/>
          </w:tcPr>
          <w:p w:rsidR="006A18FD" w:rsidRDefault="002D29FC">
            <w:pPr>
              <w:spacing w:before="121"/>
              <w:ind w:right="100"/>
              <w:jc w:val="right"/>
              <w:rPr>
                <w:rFonts w:ascii="Calibri" w:hAnsi="Calibri"/>
                <w:b/>
                <w:sz w:val="18"/>
              </w:rPr>
            </w:pPr>
            <w:r>
              <w:rPr>
                <w:rFonts w:ascii="Calibri" w:hAnsi="Calibri"/>
                <w:b/>
                <w:sz w:val="18"/>
              </w:rPr>
              <w:t>£0-£9,937</w:t>
            </w:r>
          </w:p>
        </w:tc>
        <w:tc>
          <w:tcPr>
            <w:tcW w:w="720" w:type="dxa"/>
          </w:tcPr>
          <w:p w:rsidR="006A18FD" w:rsidRDefault="002D29FC">
            <w:pPr>
              <w:spacing w:before="121"/>
              <w:ind w:left="107"/>
              <w:rPr>
                <w:rFonts w:ascii="Calibri" w:hAnsi="Calibri"/>
                <w:b/>
                <w:sz w:val="18"/>
              </w:rPr>
            </w:pPr>
            <w:r>
              <w:rPr>
                <w:rFonts w:ascii="Calibri" w:hAnsi="Calibri"/>
                <w:b/>
                <w:sz w:val="18"/>
              </w:rPr>
              <w:t>£2,087</w:t>
            </w:r>
          </w:p>
        </w:tc>
        <w:tc>
          <w:tcPr>
            <w:tcW w:w="845" w:type="dxa"/>
          </w:tcPr>
          <w:p w:rsidR="006A18FD" w:rsidRDefault="002D29FC">
            <w:pPr>
              <w:spacing w:before="121"/>
              <w:ind w:right="98"/>
              <w:jc w:val="right"/>
              <w:rPr>
                <w:rFonts w:ascii="Calibri" w:hAnsi="Calibri"/>
                <w:b/>
                <w:sz w:val="18"/>
              </w:rPr>
            </w:pPr>
            <w:r>
              <w:rPr>
                <w:rFonts w:ascii="Calibri" w:hAnsi="Calibri"/>
                <w:b/>
                <w:sz w:val="18"/>
              </w:rPr>
              <w:t>£1,652</w:t>
            </w:r>
          </w:p>
        </w:tc>
        <w:tc>
          <w:tcPr>
            <w:tcW w:w="1634" w:type="dxa"/>
          </w:tcPr>
          <w:p w:rsidR="006A18FD" w:rsidRDefault="002D29FC">
            <w:pPr>
              <w:spacing w:before="121"/>
              <w:ind w:right="100"/>
              <w:jc w:val="right"/>
              <w:rPr>
                <w:rFonts w:ascii="Calibri" w:hAnsi="Calibri"/>
                <w:b/>
                <w:sz w:val="18"/>
              </w:rPr>
            </w:pPr>
            <w:r>
              <w:rPr>
                <w:rFonts w:ascii="Calibri" w:hAnsi="Calibri"/>
                <w:b/>
                <w:sz w:val="18"/>
              </w:rPr>
              <w:t>£0-£12,093</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41"/>
        <w:ind w:left="436" w:right="611" w:hanging="284"/>
        <w:rPr>
          <w:rFonts w:ascii="Calibri"/>
          <w:sz w:val="16"/>
        </w:rPr>
      </w:pPr>
      <w:r>
        <w:rPr>
          <w:rFonts w:ascii="Calibri"/>
          <w:position w:val="5"/>
          <w:sz w:val="10"/>
        </w:rPr>
        <w:t xml:space="preserve">1 </w:t>
      </w:r>
      <w:r>
        <w:rPr>
          <w:rFonts w:ascii="Calibri"/>
          <w:sz w:val="16"/>
        </w:rPr>
        <w:t xml:space="preserve">Wittenberg, R., Knapp, M., Hu, B., Comas-Herrera, A., King, D., Rehill, A., Shi, C., Banerjee, S., Patel, A., Jagger, C. &amp; Kingston, A. (2018) The costs of dementia in England, Research Article, </w:t>
      </w:r>
      <w:r>
        <w:rPr>
          <w:rFonts w:ascii="Calibri"/>
          <w:i/>
          <w:sz w:val="16"/>
        </w:rPr>
        <w:t>Geriatric Psychiatry</w:t>
      </w:r>
      <w:r>
        <w:rPr>
          <w:rFonts w:ascii="Calibri"/>
          <w:sz w:val="16"/>
        </w:rPr>
        <w:t>, DOI: 10.1002/gps.5113.</w:t>
      </w:r>
    </w:p>
    <w:p w:rsidR="006A18FD" w:rsidRDefault="002D29FC">
      <w:pPr>
        <w:ind w:left="436" w:right="279" w:hanging="284"/>
        <w:rPr>
          <w:rFonts w:ascii="Calibri"/>
          <w:sz w:val="16"/>
        </w:rPr>
      </w:pPr>
      <w:r>
        <w:rPr>
          <w:rFonts w:ascii="Calibri"/>
          <w:position w:val="5"/>
          <w:sz w:val="10"/>
        </w:rPr>
        <w:t xml:space="preserve">2 </w:t>
      </w:r>
      <w:r>
        <w:rPr>
          <w:rFonts w:ascii="Calibri"/>
          <w:sz w:val="16"/>
        </w:rPr>
        <w:t xml:space="preserve">Pennington, M., Gomes, M., Chrysanthaki, T., Hendriks, J., Wittenberg R., Knapp,M., Black, N. &amp; Smith, S. (2016) The cost of diagnosis and early support in patients with cognitive decline, </w:t>
      </w:r>
      <w:r>
        <w:rPr>
          <w:rFonts w:ascii="Calibri"/>
          <w:i/>
          <w:sz w:val="16"/>
        </w:rPr>
        <w:t>Geriatric Psychiatry</w:t>
      </w:r>
      <w:r>
        <w:rPr>
          <w:rFonts w:ascii="Calibri"/>
          <w:sz w:val="16"/>
        </w:rPr>
        <w:t xml:space="preserve">, </w:t>
      </w:r>
      <w:hyperlink r:id="rId302">
        <w:r>
          <w:rPr>
            <w:rFonts w:ascii="Calibri"/>
            <w:sz w:val="16"/>
          </w:rPr>
          <w:t>https://doi.org/10.1002/gps.4641.</w:t>
        </w:r>
      </w:hyperlink>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303"/>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6"/>
        <w:rPr>
          <w:rFonts w:ascii="Times New Roman"/>
          <w:sz w:val="23"/>
        </w:rPr>
      </w:pPr>
    </w:p>
    <w:p w:rsidR="006A18FD" w:rsidRDefault="002D29FC">
      <w:pPr>
        <w:spacing w:before="100"/>
        <w:ind w:left="118"/>
        <w:rPr>
          <w:rFonts w:ascii="Cambria"/>
          <w:b/>
          <w:sz w:val="48"/>
        </w:rPr>
      </w:pPr>
      <w:r>
        <w:rPr>
          <w:rFonts w:ascii="Cambria"/>
          <w:b/>
          <w:sz w:val="48"/>
        </w:rPr>
        <w:t>II. COMMUNITY-BASED HEALTH CARE STAFF</w:t>
      </w:r>
    </w:p>
    <w:p w:rsidR="006A18FD" w:rsidRDefault="006A18FD">
      <w:pPr>
        <w:rPr>
          <w:rFonts w:ascii="Cambria"/>
          <w:sz w:val="48"/>
        </w:rPr>
        <w:sectPr w:rsidR="006A18FD">
          <w:headerReference w:type="default" r:id="rId304"/>
          <w:pgSz w:w="11910" w:h="16840"/>
          <w:pgMar w:top="1580" w:right="780" w:bottom="280" w:left="11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305"/>
          <w:pgSz w:w="11910" w:h="16840"/>
          <w:pgMar w:top="1580" w:right="1680" w:bottom="280" w:left="1680" w:header="0" w:footer="0" w:gutter="0"/>
          <w:cols w:space="720"/>
        </w:sectPr>
      </w:pPr>
    </w:p>
    <w:p w:rsidR="006A18FD" w:rsidRDefault="002D29FC">
      <w:pPr>
        <w:tabs>
          <w:tab w:val="right" w:pos="10067"/>
        </w:tabs>
        <w:spacing w:before="29"/>
        <w:ind w:left="140"/>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111</w:t>
      </w:r>
    </w:p>
    <w:p w:rsidR="006A18FD" w:rsidRDefault="00E60AD2" w:rsidP="002E1E01">
      <w:pPr>
        <w:pStyle w:val="Heading1"/>
      </w:pPr>
      <w:r>
        <w:rPr>
          <w:noProof/>
          <w:lang w:val="en-GB" w:eastAsia="en-GB"/>
        </w:rPr>
        <mc:AlternateContent>
          <mc:Choice Requires="wps">
            <w:drawing>
              <wp:anchor distT="0" distB="0" distL="114300" distR="114300" simplePos="0" relativeHeight="251596800" behindDoc="0" locked="0" layoutInCell="1" allowOverlap="1">
                <wp:simplePos x="0" y="0"/>
                <wp:positionH relativeFrom="page">
                  <wp:posOffset>705485</wp:posOffset>
                </wp:positionH>
                <wp:positionV relativeFrom="paragraph">
                  <wp:posOffset>17145</wp:posOffset>
                </wp:positionV>
                <wp:extent cx="6417310" cy="0"/>
                <wp:effectExtent l="10160" t="7620" r="11430" b="11430"/>
                <wp:wrapNone/>
                <wp:docPr id="2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73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887EF" id="Line 89"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5pt,1.35pt" to="56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Z6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" strokeweight=".48pt">
                <w10:wrap anchorx="page"/>
              </v:line>
            </w:pict>
          </mc:Fallback>
        </mc:AlternateContent>
      </w:r>
      <w:r w:rsidR="002E1E01">
        <w:t xml:space="preserve">9 </w:t>
      </w:r>
      <w:r w:rsidR="002D29FC">
        <w:t>Scientific and professional</w:t>
      </w:r>
      <w:r w:rsidR="002D29FC">
        <w:rPr>
          <w:spacing w:val="-11"/>
        </w:rPr>
        <w:t xml:space="preserve"> </w:t>
      </w:r>
      <w:r w:rsidR="002D29FC">
        <w:t>staff</w:t>
      </w:r>
    </w:p>
    <w:p w:rsidR="006A18FD" w:rsidRDefault="002D29FC">
      <w:pPr>
        <w:spacing w:before="183" w:line="276" w:lineRule="auto"/>
        <w:ind w:left="140" w:right="270"/>
        <w:rPr>
          <w:rFonts w:ascii="Calibri"/>
          <w:sz w:val="20"/>
        </w:rPr>
      </w:pPr>
      <w:r>
        <w:rPr>
          <w:rFonts w:ascii="Calibri"/>
          <w:sz w:val="20"/>
        </w:rPr>
        <w:t xml:space="preserve">The table overleaf provides the unit costs for community-based allied health professionals (bands 4-8) and replaces the individual schema previously found in this section. Each Agenda for Change (AfC) band can be matched to professionals using the AfC generic profiles: </w:t>
      </w:r>
      <w:hyperlink r:id="rId306">
        <w:r>
          <w:rPr>
            <w:rFonts w:ascii="Calibri"/>
            <w:sz w:val="20"/>
            <w:u w:val="single"/>
          </w:rPr>
          <w:t>http://www.nhsemployers.org/your-workforce/pay-and-reward/pay/job-</w:t>
        </w:r>
      </w:hyperlink>
      <w:r>
        <w:rPr>
          <w:rFonts w:ascii="Calibri"/>
          <w:sz w:val="20"/>
        </w:rPr>
        <w:t xml:space="preserve"> </w:t>
      </w:r>
      <w:hyperlink r:id="rId307">
        <w:r>
          <w:rPr>
            <w:rFonts w:ascii="Calibri"/>
            <w:sz w:val="20"/>
            <w:u w:val="single"/>
          </w:rPr>
          <w:t>evaluation/national-job-profiles</w:t>
        </w:r>
        <w:r>
          <w:rPr>
            <w:rFonts w:ascii="Calibri"/>
            <w:sz w:val="20"/>
          </w:rPr>
          <w:t xml:space="preserve">. </w:t>
        </w:r>
      </w:hyperlink>
      <w:r>
        <w:rPr>
          <w:rFonts w:ascii="Calibri"/>
          <w:sz w:val="20"/>
        </w:rPr>
        <w:t>Examples of roles by band are shown below and in more detail by job type in Chapter 18. Reference should also be made to the explanatory notes when interpreting the unit costs.</w:t>
      </w:r>
    </w:p>
    <w:p w:rsidR="006A18FD" w:rsidRDefault="006A18FD">
      <w:pPr>
        <w:rPr>
          <w:rFonts w:ascii="Calibri"/>
          <w:sz w:val="20"/>
        </w:rPr>
      </w:pPr>
    </w:p>
    <w:p w:rsidR="006A18FD" w:rsidRDefault="002E1E01">
      <w:pPr>
        <w:spacing w:before="6"/>
        <w:rPr>
          <w:rFonts w:ascii="Calibri"/>
        </w:rPr>
      </w:pPr>
      <w:r>
        <w:rPr>
          <w:rFonts w:ascii="Calibri"/>
        </w:rPr>
        <w:t>Table 1</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939"/>
      </w:tblGrid>
      <w:tr w:rsidR="006A18FD" w:rsidTr="00E2663F">
        <w:trPr>
          <w:trHeight w:val="560"/>
          <w:tblHeader/>
        </w:trPr>
        <w:tc>
          <w:tcPr>
            <w:tcW w:w="9636" w:type="dxa"/>
            <w:gridSpan w:val="2"/>
          </w:tcPr>
          <w:p w:rsidR="006A18FD" w:rsidRDefault="002D29FC">
            <w:pPr>
              <w:spacing w:before="162"/>
              <w:ind w:left="4063" w:right="4064"/>
              <w:jc w:val="center"/>
              <w:rPr>
                <w:rFonts w:ascii="Calibri"/>
                <w:b/>
                <w:sz w:val="20"/>
              </w:rPr>
            </w:pPr>
            <w:r>
              <w:rPr>
                <w:rFonts w:ascii="Calibri"/>
                <w:b/>
                <w:sz w:val="20"/>
              </w:rPr>
              <w:t>Job titles by band</w:t>
            </w:r>
          </w:p>
        </w:tc>
      </w:tr>
      <w:tr w:rsidR="006A18FD">
        <w:trPr>
          <w:trHeight w:val="480"/>
        </w:trPr>
        <w:tc>
          <w:tcPr>
            <w:tcW w:w="1697" w:type="dxa"/>
          </w:tcPr>
          <w:p w:rsidR="006A18FD" w:rsidRDefault="002D29FC">
            <w:pPr>
              <w:spacing w:before="123"/>
              <w:ind w:left="103"/>
              <w:rPr>
                <w:rFonts w:ascii="Calibri"/>
                <w:b/>
                <w:sz w:val="20"/>
              </w:rPr>
            </w:pPr>
            <w:r>
              <w:rPr>
                <w:rFonts w:ascii="Calibri"/>
                <w:b/>
                <w:sz w:val="20"/>
              </w:rPr>
              <w:t>Band 2</w:t>
            </w:r>
          </w:p>
        </w:tc>
        <w:tc>
          <w:tcPr>
            <w:tcW w:w="7938" w:type="dxa"/>
          </w:tcPr>
          <w:p w:rsidR="006A18FD" w:rsidRDefault="002D29FC">
            <w:pPr>
              <w:spacing w:before="123"/>
              <w:ind w:left="102"/>
              <w:rPr>
                <w:rFonts w:ascii="Calibri"/>
                <w:sz w:val="20"/>
              </w:rPr>
            </w:pPr>
            <w:r>
              <w:rPr>
                <w:rFonts w:ascii="Calibri"/>
                <w:sz w:val="20"/>
              </w:rPr>
              <w:t>Clinical support worker (Physiotherapy, Occupational therapy, Speech and language therapy.)</w:t>
            </w:r>
          </w:p>
        </w:tc>
      </w:tr>
      <w:tr w:rsidR="006A18FD">
        <w:trPr>
          <w:trHeight w:val="720"/>
        </w:trPr>
        <w:tc>
          <w:tcPr>
            <w:tcW w:w="1697" w:type="dxa"/>
          </w:tcPr>
          <w:p w:rsidR="006A18FD" w:rsidRDefault="002D29FC">
            <w:pPr>
              <w:spacing w:before="122"/>
              <w:ind w:left="103"/>
              <w:rPr>
                <w:rFonts w:ascii="Calibri"/>
                <w:b/>
                <w:sz w:val="20"/>
              </w:rPr>
            </w:pPr>
            <w:r>
              <w:rPr>
                <w:rFonts w:ascii="Calibri"/>
                <w:b/>
                <w:sz w:val="20"/>
              </w:rPr>
              <w:t>Band 3</w:t>
            </w:r>
          </w:p>
        </w:tc>
        <w:tc>
          <w:tcPr>
            <w:tcW w:w="7938" w:type="dxa"/>
          </w:tcPr>
          <w:p w:rsidR="006A18FD" w:rsidRDefault="002D29FC">
            <w:pPr>
              <w:spacing w:before="122"/>
              <w:ind w:left="102" w:right="740"/>
              <w:rPr>
                <w:rFonts w:ascii="Calibri"/>
                <w:sz w:val="20"/>
              </w:rPr>
            </w:pPr>
            <w:r>
              <w:rPr>
                <w:rFonts w:ascii="Calibri"/>
                <w:sz w:val="20"/>
              </w:rPr>
              <w:t>Clinical support worker, higher level (Physiotherapy, Occupational therapy, Speech and language therapy).</w:t>
            </w:r>
          </w:p>
        </w:tc>
      </w:tr>
      <w:tr w:rsidR="006A18FD">
        <w:trPr>
          <w:trHeight w:val="960"/>
        </w:trPr>
        <w:tc>
          <w:tcPr>
            <w:tcW w:w="1697" w:type="dxa"/>
          </w:tcPr>
          <w:p w:rsidR="006A18FD" w:rsidRDefault="002D29FC">
            <w:pPr>
              <w:spacing w:before="121"/>
              <w:ind w:left="103"/>
              <w:rPr>
                <w:rFonts w:ascii="Calibri"/>
                <w:b/>
                <w:sz w:val="20"/>
              </w:rPr>
            </w:pPr>
            <w:r>
              <w:rPr>
                <w:rFonts w:ascii="Calibri"/>
                <w:b/>
                <w:sz w:val="20"/>
              </w:rPr>
              <w:t>Band 4</w:t>
            </w:r>
          </w:p>
        </w:tc>
        <w:tc>
          <w:tcPr>
            <w:tcW w:w="7938" w:type="dxa"/>
          </w:tcPr>
          <w:p w:rsidR="006A18FD" w:rsidRDefault="002D29FC">
            <w:pPr>
              <w:spacing w:before="121"/>
              <w:ind w:left="102" w:right="900"/>
              <w:rPr>
                <w:rFonts w:ascii="Calibri"/>
                <w:sz w:val="20"/>
              </w:rPr>
            </w:pPr>
            <w:r>
              <w:rPr>
                <w:rFonts w:ascii="Calibri"/>
                <w:sz w:val="20"/>
              </w:rPr>
              <w:t>Occupational therapy technician, Speech and language therapy assistant/associate practitioner, Podiatry technician, Clinical psychology assistant practitioner, Pharmacy technician.</w:t>
            </w:r>
          </w:p>
        </w:tc>
      </w:tr>
      <w:tr w:rsidR="006A18FD">
        <w:trPr>
          <w:trHeight w:val="720"/>
        </w:trPr>
        <w:tc>
          <w:tcPr>
            <w:tcW w:w="1697" w:type="dxa"/>
          </w:tcPr>
          <w:p w:rsidR="006A18FD" w:rsidRDefault="002D29FC">
            <w:pPr>
              <w:spacing w:before="121"/>
              <w:ind w:left="103"/>
              <w:rPr>
                <w:rFonts w:ascii="Calibri"/>
                <w:b/>
                <w:sz w:val="20"/>
              </w:rPr>
            </w:pPr>
            <w:r>
              <w:rPr>
                <w:rFonts w:ascii="Calibri"/>
                <w:b/>
                <w:sz w:val="20"/>
              </w:rPr>
              <w:t>Band 5</w:t>
            </w:r>
          </w:p>
        </w:tc>
        <w:tc>
          <w:tcPr>
            <w:tcW w:w="7938" w:type="dxa"/>
          </w:tcPr>
          <w:p w:rsidR="006A18FD" w:rsidRDefault="002D29FC">
            <w:pPr>
              <w:spacing w:before="121"/>
              <w:ind w:left="102" w:right="457"/>
              <w:rPr>
                <w:rFonts w:ascii="Calibri"/>
                <w:sz w:val="20"/>
              </w:rPr>
            </w:pPr>
            <w:r>
              <w:rPr>
                <w:rFonts w:ascii="Calibri"/>
                <w:sz w:val="20"/>
              </w:rPr>
              <w:t>Physiotherapist, Occupational therapist, Speech and language therapist, Podiatrist, Clinical psychology assistant practitioner (higher level), Counsellor (entry level).</w:t>
            </w:r>
          </w:p>
        </w:tc>
      </w:tr>
      <w:tr w:rsidR="006A18FD">
        <w:trPr>
          <w:trHeight w:val="960"/>
        </w:trPr>
        <w:tc>
          <w:tcPr>
            <w:tcW w:w="1697" w:type="dxa"/>
          </w:tcPr>
          <w:p w:rsidR="006A18FD" w:rsidRDefault="002D29FC">
            <w:pPr>
              <w:spacing w:before="121"/>
              <w:ind w:left="103"/>
              <w:rPr>
                <w:rFonts w:ascii="Calibri"/>
                <w:b/>
                <w:sz w:val="20"/>
              </w:rPr>
            </w:pPr>
            <w:r>
              <w:rPr>
                <w:rFonts w:ascii="Calibri"/>
                <w:b/>
                <w:sz w:val="20"/>
              </w:rPr>
              <w:t>Band 6</w:t>
            </w:r>
          </w:p>
        </w:tc>
        <w:tc>
          <w:tcPr>
            <w:tcW w:w="7938" w:type="dxa"/>
          </w:tcPr>
          <w:p w:rsidR="006A18FD" w:rsidRDefault="002D29FC">
            <w:pPr>
              <w:spacing w:before="121"/>
              <w:ind w:left="102" w:right="424"/>
              <w:rPr>
                <w:rFonts w:ascii="Calibri"/>
                <w:sz w:val="20"/>
              </w:rPr>
            </w:pPr>
            <w:r>
              <w:rPr>
                <w:rFonts w:ascii="Calibri"/>
                <w:sz w:val="20"/>
              </w:rPr>
              <w:t>Physiotherapist specialist, Occupational therapist specialist, Speech and language therapist specialist, Podiatrist specialist, Clinical psychology trainee, Counsellor, Pharmacist, Arts therapist (entry level).</w:t>
            </w:r>
          </w:p>
        </w:tc>
      </w:tr>
      <w:tr w:rsidR="006A18FD">
        <w:trPr>
          <w:trHeight w:val="1200"/>
        </w:trPr>
        <w:tc>
          <w:tcPr>
            <w:tcW w:w="1697" w:type="dxa"/>
          </w:tcPr>
          <w:p w:rsidR="006A18FD" w:rsidRDefault="002D29FC">
            <w:pPr>
              <w:spacing w:before="121"/>
              <w:ind w:left="103"/>
              <w:rPr>
                <w:rFonts w:ascii="Calibri"/>
                <w:b/>
                <w:sz w:val="20"/>
              </w:rPr>
            </w:pPr>
            <w:r>
              <w:rPr>
                <w:rFonts w:ascii="Calibri"/>
                <w:b/>
                <w:sz w:val="20"/>
              </w:rPr>
              <w:t>Band 7</w:t>
            </w:r>
          </w:p>
        </w:tc>
        <w:tc>
          <w:tcPr>
            <w:tcW w:w="7938" w:type="dxa"/>
          </w:tcPr>
          <w:p w:rsidR="006A18FD" w:rsidRDefault="002D29FC">
            <w:pPr>
              <w:spacing w:before="121"/>
              <w:ind w:left="102"/>
              <w:rPr>
                <w:rFonts w:ascii="Calibri"/>
                <w:sz w:val="20"/>
              </w:rPr>
            </w:pPr>
            <w:r>
              <w:rPr>
                <w:rFonts w:ascii="Calibri"/>
                <w:sz w:val="20"/>
              </w:rPr>
              <w:t>Physiotherapist (advanced), Specialist physiotherapist (respiratory problems), Specialist physiotherapist (community), Physiotherapy team manager, Speech and language therapist (advanced), Podiatrist (advanced), Podiatry team manager, Clinical psychologist, Counsellor (specialist), Arts therapist.</w:t>
            </w:r>
          </w:p>
        </w:tc>
      </w:tr>
      <w:tr w:rsidR="006A18FD">
        <w:trPr>
          <w:trHeight w:val="720"/>
        </w:trPr>
        <w:tc>
          <w:tcPr>
            <w:tcW w:w="1697" w:type="dxa"/>
          </w:tcPr>
          <w:p w:rsidR="006A18FD" w:rsidRDefault="002D29FC">
            <w:pPr>
              <w:spacing w:before="121"/>
              <w:ind w:left="103"/>
              <w:rPr>
                <w:rFonts w:ascii="Calibri"/>
                <w:b/>
                <w:sz w:val="20"/>
              </w:rPr>
            </w:pPr>
            <w:r>
              <w:rPr>
                <w:rFonts w:ascii="Calibri"/>
                <w:b/>
                <w:sz w:val="20"/>
              </w:rPr>
              <w:t>Band 8a</w:t>
            </w:r>
          </w:p>
        </w:tc>
        <w:tc>
          <w:tcPr>
            <w:tcW w:w="7938" w:type="dxa"/>
          </w:tcPr>
          <w:p w:rsidR="006A18FD" w:rsidRDefault="002D29FC">
            <w:pPr>
              <w:spacing w:before="121"/>
              <w:ind w:left="102" w:right="510"/>
              <w:rPr>
                <w:rFonts w:ascii="Calibri"/>
                <w:sz w:val="20"/>
              </w:rPr>
            </w:pPr>
            <w:r>
              <w:rPr>
                <w:rFonts w:ascii="Calibri"/>
                <w:sz w:val="20"/>
              </w:rPr>
              <w:t>Physiotherapist principal, Occupational therapist principal, Speech and language therapist principal, Podiatrist principal.</w:t>
            </w:r>
          </w:p>
        </w:tc>
      </w:tr>
      <w:tr w:rsidR="006A18FD">
        <w:trPr>
          <w:trHeight w:val="960"/>
        </w:trPr>
        <w:tc>
          <w:tcPr>
            <w:tcW w:w="1697" w:type="dxa"/>
          </w:tcPr>
          <w:p w:rsidR="006A18FD" w:rsidRDefault="002D29FC">
            <w:pPr>
              <w:spacing w:before="121"/>
              <w:ind w:left="103"/>
              <w:rPr>
                <w:rFonts w:ascii="Calibri"/>
                <w:b/>
                <w:sz w:val="20"/>
              </w:rPr>
            </w:pPr>
            <w:r>
              <w:rPr>
                <w:rFonts w:ascii="Calibri"/>
                <w:b/>
                <w:sz w:val="20"/>
              </w:rPr>
              <w:t>Band 8a-b</w:t>
            </w:r>
          </w:p>
        </w:tc>
        <w:tc>
          <w:tcPr>
            <w:tcW w:w="7938" w:type="dxa"/>
          </w:tcPr>
          <w:p w:rsidR="006A18FD" w:rsidRDefault="002D29FC">
            <w:pPr>
              <w:spacing w:before="121"/>
              <w:ind w:left="102" w:right="269"/>
              <w:rPr>
                <w:rFonts w:ascii="Calibri"/>
                <w:sz w:val="20"/>
              </w:rPr>
            </w:pPr>
            <w:r>
              <w:rPr>
                <w:rFonts w:ascii="Calibri"/>
                <w:sz w:val="20"/>
              </w:rPr>
              <w:t>Physiotherapist consultant, Occupational therapist consultant, Clinical psychologist principal, Speech and language therapist principal, Podiatric consultant (surgery), Arts therapist principal.</w:t>
            </w:r>
          </w:p>
        </w:tc>
      </w:tr>
      <w:tr w:rsidR="006A18FD">
        <w:trPr>
          <w:trHeight w:val="720"/>
        </w:trPr>
        <w:tc>
          <w:tcPr>
            <w:tcW w:w="1697" w:type="dxa"/>
          </w:tcPr>
          <w:p w:rsidR="006A18FD" w:rsidRDefault="002D29FC">
            <w:pPr>
              <w:spacing w:before="121"/>
              <w:ind w:left="103"/>
              <w:rPr>
                <w:rFonts w:ascii="Calibri"/>
                <w:b/>
                <w:sz w:val="20"/>
              </w:rPr>
            </w:pPr>
            <w:r>
              <w:rPr>
                <w:rFonts w:ascii="Calibri"/>
                <w:b/>
                <w:sz w:val="20"/>
              </w:rPr>
              <w:t>Band 8a-c</w:t>
            </w:r>
          </w:p>
        </w:tc>
        <w:tc>
          <w:tcPr>
            <w:tcW w:w="7938" w:type="dxa"/>
          </w:tcPr>
          <w:p w:rsidR="006A18FD" w:rsidRDefault="002D29FC">
            <w:pPr>
              <w:spacing w:before="121"/>
              <w:ind w:left="102" w:right="541"/>
              <w:rPr>
                <w:rFonts w:ascii="Calibri"/>
                <w:sz w:val="20"/>
              </w:rPr>
            </w:pPr>
            <w:r>
              <w:rPr>
                <w:rFonts w:ascii="Calibri"/>
                <w:sz w:val="20"/>
              </w:rPr>
              <w:t>Counsellor professional manager, Counsellor consultant, Consultant speech and language therapist.</w:t>
            </w:r>
          </w:p>
        </w:tc>
      </w:tr>
      <w:tr w:rsidR="006A18FD">
        <w:trPr>
          <w:trHeight w:val="720"/>
        </w:trPr>
        <w:tc>
          <w:tcPr>
            <w:tcW w:w="1697" w:type="dxa"/>
          </w:tcPr>
          <w:p w:rsidR="006A18FD" w:rsidRDefault="002D29FC">
            <w:pPr>
              <w:spacing w:before="121"/>
              <w:ind w:left="103"/>
              <w:rPr>
                <w:rFonts w:ascii="Calibri"/>
                <w:b/>
                <w:sz w:val="20"/>
              </w:rPr>
            </w:pPr>
            <w:r>
              <w:rPr>
                <w:rFonts w:ascii="Calibri"/>
                <w:b/>
                <w:sz w:val="20"/>
              </w:rPr>
              <w:t>Band 8c-d</w:t>
            </w:r>
          </w:p>
        </w:tc>
        <w:tc>
          <w:tcPr>
            <w:tcW w:w="7938" w:type="dxa"/>
          </w:tcPr>
          <w:p w:rsidR="006A18FD" w:rsidRDefault="002D29FC">
            <w:pPr>
              <w:spacing w:before="121"/>
              <w:ind w:left="102" w:right="455"/>
              <w:rPr>
                <w:rFonts w:ascii="Calibri"/>
                <w:sz w:val="20"/>
              </w:rPr>
            </w:pPr>
            <w:r>
              <w:rPr>
                <w:rFonts w:ascii="Calibri"/>
                <w:sz w:val="20"/>
              </w:rPr>
              <w:t>Clinical psychologist consultant, Podiatric consultant (surgery), Head of arts therapies, Arts therapies consultant.</w:t>
            </w:r>
          </w:p>
        </w:tc>
      </w:tr>
      <w:tr w:rsidR="006A18FD">
        <w:trPr>
          <w:trHeight w:val="720"/>
        </w:trPr>
        <w:tc>
          <w:tcPr>
            <w:tcW w:w="1697" w:type="dxa"/>
          </w:tcPr>
          <w:p w:rsidR="006A18FD" w:rsidRDefault="002D29FC">
            <w:pPr>
              <w:spacing w:before="123"/>
              <w:ind w:left="103"/>
              <w:rPr>
                <w:rFonts w:ascii="Calibri"/>
                <w:b/>
                <w:sz w:val="20"/>
              </w:rPr>
            </w:pPr>
            <w:r>
              <w:rPr>
                <w:rFonts w:ascii="Calibri"/>
                <w:b/>
                <w:sz w:val="20"/>
              </w:rPr>
              <w:t>Band 8d-9</w:t>
            </w:r>
          </w:p>
        </w:tc>
        <w:tc>
          <w:tcPr>
            <w:tcW w:w="7938" w:type="dxa"/>
          </w:tcPr>
          <w:p w:rsidR="006A18FD" w:rsidRDefault="002D29FC">
            <w:pPr>
              <w:spacing w:before="121"/>
              <w:ind w:left="102" w:right="480"/>
              <w:rPr>
                <w:rFonts w:ascii="Calibri"/>
                <w:sz w:val="20"/>
              </w:rPr>
            </w:pPr>
            <w:r>
              <w:rPr>
                <w:rFonts w:ascii="Calibri"/>
                <w:sz w:val="20"/>
              </w:rPr>
              <w:t>Clinical psychologist consultant (professional), Lead/head of psychology services, Podiatric consultant (surgery), Head of service.</w:t>
            </w:r>
          </w:p>
        </w:tc>
      </w:tr>
    </w:tbl>
    <w:p w:rsidR="006A18FD" w:rsidRDefault="006A18FD">
      <w:pPr>
        <w:rPr>
          <w:rFonts w:ascii="Calibri"/>
          <w:sz w:val="20"/>
        </w:rPr>
        <w:sectPr w:rsidR="006A18FD">
          <w:headerReference w:type="default" r:id="rId308"/>
          <w:pgSz w:w="11910" w:h="16840"/>
          <w:pgMar w:top="660" w:right="580" w:bottom="280" w:left="100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3660" cy="6350"/>
                <wp:effectExtent l="9525" t="9525" r="5715" b="3175"/>
                <wp:docPr id="23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6350"/>
                          <a:chOff x="0" y="0"/>
                          <a:chExt cx="10116" cy="10"/>
                        </a:xfrm>
                      </wpg:grpSpPr>
                      <wps:wsp>
                        <wps:cNvPr id="231" name="Line 88"/>
                        <wps:cNvCnPr>
                          <a:cxnSpLocks noChangeShapeType="1"/>
                        </wps:cNvCnPr>
                        <wps:spPr bwMode="auto">
                          <a:xfrm>
                            <a:off x="5" y="5"/>
                            <a:ext cx="101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CE8AA" id="Group 87" o:spid="_x0000_s1026" style="width:505.8pt;height:.5pt;mso-position-horizontal-relative:char;mso-position-vertical-relative:line" coordsize="10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">
                <v:line id="Line 88" o:spid="_x0000_s1027" style="position:absolute;visibility:visible;mso-wrap-style:square" from="5,5" to="10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w10:anchorlock/>
              </v:group>
            </w:pict>
          </mc:Fallback>
        </mc:AlternateContent>
      </w:r>
    </w:p>
    <w:p w:rsidR="006A18FD" w:rsidRDefault="002D29FC" w:rsidP="002E1E01">
      <w:pPr>
        <w:pStyle w:val="Heading2"/>
      </w:pPr>
      <w:r>
        <w:t>9.</w:t>
      </w:r>
      <w:r w:rsidR="002E1E01">
        <w:t>1</w:t>
      </w:r>
      <w:r>
        <w:t xml:space="preserve"> Scientific and professional staff</w:t>
      </w:r>
    </w:p>
    <w:p w:rsidR="006A18FD" w:rsidRDefault="002D29FC">
      <w:pPr>
        <w:spacing w:before="181"/>
        <w:ind w:left="140"/>
        <w:rPr>
          <w:rFonts w:ascii="Calibri"/>
          <w:b/>
          <w:sz w:val="18"/>
        </w:rPr>
      </w:pPr>
      <w:r>
        <w:rPr>
          <w:rFonts w:ascii="Calibri"/>
          <w:b/>
          <w:sz w:val="18"/>
        </w:rPr>
        <w:t>A Wages/salary</w:t>
      </w:r>
    </w:p>
    <w:p w:rsidR="006A18FD" w:rsidRDefault="002D29FC">
      <w:pPr>
        <w:spacing w:before="34" w:line="266" w:lineRule="auto"/>
        <w:ind w:left="140" w:right="158"/>
        <w:rPr>
          <w:rFonts w:ascii="Calibri" w:hAnsi="Calibri"/>
          <w:sz w:val="18"/>
        </w:rPr>
      </w:pPr>
      <w:r>
        <w:rPr>
          <w:rFonts w:ascii="Calibri" w:hAnsi="Calibri"/>
          <w:sz w:val="18"/>
        </w:rPr>
        <w:t>Based</w:t>
      </w:r>
      <w:r>
        <w:rPr>
          <w:rFonts w:ascii="Calibri" w:hAnsi="Calibri"/>
          <w:spacing w:val="-3"/>
          <w:sz w:val="18"/>
        </w:rPr>
        <w:t xml:space="preserve"> </w:t>
      </w:r>
      <w:r>
        <w:rPr>
          <w:rFonts w:ascii="Calibri" w:hAnsi="Calibri"/>
          <w:sz w:val="18"/>
        </w:rPr>
        <w:t>on</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mean</w:t>
      </w:r>
      <w:r>
        <w:rPr>
          <w:rFonts w:ascii="Calibri" w:hAnsi="Calibri"/>
          <w:spacing w:val="-3"/>
          <w:sz w:val="18"/>
        </w:rPr>
        <w:t xml:space="preserve"> </w:t>
      </w:r>
      <w:r>
        <w:rPr>
          <w:rFonts w:ascii="Calibri" w:hAnsi="Calibri"/>
          <w:sz w:val="18"/>
        </w:rPr>
        <w:t>full-time</w:t>
      </w:r>
      <w:r>
        <w:rPr>
          <w:rFonts w:ascii="Calibri" w:hAnsi="Calibri"/>
          <w:spacing w:val="-1"/>
          <w:sz w:val="18"/>
        </w:rPr>
        <w:t xml:space="preserve"> </w:t>
      </w:r>
      <w:r>
        <w:rPr>
          <w:rFonts w:ascii="Calibri" w:hAnsi="Calibri"/>
          <w:sz w:val="18"/>
        </w:rPr>
        <w:t>equivalent</w:t>
      </w:r>
      <w:r>
        <w:rPr>
          <w:rFonts w:ascii="Calibri" w:hAnsi="Calibri"/>
          <w:spacing w:val="-2"/>
          <w:sz w:val="18"/>
        </w:rPr>
        <w:t xml:space="preserve"> </w:t>
      </w:r>
      <w:r>
        <w:rPr>
          <w:rFonts w:ascii="Calibri" w:hAnsi="Calibri"/>
          <w:sz w:val="18"/>
        </w:rPr>
        <w:t>basic</w:t>
      </w:r>
      <w:r>
        <w:rPr>
          <w:rFonts w:ascii="Calibri" w:hAnsi="Calibri"/>
          <w:spacing w:val="-2"/>
          <w:sz w:val="18"/>
        </w:rPr>
        <w:t xml:space="preserve"> </w:t>
      </w:r>
      <w:r>
        <w:rPr>
          <w:rFonts w:ascii="Calibri" w:hAnsi="Calibri"/>
          <w:sz w:val="18"/>
        </w:rPr>
        <w:t>salary</w:t>
      </w:r>
      <w:r>
        <w:rPr>
          <w:rFonts w:ascii="Calibri" w:hAnsi="Calibri"/>
          <w:spacing w:val="-2"/>
          <w:sz w:val="18"/>
        </w:rPr>
        <w:t xml:space="preserve"> </w:t>
      </w:r>
      <w:r>
        <w:rPr>
          <w:rFonts w:ascii="Calibri" w:hAnsi="Calibri"/>
          <w:sz w:val="18"/>
        </w:rPr>
        <w:t>for</w:t>
      </w:r>
      <w:r>
        <w:rPr>
          <w:rFonts w:ascii="Calibri" w:hAnsi="Calibri"/>
          <w:spacing w:val="-2"/>
          <w:sz w:val="18"/>
        </w:rPr>
        <w:t xml:space="preserve"> </w:t>
      </w:r>
      <w:r>
        <w:rPr>
          <w:rFonts w:ascii="Calibri" w:hAnsi="Calibri"/>
          <w:sz w:val="18"/>
        </w:rPr>
        <w:t>Agenda</w:t>
      </w:r>
      <w:r>
        <w:rPr>
          <w:rFonts w:ascii="Calibri" w:hAnsi="Calibri"/>
          <w:spacing w:val="-3"/>
          <w:sz w:val="18"/>
        </w:rPr>
        <w:t xml:space="preserve"> </w:t>
      </w:r>
      <w:r>
        <w:rPr>
          <w:rFonts w:ascii="Calibri" w:hAnsi="Calibri"/>
          <w:sz w:val="18"/>
        </w:rPr>
        <w:t>for</w:t>
      </w:r>
      <w:r>
        <w:rPr>
          <w:rFonts w:ascii="Calibri" w:hAnsi="Calibri"/>
          <w:spacing w:val="-1"/>
          <w:sz w:val="18"/>
        </w:rPr>
        <w:t xml:space="preserve"> </w:t>
      </w:r>
      <w:r>
        <w:rPr>
          <w:rFonts w:ascii="Calibri" w:hAnsi="Calibri"/>
          <w:sz w:val="18"/>
        </w:rPr>
        <w:t>Change</w:t>
      </w:r>
      <w:r>
        <w:rPr>
          <w:rFonts w:ascii="Calibri" w:hAnsi="Calibri"/>
          <w:spacing w:val="-3"/>
          <w:sz w:val="18"/>
        </w:rPr>
        <w:t xml:space="preserve"> </w:t>
      </w:r>
      <w:r>
        <w:rPr>
          <w:rFonts w:ascii="Calibri" w:hAnsi="Calibri"/>
          <w:sz w:val="18"/>
        </w:rPr>
        <w:t>(AfC)</w:t>
      </w:r>
      <w:r>
        <w:rPr>
          <w:rFonts w:ascii="Calibri" w:hAnsi="Calibri"/>
          <w:spacing w:val="-2"/>
          <w:sz w:val="18"/>
        </w:rPr>
        <w:t xml:space="preserve"> </w:t>
      </w:r>
      <w:r>
        <w:rPr>
          <w:rFonts w:ascii="Calibri" w:hAnsi="Calibri"/>
          <w:sz w:val="18"/>
        </w:rPr>
        <w:t>bands</w:t>
      </w:r>
      <w:r>
        <w:rPr>
          <w:rFonts w:ascii="Calibri" w:hAnsi="Calibri"/>
          <w:spacing w:val="-3"/>
          <w:sz w:val="18"/>
        </w:rPr>
        <w:t xml:space="preserve"> </w:t>
      </w:r>
      <w:r>
        <w:rPr>
          <w:rFonts w:ascii="Calibri" w:hAnsi="Calibri"/>
          <w:sz w:val="18"/>
        </w:rPr>
        <w:t>4-9</w:t>
      </w:r>
      <w:r>
        <w:rPr>
          <w:rFonts w:ascii="Calibri" w:hAnsi="Calibri"/>
          <w:spacing w:val="-2"/>
          <w:sz w:val="18"/>
        </w:rPr>
        <w:t xml:space="preserve"> </w:t>
      </w:r>
      <w:r>
        <w:rPr>
          <w:rFonts w:ascii="Calibri" w:hAnsi="Calibri"/>
          <w:sz w:val="18"/>
        </w:rPr>
        <w:t>of</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May</w:t>
      </w:r>
      <w:r>
        <w:rPr>
          <w:rFonts w:ascii="Calibri" w:hAnsi="Calibri"/>
          <w:spacing w:val="-2"/>
          <w:sz w:val="18"/>
        </w:rPr>
        <w:t xml:space="preserve"> </w:t>
      </w:r>
      <w:r>
        <w:rPr>
          <w:rFonts w:ascii="Calibri" w:hAnsi="Calibri"/>
          <w:sz w:val="18"/>
        </w:rPr>
        <w:t>2018/April</w:t>
      </w:r>
      <w:r>
        <w:rPr>
          <w:rFonts w:ascii="Calibri" w:hAnsi="Calibri"/>
          <w:spacing w:val="-2"/>
          <w:sz w:val="18"/>
        </w:rPr>
        <w:t xml:space="preserve"> </w:t>
      </w:r>
      <w:r>
        <w:rPr>
          <w:rFonts w:ascii="Calibri" w:hAnsi="Calibri"/>
          <w:sz w:val="18"/>
        </w:rPr>
        <w:t>2019 NHS</w:t>
      </w:r>
      <w:r>
        <w:rPr>
          <w:rFonts w:ascii="Calibri" w:hAnsi="Calibri"/>
          <w:spacing w:val="-4"/>
          <w:sz w:val="18"/>
        </w:rPr>
        <w:t xml:space="preserve"> </w:t>
      </w:r>
      <w:r>
        <w:rPr>
          <w:rFonts w:ascii="Calibri" w:hAnsi="Calibri"/>
          <w:sz w:val="18"/>
        </w:rPr>
        <w:t>staff</w:t>
      </w:r>
      <w:r>
        <w:rPr>
          <w:rFonts w:ascii="Calibri" w:hAnsi="Calibri"/>
          <w:spacing w:val="-2"/>
          <w:sz w:val="18"/>
        </w:rPr>
        <w:t xml:space="preserve"> </w:t>
      </w:r>
      <w:r>
        <w:rPr>
          <w:rFonts w:ascii="Calibri" w:hAnsi="Calibri"/>
          <w:sz w:val="18"/>
        </w:rPr>
        <w:t>earnings</w:t>
      </w:r>
      <w:r>
        <w:rPr>
          <w:rFonts w:ascii="Calibri" w:hAnsi="Calibri"/>
          <w:spacing w:val="-1"/>
          <w:sz w:val="18"/>
        </w:rPr>
        <w:t xml:space="preserve"> </w:t>
      </w:r>
      <w:r>
        <w:rPr>
          <w:rFonts w:ascii="Calibri" w:hAnsi="Calibri"/>
          <w:sz w:val="18"/>
        </w:rPr>
        <w:t>estimates for allied health professionals.</w:t>
      </w:r>
      <w:r>
        <w:rPr>
          <w:rFonts w:ascii="Calibri" w:hAnsi="Calibri"/>
          <w:position w:val="5"/>
          <w:sz w:val="12"/>
        </w:rPr>
        <w:t xml:space="preserve">1 </w:t>
      </w:r>
      <w:r>
        <w:rPr>
          <w:rFonts w:ascii="Calibri" w:hAnsi="Calibri"/>
          <w:sz w:val="18"/>
        </w:rPr>
        <w:t>See NHS Terms and Conditions of Service Handbook for information on payment for unsocial hours.</w:t>
      </w:r>
      <w:r>
        <w:rPr>
          <w:rFonts w:ascii="Calibri" w:hAnsi="Calibri"/>
          <w:position w:val="7"/>
          <w:sz w:val="13"/>
        </w:rPr>
        <w:t xml:space="preserve">2 </w:t>
      </w:r>
      <w:r>
        <w:rPr>
          <w:rFonts w:ascii="Calibri" w:hAnsi="Calibri"/>
          <w:sz w:val="18"/>
        </w:rPr>
        <w:t>See Section V for further information on pay scales. The Electronic Staff Records (ESR) system shows that the mean basic salary for</w:t>
      </w:r>
      <w:r>
        <w:rPr>
          <w:rFonts w:ascii="Calibri" w:hAnsi="Calibri"/>
          <w:spacing w:val="-2"/>
          <w:sz w:val="18"/>
        </w:rPr>
        <w:t xml:space="preserve"> </w:t>
      </w:r>
      <w:r>
        <w:rPr>
          <w:rFonts w:ascii="Calibri" w:hAnsi="Calibri"/>
          <w:sz w:val="18"/>
        </w:rPr>
        <w:t>all</w:t>
      </w:r>
      <w:r>
        <w:rPr>
          <w:rFonts w:ascii="Calibri" w:hAnsi="Calibri"/>
          <w:spacing w:val="-3"/>
          <w:sz w:val="18"/>
        </w:rPr>
        <w:t xml:space="preserve"> </w:t>
      </w:r>
      <w:r>
        <w:rPr>
          <w:rFonts w:ascii="Calibri" w:hAnsi="Calibri"/>
          <w:sz w:val="18"/>
        </w:rPr>
        <w:t>physiotherapists</w:t>
      </w:r>
      <w:r>
        <w:rPr>
          <w:rFonts w:ascii="Calibri" w:hAnsi="Calibri"/>
          <w:spacing w:val="-3"/>
          <w:sz w:val="18"/>
        </w:rPr>
        <w:t xml:space="preserve"> </w:t>
      </w:r>
      <w:r>
        <w:rPr>
          <w:rFonts w:ascii="Calibri" w:hAnsi="Calibri"/>
          <w:sz w:val="18"/>
        </w:rPr>
        <w:t>is</w:t>
      </w:r>
      <w:r>
        <w:rPr>
          <w:rFonts w:ascii="Calibri" w:hAnsi="Calibri"/>
          <w:spacing w:val="-4"/>
          <w:sz w:val="18"/>
        </w:rPr>
        <w:t xml:space="preserve"> </w:t>
      </w:r>
      <w:r>
        <w:rPr>
          <w:rFonts w:ascii="Calibri" w:hAnsi="Calibri"/>
          <w:sz w:val="18"/>
        </w:rPr>
        <w:t>£34,731;</w:t>
      </w:r>
      <w:r>
        <w:rPr>
          <w:rFonts w:ascii="Calibri" w:hAnsi="Calibri"/>
          <w:spacing w:val="-2"/>
          <w:sz w:val="18"/>
        </w:rPr>
        <w:t xml:space="preserve"> </w:t>
      </w:r>
      <w:r>
        <w:rPr>
          <w:rFonts w:ascii="Calibri" w:hAnsi="Calibri"/>
          <w:sz w:val="18"/>
        </w:rPr>
        <w:t>hospital</w:t>
      </w:r>
      <w:r>
        <w:rPr>
          <w:rFonts w:ascii="Calibri" w:hAnsi="Calibri"/>
          <w:spacing w:val="-2"/>
          <w:sz w:val="18"/>
        </w:rPr>
        <w:t xml:space="preserve"> </w:t>
      </w:r>
      <w:r>
        <w:rPr>
          <w:rFonts w:ascii="Calibri" w:hAnsi="Calibri"/>
          <w:sz w:val="18"/>
        </w:rPr>
        <w:t>occupational</w:t>
      </w:r>
      <w:r>
        <w:rPr>
          <w:rFonts w:ascii="Calibri" w:hAnsi="Calibri"/>
          <w:spacing w:val="-3"/>
          <w:sz w:val="18"/>
        </w:rPr>
        <w:t xml:space="preserve"> </w:t>
      </w:r>
      <w:r>
        <w:rPr>
          <w:rFonts w:ascii="Calibri" w:hAnsi="Calibri"/>
          <w:sz w:val="18"/>
        </w:rPr>
        <w:t>therapists,</w:t>
      </w:r>
      <w:r>
        <w:rPr>
          <w:rFonts w:ascii="Calibri" w:hAnsi="Calibri"/>
          <w:spacing w:val="-2"/>
          <w:sz w:val="18"/>
        </w:rPr>
        <w:t xml:space="preserve"> </w:t>
      </w:r>
      <w:r>
        <w:rPr>
          <w:rFonts w:ascii="Calibri" w:hAnsi="Calibri"/>
          <w:sz w:val="18"/>
        </w:rPr>
        <w:t>£33,442;</w:t>
      </w:r>
      <w:r>
        <w:rPr>
          <w:rFonts w:ascii="Calibri" w:hAnsi="Calibri"/>
          <w:spacing w:val="-2"/>
          <w:sz w:val="18"/>
        </w:rPr>
        <w:t xml:space="preserve"> </w:t>
      </w:r>
      <w:r>
        <w:rPr>
          <w:rFonts w:ascii="Calibri" w:hAnsi="Calibri"/>
          <w:sz w:val="18"/>
        </w:rPr>
        <w:t>speech</w:t>
      </w:r>
      <w:r>
        <w:rPr>
          <w:rFonts w:ascii="Calibri" w:hAnsi="Calibri"/>
          <w:spacing w:val="-3"/>
          <w:sz w:val="18"/>
        </w:rPr>
        <w:t xml:space="preserve"> </w:t>
      </w:r>
      <w:r>
        <w:rPr>
          <w:rFonts w:ascii="Calibri" w:hAnsi="Calibri"/>
          <w:sz w:val="18"/>
        </w:rPr>
        <w:t>and</w:t>
      </w:r>
      <w:r>
        <w:rPr>
          <w:rFonts w:ascii="Calibri" w:hAnsi="Calibri"/>
          <w:spacing w:val="-3"/>
          <w:sz w:val="18"/>
        </w:rPr>
        <w:t xml:space="preserve"> </w:t>
      </w:r>
      <w:r>
        <w:rPr>
          <w:rFonts w:ascii="Calibri" w:hAnsi="Calibri"/>
          <w:sz w:val="18"/>
        </w:rPr>
        <w:t>language</w:t>
      </w:r>
      <w:r>
        <w:rPr>
          <w:rFonts w:ascii="Calibri" w:hAnsi="Calibri"/>
          <w:spacing w:val="-3"/>
          <w:sz w:val="18"/>
        </w:rPr>
        <w:t xml:space="preserve"> </w:t>
      </w:r>
      <w:r>
        <w:rPr>
          <w:rFonts w:ascii="Calibri" w:hAnsi="Calibri"/>
          <w:sz w:val="18"/>
        </w:rPr>
        <w:t>therapists,</w:t>
      </w:r>
      <w:r>
        <w:rPr>
          <w:rFonts w:ascii="Calibri" w:hAnsi="Calibri"/>
          <w:spacing w:val="-2"/>
          <w:sz w:val="18"/>
        </w:rPr>
        <w:t xml:space="preserve"> </w:t>
      </w:r>
      <w:r>
        <w:rPr>
          <w:rFonts w:ascii="Calibri" w:hAnsi="Calibri"/>
          <w:sz w:val="18"/>
        </w:rPr>
        <w:t>£34,892;</w:t>
      </w:r>
      <w:r>
        <w:rPr>
          <w:rFonts w:ascii="Calibri" w:hAnsi="Calibri"/>
          <w:spacing w:val="-2"/>
          <w:sz w:val="18"/>
        </w:rPr>
        <w:t xml:space="preserve"> </w:t>
      </w:r>
      <w:r>
        <w:rPr>
          <w:rFonts w:ascii="Calibri" w:hAnsi="Calibri"/>
          <w:sz w:val="18"/>
        </w:rPr>
        <w:t>dietitians,</w:t>
      </w:r>
    </w:p>
    <w:p w:rsidR="006A18FD" w:rsidRDefault="002D29FC">
      <w:pPr>
        <w:spacing w:line="216" w:lineRule="exact"/>
        <w:ind w:left="140"/>
        <w:rPr>
          <w:rFonts w:ascii="Calibri" w:hAnsi="Calibri"/>
          <w:sz w:val="18"/>
        </w:rPr>
      </w:pPr>
      <w:r>
        <w:rPr>
          <w:rFonts w:ascii="Calibri" w:hAnsi="Calibri"/>
          <w:sz w:val="18"/>
        </w:rPr>
        <w:t>£34,810.</w:t>
      </w:r>
    </w:p>
    <w:p w:rsidR="006A18FD" w:rsidRDefault="002D29FC">
      <w:pPr>
        <w:spacing w:before="141"/>
        <w:ind w:left="140"/>
        <w:rPr>
          <w:rFonts w:ascii="Calibri"/>
          <w:b/>
          <w:sz w:val="18"/>
        </w:rPr>
      </w:pPr>
      <w:r>
        <w:rPr>
          <w:rFonts w:ascii="Calibri"/>
          <w:b/>
          <w:sz w:val="18"/>
        </w:rPr>
        <w:t>B Salary oncosts</w:t>
      </w:r>
    </w:p>
    <w:p w:rsidR="006A18FD" w:rsidRDefault="002D29FC">
      <w:pPr>
        <w:spacing w:before="32"/>
        <w:ind w:left="140"/>
        <w:rPr>
          <w:rFonts w:ascii="Calibri" w:hAnsi="Calibri"/>
          <w:sz w:val="18"/>
        </w:rPr>
      </w:pPr>
      <w:r>
        <w:rPr>
          <w:rFonts w:ascii="Calibri" w:hAnsi="Calibri"/>
          <w:sz w:val="18"/>
        </w:rPr>
        <w:t>Employer’s national insurance is included plus 14.38 per cent of salary for employer’s contribution to superannuation.</w:t>
      </w:r>
    </w:p>
    <w:p w:rsidR="006A18FD" w:rsidRDefault="002D29FC">
      <w:pPr>
        <w:spacing w:before="154"/>
        <w:ind w:left="140"/>
        <w:rPr>
          <w:rFonts w:ascii="Calibri"/>
          <w:b/>
          <w:sz w:val="18"/>
        </w:rPr>
      </w:pPr>
      <w:r>
        <w:rPr>
          <w:rFonts w:ascii="Calibri"/>
          <w:b/>
          <w:sz w:val="18"/>
        </w:rPr>
        <w:t>C Qualification costs</w:t>
      </w:r>
    </w:p>
    <w:p w:rsidR="006A18FD" w:rsidRDefault="002D29FC">
      <w:pPr>
        <w:spacing w:before="34" w:line="264" w:lineRule="auto"/>
        <w:ind w:left="140" w:right="213"/>
        <w:rPr>
          <w:rFonts w:ascii="Calibri"/>
          <w:sz w:val="18"/>
        </w:rPr>
      </w:pPr>
      <w:r>
        <w:rPr>
          <w:rFonts w:ascii="Calibri"/>
          <w:sz w:val="18"/>
        </w:rPr>
        <w:t>See Section V for detailed information on qualifications for each category of scientific and professional staff. These have been calculated using the method described in Netten et al. (1998).</w:t>
      </w:r>
      <w:r>
        <w:rPr>
          <w:rFonts w:ascii="Calibri"/>
          <w:position w:val="5"/>
          <w:sz w:val="12"/>
        </w:rPr>
        <w:t xml:space="preserve">3 </w:t>
      </w:r>
      <w:r>
        <w:rPr>
          <w:rFonts w:ascii="Calibri"/>
          <w:sz w:val="18"/>
        </w:rPr>
        <w:t>Current cost information has been gathered from various sources (see Schema 18). To calculate the cost per hour including qualifications for each profession, the appropriate expected annual cost shown in Schema 18 should be divided by the number of working hours. This can then be added to the cost per working hour.</w:t>
      </w:r>
    </w:p>
    <w:p w:rsidR="006A18FD" w:rsidRDefault="002D29FC">
      <w:pPr>
        <w:spacing w:before="118"/>
        <w:ind w:left="140"/>
        <w:rPr>
          <w:rFonts w:ascii="Calibri"/>
          <w:b/>
          <w:sz w:val="18"/>
        </w:rPr>
      </w:pPr>
      <w:r>
        <w:rPr>
          <w:rFonts w:ascii="Calibri"/>
          <w:b/>
          <w:sz w:val="18"/>
        </w:rPr>
        <w:t>D Overheads</w:t>
      </w:r>
    </w:p>
    <w:p w:rsidR="006A18FD" w:rsidRDefault="002D29FC">
      <w:pPr>
        <w:spacing w:before="34" w:line="264" w:lineRule="auto"/>
        <w:ind w:left="140" w:right="244"/>
        <w:rPr>
          <w:rFonts w:ascii="Calibri"/>
          <w:sz w:val="18"/>
        </w:rPr>
      </w:pPr>
      <w:r>
        <w:rPr>
          <w:rFonts w:ascii="Calibri"/>
          <w:sz w:val="18"/>
        </w:rPr>
        <w:t>Taken from the 2013/2014 financial accounts for 10 community trusts. Management and other non-care staff costs are 24.5 per cent of direct care salary costs and include administration and estates staff. Non-staff costs are 38.2 per cent of direct care salary costs. They include costs to the provider for office, travel/transport, publishing, training courses and conferences, supplies and services (clinical and general), and utilities such as water, gas and electricity.</w:t>
      </w:r>
    </w:p>
    <w:p w:rsidR="006A18FD" w:rsidRDefault="002D29FC">
      <w:pPr>
        <w:spacing w:before="117"/>
        <w:ind w:left="140"/>
        <w:rPr>
          <w:rFonts w:ascii="Calibri"/>
          <w:b/>
          <w:sz w:val="18"/>
        </w:rPr>
      </w:pPr>
      <w:r>
        <w:rPr>
          <w:rFonts w:ascii="Calibri"/>
          <w:b/>
          <w:sz w:val="18"/>
        </w:rPr>
        <w:t>E Capital overheads</w:t>
      </w:r>
    </w:p>
    <w:p w:rsidR="006A18FD" w:rsidRDefault="002D29FC">
      <w:pPr>
        <w:spacing w:before="34"/>
        <w:ind w:left="140" w:right="1015"/>
        <w:rPr>
          <w:rFonts w:ascii="Calibri"/>
          <w:sz w:val="12"/>
        </w:rPr>
      </w:pPr>
      <w:r>
        <w:rPr>
          <w:rFonts w:ascii="Calibri"/>
          <w:sz w:val="18"/>
        </w:rPr>
        <w:t>Based on the new-build and land requirements of NHS hospital facilities, but adjusted to reflect shared use of office space for administration, and recreational and changing facilities.</w:t>
      </w:r>
      <w:r>
        <w:rPr>
          <w:rFonts w:ascii="Calibri"/>
          <w:position w:val="5"/>
          <w:sz w:val="12"/>
        </w:rPr>
        <w:t>4,5</w:t>
      </w:r>
    </w:p>
    <w:p w:rsidR="006A18FD" w:rsidRDefault="002D29FC">
      <w:pPr>
        <w:spacing w:before="118"/>
        <w:ind w:left="140"/>
        <w:rPr>
          <w:rFonts w:ascii="Calibri"/>
          <w:b/>
          <w:sz w:val="18"/>
        </w:rPr>
      </w:pPr>
      <w:r>
        <w:rPr>
          <w:rFonts w:ascii="Calibri"/>
          <w:b/>
          <w:sz w:val="18"/>
        </w:rPr>
        <w:t>F Travel</w:t>
      </w:r>
    </w:p>
    <w:p w:rsidR="006A18FD" w:rsidRDefault="002D29FC">
      <w:pPr>
        <w:spacing w:before="34" w:line="268" w:lineRule="auto"/>
        <w:ind w:left="140" w:right="199"/>
        <w:rPr>
          <w:rFonts w:ascii="Calibri"/>
          <w:sz w:val="13"/>
        </w:rPr>
      </w:pPr>
      <w:r>
        <w:rPr>
          <w:rFonts w:ascii="Calibri"/>
          <w:sz w:val="18"/>
        </w:rPr>
        <w:t>No information available on average mileage covered per visit. From July 2014, NHS reimbursement has been based on a single rate for the first 3,500 miles travelled of 56p per mile, and a reduced rate thereafter of 20p per mile, irrespective of the type of car or fuel used.</w:t>
      </w:r>
      <w:r>
        <w:rPr>
          <w:rFonts w:ascii="Calibri"/>
          <w:position w:val="7"/>
          <w:sz w:val="13"/>
        </w:rPr>
        <w:t>6</w:t>
      </w:r>
    </w:p>
    <w:p w:rsidR="006A18FD" w:rsidRDefault="002D29FC">
      <w:pPr>
        <w:spacing w:before="126"/>
        <w:ind w:left="140"/>
        <w:rPr>
          <w:rFonts w:ascii="Calibri"/>
          <w:b/>
          <w:sz w:val="18"/>
        </w:rPr>
      </w:pPr>
      <w:r>
        <w:rPr>
          <w:rFonts w:ascii="Calibri"/>
          <w:b/>
          <w:sz w:val="18"/>
        </w:rPr>
        <w:t>G Working time</w:t>
      </w:r>
    </w:p>
    <w:p w:rsidR="006A18FD" w:rsidRDefault="002D29FC">
      <w:pPr>
        <w:spacing w:before="34" w:line="264" w:lineRule="auto"/>
        <w:ind w:left="140" w:right="753"/>
        <w:rPr>
          <w:rFonts w:ascii="Calibri"/>
          <w:sz w:val="18"/>
        </w:rPr>
      </w:pPr>
      <w:r>
        <w:rPr>
          <w:rFonts w:ascii="Calibri"/>
          <w:sz w:val="18"/>
        </w:rPr>
        <w:t>Working hours for each AfC band have been calculated by deducting sickness absence days as reported for NHS staff groups</w:t>
      </w:r>
      <w:r>
        <w:rPr>
          <w:rFonts w:ascii="Calibri"/>
          <w:position w:val="5"/>
          <w:sz w:val="12"/>
        </w:rPr>
        <w:t xml:space="preserve">7 </w:t>
      </w:r>
      <w:r>
        <w:rPr>
          <w:rFonts w:ascii="Calibri"/>
          <w:sz w:val="18"/>
        </w:rPr>
        <w:t>and training/study days from 225 working days.</w:t>
      </w:r>
    </w:p>
    <w:p w:rsidR="006A18FD" w:rsidRDefault="002D29FC">
      <w:pPr>
        <w:spacing w:before="115"/>
        <w:ind w:left="140"/>
        <w:rPr>
          <w:rFonts w:ascii="Calibri"/>
          <w:b/>
          <w:sz w:val="18"/>
        </w:rPr>
      </w:pPr>
      <w:r>
        <w:rPr>
          <w:rFonts w:ascii="Calibri"/>
          <w:b/>
          <w:sz w:val="18"/>
        </w:rPr>
        <w:t>H Ratio of direct to patient-related time</w:t>
      </w:r>
    </w:p>
    <w:p w:rsidR="006A18FD" w:rsidRDefault="002D29FC">
      <w:pPr>
        <w:spacing w:before="37" w:line="261" w:lineRule="auto"/>
        <w:ind w:left="140" w:right="486"/>
        <w:rPr>
          <w:rFonts w:ascii="Calibri"/>
          <w:sz w:val="18"/>
        </w:rPr>
      </w:pPr>
      <w:r>
        <w:rPr>
          <w:rFonts w:ascii="Calibri"/>
          <w:sz w:val="18"/>
        </w:rPr>
        <w:t>See previous editions for time spent on patient-related activities. See also Section V for information on a PSSRU survey carried out in 2014/2015 providing estimates of time use for community staff.</w:t>
      </w:r>
    </w:p>
    <w:p w:rsidR="006A18FD" w:rsidRDefault="002D29FC">
      <w:pPr>
        <w:spacing w:before="120"/>
        <w:ind w:left="140"/>
        <w:rPr>
          <w:rFonts w:ascii="Calibri"/>
          <w:b/>
          <w:sz w:val="18"/>
        </w:rPr>
      </w:pPr>
      <w:r>
        <w:rPr>
          <w:rFonts w:ascii="Calibri"/>
          <w:b/>
          <w:sz w:val="18"/>
        </w:rPr>
        <w:t>I London multiplier and non-London multiplier</w:t>
      </w:r>
    </w:p>
    <w:p w:rsidR="006A18FD" w:rsidRDefault="002D29FC">
      <w:pPr>
        <w:spacing w:before="34" w:line="264" w:lineRule="auto"/>
        <w:ind w:left="140" w:right="196"/>
        <w:rPr>
          <w:rFonts w:ascii="Calibri"/>
          <w:sz w:val="18"/>
        </w:rPr>
      </w:pPr>
      <w:r>
        <w:rPr>
          <w:rFonts w:ascii="Calibri"/>
          <w:sz w:val="18"/>
        </w:rPr>
        <w:t>See information produced by NHS Employers</w:t>
      </w:r>
      <w:r>
        <w:rPr>
          <w:rFonts w:ascii="Calibri"/>
          <w:position w:val="5"/>
          <w:sz w:val="12"/>
        </w:rPr>
        <w:t xml:space="preserve">8 </w:t>
      </w:r>
      <w:r>
        <w:rPr>
          <w:rFonts w:ascii="Calibri"/>
          <w:sz w:val="18"/>
        </w:rPr>
        <w:t>and NHS Improvement</w:t>
      </w:r>
      <w:r>
        <w:rPr>
          <w:rFonts w:ascii="Calibri"/>
          <w:position w:val="5"/>
          <w:sz w:val="12"/>
        </w:rPr>
        <w:t xml:space="preserve">9 </w:t>
      </w:r>
      <w:r>
        <w:rPr>
          <w:rFonts w:ascii="Calibri"/>
          <w:sz w:val="18"/>
        </w:rPr>
        <w:t>for information on Inner and Outer London supplements and the market forces factor (MFF) which estimates the unavoidable cost differences between healthcare providers, based on their geographical location.</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13"/>
        <w:ind w:left="140"/>
        <w:rPr>
          <w:rFonts w:ascii="Times New Roman" w:hAnsi="Times New Roman"/>
          <w:sz w:val="16"/>
        </w:rPr>
      </w:pPr>
      <w:r>
        <w:rPr>
          <w:rFonts w:ascii="Calibri" w:hAnsi="Calibri"/>
          <w:position w:val="5"/>
          <w:sz w:val="10"/>
        </w:rPr>
        <w:t xml:space="preserve">1 </w:t>
      </w:r>
      <w:r>
        <w:rPr>
          <w:rFonts w:ascii="Calibri" w:hAnsi="Calibri"/>
          <w:sz w:val="16"/>
        </w:rPr>
        <w:t xml:space="preserve">NHS Digital (2018) </w:t>
      </w:r>
      <w:r>
        <w:rPr>
          <w:rFonts w:ascii="Calibri" w:hAnsi="Calibri"/>
          <w:i/>
          <w:sz w:val="16"/>
        </w:rPr>
        <w:t xml:space="preserve">NHS staff earnings estimates, 12-month period from May 2018 – April 2019 </w:t>
      </w:r>
      <w:r>
        <w:rPr>
          <w:rFonts w:ascii="Calibri" w:hAnsi="Calibri"/>
          <w:sz w:val="16"/>
        </w:rPr>
        <w:t>(not publicly available), NHS Digital, Leeds</w:t>
      </w:r>
      <w:r>
        <w:rPr>
          <w:rFonts w:ascii="Times New Roman" w:hAnsi="Times New Roman"/>
          <w:sz w:val="16"/>
        </w:rPr>
        <w:t>.</w:t>
      </w:r>
    </w:p>
    <w:p w:rsidR="006A18FD" w:rsidRDefault="002D29FC">
      <w:pPr>
        <w:spacing w:before="1"/>
        <w:ind w:left="423" w:right="270" w:hanging="284"/>
        <w:rPr>
          <w:rFonts w:ascii="Calibri"/>
          <w:sz w:val="16"/>
        </w:rPr>
      </w:pPr>
      <w:r>
        <w:rPr>
          <w:rFonts w:ascii="Calibri"/>
          <w:position w:val="5"/>
          <w:sz w:val="10"/>
        </w:rPr>
        <w:t xml:space="preserve">2 </w:t>
      </w:r>
      <w:r>
        <w:rPr>
          <w:rFonts w:ascii="Calibri"/>
          <w:sz w:val="16"/>
        </w:rPr>
        <w:t xml:space="preserve">NHS Employers (2018) </w:t>
      </w:r>
      <w:r>
        <w:rPr>
          <w:rFonts w:ascii="Calibri"/>
          <w:i/>
          <w:sz w:val="16"/>
        </w:rPr>
        <w:t xml:space="preserve">NHS Terms and Conditions of Service Handbook, </w:t>
      </w:r>
      <w:r>
        <w:rPr>
          <w:rFonts w:ascii="Calibri"/>
          <w:sz w:val="16"/>
        </w:rPr>
        <w:t xml:space="preserve">NHS Employers, London. </w:t>
      </w:r>
      <w:hyperlink r:id="rId309">
        <w:r>
          <w:rPr>
            <w:rFonts w:ascii="Calibri"/>
            <w:sz w:val="16"/>
            <w:u w:val="single"/>
          </w:rPr>
          <w:t>http://www.nhsemployers.org/tchandbook</w:t>
        </w:r>
        <w:r>
          <w:rPr>
            <w:rFonts w:ascii="Calibri"/>
            <w:sz w:val="16"/>
          </w:rPr>
          <w:t xml:space="preserve"> </w:t>
        </w:r>
      </w:hyperlink>
      <w:r>
        <w:rPr>
          <w:rFonts w:ascii="Calibri"/>
          <w:sz w:val="16"/>
        </w:rPr>
        <w:t>[accessed 25 September 2018].</w:t>
      </w:r>
    </w:p>
    <w:p w:rsidR="006A18FD" w:rsidRDefault="002D29FC">
      <w:pPr>
        <w:spacing w:before="1"/>
        <w:ind w:left="423"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w:t>
      </w:r>
      <w:r>
        <w:rPr>
          <w:rFonts w:ascii="Calibri"/>
          <w:sz w:val="16"/>
        </w:rPr>
        <w:t>, Vols 1 &amp; 2, Personal Social Services Research Unit, University of Kent, Canterbury.</w:t>
      </w:r>
    </w:p>
    <w:p w:rsidR="006A18FD" w:rsidRDefault="002D29FC">
      <w:pPr>
        <w:spacing w:line="194" w:lineRule="exact"/>
        <w:ind w:left="140"/>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23" w:right="1697"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10">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ind w:left="423" w:right="357" w:hanging="284"/>
        <w:rPr>
          <w:rFonts w:ascii="Calibri" w:hAnsi="Calibri"/>
          <w:sz w:val="16"/>
        </w:rPr>
      </w:pPr>
      <w:r>
        <w:rPr>
          <w:rFonts w:ascii="Calibri" w:hAnsi="Calibri"/>
          <w:position w:val="5"/>
          <w:sz w:val="10"/>
        </w:rPr>
        <w:t xml:space="preserve">6 </w:t>
      </w:r>
      <w:r>
        <w:rPr>
          <w:rFonts w:ascii="Calibri" w:hAnsi="Calibri"/>
          <w:sz w:val="16"/>
        </w:rPr>
        <w:t xml:space="preserve">NHS Employers (2017) </w:t>
      </w:r>
      <w:r>
        <w:rPr>
          <w:rFonts w:ascii="Calibri" w:hAnsi="Calibri"/>
          <w:i/>
          <w:sz w:val="16"/>
        </w:rPr>
        <w:t>Mileage allowances – Section 17</w:t>
      </w:r>
      <w:r>
        <w:rPr>
          <w:rFonts w:ascii="Calibri" w:hAnsi="Calibri"/>
          <w:sz w:val="16"/>
        </w:rPr>
        <w:t xml:space="preserve">, NHS Employers, </w:t>
      </w:r>
      <w:hyperlink r:id="rId311">
        <w:r>
          <w:rPr>
            <w:rFonts w:ascii="Calibri" w:hAnsi="Calibri"/>
            <w:sz w:val="16"/>
            <w:u w:val="single"/>
          </w:rPr>
          <w:t>http://www.nhsemployers.org/your-workforce/pay-and-reward/agenda-for-</w:t>
        </w:r>
      </w:hyperlink>
      <w:r>
        <w:rPr>
          <w:rFonts w:ascii="Calibri" w:hAnsi="Calibri"/>
          <w:sz w:val="16"/>
        </w:rPr>
        <w:t xml:space="preserve"> </w:t>
      </w:r>
      <w:hyperlink r:id="rId312">
        <w:r>
          <w:rPr>
            <w:rFonts w:ascii="Calibri" w:hAnsi="Calibri"/>
            <w:sz w:val="16"/>
            <w:u w:val="single"/>
          </w:rPr>
          <w:t>change/nhs-terms-and-conditions-of-service-handbook/mileage-allowances</w:t>
        </w:r>
        <w:r>
          <w:rPr>
            <w:rFonts w:ascii="Calibri" w:hAnsi="Calibri"/>
            <w:sz w:val="16"/>
          </w:rPr>
          <w:t xml:space="preserve"> </w:t>
        </w:r>
      </w:hyperlink>
      <w:r>
        <w:rPr>
          <w:rFonts w:ascii="Calibri" w:hAnsi="Calibri"/>
          <w:sz w:val="16"/>
        </w:rPr>
        <w:t>[accessed 25 September 2018].</w:t>
      </w:r>
    </w:p>
    <w:p w:rsidR="006A18FD" w:rsidRDefault="002D29FC">
      <w:pPr>
        <w:ind w:left="423" w:right="259" w:hanging="284"/>
        <w:rPr>
          <w:rFonts w:ascii="Calibri"/>
          <w:sz w:val="16"/>
        </w:rPr>
      </w:pPr>
      <w:r>
        <w:rPr>
          <w:rFonts w:ascii="Calibri"/>
          <w:position w:val="5"/>
          <w:sz w:val="10"/>
        </w:rPr>
        <w:t xml:space="preserve">7 </w:t>
      </w:r>
      <w:r>
        <w:rPr>
          <w:rFonts w:ascii="Calibri"/>
          <w:sz w:val="16"/>
        </w:rPr>
        <w:t xml:space="preserve">NHS Digital, NHS sickness absence rates, January 2019 to March 2019 and Annual Summary 2010-11 to 2018-19, NHS Digital, London. </w:t>
      </w:r>
      <w:hyperlink r:id="rId313">
        <w:r>
          <w:rPr>
            <w:rFonts w:ascii="Calibri"/>
            <w:sz w:val="16"/>
            <w:u w:val="single"/>
          </w:rPr>
          <w:t>https://digital.nhs.uk/data-and-information/publications/statistical/nhs-sickness-absence-rates/january-2019-to-march-2019-and-annual-summary-</w:t>
        </w:r>
      </w:hyperlink>
      <w:r>
        <w:rPr>
          <w:rFonts w:ascii="Calibri"/>
          <w:sz w:val="16"/>
        </w:rPr>
        <w:t xml:space="preserve"> </w:t>
      </w:r>
      <w:hyperlink r:id="rId314">
        <w:r>
          <w:rPr>
            <w:rFonts w:ascii="Calibri"/>
            <w:sz w:val="16"/>
            <w:u w:val="single"/>
          </w:rPr>
          <w:t>2010-11-to-2018-19</w:t>
        </w:r>
        <w:r>
          <w:rPr>
            <w:rFonts w:ascii="Calibri"/>
            <w:sz w:val="16"/>
          </w:rPr>
          <w:t xml:space="preserve"> </w:t>
        </w:r>
      </w:hyperlink>
      <w:r>
        <w:rPr>
          <w:rFonts w:ascii="Calibri"/>
          <w:sz w:val="16"/>
        </w:rPr>
        <w:t>[accessed 1 October 2019]</w:t>
      </w:r>
    </w:p>
    <w:p w:rsidR="006A18FD" w:rsidRDefault="002D29FC">
      <w:pPr>
        <w:ind w:left="423" w:hanging="284"/>
        <w:rPr>
          <w:rFonts w:ascii="Calibri"/>
          <w:sz w:val="16"/>
        </w:rPr>
      </w:pPr>
      <w:r>
        <w:rPr>
          <w:rFonts w:ascii="Calibri"/>
          <w:position w:val="5"/>
          <w:sz w:val="10"/>
        </w:rPr>
        <w:t xml:space="preserve">8 </w:t>
      </w:r>
      <w:r>
        <w:rPr>
          <w:rFonts w:ascii="Calibri"/>
          <w:sz w:val="16"/>
        </w:rPr>
        <w:t xml:space="preserve">NHS Employers (2019) Annex 9: High cost area supplements, </w:t>
      </w:r>
      <w:hyperlink r:id="rId315">
        <w:r>
          <w:rPr>
            <w:rFonts w:ascii="Calibri"/>
            <w:sz w:val="16"/>
            <w:u w:val="single"/>
          </w:rPr>
          <w:t>https://www.nhsemployers.org/tchandbook/annex-4-to-10/annex-9-high-cost-area-</w:t>
        </w:r>
      </w:hyperlink>
      <w:r>
        <w:rPr>
          <w:rFonts w:ascii="Calibri"/>
          <w:sz w:val="16"/>
        </w:rPr>
        <w:t xml:space="preserve"> </w:t>
      </w:r>
      <w:hyperlink r:id="rId316">
        <w:r>
          <w:rPr>
            <w:rFonts w:ascii="Calibri"/>
            <w:sz w:val="16"/>
            <w:u w:val="single"/>
          </w:rPr>
          <w:t>supplements [accessed</w:t>
        </w:r>
        <w:r>
          <w:rPr>
            <w:rFonts w:ascii="Calibri"/>
            <w:sz w:val="16"/>
          </w:rPr>
          <w:t xml:space="preserve"> </w:t>
        </w:r>
      </w:hyperlink>
      <w:r>
        <w:rPr>
          <w:rFonts w:ascii="Calibri"/>
          <w:sz w:val="16"/>
        </w:rPr>
        <w:t>1 October 2019].</w:t>
      </w:r>
    </w:p>
    <w:p w:rsidR="006A18FD" w:rsidRDefault="002D29FC">
      <w:pPr>
        <w:ind w:left="423" w:hanging="284"/>
        <w:rPr>
          <w:rFonts w:ascii="Calibri"/>
          <w:sz w:val="16"/>
        </w:rPr>
      </w:pPr>
      <w:r>
        <w:rPr>
          <w:rFonts w:ascii="Calibri"/>
          <w:position w:val="5"/>
          <w:sz w:val="10"/>
        </w:rPr>
        <w:t xml:space="preserve">9 </w:t>
      </w:r>
      <w:r>
        <w:rPr>
          <w:rFonts w:ascii="Calibri"/>
          <w:sz w:val="16"/>
        </w:rPr>
        <w:t xml:space="preserve">NHS Improvement (2019) 2019/20 payment reform proposals, </w:t>
      </w:r>
      <w:hyperlink r:id="rId317">
        <w:r>
          <w:rPr>
            <w:rFonts w:ascii="Calibri"/>
            <w:sz w:val="16"/>
            <w:u w:val="single"/>
          </w:rPr>
          <w:t>https://improvement.nhs.uk/resources/201920-payment-reform-proposals/</w:t>
        </w:r>
        <w:r>
          <w:rPr>
            <w:rFonts w:ascii="Calibri"/>
            <w:sz w:val="16"/>
          </w:rPr>
          <w:t xml:space="preserve">. </w:t>
        </w:r>
      </w:hyperlink>
      <w:r>
        <w:rPr>
          <w:rFonts w:ascii="Calibri"/>
          <w:sz w:val="16"/>
        </w:rPr>
        <w:t>[accessed 1 October 2019].</w:t>
      </w:r>
    </w:p>
    <w:p w:rsidR="006A18FD" w:rsidRDefault="006A18FD">
      <w:pPr>
        <w:rPr>
          <w:rFonts w:ascii="Calibri"/>
          <w:sz w:val="16"/>
        </w:rPr>
        <w:sectPr w:rsidR="006A18FD">
          <w:headerReference w:type="even" r:id="rId318"/>
          <w:pgSz w:w="11910" w:h="16840"/>
          <w:pgMar w:top="960" w:right="1000" w:bottom="280" w:left="580" w:header="751" w:footer="0" w:gutter="0"/>
          <w:cols w:space="720"/>
        </w:sectPr>
      </w:pPr>
    </w:p>
    <w:p w:rsidR="006A18FD" w:rsidRPr="002E1E01" w:rsidRDefault="002E1E01" w:rsidP="002E1E01">
      <w:pPr>
        <w:tabs>
          <w:tab w:val="left" w:pos="477"/>
        </w:tabs>
        <w:spacing w:before="75"/>
        <w:rPr>
          <w:rFonts w:ascii="Cambria"/>
          <w:b/>
          <w:sz w:val="28"/>
          <w:szCs w:val="28"/>
        </w:rPr>
      </w:pPr>
      <w:r>
        <w:rPr>
          <w:rFonts w:ascii="Cambria"/>
          <w:b/>
          <w:sz w:val="28"/>
          <w:szCs w:val="28"/>
        </w:rPr>
        <w:t xml:space="preserve">Table 2: </w:t>
      </w:r>
      <w:r w:rsidR="002D29FC" w:rsidRPr="002E1E01">
        <w:rPr>
          <w:rFonts w:ascii="Cambria"/>
          <w:b/>
          <w:sz w:val="28"/>
          <w:szCs w:val="28"/>
        </w:rPr>
        <w:t>Scientific and professional</w:t>
      </w:r>
      <w:r w:rsidR="002D29FC" w:rsidRPr="002E1E01">
        <w:rPr>
          <w:rFonts w:ascii="Cambria"/>
          <w:b/>
          <w:spacing w:val="-9"/>
          <w:sz w:val="28"/>
          <w:szCs w:val="28"/>
        </w:rPr>
        <w:t xml:space="preserve"> </w:t>
      </w:r>
      <w:r w:rsidR="002D29FC" w:rsidRPr="002E1E01">
        <w:rPr>
          <w:rFonts w:ascii="Cambria"/>
          <w:b/>
          <w:sz w:val="28"/>
          <w:szCs w:val="28"/>
        </w:rPr>
        <w:t>staff</w:t>
      </w:r>
    </w:p>
    <w:p w:rsidR="006A18FD" w:rsidRDefault="002D29FC">
      <w:pPr>
        <w:spacing w:before="61" w:line="276" w:lineRule="auto"/>
        <w:ind w:left="100" w:right="297"/>
        <w:rPr>
          <w:rFonts w:ascii="Calibri"/>
          <w:b/>
        </w:rPr>
      </w:pPr>
      <w:r>
        <w:rPr>
          <w:rFonts w:ascii="Calibri"/>
        </w:rPr>
        <w:t xml:space="preserve">This table provides the annual and unit costs for community-based scientific and professional staff. See notes facing for assistance in interpreting each cost item. See Chapter 18 for examples of roles in each band. See also Excel database on the PSSRU website. </w:t>
      </w:r>
      <w:r>
        <w:rPr>
          <w:rFonts w:ascii="Calibri"/>
          <w:b/>
        </w:rPr>
        <w:t>Please note that there are no staff on Bands 1-3 for this staff group.</w:t>
      </w:r>
    </w:p>
    <w:p w:rsidR="006A18FD" w:rsidRDefault="006A18FD">
      <w:pPr>
        <w:spacing w:before="5" w:after="1"/>
        <w:rPr>
          <w:rFonts w:ascii="Calibri"/>
          <w:b/>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18"/>
        <w:gridCol w:w="1417"/>
        <w:gridCol w:w="1416"/>
        <w:gridCol w:w="1419"/>
        <w:gridCol w:w="1416"/>
        <w:gridCol w:w="1418"/>
        <w:gridCol w:w="1417"/>
        <w:gridCol w:w="1418"/>
        <w:gridCol w:w="1416"/>
      </w:tblGrid>
      <w:tr w:rsidR="006A18FD" w:rsidTr="00E2663F">
        <w:trPr>
          <w:trHeight w:val="720"/>
          <w:tblHeader/>
        </w:trPr>
        <w:tc>
          <w:tcPr>
            <w:tcW w:w="2160" w:type="dxa"/>
          </w:tcPr>
          <w:p w:rsidR="006A18FD" w:rsidRDefault="002D29FC">
            <w:pPr>
              <w:spacing w:before="1" w:line="240" w:lineRule="atLeast"/>
              <w:ind w:left="103" w:right="587"/>
              <w:rPr>
                <w:rFonts w:ascii="Calibri"/>
                <w:b/>
                <w:sz w:val="20"/>
              </w:rPr>
            </w:pPr>
            <w:r>
              <w:rPr>
                <w:rFonts w:ascii="Calibri"/>
                <w:b/>
                <w:sz w:val="20"/>
              </w:rPr>
              <w:t>Refer to notes on facing page for references</w:t>
            </w:r>
          </w:p>
        </w:tc>
        <w:tc>
          <w:tcPr>
            <w:tcW w:w="1418"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left="325" w:right="326"/>
              <w:jc w:val="center"/>
              <w:rPr>
                <w:rFonts w:ascii="Calibri"/>
                <w:b/>
                <w:sz w:val="20"/>
              </w:rPr>
            </w:pPr>
            <w:r>
              <w:rPr>
                <w:rFonts w:ascii="Calibri"/>
                <w:b/>
                <w:sz w:val="20"/>
              </w:rPr>
              <w:t>Band 4</w:t>
            </w:r>
          </w:p>
        </w:tc>
        <w:tc>
          <w:tcPr>
            <w:tcW w:w="1417"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left="325" w:right="325"/>
              <w:jc w:val="center"/>
              <w:rPr>
                <w:rFonts w:ascii="Calibri"/>
                <w:b/>
                <w:sz w:val="20"/>
              </w:rPr>
            </w:pPr>
            <w:r>
              <w:rPr>
                <w:rFonts w:ascii="Calibri"/>
                <w:b/>
                <w:sz w:val="20"/>
              </w:rPr>
              <w:t>Band 5</w:t>
            </w:r>
          </w:p>
        </w:tc>
        <w:tc>
          <w:tcPr>
            <w:tcW w:w="1416"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right="414"/>
              <w:jc w:val="right"/>
              <w:rPr>
                <w:rFonts w:ascii="Calibri"/>
                <w:b/>
                <w:sz w:val="20"/>
              </w:rPr>
            </w:pPr>
            <w:r>
              <w:rPr>
                <w:rFonts w:ascii="Calibri"/>
                <w:b/>
                <w:sz w:val="20"/>
              </w:rPr>
              <w:t>Band 6</w:t>
            </w:r>
          </w:p>
        </w:tc>
        <w:tc>
          <w:tcPr>
            <w:tcW w:w="1419"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left="242" w:right="246"/>
              <w:jc w:val="center"/>
              <w:rPr>
                <w:rFonts w:ascii="Calibri"/>
                <w:b/>
                <w:sz w:val="20"/>
              </w:rPr>
            </w:pPr>
            <w:r>
              <w:rPr>
                <w:rFonts w:ascii="Calibri"/>
                <w:b/>
                <w:sz w:val="20"/>
              </w:rPr>
              <w:t>Band 7</w:t>
            </w:r>
          </w:p>
        </w:tc>
        <w:tc>
          <w:tcPr>
            <w:tcW w:w="1416"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left="341" w:right="342"/>
              <w:jc w:val="center"/>
              <w:rPr>
                <w:rFonts w:ascii="Calibri"/>
                <w:b/>
                <w:sz w:val="20"/>
              </w:rPr>
            </w:pPr>
            <w:r>
              <w:rPr>
                <w:rFonts w:ascii="Calibri"/>
                <w:b/>
                <w:sz w:val="20"/>
              </w:rPr>
              <w:t>Band 8a</w:t>
            </w:r>
          </w:p>
        </w:tc>
        <w:tc>
          <w:tcPr>
            <w:tcW w:w="1418" w:type="dxa"/>
          </w:tcPr>
          <w:p w:rsidR="006A18FD" w:rsidRDefault="006A18FD">
            <w:pPr>
              <w:rPr>
                <w:rFonts w:ascii="Calibri"/>
                <w:b/>
                <w:sz w:val="20"/>
              </w:rPr>
            </w:pPr>
          </w:p>
          <w:p w:rsidR="006A18FD" w:rsidRDefault="006A18FD">
            <w:pPr>
              <w:spacing w:before="2"/>
              <w:rPr>
                <w:rFonts w:ascii="Calibri"/>
                <w:b/>
                <w:sz w:val="20"/>
              </w:rPr>
            </w:pPr>
          </w:p>
          <w:p w:rsidR="006A18FD" w:rsidRDefault="002D29FC">
            <w:pPr>
              <w:spacing w:line="223" w:lineRule="exact"/>
              <w:ind w:right="362"/>
              <w:jc w:val="right"/>
              <w:rPr>
                <w:rFonts w:ascii="Calibri"/>
                <w:b/>
                <w:sz w:val="20"/>
              </w:rPr>
            </w:pPr>
            <w:r>
              <w:rPr>
                <w:rFonts w:ascii="Calibri"/>
                <w:b/>
                <w:sz w:val="20"/>
              </w:rPr>
              <w:t>Band 8b</w:t>
            </w:r>
          </w:p>
        </w:tc>
        <w:tc>
          <w:tcPr>
            <w:tcW w:w="1417" w:type="dxa"/>
          </w:tcPr>
          <w:p w:rsidR="006A18FD" w:rsidRDefault="006A18FD">
            <w:pPr>
              <w:rPr>
                <w:rFonts w:ascii="Calibri"/>
                <w:b/>
                <w:sz w:val="20"/>
              </w:rPr>
            </w:pPr>
          </w:p>
          <w:p w:rsidR="006A18FD" w:rsidRDefault="006A18FD">
            <w:pPr>
              <w:spacing w:before="10"/>
              <w:rPr>
                <w:rFonts w:ascii="Calibri"/>
                <w:b/>
                <w:sz w:val="19"/>
              </w:rPr>
            </w:pPr>
          </w:p>
          <w:p w:rsidR="006A18FD" w:rsidRDefault="002D29FC">
            <w:pPr>
              <w:spacing w:line="228" w:lineRule="exact"/>
              <w:ind w:left="325" w:right="326"/>
              <w:jc w:val="center"/>
              <w:rPr>
                <w:rFonts w:ascii="Calibri"/>
                <w:b/>
                <w:sz w:val="20"/>
              </w:rPr>
            </w:pPr>
            <w:r>
              <w:rPr>
                <w:rFonts w:ascii="Calibri"/>
                <w:b/>
                <w:sz w:val="20"/>
              </w:rPr>
              <w:t>Band 8c</w:t>
            </w:r>
          </w:p>
        </w:tc>
        <w:tc>
          <w:tcPr>
            <w:tcW w:w="1418" w:type="dxa"/>
          </w:tcPr>
          <w:p w:rsidR="006A18FD" w:rsidRDefault="006A18FD">
            <w:pPr>
              <w:rPr>
                <w:rFonts w:ascii="Calibri"/>
                <w:b/>
                <w:sz w:val="20"/>
              </w:rPr>
            </w:pPr>
          </w:p>
          <w:p w:rsidR="006A18FD" w:rsidRDefault="006A18FD">
            <w:pPr>
              <w:spacing w:before="10"/>
              <w:rPr>
                <w:rFonts w:ascii="Calibri"/>
                <w:b/>
                <w:sz w:val="19"/>
              </w:rPr>
            </w:pPr>
          </w:p>
          <w:p w:rsidR="006A18FD" w:rsidRDefault="002D29FC">
            <w:pPr>
              <w:spacing w:line="228" w:lineRule="exact"/>
              <w:ind w:left="325" w:right="327"/>
              <w:jc w:val="center"/>
              <w:rPr>
                <w:rFonts w:ascii="Calibri"/>
                <w:b/>
                <w:sz w:val="20"/>
              </w:rPr>
            </w:pPr>
            <w:r>
              <w:rPr>
                <w:rFonts w:ascii="Calibri"/>
                <w:b/>
                <w:sz w:val="20"/>
              </w:rPr>
              <w:t>Band 8d</w:t>
            </w:r>
          </w:p>
        </w:tc>
        <w:tc>
          <w:tcPr>
            <w:tcW w:w="1416" w:type="dxa"/>
          </w:tcPr>
          <w:p w:rsidR="006A18FD" w:rsidRDefault="006A18FD">
            <w:pPr>
              <w:rPr>
                <w:rFonts w:ascii="Calibri"/>
                <w:b/>
                <w:sz w:val="20"/>
              </w:rPr>
            </w:pPr>
          </w:p>
          <w:p w:rsidR="006A18FD" w:rsidRDefault="006A18FD">
            <w:pPr>
              <w:spacing w:before="10"/>
              <w:rPr>
                <w:rFonts w:ascii="Calibri"/>
                <w:b/>
                <w:sz w:val="19"/>
              </w:rPr>
            </w:pPr>
          </w:p>
          <w:p w:rsidR="006A18FD" w:rsidRDefault="002D29FC">
            <w:pPr>
              <w:spacing w:line="228" w:lineRule="exact"/>
              <w:ind w:right="414"/>
              <w:jc w:val="right"/>
              <w:rPr>
                <w:rFonts w:ascii="Calibri"/>
                <w:b/>
                <w:sz w:val="20"/>
              </w:rPr>
            </w:pPr>
            <w:r>
              <w:rPr>
                <w:rFonts w:ascii="Calibri"/>
                <w:b/>
                <w:sz w:val="20"/>
              </w:rPr>
              <w:t>Band 9</w:t>
            </w:r>
          </w:p>
        </w:tc>
      </w:tr>
      <w:tr w:rsidR="006A18FD">
        <w:trPr>
          <w:trHeight w:val="299"/>
        </w:trPr>
        <w:tc>
          <w:tcPr>
            <w:tcW w:w="2160"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9"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6" w:type="dxa"/>
          </w:tcPr>
          <w:p w:rsidR="006A18FD" w:rsidRDefault="006A18FD">
            <w:pPr>
              <w:rPr>
                <w:rFonts w:ascii="Times New Roman"/>
                <w:sz w:val="18"/>
              </w:rPr>
            </w:pPr>
          </w:p>
        </w:tc>
      </w:tr>
      <w:tr w:rsidR="006A18FD">
        <w:trPr>
          <w:trHeight w:val="300"/>
        </w:trPr>
        <w:tc>
          <w:tcPr>
            <w:tcW w:w="2160" w:type="dxa"/>
          </w:tcPr>
          <w:p w:rsidR="006A18FD" w:rsidRDefault="002D29FC">
            <w:pPr>
              <w:spacing w:before="68" w:line="224" w:lineRule="exact"/>
              <w:ind w:left="103"/>
              <w:rPr>
                <w:rFonts w:ascii="Calibri"/>
                <w:b/>
                <w:sz w:val="20"/>
              </w:rPr>
            </w:pPr>
            <w:r>
              <w:rPr>
                <w:rFonts w:ascii="Calibri"/>
                <w:b/>
                <w:sz w:val="20"/>
              </w:rPr>
              <w:t>A Wages/salary</w:t>
            </w:r>
          </w:p>
        </w:tc>
        <w:tc>
          <w:tcPr>
            <w:tcW w:w="1418" w:type="dxa"/>
          </w:tcPr>
          <w:p w:rsidR="006A18FD" w:rsidRDefault="002D29FC">
            <w:pPr>
              <w:spacing w:before="47"/>
              <w:ind w:left="324" w:right="327"/>
              <w:jc w:val="center"/>
              <w:rPr>
                <w:rFonts w:ascii="Calibri" w:hAnsi="Calibri"/>
                <w:sz w:val="18"/>
              </w:rPr>
            </w:pPr>
            <w:r>
              <w:rPr>
                <w:rFonts w:ascii="Calibri" w:hAnsi="Calibri"/>
                <w:sz w:val="18"/>
              </w:rPr>
              <w:t>£22,256</w:t>
            </w:r>
          </w:p>
        </w:tc>
        <w:tc>
          <w:tcPr>
            <w:tcW w:w="1417" w:type="dxa"/>
          </w:tcPr>
          <w:p w:rsidR="006A18FD" w:rsidRDefault="002D29FC">
            <w:pPr>
              <w:spacing w:before="47"/>
              <w:ind w:left="325" w:right="326"/>
              <w:jc w:val="center"/>
              <w:rPr>
                <w:rFonts w:ascii="Calibri" w:hAnsi="Calibri"/>
                <w:sz w:val="18"/>
              </w:rPr>
            </w:pPr>
            <w:r>
              <w:rPr>
                <w:rFonts w:ascii="Calibri" w:hAnsi="Calibri"/>
                <w:sz w:val="18"/>
              </w:rPr>
              <w:t>£24,212</w:t>
            </w:r>
          </w:p>
        </w:tc>
        <w:tc>
          <w:tcPr>
            <w:tcW w:w="1416" w:type="dxa"/>
          </w:tcPr>
          <w:p w:rsidR="006A18FD" w:rsidRDefault="002D29FC">
            <w:pPr>
              <w:spacing w:before="47"/>
              <w:ind w:right="406"/>
              <w:jc w:val="right"/>
              <w:rPr>
                <w:rFonts w:ascii="Calibri" w:hAnsi="Calibri"/>
                <w:sz w:val="18"/>
              </w:rPr>
            </w:pPr>
            <w:r>
              <w:rPr>
                <w:rFonts w:ascii="Calibri" w:hAnsi="Calibri"/>
                <w:sz w:val="18"/>
              </w:rPr>
              <w:t>£32,686</w:t>
            </w:r>
          </w:p>
        </w:tc>
        <w:tc>
          <w:tcPr>
            <w:tcW w:w="1419" w:type="dxa"/>
          </w:tcPr>
          <w:p w:rsidR="006A18FD" w:rsidRDefault="002D29FC">
            <w:pPr>
              <w:spacing w:before="47"/>
              <w:ind w:left="243" w:right="246"/>
              <w:jc w:val="center"/>
              <w:rPr>
                <w:rFonts w:ascii="Calibri" w:hAnsi="Calibri"/>
                <w:sz w:val="18"/>
              </w:rPr>
            </w:pPr>
            <w:r>
              <w:rPr>
                <w:rFonts w:ascii="Calibri" w:hAnsi="Calibri"/>
                <w:sz w:val="18"/>
              </w:rPr>
              <w:t>£40,180</w:t>
            </w:r>
          </w:p>
        </w:tc>
        <w:tc>
          <w:tcPr>
            <w:tcW w:w="1416" w:type="dxa"/>
          </w:tcPr>
          <w:p w:rsidR="006A18FD" w:rsidRDefault="002D29FC">
            <w:pPr>
              <w:spacing w:before="47"/>
              <w:ind w:left="342" w:right="342"/>
              <w:jc w:val="center"/>
              <w:rPr>
                <w:rFonts w:ascii="Calibri" w:hAnsi="Calibri"/>
                <w:sz w:val="18"/>
              </w:rPr>
            </w:pPr>
            <w:r>
              <w:rPr>
                <w:rFonts w:ascii="Calibri" w:hAnsi="Calibri"/>
                <w:sz w:val="18"/>
              </w:rPr>
              <w:t>£47,987</w:t>
            </w:r>
          </w:p>
        </w:tc>
        <w:tc>
          <w:tcPr>
            <w:tcW w:w="1418" w:type="dxa"/>
          </w:tcPr>
          <w:p w:rsidR="006A18FD" w:rsidRDefault="002D29FC">
            <w:pPr>
              <w:spacing w:before="47"/>
              <w:ind w:right="406"/>
              <w:jc w:val="right"/>
              <w:rPr>
                <w:rFonts w:ascii="Calibri" w:hAnsi="Calibri"/>
                <w:sz w:val="18"/>
              </w:rPr>
            </w:pPr>
            <w:r>
              <w:rPr>
                <w:rFonts w:ascii="Calibri" w:hAnsi="Calibri"/>
                <w:sz w:val="18"/>
              </w:rPr>
              <w:t>£57,495</w:t>
            </w:r>
          </w:p>
        </w:tc>
        <w:tc>
          <w:tcPr>
            <w:tcW w:w="1417" w:type="dxa"/>
          </w:tcPr>
          <w:p w:rsidR="006A18FD" w:rsidRDefault="002D29FC">
            <w:pPr>
              <w:spacing w:before="39"/>
              <w:ind w:left="325" w:right="325"/>
              <w:jc w:val="center"/>
              <w:rPr>
                <w:rFonts w:ascii="Calibri" w:hAnsi="Calibri"/>
                <w:sz w:val="18"/>
              </w:rPr>
            </w:pPr>
            <w:r>
              <w:rPr>
                <w:rFonts w:ascii="Calibri" w:hAnsi="Calibri"/>
                <w:sz w:val="18"/>
              </w:rPr>
              <w:t>£67,818</w:t>
            </w:r>
          </w:p>
        </w:tc>
        <w:tc>
          <w:tcPr>
            <w:tcW w:w="1418" w:type="dxa"/>
          </w:tcPr>
          <w:p w:rsidR="006A18FD" w:rsidRDefault="002D29FC">
            <w:pPr>
              <w:spacing w:before="39"/>
              <w:ind w:left="324" w:right="327"/>
              <w:jc w:val="center"/>
              <w:rPr>
                <w:rFonts w:ascii="Calibri" w:hAnsi="Calibri"/>
                <w:sz w:val="18"/>
              </w:rPr>
            </w:pPr>
            <w:r>
              <w:rPr>
                <w:rFonts w:ascii="Calibri" w:hAnsi="Calibri"/>
                <w:sz w:val="18"/>
              </w:rPr>
              <w:t>£81,836</w:t>
            </w:r>
          </w:p>
        </w:tc>
        <w:tc>
          <w:tcPr>
            <w:tcW w:w="1416" w:type="dxa"/>
          </w:tcPr>
          <w:p w:rsidR="006A18FD" w:rsidRDefault="002D29FC">
            <w:pPr>
              <w:spacing w:before="39"/>
              <w:ind w:right="360"/>
              <w:jc w:val="right"/>
              <w:rPr>
                <w:rFonts w:ascii="Calibri" w:hAnsi="Calibri"/>
                <w:sz w:val="18"/>
              </w:rPr>
            </w:pPr>
            <w:r>
              <w:rPr>
                <w:rFonts w:ascii="Calibri" w:hAnsi="Calibri"/>
                <w:sz w:val="18"/>
              </w:rPr>
              <w:t>£100,075</w:t>
            </w:r>
          </w:p>
        </w:tc>
      </w:tr>
      <w:tr w:rsidR="006A18FD">
        <w:trPr>
          <w:trHeight w:val="300"/>
        </w:trPr>
        <w:tc>
          <w:tcPr>
            <w:tcW w:w="2160" w:type="dxa"/>
          </w:tcPr>
          <w:p w:rsidR="006A18FD" w:rsidRDefault="002D29FC">
            <w:pPr>
              <w:spacing w:before="68" w:line="223" w:lineRule="exact"/>
              <w:ind w:left="103"/>
              <w:rPr>
                <w:rFonts w:ascii="Calibri"/>
                <w:b/>
                <w:sz w:val="20"/>
              </w:rPr>
            </w:pPr>
            <w:r>
              <w:rPr>
                <w:rFonts w:ascii="Calibri"/>
                <w:b/>
                <w:sz w:val="20"/>
              </w:rPr>
              <w:t>B Salary oncosts</w:t>
            </w:r>
          </w:p>
        </w:tc>
        <w:tc>
          <w:tcPr>
            <w:tcW w:w="1418" w:type="dxa"/>
          </w:tcPr>
          <w:p w:rsidR="006A18FD" w:rsidRDefault="002D29FC">
            <w:pPr>
              <w:spacing w:before="47"/>
              <w:ind w:left="324" w:right="327"/>
              <w:jc w:val="center"/>
              <w:rPr>
                <w:rFonts w:ascii="Calibri" w:hAnsi="Calibri"/>
                <w:sz w:val="18"/>
              </w:rPr>
            </w:pPr>
            <w:r>
              <w:rPr>
                <w:rFonts w:ascii="Calibri" w:hAnsi="Calibri"/>
                <w:sz w:val="18"/>
              </w:rPr>
              <w:t>£5,109</w:t>
            </w:r>
          </w:p>
        </w:tc>
        <w:tc>
          <w:tcPr>
            <w:tcW w:w="1417" w:type="dxa"/>
          </w:tcPr>
          <w:p w:rsidR="006A18FD" w:rsidRDefault="002D29FC">
            <w:pPr>
              <w:spacing w:before="47"/>
              <w:ind w:left="325" w:right="325"/>
              <w:jc w:val="center"/>
              <w:rPr>
                <w:rFonts w:ascii="Calibri" w:hAnsi="Calibri"/>
                <w:sz w:val="18"/>
              </w:rPr>
            </w:pPr>
            <w:r>
              <w:rPr>
                <w:rFonts w:ascii="Calibri" w:hAnsi="Calibri"/>
                <w:sz w:val="18"/>
              </w:rPr>
              <w:t>£5,660</w:t>
            </w:r>
          </w:p>
        </w:tc>
        <w:tc>
          <w:tcPr>
            <w:tcW w:w="1416" w:type="dxa"/>
          </w:tcPr>
          <w:p w:rsidR="006A18FD" w:rsidRDefault="002D29FC">
            <w:pPr>
              <w:spacing w:before="47"/>
              <w:ind w:left="450"/>
              <w:rPr>
                <w:rFonts w:ascii="Calibri" w:hAnsi="Calibri"/>
                <w:sz w:val="18"/>
              </w:rPr>
            </w:pPr>
            <w:r>
              <w:rPr>
                <w:rFonts w:ascii="Calibri" w:hAnsi="Calibri"/>
                <w:sz w:val="18"/>
              </w:rPr>
              <w:t>£8,048</w:t>
            </w:r>
          </w:p>
        </w:tc>
        <w:tc>
          <w:tcPr>
            <w:tcW w:w="1419" w:type="dxa"/>
          </w:tcPr>
          <w:p w:rsidR="006A18FD" w:rsidRDefault="002D29FC">
            <w:pPr>
              <w:spacing w:before="47"/>
              <w:ind w:left="243" w:right="246"/>
              <w:jc w:val="center"/>
              <w:rPr>
                <w:rFonts w:ascii="Calibri" w:hAnsi="Calibri"/>
                <w:sz w:val="18"/>
              </w:rPr>
            </w:pPr>
            <w:r>
              <w:rPr>
                <w:rFonts w:ascii="Calibri" w:hAnsi="Calibri"/>
                <w:sz w:val="18"/>
              </w:rPr>
              <w:t>£10,160</w:t>
            </w:r>
          </w:p>
        </w:tc>
        <w:tc>
          <w:tcPr>
            <w:tcW w:w="1416" w:type="dxa"/>
          </w:tcPr>
          <w:p w:rsidR="006A18FD" w:rsidRDefault="002D29FC">
            <w:pPr>
              <w:spacing w:before="47"/>
              <w:ind w:left="342" w:right="342"/>
              <w:jc w:val="center"/>
              <w:rPr>
                <w:rFonts w:ascii="Calibri" w:hAnsi="Calibri"/>
                <w:sz w:val="18"/>
              </w:rPr>
            </w:pPr>
            <w:r>
              <w:rPr>
                <w:rFonts w:ascii="Calibri" w:hAnsi="Calibri"/>
                <w:sz w:val="18"/>
              </w:rPr>
              <w:t>£12,360</w:t>
            </w:r>
          </w:p>
        </w:tc>
        <w:tc>
          <w:tcPr>
            <w:tcW w:w="1418" w:type="dxa"/>
          </w:tcPr>
          <w:p w:rsidR="006A18FD" w:rsidRDefault="002D29FC">
            <w:pPr>
              <w:spacing w:before="47"/>
              <w:ind w:right="406"/>
              <w:jc w:val="right"/>
              <w:rPr>
                <w:rFonts w:ascii="Calibri" w:hAnsi="Calibri"/>
                <w:sz w:val="18"/>
              </w:rPr>
            </w:pPr>
            <w:r>
              <w:rPr>
                <w:rFonts w:ascii="Calibri" w:hAnsi="Calibri"/>
                <w:sz w:val="18"/>
              </w:rPr>
              <w:t>£15,040</w:t>
            </w:r>
          </w:p>
        </w:tc>
        <w:tc>
          <w:tcPr>
            <w:tcW w:w="1417" w:type="dxa"/>
          </w:tcPr>
          <w:p w:rsidR="006A18FD" w:rsidRDefault="002D29FC">
            <w:pPr>
              <w:spacing w:before="39"/>
              <w:ind w:left="325" w:right="325"/>
              <w:jc w:val="center"/>
              <w:rPr>
                <w:rFonts w:ascii="Calibri" w:hAnsi="Calibri"/>
                <w:sz w:val="18"/>
              </w:rPr>
            </w:pPr>
            <w:r>
              <w:rPr>
                <w:rFonts w:ascii="Calibri" w:hAnsi="Calibri"/>
                <w:sz w:val="18"/>
              </w:rPr>
              <w:t>£17,362</w:t>
            </w:r>
          </w:p>
        </w:tc>
        <w:tc>
          <w:tcPr>
            <w:tcW w:w="1418" w:type="dxa"/>
          </w:tcPr>
          <w:p w:rsidR="006A18FD" w:rsidRDefault="002D29FC">
            <w:pPr>
              <w:spacing w:before="39"/>
              <w:ind w:left="324" w:right="327"/>
              <w:jc w:val="center"/>
              <w:rPr>
                <w:rFonts w:ascii="Calibri" w:hAnsi="Calibri"/>
                <w:sz w:val="18"/>
              </w:rPr>
            </w:pPr>
            <w:r>
              <w:rPr>
                <w:rFonts w:ascii="Calibri" w:hAnsi="Calibri"/>
                <w:sz w:val="18"/>
              </w:rPr>
              <w:t>£21,899</w:t>
            </w:r>
          </w:p>
        </w:tc>
        <w:tc>
          <w:tcPr>
            <w:tcW w:w="1416" w:type="dxa"/>
          </w:tcPr>
          <w:p w:rsidR="006A18FD" w:rsidRDefault="002D29FC">
            <w:pPr>
              <w:spacing w:before="39"/>
              <w:ind w:right="406"/>
              <w:jc w:val="right"/>
              <w:rPr>
                <w:rFonts w:ascii="Calibri" w:hAnsi="Calibri"/>
                <w:sz w:val="18"/>
              </w:rPr>
            </w:pPr>
            <w:r>
              <w:rPr>
                <w:rFonts w:ascii="Calibri" w:hAnsi="Calibri"/>
                <w:sz w:val="18"/>
              </w:rPr>
              <w:t>£27,039</w:t>
            </w:r>
          </w:p>
        </w:tc>
      </w:tr>
      <w:tr w:rsidR="006A18FD">
        <w:trPr>
          <w:trHeight w:val="300"/>
        </w:trPr>
        <w:tc>
          <w:tcPr>
            <w:tcW w:w="2160" w:type="dxa"/>
          </w:tcPr>
          <w:p w:rsidR="006A18FD" w:rsidRDefault="002D29FC">
            <w:pPr>
              <w:spacing w:before="68" w:line="223" w:lineRule="exact"/>
              <w:ind w:left="103"/>
              <w:rPr>
                <w:rFonts w:ascii="Calibri"/>
                <w:b/>
                <w:sz w:val="20"/>
              </w:rPr>
            </w:pPr>
            <w:r>
              <w:rPr>
                <w:rFonts w:ascii="Calibri"/>
                <w:b/>
                <w:sz w:val="20"/>
              </w:rPr>
              <w:t>C Qualification</w:t>
            </w:r>
          </w:p>
        </w:tc>
        <w:tc>
          <w:tcPr>
            <w:tcW w:w="1418" w:type="dxa"/>
          </w:tcPr>
          <w:p w:rsidR="006A18FD" w:rsidRDefault="002D29FC">
            <w:pPr>
              <w:spacing w:before="47"/>
              <w:ind w:left="323" w:right="327"/>
              <w:jc w:val="center"/>
              <w:rPr>
                <w:rFonts w:ascii="Calibri"/>
                <w:sz w:val="18"/>
              </w:rPr>
            </w:pPr>
            <w:r>
              <w:rPr>
                <w:rFonts w:ascii="Calibri"/>
                <w:sz w:val="18"/>
              </w:rPr>
              <w:t>See note</w:t>
            </w:r>
          </w:p>
        </w:tc>
        <w:tc>
          <w:tcPr>
            <w:tcW w:w="1417" w:type="dxa"/>
          </w:tcPr>
          <w:p w:rsidR="006A18FD" w:rsidRDefault="002D29FC">
            <w:pPr>
              <w:spacing w:before="47"/>
              <w:ind w:left="325" w:right="327"/>
              <w:jc w:val="center"/>
              <w:rPr>
                <w:rFonts w:ascii="Calibri"/>
                <w:sz w:val="18"/>
              </w:rPr>
            </w:pPr>
            <w:r>
              <w:rPr>
                <w:rFonts w:ascii="Calibri"/>
                <w:sz w:val="18"/>
              </w:rPr>
              <w:t>See note</w:t>
            </w:r>
          </w:p>
        </w:tc>
        <w:tc>
          <w:tcPr>
            <w:tcW w:w="1416" w:type="dxa"/>
          </w:tcPr>
          <w:p w:rsidR="006A18FD" w:rsidRDefault="002D29FC">
            <w:pPr>
              <w:spacing w:before="47"/>
              <w:ind w:right="383"/>
              <w:jc w:val="right"/>
              <w:rPr>
                <w:rFonts w:ascii="Calibri"/>
                <w:sz w:val="18"/>
              </w:rPr>
            </w:pPr>
            <w:r>
              <w:rPr>
                <w:rFonts w:ascii="Calibri"/>
                <w:sz w:val="18"/>
              </w:rPr>
              <w:t>See note</w:t>
            </w:r>
          </w:p>
        </w:tc>
        <w:tc>
          <w:tcPr>
            <w:tcW w:w="1419" w:type="dxa"/>
          </w:tcPr>
          <w:p w:rsidR="006A18FD" w:rsidRDefault="002D29FC">
            <w:pPr>
              <w:spacing w:before="47"/>
              <w:ind w:left="242" w:right="246"/>
              <w:jc w:val="center"/>
              <w:rPr>
                <w:rFonts w:ascii="Calibri"/>
                <w:sz w:val="18"/>
              </w:rPr>
            </w:pPr>
            <w:r>
              <w:rPr>
                <w:rFonts w:ascii="Calibri"/>
                <w:sz w:val="18"/>
              </w:rPr>
              <w:t>See note</w:t>
            </w:r>
          </w:p>
        </w:tc>
        <w:tc>
          <w:tcPr>
            <w:tcW w:w="1416" w:type="dxa"/>
          </w:tcPr>
          <w:p w:rsidR="006A18FD" w:rsidRDefault="002D29FC">
            <w:pPr>
              <w:spacing w:before="47"/>
              <w:ind w:left="340" w:right="342"/>
              <w:jc w:val="center"/>
              <w:rPr>
                <w:rFonts w:ascii="Calibri"/>
                <w:sz w:val="18"/>
              </w:rPr>
            </w:pPr>
            <w:r>
              <w:rPr>
                <w:rFonts w:ascii="Calibri"/>
                <w:sz w:val="18"/>
              </w:rPr>
              <w:t>See note</w:t>
            </w:r>
          </w:p>
        </w:tc>
        <w:tc>
          <w:tcPr>
            <w:tcW w:w="1418" w:type="dxa"/>
          </w:tcPr>
          <w:p w:rsidR="006A18FD" w:rsidRDefault="002D29FC">
            <w:pPr>
              <w:spacing w:before="47"/>
              <w:ind w:right="383"/>
              <w:jc w:val="right"/>
              <w:rPr>
                <w:rFonts w:ascii="Calibri"/>
                <w:sz w:val="18"/>
              </w:rPr>
            </w:pPr>
            <w:r>
              <w:rPr>
                <w:rFonts w:ascii="Calibri"/>
                <w:sz w:val="18"/>
              </w:rPr>
              <w:t>See note</w:t>
            </w:r>
          </w:p>
        </w:tc>
        <w:tc>
          <w:tcPr>
            <w:tcW w:w="1417" w:type="dxa"/>
          </w:tcPr>
          <w:p w:rsidR="006A18FD" w:rsidRDefault="002D29FC">
            <w:pPr>
              <w:spacing w:before="39"/>
              <w:ind w:left="325" w:right="326"/>
              <w:jc w:val="center"/>
              <w:rPr>
                <w:rFonts w:ascii="Calibri"/>
                <w:sz w:val="18"/>
              </w:rPr>
            </w:pPr>
            <w:r>
              <w:rPr>
                <w:rFonts w:ascii="Calibri"/>
                <w:sz w:val="18"/>
              </w:rPr>
              <w:t>See note</w:t>
            </w:r>
          </w:p>
        </w:tc>
        <w:tc>
          <w:tcPr>
            <w:tcW w:w="1418" w:type="dxa"/>
          </w:tcPr>
          <w:p w:rsidR="006A18FD" w:rsidRDefault="002D29FC">
            <w:pPr>
              <w:spacing w:before="39"/>
              <w:ind w:left="323" w:right="327"/>
              <w:jc w:val="center"/>
              <w:rPr>
                <w:rFonts w:ascii="Calibri"/>
                <w:sz w:val="18"/>
              </w:rPr>
            </w:pPr>
            <w:r>
              <w:rPr>
                <w:rFonts w:ascii="Calibri"/>
                <w:sz w:val="18"/>
              </w:rPr>
              <w:t>See note</w:t>
            </w:r>
          </w:p>
        </w:tc>
        <w:tc>
          <w:tcPr>
            <w:tcW w:w="1416" w:type="dxa"/>
          </w:tcPr>
          <w:p w:rsidR="006A18FD" w:rsidRDefault="002D29FC">
            <w:pPr>
              <w:spacing w:before="39"/>
              <w:ind w:right="383"/>
              <w:jc w:val="right"/>
              <w:rPr>
                <w:rFonts w:ascii="Calibri"/>
                <w:sz w:val="18"/>
              </w:rPr>
            </w:pPr>
            <w:r>
              <w:rPr>
                <w:rFonts w:ascii="Calibri"/>
                <w:sz w:val="18"/>
              </w:rPr>
              <w:t>See note</w:t>
            </w:r>
          </w:p>
        </w:tc>
      </w:tr>
      <w:tr w:rsidR="006A18FD">
        <w:trPr>
          <w:trHeight w:val="340"/>
        </w:trPr>
        <w:tc>
          <w:tcPr>
            <w:tcW w:w="2160" w:type="dxa"/>
          </w:tcPr>
          <w:p w:rsidR="006A18FD" w:rsidRDefault="002D29FC">
            <w:pPr>
              <w:spacing w:before="97" w:line="223" w:lineRule="exact"/>
              <w:ind w:left="103"/>
              <w:rPr>
                <w:rFonts w:ascii="Calibri"/>
                <w:b/>
                <w:sz w:val="20"/>
              </w:rPr>
            </w:pPr>
            <w:r>
              <w:rPr>
                <w:rFonts w:ascii="Calibri"/>
                <w:b/>
                <w:sz w:val="20"/>
              </w:rPr>
              <w:t>D Overheads</w:t>
            </w: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9"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6" w:type="dxa"/>
          </w:tcPr>
          <w:p w:rsidR="006A18FD" w:rsidRDefault="006A18FD">
            <w:pPr>
              <w:rPr>
                <w:rFonts w:ascii="Times New Roman"/>
                <w:sz w:val="18"/>
              </w:rPr>
            </w:pPr>
          </w:p>
        </w:tc>
      </w:tr>
      <w:tr w:rsidR="006A18FD">
        <w:trPr>
          <w:trHeight w:val="480"/>
        </w:trPr>
        <w:tc>
          <w:tcPr>
            <w:tcW w:w="2160" w:type="dxa"/>
          </w:tcPr>
          <w:p w:rsidR="006A18FD" w:rsidRDefault="002D29FC">
            <w:pPr>
              <w:spacing w:before="1" w:line="240" w:lineRule="atLeast"/>
              <w:ind w:left="103" w:right="62"/>
              <w:rPr>
                <w:rFonts w:ascii="Calibri"/>
                <w:sz w:val="20"/>
              </w:rPr>
            </w:pPr>
            <w:r>
              <w:rPr>
                <w:rFonts w:ascii="Calibri"/>
                <w:sz w:val="20"/>
              </w:rPr>
              <w:t>Management, admin and estates staff</w:t>
            </w:r>
          </w:p>
        </w:tc>
        <w:tc>
          <w:tcPr>
            <w:tcW w:w="1418" w:type="dxa"/>
          </w:tcPr>
          <w:p w:rsidR="006A18FD" w:rsidRDefault="002D29FC">
            <w:pPr>
              <w:spacing w:before="135"/>
              <w:ind w:left="325" w:right="327"/>
              <w:jc w:val="center"/>
              <w:rPr>
                <w:rFonts w:ascii="Calibri" w:hAnsi="Calibri"/>
                <w:sz w:val="18"/>
              </w:rPr>
            </w:pPr>
            <w:r>
              <w:rPr>
                <w:rFonts w:ascii="Calibri" w:hAnsi="Calibri"/>
                <w:sz w:val="18"/>
              </w:rPr>
              <w:t>£6,704</w:t>
            </w:r>
          </w:p>
        </w:tc>
        <w:tc>
          <w:tcPr>
            <w:tcW w:w="1417" w:type="dxa"/>
          </w:tcPr>
          <w:p w:rsidR="006A18FD" w:rsidRDefault="002D29FC">
            <w:pPr>
              <w:spacing w:before="135"/>
              <w:ind w:left="325" w:right="325"/>
              <w:jc w:val="center"/>
              <w:rPr>
                <w:rFonts w:ascii="Calibri" w:hAnsi="Calibri"/>
                <w:sz w:val="18"/>
              </w:rPr>
            </w:pPr>
            <w:r>
              <w:rPr>
                <w:rFonts w:ascii="Calibri" w:hAnsi="Calibri"/>
                <w:sz w:val="18"/>
              </w:rPr>
              <w:t>£7,319</w:t>
            </w:r>
          </w:p>
        </w:tc>
        <w:tc>
          <w:tcPr>
            <w:tcW w:w="1416" w:type="dxa"/>
          </w:tcPr>
          <w:p w:rsidR="006A18FD" w:rsidRDefault="002D29FC">
            <w:pPr>
              <w:spacing w:before="135"/>
              <w:ind w:left="450"/>
              <w:rPr>
                <w:rFonts w:ascii="Calibri" w:hAnsi="Calibri"/>
                <w:sz w:val="18"/>
              </w:rPr>
            </w:pPr>
            <w:r>
              <w:rPr>
                <w:rFonts w:ascii="Calibri" w:hAnsi="Calibri"/>
                <w:sz w:val="18"/>
              </w:rPr>
              <w:t>£9,980</w:t>
            </w:r>
          </w:p>
        </w:tc>
        <w:tc>
          <w:tcPr>
            <w:tcW w:w="1419" w:type="dxa"/>
          </w:tcPr>
          <w:p w:rsidR="006A18FD" w:rsidRDefault="002D29FC">
            <w:pPr>
              <w:spacing w:before="135"/>
              <w:ind w:left="243" w:right="246"/>
              <w:jc w:val="center"/>
              <w:rPr>
                <w:rFonts w:ascii="Calibri" w:hAnsi="Calibri"/>
                <w:sz w:val="18"/>
              </w:rPr>
            </w:pPr>
            <w:r>
              <w:rPr>
                <w:rFonts w:ascii="Calibri" w:hAnsi="Calibri"/>
                <w:sz w:val="18"/>
              </w:rPr>
              <w:t>£12,333</w:t>
            </w:r>
          </w:p>
        </w:tc>
        <w:tc>
          <w:tcPr>
            <w:tcW w:w="1416" w:type="dxa"/>
          </w:tcPr>
          <w:p w:rsidR="006A18FD" w:rsidRDefault="002D29FC">
            <w:pPr>
              <w:spacing w:before="135"/>
              <w:ind w:left="342" w:right="342"/>
              <w:jc w:val="center"/>
              <w:rPr>
                <w:rFonts w:ascii="Calibri" w:hAnsi="Calibri"/>
                <w:sz w:val="18"/>
              </w:rPr>
            </w:pPr>
            <w:r>
              <w:rPr>
                <w:rFonts w:ascii="Calibri" w:hAnsi="Calibri"/>
                <w:sz w:val="18"/>
              </w:rPr>
              <w:t>£14,785</w:t>
            </w:r>
          </w:p>
        </w:tc>
        <w:tc>
          <w:tcPr>
            <w:tcW w:w="1418" w:type="dxa"/>
          </w:tcPr>
          <w:p w:rsidR="006A18FD" w:rsidRDefault="002D29FC">
            <w:pPr>
              <w:spacing w:before="135"/>
              <w:ind w:right="405"/>
              <w:jc w:val="right"/>
              <w:rPr>
                <w:rFonts w:ascii="Calibri" w:hAnsi="Calibri"/>
                <w:sz w:val="18"/>
              </w:rPr>
            </w:pPr>
            <w:r>
              <w:rPr>
                <w:rFonts w:ascii="Calibri" w:hAnsi="Calibri"/>
                <w:sz w:val="18"/>
              </w:rPr>
              <w:t>£17,771</w:t>
            </w:r>
          </w:p>
        </w:tc>
        <w:tc>
          <w:tcPr>
            <w:tcW w:w="1417" w:type="dxa"/>
          </w:tcPr>
          <w:p w:rsidR="006A18FD" w:rsidRDefault="002D29FC">
            <w:pPr>
              <w:spacing w:before="121"/>
              <w:ind w:left="325" w:right="326"/>
              <w:jc w:val="center"/>
              <w:rPr>
                <w:rFonts w:ascii="Calibri" w:hAnsi="Calibri"/>
                <w:sz w:val="18"/>
              </w:rPr>
            </w:pPr>
            <w:r>
              <w:rPr>
                <w:rFonts w:ascii="Calibri" w:hAnsi="Calibri"/>
                <w:sz w:val="18"/>
              </w:rPr>
              <w:t>£20,869</w:t>
            </w:r>
          </w:p>
        </w:tc>
        <w:tc>
          <w:tcPr>
            <w:tcW w:w="1418" w:type="dxa"/>
          </w:tcPr>
          <w:p w:rsidR="006A18FD" w:rsidRDefault="002D29FC">
            <w:pPr>
              <w:spacing w:before="121"/>
              <w:ind w:left="324" w:right="327"/>
              <w:jc w:val="center"/>
              <w:rPr>
                <w:rFonts w:ascii="Calibri" w:hAnsi="Calibri"/>
                <w:sz w:val="18"/>
              </w:rPr>
            </w:pPr>
            <w:r>
              <w:rPr>
                <w:rFonts w:ascii="Calibri" w:hAnsi="Calibri"/>
                <w:sz w:val="18"/>
              </w:rPr>
              <w:t>£24,415</w:t>
            </w:r>
          </w:p>
        </w:tc>
        <w:tc>
          <w:tcPr>
            <w:tcW w:w="1416" w:type="dxa"/>
          </w:tcPr>
          <w:p w:rsidR="006A18FD" w:rsidRDefault="002D29FC">
            <w:pPr>
              <w:spacing w:before="121"/>
              <w:ind w:right="406"/>
              <w:jc w:val="right"/>
              <w:rPr>
                <w:rFonts w:ascii="Calibri" w:hAnsi="Calibri"/>
                <w:sz w:val="18"/>
              </w:rPr>
            </w:pPr>
            <w:r>
              <w:rPr>
                <w:rFonts w:ascii="Calibri" w:hAnsi="Calibri"/>
                <w:sz w:val="18"/>
              </w:rPr>
              <w:t>£31,143</w:t>
            </w:r>
          </w:p>
        </w:tc>
      </w:tr>
      <w:tr w:rsidR="006A18FD">
        <w:trPr>
          <w:trHeight w:val="299"/>
        </w:trPr>
        <w:tc>
          <w:tcPr>
            <w:tcW w:w="2160" w:type="dxa"/>
          </w:tcPr>
          <w:p w:rsidR="006A18FD" w:rsidRDefault="002D29FC">
            <w:pPr>
              <w:spacing w:before="67" w:line="223" w:lineRule="exact"/>
              <w:ind w:left="103"/>
              <w:rPr>
                <w:rFonts w:ascii="Calibri"/>
                <w:sz w:val="20"/>
              </w:rPr>
            </w:pPr>
            <w:r>
              <w:rPr>
                <w:rFonts w:ascii="Calibri"/>
                <w:sz w:val="20"/>
              </w:rPr>
              <w:t>Non-staff</w:t>
            </w:r>
          </w:p>
        </w:tc>
        <w:tc>
          <w:tcPr>
            <w:tcW w:w="1418" w:type="dxa"/>
          </w:tcPr>
          <w:p w:rsidR="006A18FD" w:rsidRDefault="002D29FC">
            <w:pPr>
              <w:spacing w:before="45"/>
              <w:ind w:left="325" w:right="327"/>
              <w:jc w:val="center"/>
              <w:rPr>
                <w:rFonts w:ascii="Calibri" w:hAnsi="Calibri"/>
                <w:sz w:val="18"/>
              </w:rPr>
            </w:pPr>
            <w:r>
              <w:rPr>
                <w:rFonts w:ascii="Calibri" w:hAnsi="Calibri"/>
                <w:sz w:val="18"/>
              </w:rPr>
              <w:t>£10,454</w:t>
            </w:r>
          </w:p>
        </w:tc>
        <w:tc>
          <w:tcPr>
            <w:tcW w:w="1417" w:type="dxa"/>
          </w:tcPr>
          <w:p w:rsidR="006A18FD" w:rsidRDefault="002D29FC">
            <w:pPr>
              <w:spacing w:before="45"/>
              <w:ind w:left="325" w:right="326"/>
              <w:jc w:val="center"/>
              <w:rPr>
                <w:rFonts w:ascii="Calibri" w:hAnsi="Calibri"/>
                <w:sz w:val="18"/>
              </w:rPr>
            </w:pPr>
            <w:r>
              <w:rPr>
                <w:rFonts w:ascii="Calibri" w:hAnsi="Calibri"/>
                <w:sz w:val="18"/>
              </w:rPr>
              <w:t>£11,411</w:t>
            </w:r>
          </w:p>
        </w:tc>
        <w:tc>
          <w:tcPr>
            <w:tcW w:w="1416" w:type="dxa"/>
          </w:tcPr>
          <w:p w:rsidR="006A18FD" w:rsidRDefault="002D29FC">
            <w:pPr>
              <w:spacing w:before="45"/>
              <w:ind w:right="406"/>
              <w:jc w:val="right"/>
              <w:rPr>
                <w:rFonts w:ascii="Calibri" w:hAnsi="Calibri"/>
                <w:sz w:val="18"/>
              </w:rPr>
            </w:pPr>
            <w:r>
              <w:rPr>
                <w:rFonts w:ascii="Calibri" w:hAnsi="Calibri"/>
                <w:sz w:val="18"/>
              </w:rPr>
              <w:t>£15,561</w:t>
            </w:r>
          </w:p>
        </w:tc>
        <w:tc>
          <w:tcPr>
            <w:tcW w:w="1419" w:type="dxa"/>
          </w:tcPr>
          <w:p w:rsidR="006A18FD" w:rsidRDefault="002D29FC">
            <w:pPr>
              <w:spacing w:before="45"/>
              <w:ind w:left="243" w:right="246"/>
              <w:jc w:val="center"/>
              <w:rPr>
                <w:rFonts w:ascii="Calibri" w:hAnsi="Calibri"/>
                <w:sz w:val="18"/>
              </w:rPr>
            </w:pPr>
            <w:r>
              <w:rPr>
                <w:rFonts w:ascii="Calibri" w:hAnsi="Calibri"/>
                <w:sz w:val="18"/>
              </w:rPr>
              <w:t>£19,230</w:t>
            </w:r>
          </w:p>
        </w:tc>
        <w:tc>
          <w:tcPr>
            <w:tcW w:w="1416" w:type="dxa"/>
          </w:tcPr>
          <w:p w:rsidR="006A18FD" w:rsidRDefault="002D29FC">
            <w:pPr>
              <w:spacing w:before="45"/>
              <w:ind w:left="342" w:right="342"/>
              <w:jc w:val="center"/>
              <w:rPr>
                <w:rFonts w:ascii="Calibri" w:hAnsi="Calibri"/>
                <w:sz w:val="18"/>
              </w:rPr>
            </w:pPr>
            <w:r>
              <w:rPr>
                <w:rFonts w:ascii="Calibri" w:hAnsi="Calibri"/>
                <w:sz w:val="18"/>
              </w:rPr>
              <w:t>£23,053</w:t>
            </w:r>
          </w:p>
        </w:tc>
        <w:tc>
          <w:tcPr>
            <w:tcW w:w="1418" w:type="dxa"/>
          </w:tcPr>
          <w:p w:rsidR="006A18FD" w:rsidRDefault="002D29FC">
            <w:pPr>
              <w:spacing w:before="45"/>
              <w:ind w:right="406"/>
              <w:jc w:val="right"/>
              <w:rPr>
                <w:rFonts w:ascii="Calibri" w:hAnsi="Calibri"/>
                <w:sz w:val="18"/>
              </w:rPr>
            </w:pPr>
            <w:r>
              <w:rPr>
                <w:rFonts w:ascii="Calibri" w:hAnsi="Calibri"/>
                <w:sz w:val="18"/>
              </w:rPr>
              <w:t>£27,708</w:t>
            </w:r>
          </w:p>
        </w:tc>
        <w:tc>
          <w:tcPr>
            <w:tcW w:w="1417" w:type="dxa"/>
          </w:tcPr>
          <w:p w:rsidR="006A18FD" w:rsidRDefault="002D29FC">
            <w:pPr>
              <w:spacing w:before="38"/>
              <w:ind w:left="325" w:right="325"/>
              <w:jc w:val="center"/>
              <w:rPr>
                <w:rFonts w:ascii="Calibri" w:hAnsi="Calibri"/>
                <w:sz w:val="18"/>
              </w:rPr>
            </w:pPr>
            <w:r>
              <w:rPr>
                <w:rFonts w:ascii="Calibri" w:hAnsi="Calibri"/>
                <w:sz w:val="18"/>
              </w:rPr>
              <w:t>£32,539</w:t>
            </w:r>
          </w:p>
        </w:tc>
        <w:tc>
          <w:tcPr>
            <w:tcW w:w="1418" w:type="dxa"/>
          </w:tcPr>
          <w:p w:rsidR="006A18FD" w:rsidRDefault="002D29FC">
            <w:pPr>
              <w:spacing w:before="38"/>
              <w:ind w:left="324" w:right="327"/>
              <w:jc w:val="center"/>
              <w:rPr>
                <w:rFonts w:ascii="Calibri" w:hAnsi="Calibri"/>
                <w:sz w:val="18"/>
              </w:rPr>
            </w:pPr>
            <w:r>
              <w:rPr>
                <w:rFonts w:ascii="Calibri" w:hAnsi="Calibri"/>
                <w:sz w:val="18"/>
              </w:rPr>
              <w:t>£39,627</w:t>
            </w:r>
          </w:p>
        </w:tc>
        <w:tc>
          <w:tcPr>
            <w:tcW w:w="1416" w:type="dxa"/>
          </w:tcPr>
          <w:p w:rsidR="006A18FD" w:rsidRDefault="002D29FC">
            <w:pPr>
              <w:spacing w:before="38"/>
              <w:ind w:right="406"/>
              <w:jc w:val="right"/>
              <w:rPr>
                <w:rFonts w:ascii="Calibri" w:hAnsi="Calibri"/>
                <w:sz w:val="18"/>
              </w:rPr>
            </w:pPr>
            <w:r>
              <w:rPr>
                <w:rFonts w:ascii="Calibri" w:hAnsi="Calibri"/>
                <w:sz w:val="18"/>
              </w:rPr>
              <w:t>£48,557</w:t>
            </w:r>
          </w:p>
        </w:tc>
      </w:tr>
      <w:tr w:rsidR="006A18FD">
        <w:trPr>
          <w:trHeight w:val="300"/>
        </w:trPr>
        <w:tc>
          <w:tcPr>
            <w:tcW w:w="2160" w:type="dxa"/>
          </w:tcPr>
          <w:p w:rsidR="006A18FD" w:rsidRDefault="002D29FC">
            <w:pPr>
              <w:spacing w:before="68" w:line="223" w:lineRule="exact"/>
              <w:ind w:left="103"/>
              <w:rPr>
                <w:rFonts w:ascii="Calibri"/>
                <w:b/>
                <w:sz w:val="20"/>
              </w:rPr>
            </w:pPr>
            <w:r>
              <w:rPr>
                <w:rFonts w:ascii="Calibri"/>
                <w:b/>
                <w:sz w:val="20"/>
              </w:rPr>
              <w:t>E Capital overheads</w:t>
            </w:r>
          </w:p>
        </w:tc>
        <w:tc>
          <w:tcPr>
            <w:tcW w:w="1418" w:type="dxa"/>
          </w:tcPr>
          <w:p w:rsidR="006A18FD" w:rsidRDefault="002D29FC">
            <w:pPr>
              <w:spacing w:before="47"/>
              <w:ind w:left="324" w:right="327"/>
              <w:jc w:val="center"/>
              <w:rPr>
                <w:rFonts w:ascii="Calibri" w:hAnsi="Calibri"/>
                <w:sz w:val="18"/>
              </w:rPr>
            </w:pPr>
            <w:r>
              <w:rPr>
                <w:rFonts w:ascii="Calibri" w:hAnsi="Calibri"/>
                <w:sz w:val="18"/>
              </w:rPr>
              <w:t>£3,092</w:t>
            </w:r>
          </w:p>
        </w:tc>
        <w:tc>
          <w:tcPr>
            <w:tcW w:w="1417" w:type="dxa"/>
          </w:tcPr>
          <w:p w:rsidR="006A18FD" w:rsidRDefault="002D29FC">
            <w:pPr>
              <w:spacing w:before="47"/>
              <w:ind w:left="325" w:right="326"/>
              <w:jc w:val="center"/>
              <w:rPr>
                <w:rFonts w:ascii="Calibri" w:hAnsi="Calibri"/>
                <w:sz w:val="18"/>
              </w:rPr>
            </w:pPr>
            <w:r>
              <w:rPr>
                <w:rFonts w:ascii="Calibri" w:hAnsi="Calibri"/>
                <w:sz w:val="18"/>
              </w:rPr>
              <w:t>£5,237</w:t>
            </w:r>
          </w:p>
        </w:tc>
        <w:tc>
          <w:tcPr>
            <w:tcW w:w="1416" w:type="dxa"/>
          </w:tcPr>
          <w:p w:rsidR="006A18FD" w:rsidRDefault="002D29FC">
            <w:pPr>
              <w:spacing w:before="47"/>
              <w:ind w:left="450"/>
              <w:rPr>
                <w:rFonts w:ascii="Calibri" w:hAnsi="Calibri"/>
                <w:sz w:val="18"/>
              </w:rPr>
            </w:pPr>
            <w:r>
              <w:rPr>
                <w:rFonts w:ascii="Calibri" w:hAnsi="Calibri"/>
                <w:sz w:val="18"/>
              </w:rPr>
              <w:t>£5,237</w:t>
            </w:r>
          </w:p>
        </w:tc>
        <w:tc>
          <w:tcPr>
            <w:tcW w:w="1419" w:type="dxa"/>
          </w:tcPr>
          <w:p w:rsidR="006A18FD" w:rsidRDefault="002D29FC">
            <w:pPr>
              <w:spacing w:before="47"/>
              <w:ind w:left="243" w:right="246"/>
              <w:jc w:val="center"/>
              <w:rPr>
                <w:rFonts w:ascii="Calibri" w:hAnsi="Calibri"/>
                <w:sz w:val="18"/>
              </w:rPr>
            </w:pPr>
            <w:r>
              <w:rPr>
                <w:rFonts w:ascii="Calibri" w:hAnsi="Calibri"/>
                <w:sz w:val="18"/>
              </w:rPr>
              <w:t>£5,237</w:t>
            </w:r>
          </w:p>
        </w:tc>
        <w:tc>
          <w:tcPr>
            <w:tcW w:w="1416" w:type="dxa"/>
          </w:tcPr>
          <w:p w:rsidR="006A18FD" w:rsidRDefault="002D29FC">
            <w:pPr>
              <w:spacing w:before="47"/>
              <w:ind w:left="342" w:right="342"/>
              <w:jc w:val="center"/>
              <w:rPr>
                <w:rFonts w:ascii="Calibri" w:hAnsi="Calibri"/>
                <w:sz w:val="18"/>
              </w:rPr>
            </w:pPr>
            <w:r>
              <w:rPr>
                <w:rFonts w:ascii="Calibri" w:hAnsi="Calibri"/>
                <w:sz w:val="18"/>
              </w:rPr>
              <w:t>£5,237</w:t>
            </w:r>
          </w:p>
        </w:tc>
        <w:tc>
          <w:tcPr>
            <w:tcW w:w="1418" w:type="dxa"/>
          </w:tcPr>
          <w:p w:rsidR="006A18FD" w:rsidRDefault="002D29FC">
            <w:pPr>
              <w:spacing w:before="47"/>
              <w:ind w:right="451"/>
              <w:jc w:val="right"/>
              <w:rPr>
                <w:rFonts w:ascii="Calibri" w:hAnsi="Calibri"/>
                <w:sz w:val="18"/>
              </w:rPr>
            </w:pPr>
            <w:r>
              <w:rPr>
                <w:rFonts w:ascii="Calibri" w:hAnsi="Calibri"/>
                <w:sz w:val="18"/>
              </w:rPr>
              <w:t>£5,237</w:t>
            </w:r>
          </w:p>
        </w:tc>
        <w:tc>
          <w:tcPr>
            <w:tcW w:w="1417" w:type="dxa"/>
          </w:tcPr>
          <w:p w:rsidR="006A18FD" w:rsidRDefault="002D29FC">
            <w:pPr>
              <w:spacing w:before="39"/>
              <w:ind w:left="325" w:right="325"/>
              <w:jc w:val="center"/>
              <w:rPr>
                <w:rFonts w:ascii="Calibri" w:hAnsi="Calibri"/>
                <w:sz w:val="18"/>
              </w:rPr>
            </w:pPr>
            <w:r>
              <w:rPr>
                <w:rFonts w:ascii="Calibri" w:hAnsi="Calibri"/>
                <w:sz w:val="18"/>
              </w:rPr>
              <w:t>£5,237</w:t>
            </w:r>
          </w:p>
        </w:tc>
        <w:tc>
          <w:tcPr>
            <w:tcW w:w="1418" w:type="dxa"/>
          </w:tcPr>
          <w:p w:rsidR="006A18FD" w:rsidRDefault="002D29FC">
            <w:pPr>
              <w:spacing w:before="39"/>
              <w:ind w:left="324" w:right="327"/>
              <w:jc w:val="center"/>
              <w:rPr>
                <w:rFonts w:ascii="Calibri" w:hAnsi="Calibri"/>
                <w:sz w:val="18"/>
              </w:rPr>
            </w:pPr>
            <w:r>
              <w:rPr>
                <w:rFonts w:ascii="Calibri" w:hAnsi="Calibri"/>
                <w:sz w:val="18"/>
              </w:rPr>
              <w:t>£5,237</w:t>
            </w:r>
          </w:p>
        </w:tc>
        <w:tc>
          <w:tcPr>
            <w:tcW w:w="1416" w:type="dxa"/>
          </w:tcPr>
          <w:p w:rsidR="006A18FD" w:rsidRDefault="002D29FC">
            <w:pPr>
              <w:spacing w:before="39"/>
              <w:ind w:right="452"/>
              <w:jc w:val="right"/>
              <w:rPr>
                <w:rFonts w:ascii="Calibri" w:hAnsi="Calibri"/>
                <w:sz w:val="18"/>
              </w:rPr>
            </w:pPr>
            <w:r>
              <w:rPr>
                <w:rFonts w:ascii="Calibri" w:hAnsi="Calibri"/>
                <w:sz w:val="18"/>
              </w:rPr>
              <w:t>£5,237</w:t>
            </w:r>
          </w:p>
        </w:tc>
      </w:tr>
      <w:tr w:rsidR="006A18FD">
        <w:trPr>
          <w:trHeight w:val="300"/>
        </w:trPr>
        <w:tc>
          <w:tcPr>
            <w:tcW w:w="2160" w:type="dxa"/>
          </w:tcPr>
          <w:p w:rsidR="006A18FD" w:rsidRDefault="002D29FC">
            <w:pPr>
              <w:spacing w:before="68" w:line="223" w:lineRule="exact"/>
              <w:ind w:left="103"/>
              <w:rPr>
                <w:rFonts w:ascii="Calibri"/>
                <w:b/>
                <w:sz w:val="20"/>
              </w:rPr>
            </w:pPr>
            <w:r>
              <w:rPr>
                <w:rFonts w:ascii="Calibri"/>
                <w:b/>
                <w:sz w:val="20"/>
              </w:rPr>
              <w:t>F Travel</w:t>
            </w:r>
          </w:p>
        </w:tc>
        <w:tc>
          <w:tcPr>
            <w:tcW w:w="1418" w:type="dxa"/>
          </w:tcPr>
          <w:p w:rsidR="006A18FD" w:rsidRDefault="002D29FC">
            <w:pPr>
              <w:spacing w:before="47"/>
              <w:ind w:left="323" w:right="327"/>
              <w:jc w:val="center"/>
              <w:rPr>
                <w:rFonts w:ascii="Calibri"/>
                <w:sz w:val="18"/>
              </w:rPr>
            </w:pPr>
            <w:r>
              <w:rPr>
                <w:rFonts w:ascii="Calibri"/>
                <w:sz w:val="18"/>
              </w:rPr>
              <w:t>See note</w:t>
            </w:r>
          </w:p>
        </w:tc>
        <w:tc>
          <w:tcPr>
            <w:tcW w:w="1417" w:type="dxa"/>
          </w:tcPr>
          <w:p w:rsidR="006A18FD" w:rsidRDefault="002D29FC">
            <w:pPr>
              <w:spacing w:before="47"/>
              <w:ind w:left="325" w:right="327"/>
              <w:jc w:val="center"/>
              <w:rPr>
                <w:rFonts w:ascii="Calibri"/>
                <w:sz w:val="18"/>
              </w:rPr>
            </w:pPr>
            <w:r>
              <w:rPr>
                <w:rFonts w:ascii="Calibri"/>
                <w:sz w:val="18"/>
              </w:rPr>
              <w:t>See note</w:t>
            </w:r>
          </w:p>
        </w:tc>
        <w:tc>
          <w:tcPr>
            <w:tcW w:w="1416" w:type="dxa"/>
          </w:tcPr>
          <w:p w:rsidR="006A18FD" w:rsidRDefault="002D29FC">
            <w:pPr>
              <w:spacing w:before="47"/>
              <w:ind w:right="383"/>
              <w:jc w:val="right"/>
              <w:rPr>
                <w:rFonts w:ascii="Calibri"/>
                <w:sz w:val="18"/>
              </w:rPr>
            </w:pPr>
            <w:r>
              <w:rPr>
                <w:rFonts w:ascii="Calibri"/>
                <w:sz w:val="18"/>
              </w:rPr>
              <w:t>See note</w:t>
            </w:r>
          </w:p>
        </w:tc>
        <w:tc>
          <w:tcPr>
            <w:tcW w:w="1419" w:type="dxa"/>
          </w:tcPr>
          <w:p w:rsidR="006A18FD" w:rsidRDefault="002D29FC">
            <w:pPr>
              <w:spacing w:before="47"/>
              <w:ind w:left="242" w:right="246"/>
              <w:jc w:val="center"/>
              <w:rPr>
                <w:rFonts w:ascii="Calibri"/>
                <w:sz w:val="18"/>
              </w:rPr>
            </w:pPr>
            <w:r>
              <w:rPr>
                <w:rFonts w:ascii="Calibri"/>
                <w:sz w:val="18"/>
              </w:rPr>
              <w:t>See note</w:t>
            </w:r>
          </w:p>
        </w:tc>
        <w:tc>
          <w:tcPr>
            <w:tcW w:w="1416" w:type="dxa"/>
          </w:tcPr>
          <w:p w:rsidR="006A18FD" w:rsidRDefault="002D29FC">
            <w:pPr>
              <w:spacing w:before="47"/>
              <w:ind w:left="340" w:right="342"/>
              <w:jc w:val="center"/>
              <w:rPr>
                <w:rFonts w:ascii="Calibri"/>
                <w:sz w:val="18"/>
              </w:rPr>
            </w:pPr>
            <w:r>
              <w:rPr>
                <w:rFonts w:ascii="Calibri"/>
                <w:sz w:val="18"/>
              </w:rPr>
              <w:t>See note</w:t>
            </w:r>
          </w:p>
        </w:tc>
        <w:tc>
          <w:tcPr>
            <w:tcW w:w="1418" w:type="dxa"/>
          </w:tcPr>
          <w:p w:rsidR="006A18FD" w:rsidRDefault="002D29FC">
            <w:pPr>
              <w:spacing w:before="47"/>
              <w:ind w:right="383"/>
              <w:jc w:val="right"/>
              <w:rPr>
                <w:rFonts w:ascii="Calibri"/>
                <w:sz w:val="18"/>
              </w:rPr>
            </w:pPr>
            <w:r>
              <w:rPr>
                <w:rFonts w:ascii="Calibri"/>
                <w:sz w:val="18"/>
              </w:rPr>
              <w:t>See note</w:t>
            </w:r>
          </w:p>
        </w:tc>
        <w:tc>
          <w:tcPr>
            <w:tcW w:w="1417" w:type="dxa"/>
          </w:tcPr>
          <w:p w:rsidR="006A18FD" w:rsidRDefault="002D29FC">
            <w:pPr>
              <w:spacing w:before="1"/>
              <w:ind w:left="325" w:right="326"/>
              <w:jc w:val="center"/>
              <w:rPr>
                <w:rFonts w:ascii="Calibri"/>
                <w:sz w:val="18"/>
              </w:rPr>
            </w:pPr>
            <w:r>
              <w:rPr>
                <w:rFonts w:ascii="Calibri"/>
                <w:sz w:val="18"/>
              </w:rPr>
              <w:t>See note</w:t>
            </w:r>
          </w:p>
        </w:tc>
        <w:tc>
          <w:tcPr>
            <w:tcW w:w="1418" w:type="dxa"/>
          </w:tcPr>
          <w:p w:rsidR="006A18FD" w:rsidRDefault="002D29FC">
            <w:pPr>
              <w:spacing w:before="1"/>
              <w:ind w:left="323" w:right="327"/>
              <w:jc w:val="center"/>
              <w:rPr>
                <w:rFonts w:ascii="Calibri"/>
                <w:sz w:val="18"/>
              </w:rPr>
            </w:pPr>
            <w:r>
              <w:rPr>
                <w:rFonts w:ascii="Calibri"/>
                <w:sz w:val="18"/>
              </w:rPr>
              <w:t>See note</w:t>
            </w:r>
          </w:p>
        </w:tc>
        <w:tc>
          <w:tcPr>
            <w:tcW w:w="1416" w:type="dxa"/>
          </w:tcPr>
          <w:p w:rsidR="006A18FD" w:rsidRDefault="002D29FC">
            <w:pPr>
              <w:spacing w:before="1"/>
              <w:ind w:right="383"/>
              <w:jc w:val="right"/>
              <w:rPr>
                <w:rFonts w:ascii="Calibri"/>
                <w:sz w:val="18"/>
              </w:rPr>
            </w:pPr>
            <w:r>
              <w:rPr>
                <w:rFonts w:ascii="Calibri"/>
                <w:sz w:val="18"/>
              </w:rPr>
              <w:t>See note</w:t>
            </w:r>
          </w:p>
        </w:tc>
      </w:tr>
      <w:tr w:rsidR="006A18FD">
        <w:trPr>
          <w:trHeight w:val="960"/>
        </w:trPr>
        <w:tc>
          <w:tcPr>
            <w:tcW w:w="2160" w:type="dxa"/>
          </w:tcPr>
          <w:p w:rsidR="006A18FD" w:rsidRDefault="002D29FC">
            <w:pPr>
              <w:spacing w:before="1"/>
              <w:ind w:left="103"/>
              <w:rPr>
                <w:rFonts w:ascii="Calibri"/>
                <w:b/>
                <w:sz w:val="20"/>
              </w:rPr>
            </w:pPr>
            <w:r>
              <w:rPr>
                <w:rFonts w:ascii="Calibri"/>
                <w:b/>
                <w:sz w:val="20"/>
              </w:rPr>
              <w:t>G Working time</w:t>
            </w:r>
          </w:p>
        </w:tc>
        <w:tc>
          <w:tcPr>
            <w:tcW w:w="1418" w:type="dxa"/>
          </w:tcPr>
          <w:p w:rsidR="006A18FD" w:rsidRDefault="002D29FC">
            <w:pPr>
              <w:spacing w:before="49"/>
              <w:ind w:left="134" w:right="119" w:firstLine="158"/>
              <w:rPr>
                <w:rFonts w:ascii="Calibri"/>
                <w:sz w:val="18"/>
              </w:rPr>
            </w:pPr>
            <w:r>
              <w:rPr>
                <w:rFonts w:ascii="Calibri"/>
                <w:sz w:val="18"/>
              </w:rPr>
              <w:t>43.2 weeks (1,618 hours) per year, 37.5 hours per week</w:t>
            </w:r>
          </w:p>
        </w:tc>
        <w:tc>
          <w:tcPr>
            <w:tcW w:w="1417" w:type="dxa"/>
          </w:tcPr>
          <w:p w:rsidR="006A18FD" w:rsidRDefault="002D29FC">
            <w:pPr>
              <w:spacing w:before="49"/>
              <w:ind w:left="134" w:right="68" w:firstLine="158"/>
              <w:rPr>
                <w:rFonts w:ascii="Calibri"/>
                <w:sz w:val="18"/>
              </w:rPr>
            </w:pPr>
            <w:r>
              <w:rPr>
                <w:rFonts w:ascii="Calibri"/>
                <w:sz w:val="18"/>
              </w:rPr>
              <w:t>42.6 weeks (1,599 hours) per year, 37.5 hours per week</w:t>
            </w:r>
          </w:p>
        </w:tc>
        <w:tc>
          <w:tcPr>
            <w:tcW w:w="1416" w:type="dxa"/>
          </w:tcPr>
          <w:p w:rsidR="006A18FD" w:rsidRDefault="002D29FC">
            <w:pPr>
              <w:spacing w:before="49"/>
              <w:ind w:left="134" w:right="68" w:firstLine="158"/>
              <w:rPr>
                <w:rFonts w:ascii="Calibri"/>
                <w:sz w:val="18"/>
              </w:rPr>
            </w:pPr>
            <w:r>
              <w:rPr>
                <w:rFonts w:ascii="Calibri"/>
                <w:sz w:val="18"/>
              </w:rPr>
              <w:t>42.6 weeks (1,599 hours) per year, 37.5 hours per week</w:t>
            </w:r>
          </w:p>
        </w:tc>
        <w:tc>
          <w:tcPr>
            <w:tcW w:w="1419" w:type="dxa"/>
          </w:tcPr>
          <w:p w:rsidR="006A18FD" w:rsidRDefault="002D29FC">
            <w:pPr>
              <w:spacing w:before="49"/>
              <w:ind w:left="134" w:right="71" w:firstLine="158"/>
              <w:rPr>
                <w:rFonts w:ascii="Calibri"/>
                <w:sz w:val="18"/>
              </w:rPr>
            </w:pPr>
            <w:r>
              <w:rPr>
                <w:rFonts w:ascii="Calibri"/>
                <w:sz w:val="18"/>
              </w:rPr>
              <w:t>42.6 weeks (1,599 hours) per year, 37.5 hours per week</w:t>
            </w:r>
          </w:p>
        </w:tc>
        <w:tc>
          <w:tcPr>
            <w:tcW w:w="1416" w:type="dxa"/>
          </w:tcPr>
          <w:p w:rsidR="006A18FD" w:rsidRDefault="002D29FC">
            <w:pPr>
              <w:spacing w:before="49"/>
              <w:ind w:left="134" w:right="68" w:firstLine="158"/>
              <w:rPr>
                <w:rFonts w:ascii="Calibri"/>
                <w:sz w:val="18"/>
              </w:rPr>
            </w:pPr>
            <w:r>
              <w:rPr>
                <w:rFonts w:ascii="Calibri"/>
                <w:sz w:val="18"/>
              </w:rPr>
              <w:t>42.6 weeks (1,599 hours) per year, 37.5 hours per week</w:t>
            </w:r>
          </w:p>
        </w:tc>
        <w:tc>
          <w:tcPr>
            <w:tcW w:w="1418" w:type="dxa"/>
          </w:tcPr>
          <w:p w:rsidR="006A18FD" w:rsidRDefault="002D29FC">
            <w:pPr>
              <w:spacing w:before="49"/>
              <w:ind w:left="136" w:right="117" w:firstLine="158"/>
              <w:rPr>
                <w:rFonts w:ascii="Calibri"/>
                <w:sz w:val="18"/>
              </w:rPr>
            </w:pPr>
            <w:r>
              <w:rPr>
                <w:rFonts w:ascii="Calibri"/>
                <w:sz w:val="18"/>
              </w:rPr>
              <w:t>42.6 weeks (1,599 hours) per year, 37.5 hours per week</w:t>
            </w:r>
          </w:p>
        </w:tc>
        <w:tc>
          <w:tcPr>
            <w:tcW w:w="1417" w:type="dxa"/>
          </w:tcPr>
          <w:p w:rsidR="006A18FD" w:rsidRDefault="002D29FC">
            <w:pPr>
              <w:spacing w:before="61"/>
              <w:ind w:left="134" w:right="117" w:firstLine="158"/>
              <w:rPr>
                <w:rFonts w:ascii="Calibri"/>
                <w:sz w:val="18"/>
              </w:rPr>
            </w:pPr>
            <w:r>
              <w:rPr>
                <w:rFonts w:ascii="Calibri"/>
                <w:sz w:val="18"/>
              </w:rPr>
              <w:t>42.6 weeks (1,599 hours) per year, 37.5 hours per week</w:t>
            </w:r>
          </w:p>
        </w:tc>
        <w:tc>
          <w:tcPr>
            <w:tcW w:w="1418" w:type="dxa"/>
          </w:tcPr>
          <w:p w:rsidR="006A18FD" w:rsidRDefault="002D29FC">
            <w:pPr>
              <w:spacing w:before="61"/>
              <w:ind w:left="134" w:right="119" w:firstLine="158"/>
              <w:rPr>
                <w:rFonts w:ascii="Calibri"/>
                <w:sz w:val="18"/>
              </w:rPr>
            </w:pPr>
            <w:r>
              <w:rPr>
                <w:rFonts w:ascii="Calibri"/>
                <w:sz w:val="18"/>
              </w:rPr>
              <w:t>42.6 weeks (1,599 hours) per year, 37.5 hours per week</w:t>
            </w:r>
          </w:p>
        </w:tc>
        <w:tc>
          <w:tcPr>
            <w:tcW w:w="1416" w:type="dxa"/>
          </w:tcPr>
          <w:p w:rsidR="006A18FD" w:rsidRDefault="002D29FC">
            <w:pPr>
              <w:spacing w:before="61"/>
              <w:ind w:left="134" w:right="117" w:firstLine="158"/>
              <w:rPr>
                <w:rFonts w:ascii="Calibri"/>
                <w:sz w:val="18"/>
              </w:rPr>
            </w:pPr>
            <w:r>
              <w:rPr>
                <w:rFonts w:ascii="Calibri"/>
                <w:sz w:val="18"/>
              </w:rPr>
              <w:t>42.6 weeks (1,599 hours) per year, 37.5 hours per week</w:t>
            </w:r>
          </w:p>
        </w:tc>
      </w:tr>
      <w:tr w:rsidR="006A18FD">
        <w:trPr>
          <w:trHeight w:val="480"/>
        </w:trPr>
        <w:tc>
          <w:tcPr>
            <w:tcW w:w="2160" w:type="dxa"/>
          </w:tcPr>
          <w:p w:rsidR="006A18FD" w:rsidRDefault="002D29FC">
            <w:pPr>
              <w:spacing w:before="1" w:line="240" w:lineRule="atLeast"/>
              <w:ind w:left="103" w:right="454"/>
              <w:rPr>
                <w:rFonts w:ascii="Calibri"/>
                <w:b/>
                <w:sz w:val="20"/>
              </w:rPr>
            </w:pPr>
            <w:r>
              <w:rPr>
                <w:rFonts w:ascii="Calibri"/>
                <w:b/>
                <w:sz w:val="20"/>
              </w:rPr>
              <w:t>H Ratio of direct to indirect time</w:t>
            </w:r>
          </w:p>
        </w:tc>
        <w:tc>
          <w:tcPr>
            <w:tcW w:w="1418" w:type="dxa"/>
          </w:tcPr>
          <w:p w:rsidR="006A18FD" w:rsidRDefault="002D29FC">
            <w:pPr>
              <w:spacing w:before="135"/>
              <w:ind w:left="325" w:right="289"/>
              <w:jc w:val="center"/>
              <w:rPr>
                <w:rFonts w:ascii="Calibri"/>
                <w:sz w:val="18"/>
              </w:rPr>
            </w:pPr>
            <w:r>
              <w:rPr>
                <w:rFonts w:ascii="Calibri"/>
                <w:sz w:val="18"/>
              </w:rPr>
              <w:t>See note</w:t>
            </w:r>
          </w:p>
        </w:tc>
        <w:tc>
          <w:tcPr>
            <w:tcW w:w="1417" w:type="dxa"/>
          </w:tcPr>
          <w:p w:rsidR="006A18FD" w:rsidRDefault="002D29FC">
            <w:pPr>
              <w:spacing w:before="135"/>
              <w:ind w:left="325" w:right="327"/>
              <w:jc w:val="center"/>
              <w:rPr>
                <w:rFonts w:ascii="Calibri"/>
                <w:sz w:val="18"/>
              </w:rPr>
            </w:pPr>
            <w:r>
              <w:rPr>
                <w:rFonts w:ascii="Calibri"/>
                <w:sz w:val="18"/>
              </w:rPr>
              <w:t>See note</w:t>
            </w:r>
          </w:p>
        </w:tc>
        <w:tc>
          <w:tcPr>
            <w:tcW w:w="1416" w:type="dxa"/>
          </w:tcPr>
          <w:p w:rsidR="006A18FD" w:rsidRDefault="002D29FC">
            <w:pPr>
              <w:spacing w:before="135"/>
              <w:ind w:right="383"/>
              <w:jc w:val="right"/>
              <w:rPr>
                <w:rFonts w:ascii="Calibri"/>
                <w:sz w:val="18"/>
              </w:rPr>
            </w:pPr>
            <w:r>
              <w:rPr>
                <w:rFonts w:ascii="Calibri"/>
                <w:sz w:val="18"/>
              </w:rPr>
              <w:t>See note</w:t>
            </w:r>
          </w:p>
        </w:tc>
        <w:tc>
          <w:tcPr>
            <w:tcW w:w="1419" w:type="dxa"/>
          </w:tcPr>
          <w:p w:rsidR="006A18FD" w:rsidRDefault="002D29FC">
            <w:pPr>
              <w:spacing w:before="135"/>
              <w:ind w:left="242" w:right="246"/>
              <w:jc w:val="center"/>
              <w:rPr>
                <w:rFonts w:ascii="Calibri"/>
                <w:sz w:val="18"/>
              </w:rPr>
            </w:pPr>
            <w:r>
              <w:rPr>
                <w:rFonts w:ascii="Calibri"/>
                <w:sz w:val="18"/>
              </w:rPr>
              <w:t>See note</w:t>
            </w:r>
          </w:p>
        </w:tc>
        <w:tc>
          <w:tcPr>
            <w:tcW w:w="1416" w:type="dxa"/>
          </w:tcPr>
          <w:p w:rsidR="006A18FD" w:rsidRDefault="002D29FC">
            <w:pPr>
              <w:spacing w:before="135"/>
              <w:ind w:left="340" w:right="342"/>
              <w:jc w:val="center"/>
              <w:rPr>
                <w:rFonts w:ascii="Calibri"/>
                <w:sz w:val="18"/>
              </w:rPr>
            </w:pPr>
            <w:r>
              <w:rPr>
                <w:rFonts w:ascii="Calibri"/>
                <w:sz w:val="18"/>
              </w:rPr>
              <w:t>See note</w:t>
            </w:r>
          </w:p>
        </w:tc>
        <w:tc>
          <w:tcPr>
            <w:tcW w:w="1418" w:type="dxa"/>
          </w:tcPr>
          <w:p w:rsidR="006A18FD" w:rsidRDefault="002D29FC">
            <w:pPr>
              <w:spacing w:before="135"/>
              <w:ind w:right="383"/>
              <w:jc w:val="right"/>
              <w:rPr>
                <w:rFonts w:ascii="Calibri"/>
                <w:sz w:val="18"/>
              </w:rPr>
            </w:pPr>
            <w:r>
              <w:rPr>
                <w:rFonts w:ascii="Calibri"/>
                <w:sz w:val="18"/>
              </w:rPr>
              <w:t>See note</w:t>
            </w:r>
          </w:p>
        </w:tc>
        <w:tc>
          <w:tcPr>
            <w:tcW w:w="1417" w:type="dxa"/>
          </w:tcPr>
          <w:p w:rsidR="006A18FD" w:rsidRDefault="002D29FC">
            <w:pPr>
              <w:spacing w:before="135"/>
              <w:ind w:left="325" w:right="324"/>
              <w:jc w:val="center"/>
              <w:rPr>
                <w:rFonts w:ascii="Calibri"/>
                <w:sz w:val="18"/>
              </w:rPr>
            </w:pPr>
            <w:r>
              <w:rPr>
                <w:rFonts w:ascii="Calibri"/>
                <w:sz w:val="18"/>
              </w:rPr>
              <w:t>See note</w:t>
            </w:r>
          </w:p>
        </w:tc>
        <w:tc>
          <w:tcPr>
            <w:tcW w:w="1418" w:type="dxa"/>
          </w:tcPr>
          <w:p w:rsidR="006A18FD" w:rsidRDefault="002D29FC">
            <w:pPr>
              <w:spacing w:before="135"/>
              <w:ind w:left="325" w:right="326"/>
              <w:jc w:val="center"/>
              <w:rPr>
                <w:rFonts w:ascii="Calibri"/>
                <w:sz w:val="18"/>
              </w:rPr>
            </w:pPr>
            <w:r>
              <w:rPr>
                <w:rFonts w:ascii="Calibri"/>
                <w:sz w:val="18"/>
              </w:rPr>
              <w:t>See note</w:t>
            </w:r>
          </w:p>
        </w:tc>
        <w:tc>
          <w:tcPr>
            <w:tcW w:w="1416" w:type="dxa"/>
          </w:tcPr>
          <w:p w:rsidR="006A18FD" w:rsidRDefault="002D29FC">
            <w:pPr>
              <w:spacing w:before="135"/>
              <w:ind w:right="383"/>
              <w:jc w:val="right"/>
              <w:rPr>
                <w:rFonts w:ascii="Calibri"/>
                <w:sz w:val="18"/>
              </w:rPr>
            </w:pPr>
            <w:r>
              <w:rPr>
                <w:rFonts w:ascii="Calibri"/>
                <w:sz w:val="18"/>
              </w:rPr>
              <w:t>See note</w:t>
            </w:r>
          </w:p>
        </w:tc>
      </w:tr>
      <w:tr w:rsidR="006A18FD">
        <w:trPr>
          <w:trHeight w:val="479"/>
        </w:trPr>
        <w:tc>
          <w:tcPr>
            <w:tcW w:w="2160" w:type="dxa"/>
          </w:tcPr>
          <w:p w:rsidR="006A18FD" w:rsidRDefault="002D29FC">
            <w:pPr>
              <w:ind w:left="103"/>
              <w:rPr>
                <w:rFonts w:ascii="Calibri"/>
                <w:b/>
                <w:sz w:val="20"/>
              </w:rPr>
            </w:pPr>
            <w:r>
              <w:rPr>
                <w:rFonts w:ascii="Calibri"/>
                <w:b/>
                <w:sz w:val="20"/>
              </w:rPr>
              <w:t>London/non-London</w:t>
            </w:r>
          </w:p>
          <w:p w:rsidR="006A18FD" w:rsidRDefault="002D29FC">
            <w:pPr>
              <w:spacing w:line="223" w:lineRule="exact"/>
              <w:ind w:left="103"/>
              <w:rPr>
                <w:rFonts w:ascii="Calibri"/>
                <w:b/>
                <w:sz w:val="20"/>
              </w:rPr>
            </w:pPr>
            <w:r>
              <w:rPr>
                <w:rFonts w:ascii="Calibri"/>
                <w:b/>
                <w:sz w:val="20"/>
              </w:rPr>
              <w:t>multipliers</w:t>
            </w:r>
          </w:p>
        </w:tc>
        <w:tc>
          <w:tcPr>
            <w:tcW w:w="1418" w:type="dxa"/>
          </w:tcPr>
          <w:p w:rsidR="006A18FD" w:rsidRDefault="002D29FC">
            <w:pPr>
              <w:spacing w:before="134"/>
              <w:ind w:left="325" w:right="289"/>
              <w:jc w:val="center"/>
              <w:rPr>
                <w:rFonts w:ascii="Calibri"/>
                <w:sz w:val="18"/>
              </w:rPr>
            </w:pPr>
            <w:r>
              <w:rPr>
                <w:rFonts w:ascii="Calibri"/>
                <w:sz w:val="18"/>
              </w:rPr>
              <w:t>See note</w:t>
            </w:r>
          </w:p>
        </w:tc>
        <w:tc>
          <w:tcPr>
            <w:tcW w:w="1417" w:type="dxa"/>
          </w:tcPr>
          <w:p w:rsidR="006A18FD" w:rsidRDefault="002D29FC">
            <w:pPr>
              <w:spacing w:before="134"/>
              <w:ind w:left="325" w:right="287"/>
              <w:jc w:val="center"/>
              <w:rPr>
                <w:rFonts w:ascii="Calibri"/>
                <w:sz w:val="18"/>
              </w:rPr>
            </w:pPr>
            <w:r>
              <w:rPr>
                <w:rFonts w:ascii="Calibri"/>
                <w:sz w:val="18"/>
              </w:rPr>
              <w:t>See note</w:t>
            </w:r>
          </w:p>
        </w:tc>
        <w:tc>
          <w:tcPr>
            <w:tcW w:w="1416" w:type="dxa"/>
          </w:tcPr>
          <w:p w:rsidR="006A18FD" w:rsidRDefault="002D29FC">
            <w:pPr>
              <w:spacing w:before="134"/>
              <w:ind w:right="361"/>
              <w:jc w:val="right"/>
              <w:rPr>
                <w:rFonts w:ascii="Calibri"/>
                <w:sz w:val="18"/>
              </w:rPr>
            </w:pPr>
            <w:r>
              <w:rPr>
                <w:rFonts w:ascii="Calibri"/>
                <w:sz w:val="18"/>
              </w:rPr>
              <w:t>See note</w:t>
            </w:r>
          </w:p>
        </w:tc>
        <w:tc>
          <w:tcPr>
            <w:tcW w:w="1419" w:type="dxa"/>
          </w:tcPr>
          <w:p w:rsidR="006A18FD" w:rsidRDefault="002D29FC">
            <w:pPr>
              <w:spacing w:before="134"/>
              <w:ind w:left="246" w:right="210"/>
              <w:jc w:val="center"/>
              <w:rPr>
                <w:rFonts w:ascii="Calibri"/>
                <w:sz w:val="18"/>
              </w:rPr>
            </w:pPr>
            <w:r>
              <w:rPr>
                <w:rFonts w:ascii="Calibri"/>
                <w:sz w:val="18"/>
              </w:rPr>
              <w:t>See note</w:t>
            </w:r>
          </w:p>
        </w:tc>
        <w:tc>
          <w:tcPr>
            <w:tcW w:w="1416" w:type="dxa"/>
          </w:tcPr>
          <w:p w:rsidR="006A18FD" w:rsidRDefault="002D29FC">
            <w:pPr>
              <w:spacing w:before="134"/>
              <w:ind w:left="347" w:right="308"/>
              <w:jc w:val="center"/>
              <w:rPr>
                <w:rFonts w:ascii="Calibri"/>
                <w:sz w:val="18"/>
              </w:rPr>
            </w:pPr>
            <w:r>
              <w:rPr>
                <w:rFonts w:ascii="Calibri"/>
                <w:sz w:val="18"/>
              </w:rPr>
              <w:t>See note</w:t>
            </w:r>
          </w:p>
        </w:tc>
        <w:tc>
          <w:tcPr>
            <w:tcW w:w="1418" w:type="dxa"/>
          </w:tcPr>
          <w:p w:rsidR="006A18FD" w:rsidRDefault="002D29FC">
            <w:pPr>
              <w:spacing w:before="134"/>
              <w:ind w:right="364"/>
              <w:jc w:val="right"/>
              <w:rPr>
                <w:rFonts w:ascii="Calibri"/>
                <w:sz w:val="18"/>
              </w:rPr>
            </w:pPr>
            <w:r>
              <w:rPr>
                <w:rFonts w:ascii="Calibri"/>
                <w:sz w:val="18"/>
              </w:rPr>
              <w:t>See note</w:t>
            </w:r>
          </w:p>
        </w:tc>
        <w:tc>
          <w:tcPr>
            <w:tcW w:w="1417" w:type="dxa"/>
          </w:tcPr>
          <w:p w:rsidR="006A18FD" w:rsidRDefault="002D29FC">
            <w:pPr>
              <w:spacing w:before="134"/>
              <w:ind w:left="325" w:right="286"/>
              <w:jc w:val="center"/>
              <w:rPr>
                <w:rFonts w:ascii="Calibri"/>
                <w:sz w:val="18"/>
              </w:rPr>
            </w:pPr>
            <w:r>
              <w:rPr>
                <w:rFonts w:ascii="Calibri"/>
                <w:sz w:val="18"/>
              </w:rPr>
              <w:t>See note</w:t>
            </w:r>
          </w:p>
        </w:tc>
        <w:tc>
          <w:tcPr>
            <w:tcW w:w="1418" w:type="dxa"/>
          </w:tcPr>
          <w:p w:rsidR="006A18FD" w:rsidRDefault="002D29FC">
            <w:pPr>
              <w:spacing w:before="134"/>
              <w:ind w:left="325" w:right="289"/>
              <w:jc w:val="center"/>
              <w:rPr>
                <w:rFonts w:ascii="Calibri"/>
                <w:sz w:val="18"/>
              </w:rPr>
            </w:pPr>
            <w:r>
              <w:rPr>
                <w:rFonts w:ascii="Calibri"/>
                <w:sz w:val="18"/>
              </w:rPr>
              <w:t>See note</w:t>
            </w:r>
          </w:p>
        </w:tc>
        <w:tc>
          <w:tcPr>
            <w:tcW w:w="1416" w:type="dxa"/>
          </w:tcPr>
          <w:p w:rsidR="006A18FD" w:rsidRDefault="002D29FC">
            <w:pPr>
              <w:spacing w:before="134"/>
              <w:ind w:right="383"/>
              <w:jc w:val="right"/>
              <w:rPr>
                <w:rFonts w:ascii="Calibri"/>
                <w:sz w:val="18"/>
              </w:rPr>
            </w:pPr>
            <w:r>
              <w:rPr>
                <w:rFonts w:ascii="Calibri"/>
                <w:sz w:val="18"/>
              </w:rPr>
              <w:t>See note</w:t>
            </w:r>
          </w:p>
        </w:tc>
      </w:tr>
      <w:tr w:rsidR="006A18FD">
        <w:trPr>
          <w:trHeight w:val="480"/>
        </w:trPr>
        <w:tc>
          <w:tcPr>
            <w:tcW w:w="2160" w:type="dxa"/>
          </w:tcPr>
          <w:p w:rsidR="006A18FD" w:rsidRDefault="002D29FC">
            <w:pPr>
              <w:spacing w:before="1" w:line="243" w:lineRule="exact"/>
              <w:ind w:left="103"/>
              <w:rPr>
                <w:rFonts w:ascii="Calibri"/>
                <w:b/>
                <w:sz w:val="20"/>
              </w:rPr>
            </w:pPr>
            <w:r>
              <w:rPr>
                <w:rFonts w:ascii="Calibri"/>
                <w:b/>
                <w:sz w:val="20"/>
              </w:rPr>
              <w:t>Unit costs available</w:t>
            </w:r>
          </w:p>
          <w:p w:rsidR="006A18FD" w:rsidRDefault="002D29FC">
            <w:pPr>
              <w:spacing w:line="222" w:lineRule="exact"/>
              <w:ind w:left="103"/>
              <w:rPr>
                <w:rFonts w:ascii="Calibri"/>
                <w:b/>
                <w:sz w:val="20"/>
              </w:rPr>
            </w:pPr>
            <w:r>
              <w:rPr>
                <w:rFonts w:ascii="Calibri"/>
                <w:b/>
                <w:sz w:val="20"/>
              </w:rPr>
              <w:t>2018/2019</w:t>
            </w: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9" w:type="dxa"/>
          </w:tcPr>
          <w:p w:rsidR="006A18FD" w:rsidRDefault="006A18FD">
            <w:pPr>
              <w:rPr>
                <w:rFonts w:ascii="Times New Roman"/>
                <w:sz w:val="18"/>
              </w:rPr>
            </w:pPr>
          </w:p>
        </w:tc>
        <w:tc>
          <w:tcPr>
            <w:tcW w:w="1416"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7" w:type="dxa"/>
          </w:tcPr>
          <w:p w:rsidR="006A18FD" w:rsidRDefault="006A18FD">
            <w:pPr>
              <w:rPr>
                <w:rFonts w:ascii="Times New Roman"/>
                <w:sz w:val="18"/>
              </w:rPr>
            </w:pPr>
          </w:p>
        </w:tc>
        <w:tc>
          <w:tcPr>
            <w:tcW w:w="1418" w:type="dxa"/>
          </w:tcPr>
          <w:p w:rsidR="006A18FD" w:rsidRDefault="006A18FD">
            <w:pPr>
              <w:rPr>
                <w:rFonts w:ascii="Times New Roman"/>
                <w:sz w:val="18"/>
              </w:rPr>
            </w:pPr>
          </w:p>
        </w:tc>
        <w:tc>
          <w:tcPr>
            <w:tcW w:w="1416" w:type="dxa"/>
          </w:tcPr>
          <w:p w:rsidR="006A18FD" w:rsidRDefault="006A18FD">
            <w:pPr>
              <w:rPr>
                <w:rFonts w:ascii="Times New Roman"/>
                <w:sz w:val="18"/>
              </w:rPr>
            </w:pPr>
          </w:p>
        </w:tc>
      </w:tr>
      <w:tr w:rsidR="006A18FD">
        <w:trPr>
          <w:trHeight w:val="280"/>
        </w:trPr>
        <w:tc>
          <w:tcPr>
            <w:tcW w:w="2160" w:type="dxa"/>
          </w:tcPr>
          <w:p w:rsidR="006A18FD" w:rsidRDefault="002D29FC">
            <w:pPr>
              <w:spacing w:before="21" w:line="242" w:lineRule="exact"/>
              <w:ind w:left="103"/>
              <w:rPr>
                <w:rFonts w:ascii="Calibri"/>
                <w:b/>
                <w:sz w:val="20"/>
              </w:rPr>
            </w:pPr>
            <w:r>
              <w:rPr>
                <w:rFonts w:ascii="Calibri"/>
                <w:b/>
                <w:sz w:val="20"/>
              </w:rPr>
              <w:t>Cost per working hour</w:t>
            </w:r>
          </w:p>
        </w:tc>
        <w:tc>
          <w:tcPr>
            <w:tcW w:w="1418" w:type="dxa"/>
          </w:tcPr>
          <w:p w:rsidR="006A18FD" w:rsidRDefault="002D29FC">
            <w:pPr>
              <w:spacing w:before="33"/>
              <w:ind w:left="325" w:right="325"/>
              <w:jc w:val="center"/>
              <w:rPr>
                <w:rFonts w:ascii="Calibri" w:hAnsi="Calibri"/>
                <w:b/>
                <w:sz w:val="18"/>
              </w:rPr>
            </w:pPr>
            <w:r>
              <w:rPr>
                <w:rFonts w:ascii="Calibri" w:hAnsi="Calibri"/>
                <w:b/>
                <w:sz w:val="18"/>
              </w:rPr>
              <w:t>£29</w:t>
            </w:r>
          </w:p>
        </w:tc>
        <w:tc>
          <w:tcPr>
            <w:tcW w:w="1417" w:type="dxa"/>
          </w:tcPr>
          <w:p w:rsidR="006A18FD" w:rsidRDefault="002D29FC">
            <w:pPr>
              <w:spacing w:before="33"/>
              <w:ind w:left="325" w:right="325"/>
              <w:jc w:val="center"/>
              <w:rPr>
                <w:rFonts w:ascii="Calibri" w:hAnsi="Calibri"/>
                <w:b/>
                <w:sz w:val="18"/>
              </w:rPr>
            </w:pPr>
            <w:r>
              <w:rPr>
                <w:rFonts w:ascii="Calibri" w:hAnsi="Calibri"/>
                <w:b/>
                <w:sz w:val="18"/>
              </w:rPr>
              <w:t>£34</w:t>
            </w:r>
          </w:p>
        </w:tc>
        <w:tc>
          <w:tcPr>
            <w:tcW w:w="1416" w:type="dxa"/>
          </w:tcPr>
          <w:p w:rsidR="006A18FD" w:rsidRDefault="002D29FC">
            <w:pPr>
              <w:spacing w:before="33"/>
              <w:ind w:left="342" w:right="342"/>
              <w:jc w:val="center"/>
              <w:rPr>
                <w:rFonts w:ascii="Calibri" w:hAnsi="Calibri"/>
                <w:b/>
                <w:sz w:val="18"/>
              </w:rPr>
            </w:pPr>
            <w:r>
              <w:rPr>
                <w:rFonts w:ascii="Calibri" w:hAnsi="Calibri"/>
                <w:b/>
                <w:sz w:val="18"/>
              </w:rPr>
              <w:t>£45</w:t>
            </w:r>
          </w:p>
        </w:tc>
        <w:tc>
          <w:tcPr>
            <w:tcW w:w="1419" w:type="dxa"/>
          </w:tcPr>
          <w:p w:rsidR="006A18FD" w:rsidRDefault="002D29FC">
            <w:pPr>
              <w:spacing w:before="33"/>
              <w:ind w:left="246" w:right="246"/>
              <w:jc w:val="center"/>
              <w:rPr>
                <w:rFonts w:ascii="Calibri" w:hAnsi="Calibri"/>
                <w:b/>
                <w:sz w:val="18"/>
              </w:rPr>
            </w:pPr>
            <w:r>
              <w:rPr>
                <w:rFonts w:ascii="Calibri" w:hAnsi="Calibri"/>
                <w:b/>
                <w:sz w:val="18"/>
              </w:rPr>
              <w:t>£54</w:t>
            </w:r>
          </w:p>
        </w:tc>
        <w:tc>
          <w:tcPr>
            <w:tcW w:w="1416" w:type="dxa"/>
          </w:tcPr>
          <w:p w:rsidR="006A18FD" w:rsidRDefault="002D29FC">
            <w:pPr>
              <w:spacing w:before="33"/>
              <w:ind w:left="342" w:right="342"/>
              <w:jc w:val="center"/>
              <w:rPr>
                <w:rFonts w:ascii="Calibri" w:hAnsi="Calibri"/>
                <w:b/>
                <w:sz w:val="18"/>
              </w:rPr>
            </w:pPr>
            <w:r>
              <w:rPr>
                <w:rFonts w:ascii="Calibri" w:hAnsi="Calibri"/>
                <w:b/>
                <w:sz w:val="18"/>
              </w:rPr>
              <w:t>£65</w:t>
            </w:r>
          </w:p>
        </w:tc>
        <w:tc>
          <w:tcPr>
            <w:tcW w:w="1418" w:type="dxa"/>
          </w:tcPr>
          <w:p w:rsidR="006A18FD" w:rsidRDefault="002D29FC">
            <w:pPr>
              <w:spacing w:before="33"/>
              <w:ind w:left="325" w:right="325"/>
              <w:jc w:val="center"/>
              <w:rPr>
                <w:rFonts w:ascii="Calibri" w:hAnsi="Calibri"/>
                <w:b/>
                <w:sz w:val="18"/>
              </w:rPr>
            </w:pPr>
            <w:r>
              <w:rPr>
                <w:rFonts w:ascii="Calibri" w:hAnsi="Calibri"/>
                <w:b/>
                <w:sz w:val="18"/>
              </w:rPr>
              <w:t>£77</w:t>
            </w:r>
          </w:p>
        </w:tc>
        <w:tc>
          <w:tcPr>
            <w:tcW w:w="1417" w:type="dxa"/>
          </w:tcPr>
          <w:p w:rsidR="006A18FD" w:rsidRDefault="002D29FC">
            <w:pPr>
              <w:spacing w:before="21"/>
              <w:ind w:left="325" w:right="325"/>
              <w:jc w:val="center"/>
              <w:rPr>
                <w:rFonts w:ascii="Calibri" w:hAnsi="Calibri"/>
                <w:b/>
                <w:sz w:val="18"/>
              </w:rPr>
            </w:pPr>
            <w:r>
              <w:rPr>
                <w:rFonts w:ascii="Calibri" w:hAnsi="Calibri"/>
                <w:b/>
                <w:sz w:val="18"/>
              </w:rPr>
              <w:t>£90</w:t>
            </w:r>
          </w:p>
        </w:tc>
        <w:tc>
          <w:tcPr>
            <w:tcW w:w="1418" w:type="dxa"/>
          </w:tcPr>
          <w:p w:rsidR="006A18FD" w:rsidRDefault="002D29FC">
            <w:pPr>
              <w:spacing w:before="21"/>
              <w:ind w:left="325" w:right="325"/>
              <w:jc w:val="center"/>
              <w:rPr>
                <w:rFonts w:ascii="Calibri" w:hAnsi="Calibri"/>
                <w:b/>
                <w:sz w:val="18"/>
              </w:rPr>
            </w:pPr>
            <w:r>
              <w:rPr>
                <w:rFonts w:ascii="Calibri" w:hAnsi="Calibri"/>
                <w:b/>
                <w:sz w:val="18"/>
              </w:rPr>
              <w:t>£109</w:t>
            </w:r>
          </w:p>
        </w:tc>
        <w:tc>
          <w:tcPr>
            <w:tcW w:w="1416" w:type="dxa"/>
          </w:tcPr>
          <w:p w:rsidR="006A18FD" w:rsidRDefault="002D29FC">
            <w:pPr>
              <w:spacing w:before="21"/>
              <w:ind w:left="305" w:right="305"/>
              <w:jc w:val="center"/>
              <w:rPr>
                <w:rFonts w:ascii="Calibri" w:hAnsi="Calibri"/>
                <w:b/>
                <w:sz w:val="18"/>
              </w:rPr>
            </w:pPr>
            <w:r>
              <w:rPr>
                <w:rFonts w:ascii="Calibri" w:hAnsi="Calibri"/>
                <w:b/>
                <w:sz w:val="18"/>
              </w:rPr>
              <w:t>£133</w:t>
            </w:r>
          </w:p>
        </w:tc>
      </w:tr>
    </w:tbl>
    <w:p w:rsidR="006A18FD" w:rsidRDefault="006A18FD">
      <w:pPr>
        <w:jc w:val="center"/>
        <w:rPr>
          <w:rFonts w:ascii="Calibri" w:hAnsi="Calibri"/>
          <w:sz w:val="18"/>
        </w:rPr>
        <w:sectPr w:rsidR="006A18FD">
          <w:headerReference w:type="default" r:id="rId319"/>
          <w:pgSz w:w="16840" w:h="11910" w:orient="landscape"/>
          <w:pgMar w:top="1060" w:right="1080" w:bottom="280" w:left="6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320"/>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4"/>
        <w:rPr>
          <w:rFonts w:ascii="Times New Roman"/>
          <w:sz w:val="16"/>
        </w:rPr>
      </w:pPr>
    </w:p>
    <w:p w:rsidR="006A18FD" w:rsidRDefault="002D29FC" w:rsidP="008E3FA8">
      <w:pPr>
        <w:numPr>
          <w:ilvl w:val="0"/>
          <w:numId w:val="9"/>
        </w:numPr>
        <w:tabs>
          <w:tab w:val="left" w:pos="709"/>
        </w:tabs>
        <w:spacing w:before="100"/>
        <w:ind w:left="142" w:hanging="568"/>
        <w:rPr>
          <w:rFonts w:ascii="Cambria"/>
          <w:b/>
          <w:sz w:val="36"/>
        </w:rPr>
      </w:pPr>
      <w:r>
        <w:rPr>
          <w:rFonts w:ascii="Cambria"/>
          <w:b/>
          <w:sz w:val="36"/>
        </w:rPr>
        <w:t>Nurses, doctors and</w:t>
      </w:r>
      <w:r>
        <w:rPr>
          <w:rFonts w:ascii="Cambria"/>
          <w:b/>
          <w:spacing w:val="-19"/>
          <w:sz w:val="36"/>
        </w:rPr>
        <w:t xml:space="preserve"> </w:t>
      </w:r>
      <w:r>
        <w:rPr>
          <w:rFonts w:ascii="Cambria"/>
          <w:b/>
          <w:sz w:val="36"/>
        </w:rPr>
        <w:t>dentists</w:t>
      </w:r>
    </w:p>
    <w:p w:rsidR="006A18FD" w:rsidRDefault="002D29FC" w:rsidP="008E3FA8">
      <w:pPr>
        <w:numPr>
          <w:ilvl w:val="1"/>
          <w:numId w:val="9"/>
        </w:numPr>
        <w:tabs>
          <w:tab w:val="left" w:pos="803"/>
        </w:tabs>
        <w:spacing w:before="303"/>
        <w:ind w:hanging="618"/>
        <w:rPr>
          <w:rFonts w:ascii="Calibri"/>
          <w:sz w:val="28"/>
        </w:rPr>
      </w:pPr>
      <w:r>
        <w:rPr>
          <w:rFonts w:ascii="Calibri"/>
          <w:sz w:val="28"/>
        </w:rPr>
        <w:t>Nurses</w:t>
      </w:r>
    </w:p>
    <w:p w:rsidR="006A18FD" w:rsidRDefault="002D29FC" w:rsidP="008E3FA8">
      <w:pPr>
        <w:numPr>
          <w:ilvl w:val="1"/>
          <w:numId w:val="9"/>
        </w:numPr>
        <w:tabs>
          <w:tab w:val="left" w:pos="803"/>
        </w:tabs>
        <w:spacing w:before="171"/>
        <w:ind w:hanging="618"/>
        <w:rPr>
          <w:rFonts w:ascii="Calibri"/>
          <w:sz w:val="28"/>
        </w:rPr>
      </w:pPr>
      <w:r>
        <w:rPr>
          <w:rFonts w:ascii="Calibri"/>
          <w:sz w:val="28"/>
        </w:rPr>
        <w:t>Practice</w:t>
      </w:r>
      <w:r>
        <w:rPr>
          <w:rFonts w:ascii="Calibri"/>
          <w:spacing w:val="-5"/>
          <w:sz w:val="28"/>
        </w:rPr>
        <w:t xml:space="preserve"> </w:t>
      </w:r>
      <w:r>
        <w:rPr>
          <w:rFonts w:ascii="Calibri"/>
          <w:sz w:val="28"/>
        </w:rPr>
        <w:t>nurse</w:t>
      </w:r>
    </w:p>
    <w:p w:rsidR="006A18FD" w:rsidRDefault="002D29FC" w:rsidP="008E3FA8">
      <w:pPr>
        <w:numPr>
          <w:ilvl w:val="1"/>
          <w:numId w:val="9"/>
        </w:numPr>
        <w:tabs>
          <w:tab w:val="left" w:pos="617"/>
        </w:tabs>
        <w:spacing w:before="171" w:line="360" w:lineRule="auto"/>
        <w:ind w:right="4271" w:hanging="618"/>
        <w:rPr>
          <w:rFonts w:ascii="Calibri"/>
          <w:sz w:val="28"/>
        </w:rPr>
      </w:pPr>
      <w:r>
        <w:rPr>
          <w:rFonts w:ascii="Calibri"/>
          <w:sz w:val="28"/>
        </w:rPr>
        <w:t>a General practitioner - cost elements 10.3b General practitioner - unit costs 10.3c  General practitioner -</w:t>
      </w:r>
      <w:r>
        <w:rPr>
          <w:rFonts w:ascii="Calibri"/>
          <w:spacing w:val="-44"/>
          <w:sz w:val="28"/>
        </w:rPr>
        <w:t xml:space="preserve"> </w:t>
      </w:r>
      <w:r>
        <w:rPr>
          <w:rFonts w:ascii="Calibri"/>
          <w:sz w:val="28"/>
        </w:rPr>
        <w:t>commentary</w:t>
      </w:r>
    </w:p>
    <w:p w:rsidR="006A18FD" w:rsidRDefault="002D29FC" w:rsidP="008E3FA8">
      <w:pPr>
        <w:numPr>
          <w:ilvl w:val="1"/>
          <w:numId w:val="9"/>
        </w:numPr>
        <w:tabs>
          <w:tab w:val="left" w:pos="825"/>
          <w:tab w:val="left" w:pos="827"/>
        </w:tabs>
        <w:ind w:hanging="618"/>
        <w:rPr>
          <w:rFonts w:ascii="Calibri"/>
          <w:sz w:val="28"/>
        </w:rPr>
      </w:pPr>
      <w:r>
        <w:rPr>
          <w:rFonts w:ascii="Calibri"/>
          <w:sz w:val="28"/>
        </w:rPr>
        <w:t>The cost of online</w:t>
      </w:r>
      <w:r>
        <w:rPr>
          <w:rFonts w:ascii="Calibri"/>
          <w:spacing w:val="-16"/>
          <w:sz w:val="28"/>
        </w:rPr>
        <w:t xml:space="preserve"> </w:t>
      </w:r>
      <w:r>
        <w:rPr>
          <w:rFonts w:ascii="Calibri"/>
          <w:sz w:val="28"/>
        </w:rPr>
        <w:t>consultations</w:t>
      </w:r>
    </w:p>
    <w:p w:rsidR="006A18FD" w:rsidRDefault="002D29FC" w:rsidP="008E3FA8">
      <w:pPr>
        <w:numPr>
          <w:ilvl w:val="1"/>
          <w:numId w:val="9"/>
        </w:numPr>
        <w:tabs>
          <w:tab w:val="left" w:pos="825"/>
          <w:tab w:val="left" w:pos="827"/>
        </w:tabs>
        <w:spacing w:before="171"/>
        <w:ind w:hanging="618"/>
        <w:rPr>
          <w:rFonts w:ascii="Calibri"/>
          <w:sz w:val="28"/>
        </w:rPr>
      </w:pPr>
      <w:r>
        <w:rPr>
          <w:rFonts w:ascii="Calibri"/>
          <w:sz w:val="28"/>
        </w:rPr>
        <w:t>Telephone</w:t>
      </w:r>
      <w:r>
        <w:rPr>
          <w:rFonts w:ascii="Calibri"/>
          <w:spacing w:val="-8"/>
          <w:sz w:val="28"/>
        </w:rPr>
        <w:t xml:space="preserve"> </w:t>
      </w:r>
      <w:r>
        <w:rPr>
          <w:rFonts w:ascii="Calibri"/>
          <w:sz w:val="28"/>
        </w:rPr>
        <w:t>triage</w:t>
      </w:r>
    </w:p>
    <w:p w:rsidR="006A18FD" w:rsidRDefault="002D29FC" w:rsidP="008E3FA8">
      <w:pPr>
        <w:numPr>
          <w:ilvl w:val="1"/>
          <w:numId w:val="9"/>
        </w:numPr>
        <w:tabs>
          <w:tab w:val="left" w:pos="825"/>
          <w:tab w:val="left" w:pos="827"/>
        </w:tabs>
        <w:spacing w:before="169"/>
        <w:ind w:hanging="618"/>
        <w:rPr>
          <w:rFonts w:ascii="Calibri"/>
          <w:sz w:val="28"/>
        </w:rPr>
      </w:pPr>
      <w:r>
        <w:rPr>
          <w:rFonts w:ascii="Calibri"/>
          <w:sz w:val="28"/>
        </w:rPr>
        <w:t>NHS dentist -</w:t>
      </w:r>
      <w:r>
        <w:rPr>
          <w:rFonts w:ascii="Calibri"/>
          <w:spacing w:val="-9"/>
          <w:sz w:val="28"/>
        </w:rPr>
        <w:t xml:space="preserve"> </w:t>
      </w:r>
      <w:r>
        <w:rPr>
          <w:rFonts w:ascii="Calibri"/>
          <w:sz w:val="28"/>
        </w:rPr>
        <w:t>Performer-only</w:t>
      </w:r>
    </w:p>
    <w:p w:rsidR="006A18FD" w:rsidRDefault="002D29FC" w:rsidP="008E3FA8">
      <w:pPr>
        <w:numPr>
          <w:ilvl w:val="1"/>
          <w:numId w:val="9"/>
        </w:numPr>
        <w:tabs>
          <w:tab w:val="left" w:pos="825"/>
          <w:tab w:val="left" w:pos="827"/>
        </w:tabs>
        <w:spacing w:before="171"/>
        <w:ind w:hanging="618"/>
        <w:rPr>
          <w:rFonts w:ascii="Calibri"/>
          <w:sz w:val="28"/>
        </w:rPr>
      </w:pPr>
      <w:r>
        <w:rPr>
          <w:rFonts w:ascii="Calibri"/>
          <w:sz w:val="28"/>
        </w:rPr>
        <w:t>Dentist -</w:t>
      </w:r>
      <w:r>
        <w:rPr>
          <w:rFonts w:ascii="Calibri"/>
          <w:spacing w:val="-8"/>
          <w:sz w:val="28"/>
        </w:rPr>
        <w:t xml:space="preserve"> </w:t>
      </w:r>
      <w:r>
        <w:rPr>
          <w:rFonts w:ascii="Calibri"/>
          <w:sz w:val="28"/>
        </w:rPr>
        <w:t>Providing-Performer</w:t>
      </w:r>
    </w:p>
    <w:p w:rsidR="006A18FD" w:rsidRDefault="002D29FC" w:rsidP="008E3FA8">
      <w:pPr>
        <w:numPr>
          <w:ilvl w:val="1"/>
          <w:numId w:val="9"/>
        </w:numPr>
        <w:tabs>
          <w:tab w:val="left" w:pos="825"/>
          <w:tab w:val="left" w:pos="827"/>
        </w:tabs>
        <w:spacing w:before="171"/>
        <w:ind w:hanging="618"/>
        <w:rPr>
          <w:rFonts w:ascii="Calibri"/>
          <w:sz w:val="28"/>
        </w:rPr>
      </w:pPr>
      <w:r>
        <w:rPr>
          <w:rFonts w:ascii="Calibri"/>
          <w:sz w:val="28"/>
        </w:rPr>
        <w:t>NHS dental</w:t>
      </w:r>
      <w:r>
        <w:rPr>
          <w:rFonts w:ascii="Calibri"/>
          <w:spacing w:val="-6"/>
          <w:sz w:val="28"/>
        </w:rPr>
        <w:t xml:space="preserve"> </w:t>
      </w:r>
      <w:r>
        <w:rPr>
          <w:rFonts w:ascii="Calibri"/>
          <w:sz w:val="28"/>
        </w:rPr>
        <w:t>charges</w:t>
      </w:r>
    </w:p>
    <w:p w:rsidR="006A18FD" w:rsidRDefault="006A18FD">
      <w:pPr>
        <w:rPr>
          <w:rFonts w:ascii="Calibri"/>
          <w:sz w:val="28"/>
        </w:rPr>
        <w:sectPr w:rsidR="006A18FD">
          <w:headerReference w:type="default" r:id="rId321"/>
          <w:pgSz w:w="11910" w:h="16840"/>
          <w:pgMar w:top="1580" w:right="168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3660" cy="6350"/>
                <wp:effectExtent l="9525" t="9525" r="5715" b="3175"/>
                <wp:docPr id="22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6350"/>
                          <a:chOff x="0" y="0"/>
                          <a:chExt cx="10116" cy="10"/>
                        </a:xfrm>
                      </wpg:grpSpPr>
                      <wps:wsp>
                        <wps:cNvPr id="229" name="Line 86"/>
                        <wps:cNvCnPr>
                          <a:cxnSpLocks noChangeShapeType="1"/>
                        </wps:cNvCnPr>
                        <wps:spPr bwMode="auto">
                          <a:xfrm>
                            <a:off x="5" y="5"/>
                            <a:ext cx="101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83798" id="Group 85" o:spid="_x0000_s1026" style="width:505.8pt;height:.5pt;mso-position-horizontal-relative:char;mso-position-vertical-relative:line" coordsize="10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">
                <v:line id="Line 86" o:spid="_x0000_s1027" style="position:absolute;visibility:visible;mso-wrap-style:square" from="5,5" to="10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w10:anchorlock/>
              </v:group>
            </w:pict>
          </mc:Fallback>
        </mc:AlternateContent>
      </w:r>
    </w:p>
    <w:p w:rsidR="006A18FD" w:rsidRPr="00610F71" w:rsidRDefault="002D29FC" w:rsidP="008E3FA8">
      <w:pPr>
        <w:pStyle w:val="Heading2"/>
        <w:numPr>
          <w:ilvl w:val="1"/>
          <w:numId w:val="37"/>
        </w:numPr>
        <w:ind w:left="709" w:hanging="709"/>
      </w:pPr>
      <w:r w:rsidRPr="00610F71">
        <w:t>Nurs</w:t>
      </w:r>
      <w:r w:rsidRPr="00610F71">
        <w:rPr>
          <w:rStyle w:val="Heading2Char"/>
        </w:rPr>
        <w:t>es</w:t>
      </w:r>
    </w:p>
    <w:p w:rsidR="006A18FD" w:rsidRDefault="002D29FC" w:rsidP="008E3FA8">
      <w:pPr>
        <w:pStyle w:val="Heading3"/>
        <w:numPr>
          <w:ilvl w:val="2"/>
          <w:numId w:val="37"/>
        </w:numPr>
      </w:pPr>
      <w:r>
        <w:t>Wages/salary</w:t>
      </w:r>
    </w:p>
    <w:p w:rsidR="006A18FD" w:rsidRDefault="002D29FC">
      <w:pPr>
        <w:spacing w:before="33" w:line="278" w:lineRule="auto"/>
        <w:ind w:left="140" w:right="330"/>
        <w:rPr>
          <w:rFonts w:ascii="Calibri" w:hAnsi="Calibri"/>
          <w:sz w:val="18"/>
        </w:rPr>
      </w:pPr>
      <w:r>
        <w:rPr>
          <w:rFonts w:ascii="Calibri" w:hAnsi="Calibri"/>
          <w:sz w:val="18"/>
        </w:rPr>
        <w:t>Based on the mean full-time equivalent basic salary for Agenda for Change (AfC) bands 4-9 of the May 2018/April 2019 NHS staff earnings estimates for qualified nurses.</w:t>
      </w:r>
      <w:r>
        <w:rPr>
          <w:rFonts w:ascii="Calibri" w:hAnsi="Calibri"/>
          <w:position w:val="5"/>
          <w:sz w:val="12"/>
        </w:rPr>
        <w:t xml:space="preserve">1 </w:t>
      </w:r>
      <w:r>
        <w:rPr>
          <w:rFonts w:ascii="Calibri" w:hAnsi="Calibri"/>
          <w:sz w:val="18"/>
        </w:rPr>
        <w:t>See NHS Terms and Conditions of Service Handbook for information on payment for unsocial hours.</w:t>
      </w:r>
      <w:r>
        <w:rPr>
          <w:rFonts w:ascii="Calibri" w:hAnsi="Calibri"/>
          <w:position w:val="7"/>
          <w:sz w:val="13"/>
        </w:rPr>
        <w:t xml:space="preserve">2 </w:t>
      </w:r>
      <w:r>
        <w:rPr>
          <w:rFonts w:ascii="Calibri" w:hAnsi="Calibri"/>
          <w:sz w:val="18"/>
        </w:rPr>
        <w:t>See Section V for further information on pay scales. The Electronic Staff Records (ESR) system shows that the mean basic salary for a community nurses is £32,949.</w:t>
      </w:r>
      <w:r>
        <w:rPr>
          <w:rFonts w:ascii="Calibri" w:hAnsi="Calibri"/>
          <w:position w:val="5"/>
          <w:sz w:val="12"/>
        </w:rPr>
        <w:t xml:space="preserve">1 </w:t>
      </w:r>
      <w:r>
        <w:rPr>
          <w:rFonts w:ascii="Calibri" w:hAnsi="Calibri"/>
          <w:sz w:val="18"/>
        </w:rPr>
        <w:t>See Section V for further information on pay scales.</w:t>
      </w:r>
    </w:p>
    <w:p w:rsidR="006A18FD" w:rsidRDefault="002D29FC" w:rsidP="008E3FA8">
      <w:pPr>
        <w:pStyle w:val="Heading3"/>
        <w:numPr>
          <w:ilvl w:val="2"/>
          <w:numId w:val="37"/>
        </w:numPr>
      </w:pPr>
      <w:r>
        <w:t>Salary</w:t>
      </w:r>
      <w:r>
        <w:rPr>
          <w:spacing w:val="-6"/>
        </w:rPr>
        <w:t xml:space="preserve"> </w:t>
      </w:r>
      <w:r>
        <w:t>oncosts</w:t>
      </w:r>
    </w:p>
    <w:p w:rsidR="006A18FD" w:rsidRDefault="002D29FC">
      <w:pPr>
        <w:spacing w:before="34"/>
        <w:ind w:left="140"/>
        <w:rPr>
          <w:rFonts w:ascii="Calibri" w:hAnsi="Calibri"/>
          <w:sz w:val="18"/>
        </w:rPr>
      </w:pPr>
      <w:r>
        <w:rPr>
          <w:rFonts w:ascii="Calibri" w:hAnsi="Calibri"/>
          <w:sz w:val="18"/>
        </w:rPr>
        <w:t>Employer’s national insurance is included, plus 14.38 per cent of salary for employer’s contribution to superannuation.</w:t>
      </w:r>
    </w:p>
    <w:p w:rsidR="006A18FD" w:rsidRDefault="002D29FC" w:rsidP="008E3FA8">
      <w:pPr>
        <w:pStyle w:val="Heading3"/>
        <w:numPr>
          <w:ilvl w:val="2"/>
          <w:numId w:val="37"/>
        </w:numPr>
      </w:pPr>
      <w:r>
        <w:t>Qualifications</w:t>
      </w:r>
    </w:p>
    <w:p w:rsidR="006A18FD" w:rsidRDefault="002D29FC">
      <w:pPr>
        <w:spacing w:before="34" w:line="276" w:lineRule="auto"/>
        <w:ind w:left="140" w:right="153"/>
        <w:rPr>
          <w:rFonts w:ascii="Calibri"/>
          <w:sz w:val="18"/>
        </w:rPr>
      </w:pPr>
      <w:r>
        <w:rPr>
          <w:rFonts w:ascii="Calibri"/>
          <w:sz w:val="18"/>
        </w:rPr>
        <w:t>Qualification costs have been calculated using the method described in Netten et al. (1998).</w:t>
      </w:r>
      <w:r>
        <w:rPr>
          <w:rFonts w:ascii="Calibri"/>
          <w:position w:val="5"/>
          <w:sz w:val="12"/>
        </w:rPr>
        <w:t xml:space="preserve">3 </w:t>
      </w:r>
      <w:r>
        <w:rPr>
          <w:rFonts w:ascii="Calibri"/>
          <w:sz w:val="18"/>
        </w:rPr>
        <w:t>Current cost information has been gathered from various sources (see Schema 18 for more details).</w:t>
      </w:r>
    </w:p>
    <w:p w:rsidR="006A18FD" w:rsidRDefault="002D29FC" w:rsidP="008E3FA8">
      <w:pPr>
        <w:pStyle w:val="Heading3"/>
        <w:numPr>
          <w:ilvl w:val="2"/>
          <w:numId w:val="37"/>
        </w:numPr>
      </w:pPr>
      <w:r>
        <w:t>Overheads</w:t>
      </w:r>
    </w:p>
    <w:p w:rsidR="006A18FD" w:rsidRDefault="002D29FC">
      <w:pPr>
        <w:spacing w:before="34" w:line="276" w:lineRule="auto"/>
        <w:ind w:left="140" w:right="169"/>
        <w:rPr>
          <w:rFonts w:ascii="Calibri"/>
          <w:sz w:val="18"/>
        </w:rPr>
      </w:pPr>
      <w:r>
        <w:rPr>
          <w:rFonts w:ascii="Calibri"/>
          <w:sz w:val="18"/>
        </w:rPr>
        <w:t>Taken from the 2013/2014 financial accounts for ten community trusts. See 2015 edition of the Unit Costs of Health &amp; Social Care for more information. Management and other non-care staff costs are 24.5 per cent of direct care salary costs and include administration and estates staff. Non-staff costs are 38.2 per cent of direct care salary costs. They include costs to the provider for office, travel/transport, publishing, training courses and conferences, supplies and services (clinical and general), and utilities such as water, gas and electricity.</w:t>
      </w:r>
    </w:p>
    <w:p w:rsidR="006A18FD" w:rsidRDefault="002D29FC" w:rsidP="008E3FA8">
      <w:pPr>
        <w:pStyle w:val="Heading3"/>
        <w:numPr>
          <w:ilvl w:val="2"/>
          <w:numId w:val="37"/>
        </w:numPr>
      </w:pPr>
      <w:r>
        <w:t>Capital</w:t>
      </w:r>
      <w:r>
        <w:rPr>
          <w:spacing w:val="-8"/>
        </w:rPr>
        <w:t xml:space="preserve"> </w:t>
      </w:r>
      <w:r>
        <w:t>overheads</w:t>
      </w:r>
    </w:p>
    <w:p w:rsidR="006A18FD" w:rsidRDefault="002D29FC">
      <w:pPr>
        <w:spacing w:before="34" w:line="276" w:lineRule="auto"/>
        <w:ind w:left="140" w:right="1015"/>
        <w:rPr>
          <w:rFonts w:ascii="Calibri"/>
          <w:sz w:val="12"/>
        </w:rPr>
      </w:pPr>
      <w:r>
        <w:rPr>
          <w:rFonts w:ascii="Calibri"/>
          <w:sz w:val="18"/>
        </w:rPr>
        <w:t>Based on the new-build and land requirements of NHS hospital facilities, but adjusted to reflect shared use of office space for administration, and recreational and changing facilities.</w:t>
      </w:r>
      <w:r>
        <w:rPr>
          <w:rFonts w:ascii="Calibri"/>
          <w:position w:val="5"/>
          <w:sz w:val="12"/>
        </w:rPr>
        <w:t>4,5</w:t>
      </w:r>
    </w:p>
    <w:p w:rsidR="006A18FD" w:rsidRDefault="002D29FC" w:rsidP="008E3FA8">
      <w:pPr>
        <w:pStyle w:val="Heading3"/>
        <w:numPr>
          <w:ilvl w:val="2"/>
          <w:numId w:val="37"/>
        </w:numPr>
      </w:pPr>
      <w:r>
        <w:t>Travel</w:t>
      </w:r>
    </w:p>
    <w:p w:rsidR="006A18FD" w:rsidRDefault="002D29FC">
      <w:pPr>
        <w:spacing w:before="33" w:line="276" w:lineRule="auto"/>
        <w:ind w:left="140" w:right="204"/>
        <w:rPr>
          <w:rFonts w:ascii="Calibri"/>
          <w:sz w:val="12"/>
        </w:rPr>
      </w:pPr>
      <w:r>
        <w:rPr>
          <w:rFonts w:ascii="Calibri"/>
          <w:sz w:val="18"/>
        </w:rPr>
        <w:t>No information available on average mileage covered per visit. From July 2014, NHS reimbursement has been based on a single rate for the first 3,500 miles travelled of 56p per mile, and a reduced rate thereafter of 20p per mile, irrespective of the type of car or fuel used.</w:t>
      </w:r>
      <w:r>
        <w:rPr>
          <w:rFonts w:ascii="Calibri"/>
          <w:position w:val="5"/>
          <w:sz w:val="12"/>
        </w:rPr>
        <w:t>6</w:t>
      </w:r>
    </w:p>
    <w:p w:rsidR="006A18FD" w:rsidRDefault="002D29FC" w:rsidP="008E3FA8">
      <w:pPr>
        <w:pStyle w:val="Heading3"/>
        <w:numPr>
          <w:ilvl w:val="2"/>
          <w:numId w:val="37"/>
        </w:numPr>
      </w:pPr>
      <w:r>
        <w:t>Working</w:t>
      </w:r>
      <w:r>
        <w:rPr>
          <w:spacing w:val="-10"/>
        </w:rPr>
        <w:t xml:space="preserve"> </w:t>
      </w:r>
      <w:r>
        <w:t>time</w:t>
      </w:r>
    </w:p>
    <w:p w:rsidR="006A18FD" w:rsidRDefault="002D29FC">
      <w:pPr>
        <w:spacing w:before="33" w:line="276" w:lineRule="auto"/>
        <w:ind w:left="140" w:right="753"/>
        <w:rPr>
          <w:rFonts w:ascii="Calibri"/>
          <w:sz w:val="18"/>
        </w:rPr>
      </w:pPr>
      <w:r>
        <w:rPr>
          <w:rFonts w:ascii="Calibri"/>
          <w:sz w:val="18"/>
        </w:rPr>
        <w:t>Working hours for each AfC band have been calculated by deducting sickness absence days</w:t>
      </w:r>
      <w:r>
        <w:rPr>
          <w:rFonts w:ascii="Calibri"/>
          <w:position w:val="5"/>
          <w:sz w:val="12"/>
        </w:rPr>
        <w:t xml:space="preserve">7 </w:t>
      </w:r>
      <w:r>
        <w:rPr>
          <w:rFonts w:ascii="Calibri"/>
          <w:sz w:val="18"/>
        </w:rPr>
        <w:t>as reported for NHS staff groups and training/study days from 225 working days.</w:t>
      </w:r>
    </w:p>
    <w:p w:rsidR="006A18FD" w:rsidRDefault="002D29FC" w:rsidP="008E3FA8">
      <w:pPr>
        <w:pStyle w:val="Heading3"/>
        <w:numPr>
          <w:ilvl w:val="2"/>
          <w:numId w:val="37"/>
        </w:numPr>
      </w:pPr>
      <w:r>
        <w:t>Ratio of direct to indirect</w:t>
      </w:r>
      <w:r>
        <w:rPr>
          <w:spacing w:val="-15"/>
        </w:rPr>
        <w:t xml:space="preserve"> </w:t>
      </w:r>
      <w:r>
        <w:t>time</w:t>
      </w:r>
    </w:p>
    <w:p w:rsidR="006A18FD" w:rsidRDefault="002D29FC">
      <w:pPr>
        <w:spacing w:before="33" w:line="276" w:lineRule="auto"/>
        <w:ind w:left="140" w:right="245"/>
        <w:rPr>
          <w:rFonts w:ascii="Calibri"/>
          <w:sz w:val="18"/>
        </w:rPr>
      </w:pPr>
      <w:r>
        <w:rPr>
          <w:rFonts w:ascii="Calibri"/>
          <w:sz w:val="18"/>
        </w:rPr>
        <w:t>Based on a study by Ball &amp; Philippou (2014)</w:t>
      </w:r>
      <w:r>
        <w:rPr>
          <w:rFonts w:ascii="Calibri"/>
          <w:position w:val="5"/>
          <w:sz w:val="12"/>
        </w:rPr>
        <w:t xml:space="preserve">8 </w:t>
      </w:r>
      <w:r>
        <w:rPr>
          <w:rFonts w:ascii="Calibri"/>
          <w:sz w:val="18"/>
        </w:rPr>
        <w:t>on average Grade 5 community nurses spent 44 per cent of their time on direct care and a further 18 per cent of their time on care planning, assessment and co-ordination. For Grade 6 these figures were 34 per cent and 21 per cent and for Grade 7/8 , 27 per cent and 22 per cent. See Ball &amp; Philippou (2014)</w:t>
      </w:r>
      <w:r>
        <w:rPr>
          <w:rFonts w:ascii="Calibri"/>
          <w:position w:val="5"/>
          <w:sz w:val="12"/>
        </w:rPr>
        <w:t xml:space="preserve">9 </w:t>
      </w:r>
      <w:r>
        <w:rPr>
          <w:rFonts w:ascii="Calibri"/>
          <w:sz w:val="18"/>
        </w:rPr>
        <w:t>for more detail and for the breakdown of time for different AfC bands which has been used to calculate the cost of an hour of face-to-face time. Also see the McKinsey report,</w:t>
      </w:r>
      <w:r>
        <w:rPr>
          <w:rFonts w:ascii="Calibri"/>
          <w:position w:val="5"/>
          <w:sz w:val="12"/>
        </w:rPr>
        <w:t xml:space="preserve">9 </w:t>
      </w:r>
      <w:r>
        <w:rPr>
          <w:rFonts w:ascii="Calibri"/>
          <w:sz w:val="18"/>
        </w:rPr>
        <w:t>for comparative purposes.</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21"/>
        </w:rPr>
      </w:pPr>
    </w:p>
    <w:p w:rsidR="006A18FD" w:rsidRDefault="002D29FC">
      <w:pPr>
        <w:spacing w:before="1" w:line="195" w:lineRule="exact"/>
        <w:ind w:left="140"/>
        <w:rPr>
          <w:rFonts w:ascii="Times New Roman" w:hAnsi="Times New Roman"/>
          <w:sz w:val="16"/>
        </w:rPr>
      </w:pPr>
      <w:r>
        <w:rPr>
          <w:rFonts w:ascii="Calibri" w:hAnsi="Calibri"/>
          <w:position w:val="5"/>
          <w:sz w:val="10"/>
        </w:rPr>
        <w:t xml:space="preserve">1 </w:t>
      </w:r>
      <w:r>
        <w:rPr>
          <w:rFonts w:ascii="Calibri" w:hAnsi="Calibri"/>
          <w:sz w:val="16"/>
        </w:rPr>
        <w:t xml:space="preserve">NHS Digital (2018) </w:t>
      </w:r>
      <w:r>
        <w:rPr>
          <w:rFonts w:ascii="Calibri" w:hAnsi="Calibri"/>
          <w:i/>
          <w:sz w:val="16"/>
        </w:rPr>
        <w:t xml:space="preserve">NHS staff earnings estimates, 12-month period from May 2018 – April 2019 </w:t>
      </w:r>
      <w:r>
        <w:rPr>
          <w:rFonts w:ascii="Calibri" w:hAnsi="Calibri"/>
          <w:sz w:val="16"/>
        </w:rPr>
        <w:t>(not publicly available), NHS Digital, Leeds</w:t>
      </w:r>
      <w:r>
        <w:rPr>
          <w:rFonts w:ascii="Times New Roman" w:hAnsi="Times New Roman"/>
          <w:sz w:val="16"/>
        </w:rPr>
        <w:t>.</w:t>
      </w:r>
    </w:p>
    <w:p w:rsidR="006A18FD" w:rsidRDefault="002D29FC">
      <w:pPr>
        <w:ind w:left="423" w:right="270" w:hanging="284"/>
        <w:rPr>
          <w:rFonts w:ascii="Calibri"/>
          <w:sz w:val="16"/>
        </w:rPr>
      </w:pPr>
      <w:r>
        <w:rPr>
          <w:rFonts w:ascii="Calibri"/>
          <w:position w:val="5"/>
          <w:sz w:val="10"/>
        </w:rPr>
        <w:t xml:space="preserve">2 </w:t>
      </w:r>
      <w:r>
        <w:rPr>
          <w:rFonts w:ascii="Calibri"/>
          <w:sz w:val="16"/>
        </w:rPr>
        <w:t xml:space="preserve">NHS Employers (2018) </w:t>
      </w:r>
      <w:r>
        <w:rPr>
          <w:rFonts w:ascii="Calibri"/>
          <w:i/>
          <w:sz w:val="16"/>
        </w:rPr>
        <w:t xml:space="preserve">NHS Terms and Conditions of Service Handbook, </w:t>
      </w:r>
      <w:r>
        <w:rPr>
          <w:rFonts w:ascii="Calibri"/>
          <w:sz w:val="16"/>
        </w:rPr>
        <w:t xml:space="preserve">NHS Employers, London. </w:t>
      </w:r>
      <w:hyperlink r:id="rId322">
        <w:r>
          <w:rPr>
            <w:rFonts w:ascii="Calibri"/>
            <w:sz w:val="16"/>
            <w:u w:val="single"/>
          </w:rPr>
          <w:t>http://www.nhsemployers.org/tchandbook</w:t>
        </w:r>
        <w:r>
          <w:rPr>
            <w:rFonts w:ascii="Calibri"/>
            <w:sz w:val="16"/>
          </w:rPr>
          <w:t xml:space="preserve"> </w:t>
        </w:r>
      </w:hyperlink>
      <w:r>
        <w:rPr>
          <w:rFonts w:ascii="Calibri"/>
          <w:sz w:val="16"/>
        </w:rPr>
        <w:t>[accessed 25 September 2018].</w:t>
      </w:r>
    </w:p>
    <w:p w:rsidR="006A18FD" w:rsidRDefault="002D29FC">
      <w:pPr>
        <w:ind w:left="423"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2" w:line="195" w:lineRule="exact"/>
        <w:ind w:left="140"/>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697"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23">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423" w:right="230" w:hanging="284"/>
        <w:rPr>
          <w:rFonts w:ascii="Calibri" w:hAnsi="Calibri"/>
          <w:sz w:val="16"/>
        </w:rPr>
      </w:pPr>
      <w:r>
        <w:rPr>
          <w:rFonts w:ascii="Calibri" w:hAnsi="Calibri"/>
          <w:position w:val="5"/>
          <w:sz w:val="10"/>
        </w:rPr>
        <w:t xml:space="preserve">6 </w:t>
      </w:r>
      <w:r>
        <w:rPr>
          <w:rFonts w:ascii="Calibri" w:hAnsi="Calibri"/>
          <w:sz w:val="16"/>
        </w:rPr>
        <w:t xml:space="preserve">NHS Employers (2018) </w:t>
      </w:r>
      <w:r>
        <w:rPr>
          <w:rFonts w:ascii="Calibri" w:hAnsi="Calibri"/>
          <w:i/>
          <w:sz w:val="16"/>
        </w:rPr>
        <w:t>Mileage allowances – Section 17</w:t>
      </w:r>
      <w:r>
        <w:rPr>
          <w:rFonts w:ascii="Calibri" w:hAnsi="Calibri"/>
          <w:sz w:val="16"/>
        </w:rPr>
        <w:t xml:space="preserve">, NHS Employers, London. </w:t>
      </w:r>
      <w:hyperlink r:id="rId324">
        <w:r>
          <w:rPr>
            <w:rFonts w:ascii="Calibri" w:hAnsi="Calibri"/>
            <w:sz w:val="16"/>
            <w:u w:val="single"/>
          </w:rPr>
          <w:t>http://nhsemployers.org/your-workforce/pay-and-reward/nhs-terms-</w:t>
        </w:r>
      </w:hyperlink>
      <w:r>
        <w:rPr>
          <w:rFonts w:ascii="Calibri" w:hAnsi="Calibri"/>
          <w:sz w:val="16"/>
        </w:rPr>
        <w:t xml:space="preserve"> </w:t>
      </w:r>
      <w:hyperlink r:id="rId325">
        <w:r>
          <w:rPr>
            <w:rFonts w:ascii="Calibri" w:hAnsi="Calibri"/>
            <w:sz w:val="16"/>
            <w:u w:val="single"/>
          </w:rPr>
          <w:t>and-conditions/nhs-terms-and-conditions-of-service-handbook/mileage-allowances</w:t>
        </w:r>
        <w:r>
          <w:rPr>
            <w:rFonts w:ascii="Calibri" w:hAnsi="Calibri"/>
            <w:sz w:val="16"/>
          </w:rPr>
          <w:t xml:space="preserve"> </w:t>
        </w:r>
      </w:hyperlink>
      <w:r>
        <w:rPr>
          <w:rFonts w:ascii="Calibri" w:hAnsi="Calibri"/>
          <w:sz w:val="16"/>
        </w:rPr>
        <w:t>[accessed 1 October 2018].].</w:t>
      </w:r>
    </w:p>
    <w:p w:rsidR="006A18FD" w:rsidRDefault="002D29FC">
      <w:pPr>
        <w:spacing w:before="1"/>
        <w:ind w:left="423" w:right="259" w:hanging="284"/>
        <w:rPr>
          <w:rFonts w:ascii="Calibri"/>
          <w:sz w:val="16"/>
        </w:rPr>
      </w:pPr>
      <w:r>
        <w:rPr>
          <w:rFonts w:ascii="Calibri"/>
          <w:position w:val="5"/>
          <w:sz w:val="10"/>
        </w:rPr>
        <w:t xml:space="preserve">7 </w:t>
      </w:r>
      <w:r>
        <w:rPr>
          <w:rFonts w:ascii="Calibri"/>
          <w:sz w:val="16"/>
        </w:rPr>
        <w:t xml:space="preserve">NHS Digital, NHS sickness absence rates, January 2019 to March 2019 and Annual Summary 2010-11 to 2018-19, NHS Digital, London. </w:t>
      </w:r>
      <w:hyperlink r:id="rId326">
        <w:r>
          <w:rPr>
            <w:rFonts w:ascii="Calibri"/>
            <w:sz w:val="16"/>
            <w:u w:val="single"/>
          </w:rPr>
          <w:t>https://digital.nhs.uk/data-and-information/publications/statistical/nhs-sickness-absence-rates/january-2019-to-march-2019-and-annual-summary-</w:t>
        </w:r>
      </w:hyperlink>
      <w:r>
        <w:rPr>
          <w:rFonts w:ascii="Calibri"/>
          <w:sz w:val="16"/>
        </w:rPr>
        <w:t xml:space="preserve"> </w:t>
      </w:r>
      <w:hyperlink r:id="rId327">
        <w:r>
          <w:rPr>
            <w:rFonts w:ascii="Calibri"/>
            <w:sz w:val="16"/>
            <w:u w:val="single"/>
          </w:rPr>
          <w:t>2010-11-to-2018-19</w:t>
        </w:r>
        <w:r>
          <w:rPr>
            <w:rFonts w:ascii="Calibri"/>
            <w:sz w:val="16"/>
          </w:rPr>
          <w:t xml:space="preserve"> </w:t>
        </w:r>
      </w:hyperlink>
      <w:r>
        <w:rPr>
          <w:rFonts w:ascii="Calibri"/>
          <w:sz w:val="16"/>
        </w:rPr>
        <w:t>[accessed 1 October 2019].</w:t>
      </w:r>
    </w:p>
    <w:p w:rsidR="006A18FD" w:rsidRDefault="002D29FC">
      <w:pPr>
        <w:spacing w:before="1"/>
        <w:ind w:left="423" w:right="270" w:hanging="284"/>
        <w:rPr>
          <w:rFonts w:ascii="Calibri" w:hAnsi="Calibri"/>
          <w:sz w:val="16"/>
        </w:rPr>
      </w:pPr>
      <w:r>
        <w:rPr>
          <w:rFonts w:ascii="Calibri" w:hAnsi="Calibri"/>
          <w:position w:val="5"/>
          <w:sz w:val="10"/>
        </w:rPr>
        <w:t xml:space="preserve">8 </w:t>
      </w:r>
      <w:r>
        <w:rPr>
          <w:rFonts w:ascii="Calibri" w:hAnsi="Calibri"/>
          <w:sz w:val="16"/>
        </w:rPr>
        <w:t xml:space="preserve">Ball, J. &amp; Philippou, J. with Pike, G. &amp; Sethi, J., (2014) </w:t>
      </w:r>
      <w:r>
        <w:rPr>
          <w:rFonts w:ascii="Calibri" w:hAnsi="Calibri"/>
          <w:i/>
          <w:sz w:val="16"/>
        </w:rPr>
        <w:t>Survey of district and community nurses in 2013</w:t>
      </w:r>
      <w:r>
        <w:rPr>
          <w:rFonts w:ascii="Calibri" w:hAnsi="Calibri"/>
          <w:sz w:val="16"/>
        </w:rPr>
        <w:t>, Report to the Royal College of Nursing, King’s College London.</w:t>
      </w:r>
    </w:p>
    <w:p w:rsidR="006A18FD" w:rsidRDefault="002D29FC">
      <w:pPr>
        <w:spacing w:line="194" w:lineRule="exact"/>
        <w:ind w:left="140"/>
        <w:rPr>
          <w:rFonts w:ascii="Calibri"/>
          <w:sz w:val="16"/>
        </w:rPr>
      </w:pPr>
      <w:r>
        <w:rPr>
          <w:rFonts w:ascii="Calibri"/>
          <w:position w:val="5"/>
          <w:sz w:val="10"/>
        </w:rPr>
        <w:t>9</w:t>
      </w:r>
      <w:r>
        <w:rPr>
          <w:rFonts w:ascii="Calibri"/>
          <w:sz w:val="16"/>
        </w:rPr>
        <w:t xml:space="preserve">Department of Health (2010) </w:t>
      </w:r>
      <w:r>
        <w:rPr>
          <w:rFonts w:ascii="Calibri"/>
          <w:i/>
          <w:sz w:val="16"/>
        </w:rPr>
        <w:t xml:space="preserve">Achieving world class productivity in the NHS, 2009/10-2013/14: The McKinsey Report, </w:t>
      </w:r>
      <w:r>
        <w:rPr>
          <w:rFonts w:ascii="Calibri"/>
          <w:sz w:val="16"/>
        </w:rPr>
        <w:t>Department of Health, London.</w:t>
      </w:r>
    </w:p>
    <w:p w:rsidR="006A18FD" w:rsidRDefault="006A18FD">
      <w:pPr>
        <w:spacing w:line="194" w:lineRule="exact"/>
        <w:rPr>
          <w:rFonts w:ascii="Calibri"/>
          <w:sz w:val="16"/>
        </w:rPr>
        <w:sectPr w:rsidR="006A18FD">
          <w:headerReference w:type="even" r:id="rId328"/>
          <w:pgSz w:w="11910" w:h="16840"/>
          <w:pgMar w:top="960" w:right="1000" w:bottom="280" w:left="580" w:header="751" w:footer="0" w:gutter="0"/>
          <w:pgNumType w:start="116"/>
          <w:cols w:space="720"/>
        </w:sectPr>
      </w:pPr>
    </w:p>
    <w:p w:rsidR="006A18FD" w:rsidRDefault="002D29FC">
      <w:pPr>
        <w:spacing w:before="63" w:line="276" w:lineRule="auto"/>
        <w:ind w:left="100" w:right="472"/>
        <w:jc w:val="both"/>
        <w:rPr>
          <w:rFonts w:ascii="Calibri"/>
          <w:sz w:val="24"/>
        </w:rPr>
      </w:pPr>
      <w:r>
        <w:rPr>
          <w:rFonts w:ascii="Calibri"/>
          <w:sz w:val="24"/>
        </w:rPr>
        <w:t xml:space="preserve">This table provides the annual and unit costs for qualified nurses. See notes facing for assistance in interpreting each cost item. See Chapter 18 for examples of roles in each band. Refer to notes on facing page for references. </w:t>
      </w:r>
      <w:r>
        <w:rPr>
          <w:rFonts w:ascii="Calibri"/>
        </w:rPr>
        <w:t xml:space="preserve">See also Excel database on the PSSRU website. </w:t>
      </w:r>
      <w:r>
        <w:rPr>
          <w:rFonts w:ascii="Calibri"/>
          <w:b/>
          <w:sz w:val="24"/>
        </w:rPr>
        <w:t>Please note that there are no staff on Bands 1-3 in this staff group</w:t>
      </w:r>
      <w:r>
        <w:rPr>
          <w:rFonts w:ascii="Calibri"/>
          <w:sz w:val="24"/>
        </w:rPr>
        <w:t>.</w:t>
      </w:r>
    </w:p>
    <w:p w:rsidR="006A18FD" w:rsidRDefault="006A18FD">
      <w:pPr>
        <w:spacing w:before="2" w:after="1"/>
        <w:rPr>
          <w:rFonts w:ascii="Calibri"/>
          <w:sz w:val="16"/>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1417"/>
        <w:gridCol w:w="1418"/>
        <w:gridCol w:w="1416"/>
        <w:gridCol w:w="1416"/>
        <w:gridCol w:w="1418"/>
        <w:gridCol w:w="1417"/>
        <w:gridCol w:w="1418"/>
        <w:gridCol w:w="1416"/>
        <w:gridCol w:w="1418"/>
      </w:tblGrid>
      <w:tr w:rsidR="006A18FD" w:rsidTr="00E2663F">
        <w:trPr>
          <w:trHeight w:val="480"/>
          <w:tblHeader/>
        </w:trPr>
        <w:tc>
          <w:tcPr>
            <w:tcW w:w="2722" w:type="dxa"/>
          </w:tcPr>
          <w:p w:rsidR="006A18FD" w:rsidRDefault="006A18FD">
            <w:pPr>
              <w:rPr>
                <w:rFonts w:ascii="Times New Roman"/>
                <w:sz w:val="20"/>
              </w:rPr>
            </w:pPr>
          </w:p>
        </w:tc>
        <w:tc>
          <w:tcPr>
            <w:tcW w:w="1417" w:type="dxa"/>
          </w:tcPr>
          <w:p w:rsidR="006A18FD" w:rsidRDefault="006A18FD">
            <w:pPr>
              <w:spacing w:before="2"/>
              <w:rPr>
                <w:rFonts w:ascii="Calibri"/>
                <w:sz w:val="20"/>
              </w:rPr>
            </w:pPr>
          </w:p>
          <w:p w:rsidR="006A18FD" w:rsidRDefault="002D29FC">
            <w:pPr>
              <w:spacing w:line="223" w:lineRule="exact"/>
              <w:ind w:left="325" w:right="325"/>
              <w:jc w:val="center"/>
              <w:rPr>
                <w:rFonts w:ascii="Calibri"/>
                <w:b/>
                <w:sz w:val="20"/>
              </w:rPr>
            </w:pPr>
            <w:r>
              <w:rPr>
                <w:rFonts w:ascii="Calibri"/>
                <w:b/>
                <w:sz w:val="20"/>
              </w:rPr>
              <w:t>Band 4</w:t>
            </w:r>
          </w:p>
        </w:tc>
        <w:tc>
          <w:tcPr>
            <w:tcW w:w="1418" w:type="dxa"/>
          </w:tcPr>
          <w:p w:rsidR="006A18FD" w:rsidRDefault="006A18FD">
            <w:pPr>
              <w:spacing w:before="2"/>
              <w:rPr>
                <w:rFonts w:ascii="Calibri"/>
                <w:sz w:val="20"/>
              </w:rPr>
            </w:pPr>
          </w:p>
          <w:p w:rsidR="006A18FD" w:rsidRDefault="002D29FC">
            <w:pPr>
              <w:spacing w:line="223" w:lineRule="exact"/>
              <w:ind w:right="416"/>
              <w:jc w:val="right"/>
              <w:rPr>
                <w:rFonts w:ascii="Calibri"/>
                <w:b/>
                <w:sz w:val="20"/>
              </w:rPr>
            </w:pPr>
            <w:r>
              <w:rPr>
                <w:rFonts w:ascii="Calibri"/>
                <w:b/>
                <w:sz w:val="20"/>
              </w:rPr>
              <w:t>Band 5</w:t>
            </w:r>
          </w:p>
        </w:tc>
        <w:tc>
          <w:tcPr>
            <w:tcW w:w="1416" w:type="dxa"/>
          </w:tcPr>
          <w:p w:rsidR="006A18FD" w:rsidRDefault="006A18FD">
            <w:pPr>
              <w:spacing w:before="2"/>
              <w:rPr>
                <w:rFonts w:ascii="Calibri"/>
                <w:sz w:val="20"/>
              </w:rPr>
            </w:pPr>
          </w:p>
          <w:p w:rsidR="006A18FD" w:rsidRDefault="002D29FC">
            <w:pPr>
              <w:spacing w:line="223" w:lineRule="exact"/>
              <w:ind w:left="417"/>
              <w:rPr>
                <w:rFonts w:ascii="Calibri"/>
                <w:b/>
                <w:sz w:val="20"/>
              </w:rPr>
            </w:pPr>
            <w:r>
              <w:rPr>
                <w:rFonts w:ascii="Calibri"/>
                <w:b/>
                <w:sz w:val="20"/>
              </w:rPr>
              <w:t>Band 6</w:t>
            </w:r>
          </w:p>
        </w:tc>
        <w:tc>
          <w:tcPr>
            <w:tcW w:w="1416" w:type="dxa"/>
          </w:tcPr>
          <w:p w:rsidR="006A18FD" w:rsidRDefault="006A18FD">
            <w:pPr>
              <w:spacing w:before="2"/>
              <w:rPr>
                <w:rFonts w:ascii="Calibri"/>
                <w:sz w:val="20"/>
              </w:rPr>
            </w:pPr>
          </w:p>
          <w:p w:rsidR="006A18FD" w:rsidRDefault="002D29FC">
            <w:pPr>
              <w:spacing w:line="223" w:lineRule="exact"/>
              <w:ind w:left="306" w:right="305"/>
              <w:jc w:val="center"/>
              <w:rPr>
                <w:rFonts w:ascii="Calibri"/>
                <w:b/>
                <w:sz w:val="20"/>
              </w:rPr>
            </w:pPr>
            <w:r>
              <w:rPr>
                <w:rFonts w:ascii="Calibri"/>
                <w:b/>
                <w:sz w:val="20"/>
              </w:rPr>
              <w:t>Band 7</w:t>
            </w:r>
          </w:p>
        </w:tc>
        <w:tc>
          <w:tcPr>
            <w:tcW w:w="1418" w:type="dxa"/>
          </w:tcPr>
          <w:p w:rsidR="006A18FD" w:rsidRDefault="006A18FD">
            <w:pPr>
              <w:spacing w:before="2"/>
              <w:rPr>
                <w:rFonts w:ascii="Calibri"/>
                <w:sz w:val="20"/>
              </w:rPr>
            </w:pPr>
          </w:p>
          <w:p w:rsidR="006A18FD" w:rsidRDefault="002D29FC">
            <w:pPr>
              <w:spacing w:line="223" w:lineRule="exact"/>
              <w:ind w:left="325" w:right="326"/>
              <w:jc w:val="center"/>
              <w:rPr>
                <w:rFonts w:ascii="Calibri"/>
                <w:b/>
                <w:sz w:val="20"/>
              </w:rPr>
            </w:pPr>
            <w:r>
              <w:rPr>
                <w:rFonts w:ascii="Calibri"/>
                <w:b/>
                <w:sz w:val="20"/>
              </w:rPr>
              <w:t>Band 8a</w:t>
            </w:r>
          </w:p>
        </w:tc>
        <w:tc>
          <w:tcPr>
            <w:tcW w:w="1417" w:type="dxa"/>
          </w:tcPr>
          <w:p w:rsidR="006A18FD" w:rsidRDefault="006A18FD">
            <w:pPr>
              <w:spacing w:before="2"/>
              <w:rPr>
                <w:rFonts w:ascii="Calibri"/>
                <w:sz w:val="20"/>
              </w:rPr>
            </w:pPr>
          </w:p>
          <w:p w:rsidR="006A18FD" w:rsidRDefault="002D29FC">
            <w:pPr>
              <w:spacing w:line="223" w:lineRule="exact"/>
              <w:ind w:left="325" w:right="325"/>
              <w:jc w:val="center"/>
              <w:rPr>
                <w:rFonts w:ascii="Calibri"/>
                <w:b/>
                <w:sz w:val="20"/>
              </w:rPr>
            </w:pPr>
            <w:r>
              <w:rPr>
                <w:rFonts w:ascii="Calibri"/>
                <w:b/>
                <w:sz w:val="20"/>
              </w:rPr>
              <w:t>Band 8b</w:t>
            </w:r>
          </w:p>
        </w:tc>
        <w:tc>
          <w:tcPr>
            <w:tcW w:w="1418" w:type="dxa"/>
          </w:tcPr>
          <w:p w:rsidR="006A18FD" w:rsidRDefault="006A18FD">
            <w:pPr>
              <w:spacing w:before="2"/>
              <w:rPr>
                <w:rFonts w:ascii="Calibri"/>
                <w:sz w:val="20"/>
              </w:rPr>
            </w:pPr>
          </w:p>
          <w:p w:rsidR="006A18FD" w:rsidRDefault="002D29FC">
            <w:pPr>
              <w:spacing w:line="223" w:lineRule="exact"/>
              <w:ind w:left="325" w:right="327"/>
              <w:jc w:val="center"/>
              <w:rPr>
                <w:rFonts w:ascii="Calibri"/>
                <w:b/>
                <w:sz w:val="20"/>
              </w:rPr>
            </w:pPr>
            <w:r>
              <w:rPr>
                <w:rFonts w:ascii="Calibri"/>
                <w:b/>
                <w:sz w:val="20"/>
              </w:rPr>
              <w:t>Band 8c</w:t>
            </w:r>
          </w:p>
        </w:tc>
        <w:tc>
          <w:tcPr>
            <w:tcW w:w="1416" w:type="dxa"/>
          </w:tcPr>
          <w:p w:rsidR="006A18FD" w:rsidRDefault="006A18FD">
            <w:pPr>
              <w:spacing w:before="2"/>
              <w:rPr>
                <w:rFonts w:ascii="Calibri"/>
                <w:sz w:val="20"/>
              </w:rPr>
            </w:pPr>
          </w:p>
          <w:p w:rsidR="006A18FD" w:rsidRDefault="002D29FC">
            <w:pPr>
              <w:spacing w:line="223" w:lineRule="exact"/>
              <w:ind w:left="305" w:right="305"/>
              <w:jc w:val="center"/>
              <w:rPr>
                <w:rFonts w:ascii="Calibri"/>
                <w:b/>
                <w:sz w:val="20"/>
              </w:rPr>
            </w:pPr>
            <w:r>
              <w:rPr>
                <w:rFonts w:ascii="Calibri"/>
                <w:b/>
                <w:sz w:val="20"/>
              </w:rPr>
              <w:t>Band 8d</w:t>
            </w:r>
          </w:p>
        </w:tc>
        <w:tc>
          <w:tcPr>
            <w:tcW w:w="1418" w:type="dxa"/>
          </w:tcPr>
          <w:p w:rsidR="006A18FD" w:rsidRDefault="006A18FD">
            <w:pPr>
              <w:spacing w:before="2"/>
              <w:rPr>
                <w:rFonts w:ascii="Calibri"/>
                <w:sz w:val="20"/>
              </w:rPr>
            </w:pPr>
          </w:p>
          <w:p w:rsidR="006A18FD" w:rsidRDefault="002D29FC">
            <w:pPr>
              <w:spacing w:line="223" w:lineRule="exact"/>
              <w:ind w:right="416"/>
              <w:jc w:val="right"/>
              <w:rPr>
                <w:rFonts w:ascii="Calibri"/>
                <w:b/>
                <w:sz w:val="20"/>
              </w:rPr>
            </w:pPr>
            <w:r>
              <w:rPr>
                <w:rFonts w:ascii="Calibri"/>
                <w:b/>
                <w:sz w:val="20"/>
              </w:rPr>
              <w:t>Band 9</w:t>
            </w:r>
          </w:p>
        </w:tc>
      </w:tr>
      <w:tr w:rsidR="006A18FD">
        <w:trPr>
          <w:trHeight w:val="300"/>
        </w:trPr>
        <w:tc>
          <w:tcPr>
            <w:tcW w:w="2722" w:type="dxa"/>
          </w:tcPr>
          <w:p w:rsidR="006A18FD" w:rsidRDefault="006A18FD">
            <w:pPr>
              <w:rPr>
                <w:rFonts w:ascii="Times New Roman"/>
                <w:sz w:val="20"/>
              </w:rPr>
            </w:pP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r>
      <w:tr w:rsidR="006A18FD">
        <w:trPr>
          <w:trHeight w:val="300"/>
        </w:trPr>
        <w:tc>
          <w:tcPr>
            <w:tcW w:w="2722" w:type="dxa"/>
          </w:tcPr>
          <w:p w:rsidR="006A18FD" w:rsidRDefault="002D29FC">
            <w:pPr>
              <w:spacing w:before="69" w:line="223" w:lineRule="exact"/>
              <w:ind w:left="103"/>
              <w:rPr>
                <w:rFonts w:ascii="Calibri"/>
                <w:b/>
                <w:sz w:val="20"/>
              </w:rPr>
            </w:pPr>
            <w:r>
              <w:rPr>
                <w:rFonts w:ascii="Calibri"/>
                <w:b/>
                <w:sz w:val="20"/>
              </w:rPr>
              <w:t>A Wages/salary</w:t>
            </w:r>
          </w:p>
        </w:tc>
        <w:tc>
          <w:tcPr>
            <w:tcW w:w="1417" w:type="dxa"/>
          </w:tcPr>
          <w:p w:rsidR="006A18FD" w:rsidRDefault="002D29FC">
            <w:pPr>
              <w:spacing w:before="69" w:line="223" w:lineRule="exact"/>
              <w:ind w:left="325" w:right="326"/>
              <w:jc w:val="center"/>
              <w:rPr>
                <w:rFonts w:ascii="Calibri" w:hAnsi="Calibri"/>
                <w:sz w:val="20"/>
              </w:rPr>
            </w:pPr>
            <w:r>
              <w:rPr>
                <w:rFonts w:ascii="Calibri" w:hAnsi="Calibri"/>
                <w:sz w:val="20"/>
              </w:rPr>
              <w:t>£20,628</w:t>
            </w:r>
          </w:p>
        </w:tc>
        <w:tc>
          <w:tcPr>
            <w:tcW w:w="1418" w:type="dxa"/>
          </w:tcPr>
          <w:p w:rsidR="006A18FD" w:rsidRDefault="002D29FC">
            <w:pPr>
              <w:spacing w:before="69" w:line="223" w:lineRule="exact"/>
              <w:ind w:right="377"/>
              <w:jc w:val="right"/>
              <w:rPr>
                <w:rFonts w:ascii="Calibri" w:hAnsi="Calibri"/>
                <w:sz w:val="20"/>
              </w:rPr>
            </w:pPr>
            <w:r>
              <w:rPr>
                <w:rFonts w:ascii="Calibri" w:hAnsi="Calibri"/>
                <w:w w:val="95"/>
                <w:sz w:val="20"/>
              </w:rPr>
              <w:t>£26,894</w:t>
            </w:r>
          </w:p>
        </w:tc>
        <w:tc>
          <w:tcPr>
            <w:tcW w:w="1416" w:type="dxa"/>
          </w:tcPr>
          <w:p w:rsidR="006A18FD" w:rsidRDefault="002D29FC">
            <w:pPr>
              <w:spacing w:before="69" w:line="223" w:lineRule="exact"/>
              <w:ind w:right="374"/>
              <w:jc w:val="right"/>
              <w:rPr>
                <w:rFonts w:ascii="Calibri" w:hAnsi="Calibri"/>
                <w:sz w:val="20"/>
              </w:rPr>
            </w:pPr>
            <w:r>
              <w:rPr>
                <w:rFonts w:ascii="Calibri" w:hAnsi="Calibri"/>
                <w:sz w:val="20"/>
              </w:rPr>
              <w:t>£33,411</w:t>
            </w:r>
          </w:p>
        </w:tc>
        <w:tc>
          <w:tcPr>
            <w:tcW w:w="1416" w:type="dxa"/>
          </w:tcPr>
          <w:p w:rsidR="006A18FD" w:rsidRDefault="002D29FC">
            <w:pPr>
              <w:spacing w:before="69" w:line="223" w:lineRule="exact"/>
              <w:ind w:left="304" w:right="305"/>
              <w:jc w:val="center"/>
              <w:rPr>
                <w:rFonts w:ascii="Calibri" w:hAnsi="Calibri"/>
                <w:sz w:val="20"/>
              </w:rPr>
            </w:pPr>
            <w:r>
              <w:rPr>
                <w:rFonts w:ascii="Calibri" w:hAnsi="Calibri"/>
                <w:sz w:val="20"/>
              </w:rPr>
              <w:t>£39,994</w:t>
            </w:r>
          </w:p>
        </w:tc>
        <w:tc>
          <w:tcPr>
            <w:tcW w:w="1418" w:type="dxa"/>
          </w:tcPr>
          <w:p w:rsidR="006A18FD" w:rsidRDefault="002D29FC">
            <w:pPr>
              <w:spacing w:before="69" w:line="223" w:lineRule="exact"/>
              <w:ind w:left="325" w:right="327"/>
              <w:jc w:val="center"/>
              <w:rPr>
                <w:rFonts w:ascii="Calibri" w:hAnsi="Calibri"/>
                <w:sz w:val="20"/>
              </w:rPr>
            </w:pPr>
            <w:r>
              <w:rPr>
                <w:rFonts w:ascii="Calibri" w:hAnsi="Calibri"/>
                <w:sz w:val="20"/>
              </w:rPr>
              <w:t>£47,176</w:t>
            </w:r>
          </w:p>
        </w:tc>
        <w:tc>
          <w:tcPr>
            <w:tcW w:w="1417" w:type="dxa"/>
          </w:tcPr>
          <w:p w:rsidR="006A18FD" w:rsidRDefault="002D29FC">
            <w:pPr>
              <w:spacing w:before="69" w:line="223" w:lineRule="exact"/>
              <w:ind w:left="325" w:right="325"/>
              <w:jc w:val="center"/>
              <w:rPr>
                <w:rFonts w:ascii="Calibri" w:hAnsi="Calibri"/>
                <w:sz w:val="20"/>
              </w:rPr>
            </w:pPr>
            <w:r>
              <w:rPr>
                <w:rFonts w:ascii="Calibri" w:hAnsi="Calibri"/>
                <w:sz w:val="20"/>
              </w:rPr>
              <w:t>£56,102</w:t>
            </w:r>
          </w:p>
        </w:tc>
        <w:tc>
          <w:tcPr>
            <w:tcW w:w="1418" w:type="dxa"/>
          </w:tcPr>
          <w:p w:rsidR="006A18FD" w:rsidRDefault="002D29FC">
            <w:pPr>
              <w:spacing w:before="69" w:line="223" w:lineRule="exact"/>
              <w:ind w:left="325" w:right="327"/>
              <w:jc w:val="center"/>
              <w:rPr>
                <w:rFonts w:ascii="Calibri" w:hAnsi="Calibri"/>
                <w:sz w:val="20"/>
              </w:rPr>
            </w:pPr>
            <w:r>
              <w:rPr>
                <w:rFonts w:ascii="Calibri" w:hAnsi="Calibri"/>
                <w:sz w:val="20"/>
              </w:rPr>
              <w:t>£65,739</w:t>
            </w:r>
          </w:p>
        </w:tc>
        <w:tc>
          <w:tcPr>
            <w:tcW w:w="1416" w:type="dxa"/>
          </w:tcPr>
          <w:p w:rsidR="006A18FD" w:rsidRDefault="002D29FC">
            <w:pPr>
              <w:spacing w:before="69" w:line="223" w:lineRule="exact"/>
              <w:ind w:left="305" w:right="305"/>
              <w:jc w:val="center"/>
              <w:rPr>
                <w:rFonts w:ascii="Calibri" w:hAnsi="Calibri"/>
                <w:sz w:val="20"/>
              </w:rPr>
            </w:pPr>
            <w:r>
              <w:rPr>
                <w:rFonts w:ascii="Calibri" w:hAnsi="Calibri"/>
                <w:sz w:val="20"/>
              </w:rPr>
              <w:t>£77,494</w:t>
            </w:r>
          </w:p>
        </w:tc>
        <w:tc>
          <w:tcPr>
            <w:tcW w:w="1418" w:type="dxa"/>
          </w:tcPr>
          <w:p w:rsidR="006A18FD" w:rsidRDefault="002D29FC">
            <w:pPr>
              <w:spacing w:before="69" w:line="223" w:lineRule="exact"/>
              <w:ind w:right="376"/>
              <w:jc w:val="right"/>
              <w:rPr>
                <w:rFonts w:ascii="Calibri" w:hAnsi="Calibri"/>
                <w:sz w:val="20"/>
              </w:rPr>
            </w:pPr>
            <w:r>
              <w:rPr>
                <w:rFonts w:ascii="Calibri" w:hAnsi="Calibri"/>
                <w:w w:val="95"/>
                <w:sz w:val="20"/>
              </w:rPr>
              <w:t>£92,329</w:t>
            </w:r>
          </w:p>
        </w:tc>
      </w:tr>
      <w:tr w:rsidR="006A18FD">
        <w:trPr>
          <w:trHeight w:val="300"/>
        </w:trPr>
        <w:tc>
          <w:tcPr>
            <w:tcW w:w="2722" w:type="dxa"/>
          </w:tcPr>
          <w:p w:rsidR="006A18FD" w:rsidRDefault="002D29FC">
            <w:pPr>
              <w:spacing w:before="68" w:line="223" w:lineRule="exact"/>
              <w:ind w:left="103"/>
              <w:rPr>
                <w:rFonts w:ascii="Calibri"/>
                <w:b/>
                <w:sz w:val="20"/>
              </w:rPr>
            </w:pPr>
            <w:r>
              <w:rPr>
                <w:rFonts w:ascii="Calibri"/>
                <w:b/>
                <w:sz w:val="20"/>
              </w:rPr>
              <w:t>B Salary oncosts</w:t>
            </w:r>
          </w:p>
        </w:tc>
        <w:tc>
          <w:tcPr>
            <w:tcW w:w="1417" w:type="dxa"/>
          </w:tcPr>
          <w:p w:rsidR="006A18FD" w:rsidRDefault="002D29FC">
            <w:pPr>
              <w:spacing w:before="68" w:line="223" w:lineRule="exact"/>
              <w:ind w:left="325" w:right="326"/>
              <w:jc w:val="center"/>
              <w:rPr>
                <w:rFonts w:ascii="Calibri" w:hAnsi="Calibri"/>
                <w:sz w:val="20"/>
              </w:rPr>
            </w:pPr>
            <w:r>
              <w:rPr>
                <w:rFonts w:ascii="Calibri" w:hAnsi="Calibri"/>
                <w:sz w:val="20"/>
              </w:rPr>
              <w:t>£4,650</w:t>
            </w:r>
          </w:p>
        </w:tc>
        <w:tc>
          <w:tcPr>
            <w:tcW w:w="1418" w:type="dxa"/>
          </w:tcPr>
          <w:p w:rsidR="006A18FD" w:rsidRDefault="002D29FC">
            <w:pPr>
              <w:spacing w:before="68" w:line="223" w:lineRule="exact"/>
              <w:ind w:left="424"/>
              <w:rPr>
                <w:rFonts w:ascii="Calibri" w:hAnsi="Calibri"/>
                <w:sz w:val="20"/>
              </w:rPr>
            </w:pPr>
            <w:r>
              <w:rPr>
                <w:rFonts w:ascii="Calibri" w:hAnsi="Calibri"/>
                <w:sz w:val="20"/>
              </w:rPr>
              <w:t>£6,416</w:t>
            </w:r>
          </w:p>
        </w:tc>
        <w:tc>
          <w:tcPr>
            <w:tcW w:w="1416" w:type="dxa"/>
          </w:tcPr>
          <w:p w:rsidR="006A18FD" w:rsidRDefault="002D29FC">
            <w:pPr>
              <w:spacing w:before="68" w:line="223" w:lineRule="exact"/>
              <w:ind w:left="424"/>
              <w:rPr>
                <w:rFonts w:ascii="Calibri" w:hAnsi="Calibri"/>
                <w:sz w:val="20"/>
              </w:rPr>
            </w:pPr>
            <w:r>
              <w:rPr>
                <w:rFonts w:ascii="Calibri" w:hAnsi="Calibri"/>
                <w:sz w:val="20"/>
              </w:rPr>
              <w:t>£8,253</w:t>
            </w:r>
          </w:p>
        </w:tc>
        <w:tc>
          <w:tcPr>
            <w:tcW w:w="1416" w:type="dxa"/>
          </w:tcPr>
          <w:p w:rsidR="006A18FD" w:rsidRDefault="002D29FC">
            <w:pPr>
              <w:spacing w:before="68" w:line="223" w:lineRule="exact"/>
              <w:ind w:left="304" w:right="305"/>
              <w:jc w:val="center"/>
              <w:rPr>
                <w:rFonts w:ascii="Calibri" w:hAnsi="Calibri"/>
                <w:sz w:val="20"/>
              </w:rPr>
            </w:pPr>
            <w:r>
              <w:rPr>
                <w:rFonts w:ascii="Calibri" w:hAnsi="Calibri"/>
                <w:sz w:val="20"/>
              </w:rPr>
              <w:t>£10,108</w:t>
            </w:r>
          </w:p>
        </w:tc>
        <w:tc>
          <w:tcPr>
            <w:tcW w:w="1418" w:type="dxa"/>
          </w:tcPr>
          <w:p w:rsidR="006A18FD" w:rsidRDefault="002D29FC">
            <w:pPr>
              <w:spacing w:before="68" w:line="223" w:lineRule="exact"/>
              <w:ind w:left="325" w:right="327"/>
              <w:jc w:val="center"/>
              <w:rPr>
                <w:rFonts w:ascii="Calibri" w:hAnsi="Calibri"/>
                <w:sz w:val="20"/>
              </w:rPr>
            </w:pPr>
            <w:r>
              <w:rPr>
                <w:rFonts w:ascii="Calibri" w:hAnsi="Calibri"/>
                <w:sz w:val="20"/>
              </w:rPr>
              <w:t>£12,132</w:t>
            </w:r>
          </w:p>
        </w:tc>
        <w:tc>
          <w:tcPr>
            <w:tcW w:w="1417" w:type="dxa"/>
          </w:tcPr>
          <w:p w:rsidR="006A18FD" w:rsidRDefault="002D29FC">
            <w:pPr>
              <w:spacing w:before="68" w:line="223" w:lineRule="exact"/>
              <w:ind w:left="325" w:right="326"/>
              <w:jc w:val="center"/>
              <w:rPr>
                <w:rFonts w:ascii="Calibri" w:hAnsi="Calibri"/>
                <w:sz w:val="20"/>
              </w:rPr>
            </w:pPr>
            <w:r>
              <w:rPr>
                <w:rFonts w:ascii="Calibri" w:hAnsi="Calibri"/>
                <w:sz w:val="20"/>
              </w:rPr>
              <w:t>£14,647</w:t>
            </w:r>
          </w:p>
        </w:tc>
        <w:tc>
          <w:tcPr>
            <w:tcW w:w="1418" w:type="dxa"/>
          </w:tcPr>
          <w:p w:rsidR="006A18FD" w:rsidRDefault="002D29FC">
            <w:pPr>
              <w:spacing w:before="68" w:line="223" w:lineRule="exact"/>
              <w:ind w:left="325" w:right="327"/>
              <w:jc w:val="center"/>
              <w:rPr>
                <w:rFonts w:ascii="Calibri" w:hAnsi="Calibri"/>
                <w:sz w:val="20"/>
              </w:rPr>
            </w:pPr>
            <w:r>
              <w:rPr>
                <w:rFonts w:ascii="Calibri" w:hAnsi="Calibri"/>
                <w:sz w:val="20"/>
              </w:rPr>
              <w:t>£17,363</w:t>
            </w:r>
          </w:p>
        </w:tc>
        <w:tc>
          <w:tcPr>
            <w:tcW w:w="1416" w:type="dxa"/>
          </w:tcPr>
          <w:p w:rsidR="006A18FD" w:rsidRDefault="002D29FC">
            <w:pPr>
              <w:spacing w:before="68" w:line="223" w:lineRule="exact"/>
              <w:ind w:left="305" w:right="305"/>
              <w:jc w:val="center"/>
              <w:rPr>
                <w:rFonts w:ascii="Calibri" w:hAnsi="Calibri"/>
                <w:sz w:val="20"/>
              </w:rPr>
            </w:pPr>
            <w:r>
              <w:rPr>
                <w:rFonts w:ascii="Calibri" w:hAnsi="Calibri"/>
                <w:sz w:val="20"/>
              </w:rPr>
              <w:t>£20,675</w:t>
            </w:r>
          </w:p>
        </w:tc>
        <w:tc>
          <w:tcPr>
            <w:tcW w:w="1418" w:type="dxa"/>
          </w:tcPr>
          <w:p w:rsidR="006A18FD" w:rsidRDefault="002D29FC">
            <w:pPr>
              <w:spacing w:before="68" w:line="223" w:lineRule="exact"/>
              <w:ind w:right="376"/>
              <w:jc w:val="right"/>
              <w:rPr>
                <w:rFonts w:ascii="Calibri" w:hAnsi="Calibri"/>
                <w:sz w:val="20"/>
              </w:rPr>
            </w:pPr>
            <w:r>
              <w:rPr>
                <w:rFonts w:ascii="Calibri" w:hAnsi="Calibri"/>
                <w:w w:val="95"/>
                <w:sz w:val="20"/>
              </w:rPr>
              <w:t>£24,856</w:t>
            </w:r>
          </w:p>
        </w:tc>
      </w:tr>
      <w:tr w:rsidR="006A18FD">
        <w:trPr>
          <w:trHeight w:val="300"/>
        </w:trPr>
        <w:tc>
          <w:tcPr>
            <w:tcW w:w="2722" w:type="dxa"/>
          </w:tcPr>
          <w:p w:rsidR="006A18FD" w:rsidRDefault="002D29FC">
            <w:pPr>
              <w:spacing w:before="68" w:line="223" w:lineRule="exact"/>
              <w:ind w:left="103"/>
              <w:rPr>
                <w:rFonts w:ascii="Calibri"/>
                <w:b/>
                <w:sz w:val="20"/>
              </w:rPr>
            </w:pPr>
            <w:r>
              <w:rPr>
                <w:rFonts w:ascii="Calibri"/>
                <w:b/>
                <w:sz w:val="20"/>
              </w:rPr>
              <w:t>C Qualification</w:t>
            </w:r>
          </w:p>
        </w:tc>
        <w:tc>
          <w:tcPr>
            <w:tcW w:w="1417" w:type="dxa"/>
          </w:tcPr>
          <w:p w:rsidR="006A18FD" w:rsidRDefault="002D29FC">
            <w:pPr>
              <w:spacing w:before="68" w:line="223" w:lineRule="exact"/>
              <w:ind w:left="325" w:right="328"/>
              <w:jc w:val="center"/>
              <w:rPr>
                <w:rFonts w:ascii="Calibri"/>
                <w:sz w:val="20"/>
              </w:rPr>
            </w:pPr>
            <w:r>
              <w:rPr>
                <w:rFonts w:ascii="Calibri"/>
                <w:sz w:val="20"/>
              </w:rPr>
              <w:t>See note</w:t>
            </w:r>
          </w:p>
        </w:tc>
        <w:tc>
          <w:tcPr>
            <w:tcW w:w="1418" w:type="dxa"/>
          </w:tcPr>
          <w:p w:rsidR="006A18FD" w:rsidRDefault="002D29FC">
            <w:pPr>
              <w:spacing w:before="68" w:line="223" w:lineRule="exact"/>
              <w:ind w:right="350"/>
              <w:jc w:val="right"/>
              <w:rPr>
                <w:rFonts w:ascii="Calibri"/>
                <w:sz w:val="20"/>
              </w:rPr>
            </w:pPr>
            <w:r>
              <w:rPr>
                <w:rFonts w:ascii="Calibri"/>
                <w:sz w:val="20"/>
              </w:rPr>
              <w:t>See note</w:t>
            </w:r>
          </w:p>
        </w:tc>
        <w:tc>
          <w:tcPr>
            <w:tcW w:w="1416" w:type="dxa"/>
          </w:tcPr>
          <w:p w:rsidR="006A18FD" w:rsidRDefault="002D29FC">
            <w:pPr>
              <w:spacing w:before="68" w:line="223" w:lineRule="exact"/>
              <w:ind w:right="348"/>
              <w:jc w:val="right"/>
              <w:rPr>
                <w:rFonts w:ascii="Calibri"/>
                <w:sz w:val="20"/>
              </w:rPr>
            </w:pPr>
            <w:r>
              <w:rPr>
                <w:rFonts w:ascii="Calibri"/>
                <w:sz w:val="20"/>
              </w:rPr>
              <w:t>See note</w:t>
            </w:r>
          </w:p>
        </w:tc>
        <w:tc>
          <w:tcPr>
            <w:tcW w:w="1416" w:type="dxa"/>
          </w:tcPr>
          <w:p w:rsidR="006A18FD" w:rsidRDefault="002D29FC">
            <w:pPr>
              <w:spacing w:before="68" w:line="223" w:lineRule="exact"/>
              <w:ind w:left="302" w:right="305"/>
              <w:jc w:val="center"/>
              <w:rPr>
                <w:rFonts w:ascii="Calibri"/>
                <w:sz w:val="20"/>
              </w:rPr>
            </w:pPr>
            <w:r>
              <w:rPr>
                <w:rFonts w:ascii="Calibri"/>
                <w:sz w:val="20"/>
              </w:rPr>
              <w:t>See note</w:t>
            </w:r>
          </w:p>
        </w:tc>
        <w:tc>
          <w:tcPr>
            <w:tcW w:w="1418" w:type="dxa"/>
          </w:tcPr>
          <w:p w:rsidR="006A18FD" w:rsidRDefault="002D29FC">
            <w:pPr>
              <w:spacing w:before="68" w:line="223" w:lineRule="exact"/>
              <w:ind w:left="322" w:right="327"/>
              <w:jc w:val="center"/>
              <w:rPr>
                <w:rFonts w:ascii="Calibri"/>
                <w:sz w:val="20"/>
              </w:rPr>
            </w:pPr>
            <w:r>
              <w:rPr>
                <w:rFonts w:ascii="Calibri"/>
                <w:sz w:val="20"/>
              </w:rPr>
              <w:t>See note</w:t>
            </w:r>
          </w:p>
        </w:tc>
        <w:tc>
          <w:tcPr>
            <w:tcW w:w="1417" w:type="dxa"/>
          </w:tcPr>
          <w:p w:rsidR="006A18FD" w:rsidRDefault="002D29FC">
            <w:pPr>
              <w:spacing w:before="68" w:line="223" w:lineRule="exact"/>
              <w:ind w:left="325" w:right="328"/>
              <w:jc w:val="center"/>
              <w:rPr>
                <w:rFonts w:ascii="Calibri"/>
                <w:sz w:val="20"/>
              </w:rPr>
            </w:pPr>
            <w:r>
              <w:rPr>
                <w:rFonts w:ascii="Calibri"/>
                <w:sz w:val="20"/>
              </w:rPr>
              <w:t>See note</w:t>
            </w:r>
          </w:p>
        </w:tc>
        <w:tc>
          <w:tcPr>
            <w:tcW w:w="1418" w:type="dxa"/>
          </w:tcPr>
          <w:p w:rsidR="006A18FD" w:rsidRDefault="002D29FC">
            <w:pPr>
              <w:spacing w:before="68" w:line="223" w:lineRule="exact"/>
              <w:ind w:left="322" w:right="327"/>
              <w:jc w:val="center"/>
              <w:rPr>
                <w:rFonts w:ascii="Calibri"/>
                <w:sz w:val="20"/>
              </w:rPr>
            </w:pPr>
            <w:r>
              <w:rPr>
                <w:rFonts w:ascii="Calibri"/>
                <w:sz w:val="20"/>
              </w:rPr>
              <w:t>See note</w:t>
            </w:r>
          </w:p>
        </w:tc>
        <w:tc>
          <w:tcPr>
            <w:tcW w:w="1416" w:type="dxa"/>
          </w:tcPr>
          <w:p w:rsidR="006A18FD" w:rsidRDefault="002D29FC">
            <w:pPr>
              <w:spacing w:before="68" w:line="223" w:lineRule="exact"/>
              <w:ind w:left="302" w:right="305"/>
              <w:jc w:val="center"/>
              <w:rPr>
                <w:rFonts w:ascii="Calibri"/>
                <w:sz w:val="20"/>
              </w:rPr>
            </w:pPr>
            <w:r>
              <w:rPr>
                <w:rFonts w:ascii="Calibri"/>
                <w:sz w:val="20"/>
              </w:rPr>
              <w:t>See note</w:t>
            </w:r>
          </w:p>
        </w:tc>
        <w:tc>
          <w:tcPr>
            <w:tcW w:w="1418" w:type="dxa"/>
          </w:tcPr>
          <w:p w:rsidR="006A18FD" w:rsidRDefault="002D29FC">
            <w:pPr>
              <w:spacing w:before="68" w:line="223" w:lineRule="exact"/>
              <w:ind w:right="350"/>
              <w:jc w:val="right"/>
              <w:rPr>
                <w:rFonts w:ascii="Calibri"/>
                <w:sz w:val="20"/>
              </w:rPr>
            </w:pPr>
            <w:r>
              <w:rPr>
                <w:rFonts w:ascii="Calibri"/>
                <w:sz w:val="20"/>
              </w:rPr>
              <w:t>See note</w:t>
            </w:r>
          </w:p>
        </w:tc>
      </w:tr>
      <w:tr w:rsidR="006A18FD">
        <w:trPr>
          <w:trHeight w:val="300"/>
        </w:trPr>
        <w:tc>
          <w:tcPr>
            <w:tcW w:w="2722" w:type="dxa"/>
          </w:tcPr>
          <w:p w:rsidR="006A18FD" w:rsidRDefault="002D29FC">
            <w:pPr>
              <w:spacing w:before="71" w:line="223" w:lineRule="exact"/>
              <w:ind w:left="103"/>
              <w:rPr>
                <w:rFonts w:ascii="Calibri"/>
                <w:b/>
                <w:sz w:val="20"/>
              </w:rPr>
            </w:pPr>
            <w:r>
              <w:rPr>
                <w:rFonts w:ascii="Calibri"/>
                <w:b/>
                <w:sz w:val="20"/>
              </w:rPr>
              <w:t>D Overheads</w:t>
            </w: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r>
      <w:tr w:rsidR="006A18FD">
        <w:trPr>
          <w:trHeight w:val="480"/>
        </w:trPr>
        <w:tc>
          <w:tcPr>
            <w:tcW w:w="2722" w:type="dxa"/>
          </w:tcPr>
          <w:p w:rsidR="006A18FD" w:rsidRDefault="002D29FC">
            <w:pPr>
              <w:spacing w:before="1" w:line="243" w:lineRule="exact"/>
              <w:ind w:left="103"/>
              <w:rPr>
                <w:rFonts w:ascii="Calibri"/>
                <w:sz w:val="20"/>
              </w:rPr>
            </w:pPr>
            <w:r>
              <w:rPr>
                <w:rFonts w:ascii="Calibri"/>
                <w:sz w:val="20"/>
              </w:rPr>
              <w:t>Management, admin and</w:t>
            </w:r>
          </w:p>
          <w:p w:rsidR="006A18FD" w:rsidRDefault="002D29FC">
            <w:pPr>
              <w:spacing w:line="222" w:lineRule="exact"/>
              <w:ind w:left="103"/>
              <w:rPr>
                <w:rFonts w:ascii="Calibri"/>
                <w:sz w:val="20"/>
              </w:rPr>
            </w:pPr>
            <w:r>
              <w:rPr>
                <w:rFonts w:ascii="Calibri"/>
                <w:sz w:val="20"/>
              </w:rPr>
              <w:t>estates staff</w:t>
            </w:r>
          </w:p>
        </w:tc>
        <w:tc>
          <w:tcPr>
            <w:tcW w:w="1417" w:type="dxa"/>
          </w:tcPr>
          <w:p w:rsidR="006A18FD" w:rsidRDefault="006A18FD">
            <w:pPr>
              <w:spacing w:before="11"/>
              <w:rPr>
                <w:rFonts w:ascii="Calibri"/>
                <w:sz w:val="19"/>
              </w:rPr>
            </w:pPr>
          </w:p>
          <w:p w:rsidR="006A18FD" w:rsidRDefault="002D29FC">
            <w:pPr>
              <w:spacing w:before="1" w:line="223" w:lineRule="exact"/>
              <w:ind w:left="325" w:right="326"/>
              <w:jc w:val="center"/>
              <w:rPr>
                <w:rFonts w:ascii="Calibri" w:hAnsi="Calibri"/>
                <w:sz w:val="20"/>
              </w:rPr>
            </w:pPr>
            <w:r>
              <w:rPr>
                <w:rFonts w:ascii="Calibri" w:hAnsi="Calibri"/>
                <w:sz w:val="20"/>
              </w:rPr>
              <w:t>£6,193</w:t>
            </w:r>
          </w:p>
        </w:tc>
        <w:tc>
          <w:tcPr>
            <w:tcW w:w="1418" w:type="dxa"/>
          </w:tcPr>
          <w:p w:rsidR="006A18FD" w:rsidRDefault="006A18FD">
            <w:pPr>
              <w:spacing w:before="11"/>
              <w:rPr>
                <w:rFonts w:ascii="Calibri"/>
                <w:sz w:val="19"/>
              </w:rPr>
            </w:pPr>
          </w:p>
          <w:p w:rsidR="006A18FD" w:rsidRDefault="002D29FC">
            <w:pPr>
              <w:spacing w:before="1" w:line="223" w:lineRule="exact"/>
              <w:ind w:left="424"/>
              <w:rPr>
                <w:rFonts w:ascii="Calibri" w:hAnsi="Calibri"/>
                <w:sz w:val="20"/>
              </w:rPr>
            </w:pPr>
            <w:r>
              <w:rPr>
                <w:rFonts w:ascii="Calibri" w:hAnsi="Calibri"/>
                <w:sz w:val="20"/>
              </w:rPr>
              <w:t>£8,161</w:t>
            </w:r>
          </w:p>
        </w:tc>
        <w:tc>
          <w:tcPr>
            <w:tcW w:w="1416" w:type="dxa"/>
          </w:tcPr>
          <w:p w:rsidR="006A18FD" w:rsidRDefault="006A18FD">
            <w:pPr>
              <w:spacing w:before="11"/>
              <w:rPr>
                <w:rFonts w:ascii="Calibri"/>
                <w:sz w:val="19"/>
              </w:rPr>
            </w:pPr>
          </w:p>
          <w:p w:rsidR="006A18FD" w:rsidRDefault="002D29FC">
            <w:pPr>
              <w:spacing w:before="1" w:line="223" w:lineRule="exact"/>
              <w:ind w:right="374"/>
              <w:jc w:val="right"/>
              <w:rPr>
                <w:rFonts w:ascii="Calibri" w:hAnsi="Calibri"/>
                <w:sz w:val="20"/>
              </w:rPr>
            </w:pPr>
            <w:r>
              <w:rPr>
                <w:rFonts w:ascii="Calibri" w:hAnsi="Calibri"/>
                <w:sz w:val="20"/>
              </w:rPr>
              <w:t>£10,208</w:t>
            </w:r>
          </w:p>
        </w:tc>
        <w:tc>
          <w:tcPr>
            <w:tcW w:w="1416" w:type="dxa"/>
          </w:tcPr>
          <w:p w:rsidR="006A18FD" w:rsidRDefault="006A18FD">
            <w:pPr>
              <w:spacing w:before="11"/>
              <w:rPr>
                <w:rFonts w:ascii="Calibri"/>
                <w:sz w:val="19"/>
              </w:rPr>
            </w:pPr>
          </w:p>
          <w:p w:rsidR="006A18FD" w:rsidRDefault="002D29FC">
            <w:pPr>
              <w:spacing w:before="1" w:line="223" w:lineRule="exact"/>
              <w:ind w:left="304" w:right="305"/>
              <w:jc w:val="center"/>
              <w:rPr>
                <w:rFonts w:ascii="Calibri" w:hAnsi="Calibri"/>
                <w:sz w:val="20"/>
              </w:rPr>
            </w:pPr>
            <w:r>
              <w:rPr>
                <w:rFonts w:ascii="Calibri" w:hAnsi="Calibri"/>
                <w:sz w:val="20"/>
              </w:rPr>
              <w:t>£12,275</w:t>
            </w:r>
          </w:p>
        </w:tc>
        <w:tc>
          <w:tcPr>
            <w:tcW w:w="1418" w:type="dxa"/>
          </w:tcPr>
          <w:p w:rsidR="006A18FD" w:rsidRDefault="006A18FD">
            <w:pPr>
              <w:spacing w:before="11"/>
              <w:rPr>
                <w:rFonts w:ascii="Calibri"/>
                <w:sz w:val="19"/>
              </w:rPr>
            </w:pPr>
          </w:p>
          <w:p w:rsidR="006A18FD" w:rsidRDefault="002D29FC">
            <w:pPr>
              <w:spacing w:before="1" w:line="223" w:lineRule="exact"/>
              <w:ind w:left="325" w:right="327"/>
              <w:jc w:val="center"/>
              <w:rPr>
                <w:rFonts w:ascii="Calibri" w:hAnsi="Calibri"/>
                <w:sz w:val="20"/>
              </w:rPr>
            </w:pPr>
            <w:r>
              <w:rPr>
                <w:rFonts w:ascii="Calibri" w:hAnsi="Calibri"/>
                <w:sz w:val="20"/>
              </w:rPr>
              <w:t>£14,530</w:t>
            </w:r>
          </w:p>
        </w:tc>
        <w:tc>
          <w:tcPr>
            <w:tcW w:w="1417" w:type="dxa"/>
          </w:tcPr>
          <w:p w:rsidR="006A18FD" w:rsidRDefault="006A18FD">
            <w:pPr>
              <w:spacing w:before="11"/>
              <w:rPr>
                <w:rFonts w:ascii="Calibri"/>
                <w:sz w:val="19"/>
              </w:rPr>
            </w:pPr>
          </w:p>
          <w:p w:rsidR="006A18FD" w:rsidRDefault="002D29FC">
            <w:pPr>
              <w:spacing w:before="1" w:line="223" w:lineRule="exact"/>
              <w:ind w:left="325" w:right="325"/>
              <w:jc w:val="center"/>
              <w:rPr>
                <w:rFonts w:ascii="Calibri" w:hAnsi="Calibri"/>
                <w:sz w:val="20"/>
              </w:rPr>
            </w:pPr>
            <w:r>
              <w:rPr>
                <w:rFonts w:ascii="Calibri" w:hAnsi="Calibri"/>
                <w:sz w:val="20"/>
              </w:rPr>
              <w:t>£17,334</w:t>
            </w:r>
          </w:p>
        </w:tc>
        <w:tc>
          <w:tcPr>
            <w:tcW w:w="1418" w:type="dxa"/>
          </w:tcPr>
          <w:p w:rsidR="006A18FD" w:rsidRDefault="006A18FD">
            <w:pPr>
              <w:spacing w:before="11"/>
              <w:rPr>
                <w:rFonts w:ascii="Calibri"/>
                <w:sz w:val="19"/>
              </w:rPr>
            </w:pPr>
          </w:p>
          <w:p w:rsidR="006A18FD" w:rsidRDefault="002D29FC">
            <w:pPr>
              <w:spacing w:before="1" w:line="223" w:lineRule="exact"/>
              <w:ind w:left="325" w:right="327"/>
              <w:jc w:val="center"/>
              <w:rPr>
                <w:rFonts w:ascii="Calibri" w:hAnsi="Calibri"/>
                <w:sz w:val="20"/>
              </w:rPr>
            </w:pPr>
            <w:r>
              <w:rPr>
                <w:rFonts w:ascii="Calibri" w:hAnsi="Calibri"/>
                <w:sz w:val="20"/>
              </w:rPr>
              <w:t>£20,360</w:t>
            </w:r>
          </w:p>
        </w:tc>
        <w:tc>
          <w:tcPr>
            <w:tcW w:w="1416" w:type="dxa"/>
          </w:tcPr>
          <w:p w:rsidR="006A18FD" w:rsidRDefault="006A18FD">
            <w:pPr>
              <w:spacing w:before="11"/>
              <w:rPr>
                <w:rFonts w:ascii="Calibri"/>
                <w:sz w:val="19"/>
              </w:rPr>
            </w:pPr>
          </w:p>
          <w:p w:rsidR="006A18FD" w:rsidRDefault="002D29FC">
            <w:pPr>
              <w:spacing w:before="1" w:line="223" w:lineRule="exact"/>
              <w:ind w:left="305" w:right="305"/>
              <w:jc w:val="center"/>
              <w:rPr>
                <w:rFonts w:ascii="Calibri" w:hAnsi="Calibri"/>
                <w:sz w:val="20"/>
              </w:rPr>
            </w:pPr>
            <w:r>
              <w:rPr>
                <w:rFonts w:ascii="Calibri" w:hAnsi="Calibri"/>
                <w:sz w:val="20"/>
              </w:rPr>
              <w:t>£24,051</w:t>
            </w:r>
          </w:p>
        </w:tc>
        <w:tc>
          <w:tcPr>
            <w:tcW w:w="1418" w:type="dxa"/>
          </w:tcPr>
          <w:p w:rsidR="006A18FD" w:rsidRDefault="006A18FD">
            <w:pPr>
              <w:spacing w:before="11"/>
              <w:rPr>
                <w:rFonts w:ascii="Calibri"/>
                <w:sz w:val="19"/>
              </w:rPr>
            </w:pPr>
          </w:p>
          <w:p w:rsidR="006A18FD" w:rsidRDefault="002D29FC">
            <w:pPr>
              <w:spacing w:before="1" w:line="223" w:lineRule="exact"/>
              <w:ind w:right="376"/>
              <w:jc w:val="right"/>
              <w:rPr>
                <w:rFonts w:ascii="Calibri" w:hAnsi="Calibri"/>
                <w:sz w:val="20"/>
              </w:rPr>
            </w:pPr>
            <w:r>
              <w:rPr>
                <w:rFonts w:ascii="Calibri" w:hAnsi="Calibri"/>
                <w:w w:val="95"/>
                <w:sz w:val="20"/>
              </w:rPr>
              <w:t>£28,710</w:t>
            </w:r>
          </w:p>
        </w:tc>
      </w:tr>
      <w:tr w:rsidR="006A18FD">
        <w:trPr>
          <w:trHeight w:val="300"/>
        </w:trPr>
        <w:tc>
          <w:tcPr>
            <w:tcW w:w="2722" w:type="dxa"/>
          </w:tcPr>
          <w:p w:rsidR="006A18FD" w:rsidRDefault="002D29FC">
            <w:pPr>
              <w:spacing w:before="68" w:line="223" w:lineRule="exact"/>
              <w:ind w:left="103"/>
              <w:rPr>
                <w:rFonts w:ascii="Calibri"/>
                <w:sz w:val="20"/>
              </w:rPr>
            </w:pPr>
            <w:r>
              <w:rPr>
                <w:rFonts w:ascii="Calibri"/>
                <w:sz w:val="20"/>
              </w:rPr>
              <w:t>Non-staff</w:t>
            </w:r>
          </w:p>
        </w:tc>
        <w:tc>
          <w:tcPr>
            <w:tcW w:w="1417" w:type="dxa"/>
          </w:tcPr>
          <w:p w:rsidR="006A18FD" w:rsidRDefault="002D29FC">
            <w:pPr>
              <w:spacing w:before="68" w:line="223" w:lineRule="exact"/>
              <w:ind w:left="325" w:right="326"/>
              <w:jc w:val="center"/>
              <w:rPr>
                <w:rFonts w:ascii="Calibri" w:hAnsi="Calibri"/>
                <w:sz w:val="20"/>
              </w:rPr>
            </w:pPr>
            <w:r>
              <w:rPr>
                <w:rFonts w:ascii="Calibri" w:hAnsi="Calibri"/>
                <w:sz w:val="20"/>
              </w:rPr>
              <w:t>£9,656</w:t>
            </w:r>
          </w:p>
        </w:tc>
        <w:tc>
          <w:tcPr>
            <w:tcW w:w="1418" w:type="dxa"/>
          </w:tcPr>
          <w:p w:rsidR="006A18FD" w:rsidRDefault="002D29FC">
            <w:pPr>
              <w:spacing w:before="68" w:line="223" w:lineRule="exact"/>
              <w:ind w:right="377"/>
              <w:jc w:val="right"/>
              <w:rPr>
                <w:rFonts w:ascii="Calibri" w:hAnsi="Calibri"/>
                <w:sz w:val="20"/>
              </w:rPr>
            </w:pPr>
            <w:r>
              <w:rPr>
                <w:rFonts w:ascii="Calibri" w:hAnsi="Calibri"/>
                <w:w w:val="95"/>
                <w:sz w:val="20"/>
              </w:rPr>
              <w:t>£12,725</w:t>
            </w:r>
          </w:p>
        </w:tc>
        <w:tc>
          <w:tcPr>
            <w:tcW w:w="1416" w:type="dxa"/>
          </w:tcPr>
          <w:p w:rsidR="006A18FD" w:rsidRDefault="002D29FC">
            <w:pPr>
              <w:spacing w:before="68" w:line="223" w:lineRule="exact"/>
              <w:ind w:right="374"/>
              <w:jc w:val="right"/>
              <w:rPr>
                <w:rFonts w:ascii="Calibri" w:hAnsi="Calibri"/>
                <w:sz w:val="20"/>
              </w:rPr>
            </w:pPr>
            <w:r>
              <w:rPr>
                <w:rFonts w:ascii="Calibri" w:hAnsi="Calibri"/>
                <w:w w:val="95"/>
                <w:sz w:val="20"/>
              </w:rPr>
              <w:t>£15,916</w:t>
            </w:r>
          </w:p>
        </w:tc>
        <w:tc>
          <w:tcPr>
            <w:tcW w:w="1416" w:type="dxa"/>
          </w:tcPr>
          <w:p w:rsidR="006A18FD" w:rsidRDefault="002D29FC">
            <w:pPr>
              <w:spacing w:before="68" w:line="223" w:lineRule="exact"/>
              <w:ind w:left="304" w:right="305"/>
              <w:jc w:val="center"/>
              <w:rPr>
                <w:rFonts w:ascii="Calibri" w:hAnsi="Calibri"/>
                <w:sz w:val="20"/>
              </w:rPr>
            </w:pPr>
            <w:r>
              <w:rPr>
                <w:rFonts w:ascii="Calibri" w:hAnsi="Calibri"/>
                <w:sz w:val="20"/>
              </w:rPr>
              <w:t>£19,139</w:t>
            </w:r>
          </w:p>
        </w:tc>
        <w:tc>
          <w:tcPr>
            <w:tcW w:w="1418" w:type="dxa"/>
          </w:tcPr>
          <w:p w:rsidR="006A18FD" w:rsidRDefault="002D29FC">
            <w:pPr>
              <w:spacing w:before="68" w:line="223" w:lineRule="exact"/>
              <w:ind w:left="325" w:right="327"/>
              <w:jc w:val="center"/>
              <w:rPr>
                <w:rFonts w:ascii="Calibri" w:hAnsi="Calibri"/>
                <w:sz w:val="20"/>
              </w:rPr>
            </w:pPr>
            <w:r>
              <w:rPr>
                <w:rFonts w:ascii="Calibri" w:hAnsi="Calibri"/>
                <w:sz w:val="20"/>
              </w:rPr>
              <w:t>£22,084</w:t>
            </w:r>
          </w:p>
        </w:tc>
        <w:tc>
          <w:tcPr>
            <w:tcW w:w="1417" w:type="dxa"/>
          </w:tcPr>
          <w:p w:rsidR="006A18FD" w:rsidRDefault="002D29FC">
            <w:pPr>
              <w:spacing w:before="68" w:line="223" w:lineRule="exact"/>
              <w:ind w:left="325" w:right="325"/>
              <w:jc w:val="center"/>
              <w:rPr>
                <w:rFonts w:ascii="Calibri" w:hAnsi="Calibri"/>
                <w:sz w:val="20"/>
              </w:rPr>
            </w:pPr>
            <w:r>
              <w:rPr>
                <w:rFonts w:ascii="Calibri" w:hAnsi="Calibri"/>
                <w:sz w:val="20"/>
              </w:rPr>
              <w:t>£26,386</w:t>
            </w:r>
          </w:p>
        </w:tc>
        <w:tc>
          <w:tcPr>
            <w:tcW w:w="1418" w:type="dxa"/>
          </w:tcPr>
          <w:p w:rsidR="006A18FD" w:rsidRDefault="002D29FC">
            <w:pPr>
              <w:spacing w:before="68" w:line="223" w:lineRule="exact"/>
              <w:ind w:left="325" w:right="327"/>
              <w:jc w:val="center"/>
              <w:rPr>
                <w:rFonts w:ascii="Calibri" w:hAnsi="Calibri"/>
                <w:sz w:val="20"/>
              </w:rPr>
            </w:pPr>
            <w:r>
              <w:rPr>
                <w:rFonts w:ascii="Calibri" w:hAnsi="Calibri"/>
                <w:sz w:val="20"/>
              </w:rPr>
              <w:t>£30,955</w:t>
            </w:r>
          </w:p>
        </w:tc>
        <w:tc>
          <w:tcPr>
            <w:tcW w:w="1416" w:type="dxa"/>
          </w:tcPr>
          <w:p w:rsidR="006A18FD" w:rsidRDefault="002D29FC">
            <w:pPr>
              <w:spacing w:before="68" w:line="223" w:lineRule="exact"/>
              <w:ind w:left="305" w:right="305"/>
              <w:jc w:val="center"/>
              <w:rPr>
                <w:rFonts w:ascii="Calibri" w:hAnsi="Calibri"/>
                <w:sz w:val="20"/>
              </w:rPr>
            </w:pPr>
            <w:r>
              <w:rPr>
                <w:rFonts w:ascii="Calibri" w:hAnsi="Calibri"/>
                <w:sz w:val="20"/>
              </w:rPr>
              <w:t>£36,481</w:t>
            </w:r>
          </w:p>
        </w:tc>
        <w:tc>
          <w:tcPr>
            <w:tcW w:w="1418" w:type="dxa"/>
          </w:tcPr>
          <w:p w:rsidR="006A18FD" w:rsidRDefault="002D29FC">
            <w:pPr>
              <w:spacing w:before="68" w:line="223" w:lineRule="exact"/>
              <w:ind w:right="376"/>
              <w:jc w:val="right"/>
              <w:rPr>
                <w:rFonts w:ascii="Calibri" w:hAnsi="Calibri"/>
                <w:sz w:val="20"/>
              </w:rPr>
            </w:pPr>
            <w:r>
              <w:rPr>
                <w:rFonts w:ascii="Calibri" w:hAnsi="Calibri"/>
                <w:w w:val="95"/>
                <w:sz w:val="20"/>
              </w:rPr>
              <w:t>£43,454</w:t>
            </w:r>
          </w:p>
        </w:tc>
      </w:tr>
      <w:tr w:rsidR="006A18FD">
        <w:trPr>
          <w:trHeight w:val="300"/>
        </w:trPr>
        <w:tc>
          <w:tcPr>
            <w:tcW w:w="2722" w:type="dxa"/>
          </w:tcPr>
          <w:p w:rsidR="006A18FD" w:rsidRDefault="002D29FC">
            <w:pPr>
              <w:spacing w:before="71" w:line="223" w:lineRule="exact"/>
              <w:ind w:left="103"/>
              <w:rPr>
                <w:rFonts w:ascii="Calibri"/>
                <w:b/>
                <w:sz w:val="20"/>
              </w:rPr>
            </w:pPr>
            <w:r>
              <w:rPr>
                <w:rFonts w:ascii="Calibri"/>
                <w:b/>
                <w:sz w:val="20"/>
              </w:rPr>
              <w:t>E Capital overheads</w:t>
            </w:r>
          </w:p>
        </w:tc>
        <w:tc>
          <w:tcPr>
            <w:tcW w:w="1417" w:type="dxa"/>
          </w:tcPr>
          <w:p w:rsidR="006A18FD" w:rsidRDefault="002D29FC">
            <w:pPr>
              <w:spacing w:before="71" w:line="223" w:lineRule="exact"/>
              <w:ind w:left="325" w:right="325"/>
              <w:jc w:val="center"/>
              <w:rPr>
                <w:rFonts w:ascii="Calibri" w:hAnsi="Calibri"/>
                <w:sz w:val="20"/>
              </w:rPr>
            </w:pPr>
            <w:r>
              <w:rPr>
                <w:rFonts w:ascii="Calibri" w:hAnsi="Calibri"/>
                <w:sz w:val="20"/>
              </w:rPr>
              <w:t>£1,553</w:t>
            </w:r>
          </w:p>
        </w:tc>
        <w:tc>
          <w:tcPr>
            <w:tcW w:w="1418" w:type="dxa"/>
          </w:tcPr>
          <w:p w:rsidR="006A18FD" w:rsidRDefault="002D29FC">
            <w:pPr>
              <w:spacing w:before="71" w:line="223" w:lineRule="exact"/>
              <w:ind w:left="424"/>
              <w:rPr>
                <w:rFonts w:ascii="Calibri" w:hAnsi="Calibri"/>
                <w:sz w:val="20"/>
              </w:rPr>
            </w:pPr>
            <w:r>
              <w:rPr>
                <w:rFonts w:ascii="Calibri" w:hAnsi="Calibri"/>
                <w:sz w:val="20"/>
              </w:rPr>
              <w:t>£4,471</w:t>
            </w:r>
          </w:p>
        </w:tc>
        <w:tc>
          <w:tcPr>
            <w:tcW w:w="1416" w:type="dxa"/>
          </w:tcPr>
          <w:p w:rsidR="006A18FD" w:rsidRDefault="002D29FC">
            <w:pPr>
              <w:spacing w:before="71" w:line="223" w:lineRule="exact"/>
              <w:ind w:left="424"/>
              <w:rPr>
                <w:rFonts w:ascii="Calibri" w:hAnsi="Calibri"/>
                <w:sz w:val="20"/>
              </w:rPr>
            </w:pPr>
            <w:r>
              <w:rPr>
                <w:rFonts w:ascii="Calibri" w:hAnsi="Calibri"/>
                <w:sz w:val="20"/>
              </w:rPr>
              <w:t>£4,471</w:t>
            </w:r>
          </w:p>
        </w:tc>
        <w:tc>
          <w:tcPr>
            <w:tcW w:w="1416" w:type="dxa"/>
          </w:tcPr>
          <w:p w:rsidR="006A18FD" w:rsidRDefault="002D29FC">
            <w:pPr>
              <w:spacing w:before="71" w:line="223" w:lineRule="exact"/>
              <w:ind w:left="304" w:right="305"/>
              <w:jc w:val="center"/>
              <w:rPr>
                <w:rFonts w:ascii="Calibri" w:hAnsi="Calibri"/>
                <w:sz w:val="20"/>
              </w:rPr>
            </w:pPr>
            <w:r>
              <w:rPr>
                <w:rFonts w:ascii="Calibri" w:hAnsi="Calibri"/>
                <w:sz w:val="20"/>
              </w:rPr>
              <w:t>£4,471</w:t>
            </w:r>
          </w:p>
        </w:tc>
        <w:tc>
          <w:tcPr>
            <w:tcW w:w="1418" w:type="dxa"/>
          </w:tcPr>
          <w:p w:rsidR="006A18FD" w:rsidRDefault="002D29FC">
            <w:pPr>
              <w:spacing w:before="71" w:line="223" w:lineRule="exact"/>
              <w:ind w:left="325" w:right="327"/>
              <w:jc w:val="center"/>
              <w:rPr>
                <w:rFonts w:ascii="Calibri" w:hAnsi="Calibri"/>
                <w:sz w:val="20"/>
              </w:rPr>
            </w:pPr>
            <w:r>
              <w:rPr>
                <w:rFonts w:ascii="Calibri" w:hAnsi="Calibri"/>
                <w:sz w:val="20"/>
              </w:rPr>
              <w:t>£4,471</w:t>
            </w:r>
          </w:p>
        </w:tc>
        <w:tc>
          <w:tcPr>
            <w:tcW w:w="1417" w:type="dxa"/>
          </w:tcPr>
          <w:p w:rsidR="006A18FD" w:rsidRDefault="002D29FC">
            <w:pPr>
              <w:spacing w:before="71" w:line="223" w:lineRule="exact"/>
              <w:ind w:left="325" w:right="325"/>
              <w:jc w:val="center"/>
              <w:rPr>
                <w:rFonts w:ascii="Calibri" w:hAnsi="Calibri"/>
                <w:sz w:val="20"/>
              </w:rPr>
            </w:pPr>
            <w:r>
              <w:rPr>
                <w:rFonts w:ascii="Calibri" w:hAnsi="Calibri"/>
                <w:sz w:val="20"/>
              </w:rPr>
              <w:t>£4,471</w:t>
            </w:r>
          </w:p>
        </w:tc>
        <w:tc>
          <w:tcPr>
            <w:tcW w:w="1418" w:type="dxa"/>
          </w:tcPr>
          <w:p w:rsidR="006A18FD" w:rsidRDefault="002D29FC">
            <w:pPr>
              <w:spacing w:before="71" w:line="223" w:lineRule="exact"/>
              <w:ind w:left="325" w:right="327"/>
              <w:jc w:val="center"/>
              <w:rPr>
                <w:rFonts w:ascii="Calibri" w:hAnsi="Calibri"/>
                <w:sz w:val="20"/>
              </w:rPr>
            </w:pPr>
            <w:r>
              <w:rPr>
                <w:rFonts w:ascii="Calibri" w:hAnsi="Calibri"/>
                <w:sz w:val="20"/>
              </w:rPr>
              <w:t>£4,471</w:t>
            </w:r>
          </w:p>
        </w:tc>
        <w:tc>
          <w:tcPr>
            <w:tcW w:w="1416" w:type="dxa"/>
          </w:tcPr>
          <w:p w:rsidR="006A18FD" w:rsidRDefault="002D29FC">
            <w:pPr>
              <w:spacing w:before="71" w:line="223" w:lineRule="exact"/>
              <w:ind w:left="305" w:right="305"/>
              <w:jc w:val="center"/>
              <w:rPr>
                <w:rFonts w:ascii="Calibri" w:hAnsi="Calibri"/>
                <w:sz w:val="20"/>
              </w:rPr>
            </w:pPr>
            <w:r>
              <w:rPr>
                <w:rFonts w:ascii="Calibri" w:hAnsi="Calibri"/>
                <w:sz w:val="20"/>
              </w:rPr>
              <w:t>£4,471</w:t>
            </w:r>
          </w:p>
        </w:tc>
        <w:tc>
          <w:tcPr>
            <w:tcW w:w="1418" w:type="dxa"/>
          </w:tcPr>
          <w:p w:rsidR="006A18FD" w:rsidRDefault="002D29FC">
            <w:pPr>
              <w:spacing w:before="71" w:line="223" w:lineRule="exact"/>
              <w:ind w:left="424"/>
              <w:rPr>
                <w:rFonts w:ascii="Calibri" w:hAnsi="Calibri"/>
                <w:sz w:val="20"/>
              </w:rPr>
            </w:pPr>
            <w:r>
              <w:rPr>
                <w:rFonts w:ascii="Calibri" w:hAnsi="Calibri"/>
                <w:sz w:val="20"/>
              </w:rPr>
              <w:t>£4,471</w:t>
            </w:r>
          </w:p>
        </w:tc>
      </w:tr>
      <w:tr w:rsidR="006A18FD">
        <w:trPr>
          <w:trHeight w:val="300"/>
        </w:trPr>
        <w:tc>
          <w:tcPr>
            <w:tcW w:w="2722" w:type="dxa"/>
          </w:tcPr>
          <w:p w:rsidR="006A18FD" w:rsidRDefault="002D29FC">
            <w:pPr>
              <w:spacing w:before="69" w:line="223" w:lineRule="exact"/>
              <w:ind w:left="103"/>
              <w:rPr>
                <w:rFonts w:ascii="Calibri"/>
                <w:b/>
                <w:sz w:val="20"/>
              </w:rPr>
            </w:pPr>
            <w:r>
              <w:rPr>
                <w:rFonts w:ascii="Calibri"/>
                <w:b/>
                <w:sz w:val="20"/>
              </w:rPr>
              <w:t>F Travel</w:t>
            </w:r>
          </w:p>
        </w:tc>
        <w:tc>
          <w:tcPr>
            <w:tcW w:w="1417" w:type="dxa"/>
          </w:tcPr>
          <w:p w:rsidR="006A18FD" w:rsidRDefault="002D29FC">
            <w:pPr>
              <w:spacing w:before="69" w:line="223" w:lineRule="exact"/>
              <w:ind w:left="325" w:right="328"/>
              <w:jc w:val="center"/>
              <w:rPr>
                <w:rFonts w:ascii="Calibri"/>
                <w:sz w:val="20"/>
              </w:rPr>
            </w:pPr>
            <w:r>
              <w:rPr>
                <w:rFonts w:ascii="Calibri"/>
                <w:sz w:val="20"/>
              </w:rPr>
              <w:t>See note</w:t>
            </w:r>
          </w:p>
        </w:tc>
        <w:tc>
          <w:tcPr>
            <w:tcW w:w="1418" w:type="dxa"/>
          </w:tcPr>
          <w:p w:rsidR="006A18FD" w:rsidRDefault="002D29FC">
            <w:pPr>
              <w:spacing w:before="69" w:line="223" w:lineRule="exact"/>
              <w:ind w:right="350"/>
              <w:jc w:val="right"/>
              <w:rPr>
                <w:rFonts w:ascii="Calibri"/>
                <w:sz w:val="20"/>
              </w:rPr>
            </w:pPr>
            <w:r>
              <w:rPr>
                <w:rFonts w:ascii="Calibri"/>
                <w:sz w:val="20"/>
              </w:rPr>
              <w:t>See note</w:t>
            </w:r>
          </w:p>
        </w:tc>
        <w:tc>
          <w:tcPr>
            <w:tcW w:w="1416" w:type="dxa"/>
          </w:tcPr>
          <w:p w:rsidR="006A18FD" w:rsidRDefault="002D29FC">
            <w:pPr>
              <w:spacing w:before="69" w:line="223" w:lineRule="exact"/>
              <w:ind w:right="348"/>
              <w:jc w:val="right"/>
              <w:rPr>
                <w:rFonts w:ascii="Calibri"/>
                <w:sz w:val="20"/>
              </w:rPr>
            </w:pPr>
            <w:r>
              <w:rPr>
                <w:rFonts w:ascii="Calibri"/>
                <w:sz w:val="20"/>
              </w:rPr>
              <w:t>See note</w:t>
            </w:r>
          </w:p>
        </w:tc>
        <w:tc>
          <w:tcPr>
            <w:tcW w:w="1416" w:type="dxa"/>
          </w:tcPr>
          <w:p w:rsidR="006A18FD" w:rsidRDefault="002D29FC">
            <w:pPr>
              <w:spacing w:before="69" w:line="223" w:lineRule="exact"/>
              <w:ind w:left="302" w:right="305"/>
              <w:jc w:val="center"/>
              <w:rPr>
                <w:rFonts w:ascii="Calibri"/>
                <w:sz w:val="20"/>
              </w:rPr>
            </w:pPr>
            <w:r>
              <w:rPr>
                <w:rFonts w:ascii="Calibri"/>
                <w:sz w:val="20"/>
              </w:rPr>
              <w:t>See note</w:t>
            </w:r>
          </w:p>
        </w:tc>
        <w:tc>
          <w:tcPr>
            <w:tcW w:w="1418" w:type="dxa"/>
          </w:tcPr>
          <w:p w:rsidR="006A18FD" w:rsidRDefault="002D29FC">
            <w:pPr>
              <w:spacing w:before="69" w:line="223" w:lineRule="exact"/>
              <w:ind w:left="322" w:right="327"/>
              <w:jc w:val="center"/>
              <w:rPr>
                <w:rFonts w:ascii="Calibri"/>
                <w:sz w:val="20"/>
              </w:rPr>
            </w:pPr>
            <w:r>
              <w:rPr>
                <w:rFonts w:ascii="Calibri"/>
                <w:sz w:val="20"/>
              </w:rPr>
              <w:t>See note</w:t>
            </w:r>
          </w:p>
        </w:tc>
        <w:tc>
          <w:tcPr>
            <w:tcW w:w="1417" w:type="dxa"/>
          </w:tcPr>
          <w:p w:rsidR="006A18FD" w:rsidRDefault="002D29FC">
            <w:pPr>
              <w:spacing w:before="69" w:line="223" w:lineRule="exact"/>
              <w:ind w:left="325" w:right="328"/>
              <w:jc w:val="center"/>
              <w:rPr>
                <w:rFonts w:ascii="Calibri"/>
                <w:sz w:val="20"/>
              </w:rPr>
            </w:pPr>
            <w:r>
              <w:rPr>
                <w:rFonts w:ascii="Calibri"/>
                <w:sz w:val="20"/>
              </w:rPr>
              <w:t>See note</w:t>
            </w:r>
          </w:p>
        </w:tc>
        <w:tc>
          <w:tcPr>
            <w:tcW w:w="1418" w:type="dxa"/>
          </w:tcPr>
          <w:p w:rsidR="006A18FD" w:rsidRDefault="002D29FC">
            <w:pPr>
              <w:spacing w:before="69" w:line="223" w:lineRule="exact"/>
              <w:ind w:left="322" w:right="327"/>
              <w:jc w:val="center"/>
              <w:rPr>
                <w:rFonts w:ascii="Calibri"/>
                <w:sz w:val="20"/>
              </w:rPr>
            </w:pPr>
            <w:r>
              <w:rPr>
                <w:rFonts w:ascii="Calibri"/>
                <w:sz w:val="20"/>
              </w:rPr>
              <w:t>See note</w:t>
            </w:r>
          </w:p>
        </w:tc>
        <w:tc>
          <w:tcPr>
            <w:tcW w:w="1416" w:type="dxa"/>
          </w:tcPr>
          <w:p w:rsidR="006A18FD" w:rsidRDefault="002D29FC">
            <w:pPr>
              <w:spacing w:before="69" w:line="223" w:lineRule="exact"/>
              <w:ind w:left="302" w:right="305"/>
              <w:jc w:val="center"/>
              <w:rPr>
                <w:rFonts w:ascii="Calibri"/>
                <w:sz w:val="20"/>
              </w:rPr>
            </w:pPr>
            <w:r>
              <w:rPr>
                <w:rFonts w:ascii="Calibri"/>
                <w:sz w:val="20"/>
              </w:rPr>
              <w:t>See note</w:t>
            </w:r>
          </w:p>
        </w:tc>
        <w:tc>
          <w:tcPr>
            <w:tcW w:w="1418" w:type="dxa"/>
          </w:tcPr>
          <w:p w:rsidR="006A18FD" w:rsidRDefault="002D29FC">
            <w:pPr>
              <w:spacing w:before="69" w:line="223" w:lineRule="exact"/>
              <w:ind w:right="350"/>
              <w:jc w:val="right"/>
              <w:rPr>
                <w:rFonts w:ascii="Calibri"/>
                <w:sz w:val="20"/>
              </w:rPr>
            </w:pPr>
            <w:r>
              <w:rPr>
                <w:rFonts w:ascii="Calibri"/>
                <w:sz w:val="20"/>
              </w:rPr>
              <w:t>See note</w:t>
            </w:r>
          </w:p>
        </w:tc>
      </w:tr>
      <w:tr w:rsidR="006A18FD">
        <w:trPr>
          <w:trHeight w:val="1220"/>
        </w:trPr>
        <w:tc>
          <w:tcPr>
            <w:tcW w:w="2722" w:type="dxa"/>
          </w:tcPr>
          <w:p w:rsidR="006A18FD" w:rsidRDefault="002D29FC">
            <w:pPr>
              <w:spacing w:before="1"/>
              <w:ind w:left="103"/>
              <w:rPr>
                <w:rFonts w:ascii="Calibri"/>
                <w:b/>
                <w:sz w:val="20"/>
              </w:rPr>
            </w:pPr>
            <w:r>
              <w:rPr>
                <w:rFonts w:ascii="Calibri"/>
                <w:b/>
                <w:sz w:val="20"/>
              </w:rPr>
              <w:t>G Working time</w:t>
            </w:r>
          </w:p>
        </w:tc>
        <w:tc>
          <w:tcPr>
            <w:tcW w:w="1417" w:type="dxa"/>
          </w:tcPr>
          <w:p w:rsidR="006A18FD" w:rsidRDefault="002D29FC">
            <w:pPr>
              <w:spacing w:before="1"/>
              <w:ind w:left="141" w:firstLine="105"/>
              <w:rPr>
                <w:rFonts w:ascii="Calibri"/>
                <w:sz w:val="20"/>
              </w:rPr>
            </w:pPr>
            <w:r>
              <w:rPr>
                <w:rFonts w:ascii="Calibri"/>
                <w:sz w:val="20"/>
              </w:rPr>
              <w:t>42.4 weeks (1,589 hours) per year, 37.5</w:t>
            </w:r>
          </w:p>
          <w:p w:rsidR="006A18FD" w:rsidRDefault="002D29FC">
            <w:pPr>
              <w:spacing w:line="240" w:lineRule="atLeast"/>
              <w:ind w:left="486" w:right="293" w:hanging="176"/>
              <w:rPr>
                <w:rFonts w:ascii="Calibri"/>
                <w:sz w:val="20"/>
              </w:rPr>
            </w:pPr>
            <w:r>
              <w:rPr>
                <w:rFonts w:ascii="Calibri"/>
                <w:sz w:val="20"/>
              </w:rPr>
              <w:t>hours per week</w:t>
            </w:r>
          </w:p>
        </w:tc>
        <w:tc>
          <w:tcPr>
            <w:tcW w:w="1418" w:type="dxa"/>
          </w:tcPr>
          <w:p w:rsidR="006A18FD" w:rsidRDefault="002D29FC">
            <w:pPr>
              <w:spacing w:before="1"/>
              <w:ind w:left="141" w:right="122" w:firstLine="105"/>
              <w:rPr>
                <w:rFonts w:ascii="Calibri"/>
                <w:sz w:val="20"/>
              </w:rPr>
            </w:pPr>
            <w:r>
              <w:rPr>
                <w:rFonts w:ascii="Calibri"/>
                <w:sz w:val="20"/>
              </w:rPr>
              <w:t>41.9 weeks (1,573 hours) per year, 37.5</w:t>
            </w:r>
          </w:p>
          <w:p w:rsidR="006A18FD" w:rsidRDefault="002D29FC">
            <w:pPr>
              <w:spacing w:line="240" w:lineRule="atLeast"/>
              <w:ind w:left="486" w:right="295" w:hanging="176"/>
              <w:rPr>
                <w:rFonts w:ascii="Calibri"/>
                <w:sz w:val="20"/>
              </w:rPr>
            </w:pPr>
            <w:r>
              <w:rPr>
                <w:rFonts w:ascii="Calibri"/>
                <w:sz w:val="20"/>
              </w:rPr>
              <w:t>hours per week</w:t>
            </w:r>
          </w:p>
        </w:tc>
        <w:tc>
          <w:tcPr>
            <w:tcW w:w="1416" w:type="dxa"/>
          </w:tcPr>
          <w:p w:rsidR="006A18FD" w:rsidRDefault="002D29FC">
            <w:pPr>
              <w:spacing w:before="1"/>
              <w:ind w:left="141" w:right="120" w:firstLine="105"/>
              <w:rPr>
                <w:rFonts w:ascii="Calibri"/>
                <w:sz w:val="20"/>
              </w:rPr>
            </w:pPr>
            <w:r>
              <w:rPr>
                <w:rFonts w:ascii="Calibri"/>
                <w:sz w:val="20"/>
              </w:rPr>
              <w:t>41.9 weeks (1,573 hours) per year, 37.5</w:t>
            </w:r>
          </w:p>
          <w:p w:rsidR="006A18FD" w:rsidRDefault="002D29FC">
            <w:pPr>
              <w:spacing w:line="240" w:lineRule="atLeast"/>
              <w:ind w:left="486" w:right="292" w:hanging="176"/>
              <w:rPr>
                <w:rFonts w:ascii="Calibri"/>
                <w:sz w:val="20"/>
              </w:rPr>
            </w:pPr>
            <w:r>
              <w:rPr>
                <w:rFonts w:ascii="Calibri"/>
                <w:sz w:val="20"/>
              </w:rPr>
              <w:t>hours per week</w:t>
            </w:r>
          </w:p>
        </w:tc>
        <w:tc>
          <w:tcPr>
            <w:tcW w:w="1416" w:type="dxa"/>
          </w:tcPr>
          <w:p w:rsidR="006A18FD" w:rsidRDefault="002D29FC">
            <w:pPr>
              <w:spacing w:before="1"/>
              <w:ind w:left="141" w:right="120" w:firstLine="105"/>
              <w:rPr>
                <w:rFonts w:ascii="Calibri"/>
                <w:sz w:val="20"/>
              </w:rPr>
            </w:pPr>
            <w:r>
              <w:rPr>
                <w:rFonts w:ascii="Calibri"/>
                <w:sz w:val="20"/>
              </w:rPr>
              <w:t>41.9 weeks (1,573 hours) per year, 37.5</w:t>
            </w:r>
          </w:p>
          <w:p w:rsidR="006A18FD" w:rsidRDefault="002D29FC">
            <w:pPr>
              <w:spacing w:line="240" w:lineRule="atLeast"/>
              <w:ind w:left="487" w:right="292" w:hanging="176"/>
              <w:rPr>
                <w:rFonts w:ascii="Calibri"/>
                <w:sz w:val="20"/>
              </w:rPr>
            </w:pPr>
            <w:r>
              <w:rPr>
                <w:rFonts w:ascii="Calibri"/>
                <w:sz w:val="20"/>
              </w:rPr>
              <w:t>hours per week</w:t>
            </w:r>
          </w:p>
        </w:tc>
        <w:tc>
          <w:tcPr>
            <w:tcW w:w="1418" w:type="dxa"/>
          </w:tcPr>
          <w:p w:rsidR="006A18FD" w:rsidRDefault="002D29FC">
            <w:pPr>
              <w:spacing w:before="1"/>
              <w:ind w:left="141" w:right="122" w:firstLine="105"/>
              <w:rPr>
                <w:rFonts w:ascii="Calibri"/>
                <w:sz w:val="20"/>
              </w:rPr>
            </w:pPr>
            <w:r>
              <w:rPr>
                <w:rFonts w:ascii="Calibri"/>
                <w:sz w:val="20"/>
              </w:rPr>
              <w:t>41.9 weeks (1,573 hours) per year, 37.5</w:t>
            </w:r>
          </w:p>
          <w:p w:rsidR="006A18FD" w:rsidRDefault="002D29FC">
            <w:pPr>
              <w:spacing w:line="240" w:lineRule="atLeast"/>
              <w:ind w:left="487" w:right="294" w:hanging="176"/>
              <w:rPr>
                <w:rFonts w:ascii="Calibri"/>
                <w:sz w:val="20"/>
              </w:rPr>
            </w:pPr>
            <w:r>
              <w:rPr>
                <w:rFonts w:ascii="Calibri"/>
                <w:sz w:val="20"/>
              </w:rPr>
              <w:t>hours per week</w:t>
            </w:r>
          </w:p>
        </w:tc>
        <w:tc>
          <w:tcPr>
            <w:tcW w:w="1417" w:type="dxa"/>
          </w:tcPr>
          <w:p w:rsidR="006A18FD" w:rsidRDefault="002D29FC">
            <w:pPr>
              <w:spacing w:before="1"/>
              <w:ind w:left="141" w:firstLine="105"/>
              <w:rPr>
                <w:rFonts w:ascii="Calibri"/>
                <w:sz w:val="20"/>
              </w:rPr>
            </w:pPr>
            <w:r>
              <w:rPr>
                <w:rFonts w:ascii="Calibri"/>
                <w:sz w:val="20"/>
              </w:rPr>
              <w:t>41.9 weeks (1,573 hours) per year, 37.5</w:t>
            </w:r>
          </w:p>
          <w:p w:rsidR="006A18FD" w:rsidRDefault="002D29FC">
            <w:pPr>
              <w:spacing w:line="240" w:lineRule="atLeast"/>
              <w:ind w:left="487" w:right="292" w:hanging="176"/>
              <w:rPr>
                <w:rFonts w:ascii="Calibri"/>
                <w:sz w:val="20"/>
              </w:rPr>
            </w:pPr>
            <w:r>
              <w:rPr>
                <w:rFonts w:ascii="Calibri"/>
                <w:sz w:val="20"/>
              </w:rPr>
              <w:t>hours per week</w:t>
            </w:r>
          </w:p>
        </w:tc>
        <w:tc>
          <w:tcPr>
            <w:tcW w:w="1418" w:type="dxa"/>
          </w:tcPr>
          <w:p w:rsidR="006A18FD" w:rsidRDefault="002D29FC">
            <w:pPr>
              <w:spacing w:before="1"/>
              <w:ind w:left="141" w:right="122" w:firstLine="105"/>
              <w:rPr>
                <w:rFonts w:ascii="Calibri"/>
                <w:sz w:val="20"/>
              </w:rPr>
            </w:pPr>
            <w:r>
              <w:rPr>
                <w:rFonts w:ascii="Calibri"/>
                <w:sz w:val="20"/>
              </w:rPr>
              <w:t>41.9 weeks (1,573 hours) per year, 37.5</w:t>
            </w:r>
          </w:p>
          <w:p w:rsidR="006A18FD" w:rsidRDefault="002D29FC">
            <w:pPr>
              <w:spacing w:line="240" w:lineRule="atLeast"/>
              <w:ind w:left="486" w:right="295" w:hanging="176"/>
              <w:rPr>
                <w:rFonts w:ascii="Calibri"/>
                <w:sz w:val="20"/>
              </w:rPr>
            </w:pPr>
            <w:r>
              <w:rPr>
                <w:rFonts w:ascii="Calibri"/>
                <w:sz w:val="20"/>
              </w:rPr>
              <w:t>hours per week</w:t>
            </w:r>
          </w:p>
        </w:tc>
        <w:tc>
          <w:tcPr>
            <w:tcW w:w="1416" w:type="dxa"/>
          </w:tcPr>
          <w:p w:rsidR="006A18FD" w:rsidRDefault="002D29FC">
            <w:pPr>
              <w:spacing w:before="1"/>
              <w:ind w:left="141" w:right="120" w:firstLine="105"/>
              <w:rPr>
                <w:rFonts w:ascii="Calibri"/>
                <w:sz w:val="20"/>
              </w:rPr>
            </w:pPr>
            <w:r>
              <w:rPr>
                <w:rFonts w:ascii="Calibri"/>
                <w:sz w:val="20"/>
              </w:rPr>
              <w:t>41.9 weeks (1,573 hours) per year, 37.5</w:t>
            </w:r>
          </w:p>
          <w:p w:rsidR="006A18FD" w:rsidRDefault="002D29FC">
            <w:pPr>
              <w:spacing w:line="240" w:lineRule="atLeast"/>
              <w:ind w:left="487" w:right="292" w:hanging="176"/>
              <w:rPr>
                <w:rFonts w:ascii="Calibri"/>
                <w:sz w:val="20"/>
              </w:rPr>
            </w:pPr>
            <w:r>
              <w:rPr>
                <w:rFonts w:ascii="Calibri"/>
                <w:sz w:val="20"/>
              </w:rPr>
              <w:t>hours per week</w:t>
            </w:r>
          </w:p>
        </w:tc>
        <w:tc>
          <w:tcPr>
            <w:tcW w:w="1418" w:type="dxa"/>
          </w:tcPr>
          <w:p w:rsidR="006A18FD" w:rsidRDefault="002D29FC">
            <w:pPr>
              <w:spacing w:before="1"/>
              <w:ind w:left="141" w:right="122" w:firstLine="105"/>
              <w:rPr>
                <w:rFonts w:ascii="Calibri"/>
                <w:sz w:val="20"/>
              </w:rPr>
            </w:pPr>
            <w:r>
              <w:rPr>
                <w:rFonts w:ascii="Calibri"/>
                <w:sz w:val="20"/>
              </w:rPr>
              <w:t>41.9 weeks (1,573 hours) per year, 37.5</w:t>
            </w:r>
          </w:p>
          <w:p w:rsidR="006A18FD" w:rsidRDefault="002D29FC">
            <w:pPr>
              <w:spacing w:line="240" w:lineRule="atLeast"/>
              <w:ind w:left="486" w:right="295" w:hanging="176"/>
              <w:rPr>
                <w:rFonts w:ascii="Calibri"/>
                <w:sz w:val="20"/>
              </w:rPr>
            </w:pPr>
            <w:r>
              <w:rPr>
                <w:rFonts w:ascii="Calibri"/>
                <w:sz w:val="20"/>
              </w:rPr>
              <w:t>hours per week</w:t>
            </w:r>
          </w:p>
        </w:tc>
      </w:tr>
      <w:tr w:rsidR="006A18FD">
        <w:trPr>
          <w:trHeight w:val="479"/>
        </w:trPr>
        <w:tc>
          <w:tcPr>
            <w:tcW w:w="2722" w:type="dxa"/>
          </w:tcPr>
          <w:p w:rsidR="006A18FD" w:rsidRDefault="002D29FC">
            <w:pPr>
              <w:spacing w:line="242" w:lineRule="exact"/>
              <w:ind w:left="103"/>
              <w:rPr>
                <w:rFonts w:ascii="Calibri"/>
                <w:b/>
                <w:sz w:val="20"/>
              </w:rPr>
            </w:pPr>
            <w:r>
              <w:rPr>
                <w:rFonts w:ascii="Calibri"/>
                <w:b/>
                <w:sz w:val="20"/>
              </w:rPr>
              <w:t>H Ratio of direct to indirect</w:t>
            </w:r>
          </w:p>
          <w:p w:rsidR="006A18FD" w:rsidRDefault="002D29FC">
            <w:pPr>
              <w:spacing w:line="223" w:lineRule="exact"/>
              <w:ind w:left="103"/>
              <w:rPr>
                <w:rFonts w:ascii="Calibri"/>
                <w:b/>
                <w:sz w:val="20"/>
              </w:rPr>
            </w:pPr>
            <w:r>
              <w:rPr>
                <w:rFonts w:ascii="Calibri"/>
                <w:b/>
                <w:sz w:val="20"/>
              </w:rPr>
              <w:t>time</w:t>
            </w:r>
          </w:p>
        </w:tc>
        <w:tc>
          <w:tcPr>
            <w:tcW w:w="1417" w:type="dxa"/>
          </w:tcPr>
          <w:p w:rsidR="006A18FD" w:rsidRDefault="002D29FC">
            <w:pPr>
              <w:spacing w:before="120"/>
              <w:ind w:left="325" w:right="328"/>
              <w:jc w:val="center"/>
              <w:rPr>
                <w:rFonts w:ascii="Calibri"/>
                <w:sz w:val="20"/>
              </w:rPr>
            </w:pPr>
            <w:r>
              <w:rPr>
                <w:rFonts w:ascii="Calibri"/>
                <w:sz w:val="20"/>
              </w:rPr>
              <w:t>See note</w:t>
            </w:r>
          </w:p>
        </w:tc>
        <w:tc>
          <w:tcPr>
            <w:tcW w:w="1418" w:type="dxa"/>
          </w:tcPr>
          <w:p w:rsidR="006A18FD" w:rsidRDefault="002D29FC">
            <w:pPr>
              <w:spacing w:before="120"/>
              <w:ind w:right="348"/>
              <w:jc w:val="right"/>
              <w:rPr>
                <w:rFonts w:ascii="Calibri"/>
                <w:sz w:val="20"/>
              </w:rPr>
            </w:pPr>
            <w:r>
              <w:rPr>
                <w:rFonts w:ascii="Calibri"/>
                <w:sz w:val="20"/>
              </w:rPr>
              <w:t>See note</w:t>
            </w:r>
          </w:p>
        </w:tc>
        <w:tc>
          <w:tcPr>
            <w:tcW w:w="1416" w:type="dxa"/>
          </w:tcPr>
          <w:p w:rsidR="006A18FD" w:rsidRDefault="002D29FC">
            <w:pPr>
              <w:spacing w:before="120"/>
              <w:ind w:right="348"/>
              <w:jc w:val="right"/>
              <w:rPr>
                <w:rFonts w:ascii="Calibri"/>
                <w:sz w:val="20"/>
              </w:rPr>
            </w:pPr>
            <w:r>
              <w:rPr>
                <w:rFonts w:ascii="Calibri"/>
                <w:sz w:val="20"/>
              </w:rPr>
              <w:t>See note</w:t>
            </w:r>
          </w:p>
        </w:tc>
        <w:tc>
          <w:tcPr>
            <w:tcW w:w="1416" w:type="dxa"/>
          </w:tcPr>
          <w:p w:rsidR="006A18FD" w:rsidRDefault="002D29FC">
            <w:pPr>
              <w:spacing w:before="120"/>
              <w:ind w:left="325" w:right="282"/>
              <w:jc w:val="center"/>
              <w:rPr>
                <w:rFonts w:ascii="Calibri"/>
                <w:sz w:val="20"/>
              </w:rPr>
            </w:pPr>
            <w:r>
              <w:rPr>
                <w:rFonts w:ascii="Calibri"/>
                <w:sz w:val="20"/>
              </w:rPr>
              <w:t>See note</w:t>
            </w:r>
          </w:p>
        </w:tc>
        <w:tc>
          <w:tcPr>
            <w:tcW w:w="1418" w:type="dxa"/>
          </w:tcPr>
          <w:p w:rsidR="006A18FD" w:rsidRDefault="002D29FC">
            <w:pPr>
              <w:spacing w:before="120"/>
              <w:ind w:left="325" w:right="325"/>
              <w:jc w:val="center"/>
              <w:rPr>
                <w:rFonts w:ascii="Calibri"/>
                <w:sz w:val="20"/>
              </w:rPr>
            </w:pPr>
            <w:r>
              <w:rPr>
                <w:rFonts w:ascii="Calibri"/>
                <w:sz w:val="20"/>
              </w:rPr>
              <w:t>See note</w:t>
            </w:r>
          </w:p>
        </w:tc>
        <w:tc>
          <w:tcPr>
            <w:tcW w:w="1417" w:type="dxa"/>
          </w:tcPr>
          <w:p w:rsidR="006A18FD" w:rsidRDefault="002D29FC">
            <w:pPr>
              <w:spacing w:before="120"/>
              <w:ind w:left="325" w:right="328"/>
              <w:jc w:val="center"/>
              <w:rPr>
                <w:rFonts w:ascii="Calibri"/>
                <w:sz w:val="20"/>
              </w:rPr>
            </w:pPr>
            <w:r>
              <w:rPr>
                <w:rFonts w:ascii="Calibri"/>
                <w:sz w:val="20"/>
              </w:rPr>
              <w:t>See note</w:t>
            </w:r>
          </w:p>
        </w:tc>
        <w:tc>
          <w:tcPr>
            <w:tcW w:w="1418" w:type="dxa"/>
          </w:tcPr>
          <w:p w:rsidR="006A18FD" w:rsidRDefault="002D29FC">
            <w:pPr>
              <w:spacing w:before="120"/>
              <w:ind w:left="325" w:right="325"/>
              <w:jc w:val="center"/>
              <w:rPr>
                <w:rFonts w:ascii="Calibri"/>
                <w:sz w:val="20"/>
              </w:rPr>
            </w:pPr>
            <w:r>
              <w:rPr>
                <w:rFonts w:ascii="Calibri"/>
                <w:sz w:val="20"/>
              </w:rPr>
              <w:t>See note</w:t>
            </w:r>
          </w:p>
        </w:tc>
        <w:tc>
          <w:tcPr>
            <w:tcW w:w="1416" w:type="dxa"/>
          </w:tcPr>
          <w:p w:rsidR="006A18FD" w:rsidRDefault="002D29FC">
            <w:pPr>
              <w:spacing w:before="120"/>
              <w:ind w:left="305" w:right="305"/>
              <w:jc w:val="center"/>
              <w:rPr>
                <w:rFonts w:ascii="Calibri"/>
                <w:sz w:val="20"/>
              </w:rPr>
            </w:pPr>
            <w:r>
              <w:rPr>
                <w:rFonts w:ascii="Calibri"/>
                <w:sz w:val="20"/>
              </w:rPr>
              <w:t>See note</w:t>
            </w:r>
          </w:p>
        </w:tc>
        <w:tc>
          <w:tcPr>
            <w:tcW w:w="1418" w:type="dxa"/>
          </w:tcPr>
          <w:p w:rsidR="006A18FD" w:rsidRDefault="002D29FC">
            <w:pPr>
              <w:spacing w:before="120"/>
              <w:ind w:right="350"/>
              <w:jc w:val="right"/>
              <w:rPr>
                <w:rFonts w:ascii="Calibri"/>
                <w:sz w:val="20"/>
              </w:rPr>
            </w:pPr>
            <w:r>
              <w:rPr>
                <w:rFonts w:ascii="Calibri"/>
                <w:sz w:val="20"/>
              </w:rPr>
              <w:t>See note</w:t>
            </w:r>
          </w:p>
        </w:tc>
      </w:tr>
      <w:tr w:rsidR="006A18FD">
        <w:trPr>
          <w:trHeight w:val="480"/>
        </w:trPr>
        <w:tc>
          <w:tcPr>
            <w:tcW w:w="2722" w:type="dxa"/>
          </w:tcPr>
          <w:p w:rsidR="006A18FD" w:rsidRDefault="002D29FC">
            <w:pPr>
              <w:spacing w:before="1" w:line="240" w:lineRule="atLeast"/>
              <w:ind w:left="103" w:right="578"/>
              <w:rPr>
                <w:rFonts w:ascii="Calibri"/>
                <w:b/>
                <w:sz w:val="20"/>
              </w:rPr>
            </w:pPr>
            <w:r>
              <w:rPr>
                <w:rFonts w:ascii="Calibri"/>
                <w:b/>
                <w:sz w:val="20"/>
              </w:rPr>
              <w:t>Unit costs available 2018/2019</w:t>
            </w: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7" w:type="dxa"/>
          </w:tcPr>
          <w:p w:rsidR="006A18FD" w:rsidRDefault="006A18FD">
            <w:pPr>
              <w:rPr>
                <w:rFonts w:ascii="Times New Roman"/>
                <w:sz w:val="20"/>
              </w:rPr>
            </w:pPr>
          </w:p>
        </w:tc>
        <w:tc>
          <w:tcPr>
            <w:tcW w:w="1418" w:type="dxa"/>
          </w:tcPr>
          <w:p w:rsidR="006A18FD" w:rsidRDefault="006A18FD">
            <w:pPr>
              <w:rPr>
                <w:rFonts w:ascii="Times New Roman"/>
                <w:sz w:val="20"/>
              </w:rPr>
            </w:pPr>
          </w:p>
        </w:tc>
        <w:tc>
          <w:tcPr>
            <w:tcW w:w="1416" w:type="dxa"/>
          </w:tcPr>
          <w:p w:rsidR="006A18FD" w:rsidRDefault="006A18FD">
            <w:pPr>
              <w:rPr>
                <w:rFonts w:ascii="Times New Roman"/>
                <w:sz w:val="20"/>
              </w:rPr>
            </w:pPr>
          </w:p>
        </w:tc>
        <w:tc>
          <w:tcPr>
            <w:tcW w:w="1418" w:type="dxa"/>
          </w:tcPr>
          <w:p w:rsidR="006A18FD" w:rsidRDefault="006A18FD">
            <w:pPr>
              <w:rPr>
                <w:rFonts w:ascii="Times New Roman"/>
                <w:sz w:val="20"/>
              </w:rPr>
            </w:pPr>
          </w:p>
        </w:tc>
      </w:tr>
      <w:tr w:rsidR="006A18FD">
        <w:trPr>
          <w:trHeight w:val="299"/>
        </w:trPr>
        <w:tc>
          <w:tcPr>
            <w:tcW w:w="2722" w:type="dxa"/>
          </w:tcPr>
          <w:p w:rsidR="006A18FD" w:rsidRDefault="002D29FC">
            <w:pPr>
              <w:spacing w:before="33"/>
              <w:ind w:left="103"/>
              <w:rPr>
                <w:rFonts w:ascii="Calibri"/>
                <w:sz w:val="20"/>
              </w:rPr>
            </w:pPr>
            <w:r>
              <w:rPr>
                <w:rFonts w:ascii="Calibri"/>
                <w:sz w:val="20"/>
              </w:rPr>
              <w:t>Cost per working hour</w:t>
            </w:r>
          </w:p>
        </w:tc>
        <w:tc>
          <w:tcPr>
            <w:tcW w:w="1417" w:type="dxa"/>
          </w:tcPr>
          <w:p w:rsidR="006A18FD" w:rsidRDefault="002D29FC">
            <w:pPr>
              <w:spacing w:before="67" w:line="223" w:lineRule="exact"/>
              <w:ind w:left="325" w:right="328"/>
              <w:jc w:val="center"/>
              <w:rPr>
                <w:rFonts w:ascii="Calibri" w:hAnsi="Calibri"/>
                <w:b/>
                <w:sz w:val="20"/>
              </w:rPr>
            </w:pPr>
            <w:r>
              <w:rPr>
                <w:rFonts w:ascii="Calibri" w:hAnsi="Calibri"/>
                <w:b/>
                <w:sz w:val="20"/>
              </w:rPr>
              <w:t>£27</w:t>
            </w:r>
          </w:p>
        </w:tc>
        <w:tc>
          <w:tcPr>
            <w:tcW w:w="1418" w:type="dxa"/>
          </w:tcPr>
          <w:p w:rsidR="006A18FD" w:rsidRDefault="002D29FC">
            <w:pPr>
              <w:spacing w:before="67" w:line="223" w:lineRule="exact"/>
              <w:ind w:left="322" w:right="327"/>
              <w:jc w:val="center"/>
              <w:rPr>
                <w:rFonts w:ascii="Calibri" w:hAnsi="Calibri"/>
                <w:b/>
                <w:sz w:val="20"/>
              </w:rPr>
            </w:pPr>
            <w:r>
              <w:rPr>
                <w:rFonts w:ascii="Calibri" w:hAnsi="Calibri"/>
                <w:b/>
                <w:sz w:val="20"/>
              </w:rPr>
              <w:t>£37</w:t>
            </w:r>
          </w:p>
        </w:tc>
        <w:tc>
          <w:tcPr>
            <w:tcW w:w="1416" w:type="dxa"/>
          </w:tcPr>
          <w:p w:rsidR="006A18FD" w:rsidRDefault="002D29FC">
            <w:pPr>
              <w:spacing w:before="67" w:line="223" w:lineRule="exact"/>
              <w:ind w:left="340" w:right="342"/>
              <w:jc w:val="center"/>
              <w:rPr>
                <w:rFonts w:ascii="Calibri" w:hAnsi="Calibri"/>
                <w:b/>
                <w:sz w:val="20"/>
              </w:rPr>
            </w:pPr>
            <w:r>
              <w:rPr>
                <w:rFonts w:ascii="Calibri" w:hAnsi="Calibri"/>
                <w:b/>
                <w:sz w:val="20"/>
              </w:rPr>
              <w:t>£46</w:t>
            </w:r>
          </w:p>
        </w:tc>
        <w:tc>
          <w:tcPr>
            <w:tcW w:w="1416" w:type="dxa"/>
          </w:tcPr>
          <w:p w:rsidR="006A18FD" w:rsidRDefault="002D29FC">
            <w:pPr>
              <w:spacing w:before="67" w:line="223" w:lineRule="exact"/>
              <w:ind w:left="303" w:right="305"/>
              <w:jc w:val="center"/>
              <w:rPr>
                <w:rFonts w:ascii="Calibri" w:hAnsi="Calibri"/>
                <w:b/>
                <w:sz w:val="20"/>
              </w:rPr>
            </w:pPr>
            <w:r>
              <w:rPr>
                <w:rFonts w:ascii="Calibri" w:hAnsi="Calibri"/>
                <w:b/>
                <w:sz w:val="20"/>
              </w:rPr>
              <w:t>£55</w:t>
            </w:r>
          </w:p>
        </w:tc>
        <w:tc>
          <w:tcPr>
            <w:tcW w:w="1418" w:type="dxa"/>
          </w:tcPr>
          <w:p w:rsidR="006A18FD" w:rsidRDefault="002D29FC">
            <w:pPr>
              <w:spacing w:before="67" w:line="223" w:lineRule="exact"/>
              <w:ind w:left="322" w:right="327"/>
              <w:jc w:val="center"/>
              <w:rPr>
                <w:rFonts w:ascii="Calibri" w:hAnsi="Calibri"/>
                <w:b/>
                <w:sz w:val="20"/>
              </w:rPr>
            </w:pPr>
            <w:r>
              <w:rPr>
                <w:rFonts w:ascii="Calibri" w:hAnsi="Calibri"/>
                <w:b/>
                <w:sz w:val="20"/>
              </w:rPr>
              <w:t>£64</w:t>
            </w:r>
          </w:p>
        </w:tc>
        <w:tc>
          <w:tcPr>
            <w:tcW w:w="1417" w:type="dxa"/>
          </w:tcPr>
          <w:p w:rsidR="006A18FD" w:rsidRDefault="002D29FC">
            <w:pPr>
              <w:spacing w:before="67" w:line="223" w:lineRule="exact"/>
              <w:ind w:left="325" w:right="328"/>
              <w:jc w:val="center"/>
              <w:rPr>
                <w:rFonts w:ascii="Calibri" w:hAnsi="Calibri"/>
                <w:b/>
                <w:sz w:val="20"/>
              </w:rPr>
            </w:pPr>
            <w:r>
              <w:rPr>
                <w:rFonts w:ascii="Calibri" w:hAnsi="Calibri"/>
                <w:b/>
                <w:sz w:val="20"/>
              </w:rPr>
              <w:t>£76</w:t>
            </w:r>
          </w:p>
        </w:tc>
        <w:tc>
          <w:tcPr>
            <w:tcW w:w="1418" w:type="dxa"/>
          </w:tcPr>
          <w:p w:rsidR="006A18FD" w:rsidRDefault="002D29FC">
            <w:pPr>
              <w:spacing w:before="67" w:line="223" w:lineRule="exact"/>
              <w:ind w:left="322" w:right="327"/>
              <w:jc w:val="center"/>
              <w:rPr>
                <w:rFonts w:ascii="Calibri" w:hAnsi="Calibri"/>
                <w:b/>
                <w:sz w:val="20"/>
              </w:rPr>
            </w:pPr>
            <w:r>
              <w:rPr>
                <w:rFonts w:ascii="Calibri" w:hAnsi="Calibri"/>
                <w:b/>
                <w:sz w:val="20"/>
              </w:rPr>
              <w:t>£89</w:t>
            </w:r>
          </w:p>
        </w:tc>
        <w:tc>
          <w:tcPr>
            <w:tcW w:w="1416" w:type="dxa"/>
          </w:tcPr>
          <w:p w:rsidR="006A18FD" w:rsidRDefault="002D29FC">
            <w:pPr>
              <w:spacing w:before="67" w:line="223" w:lineRule="exact"/>
              <w:ind w:left="302" w:right="305"/>
              <w:jc w:val="center"/>
              <w:rPr>
                <w:rFonts w:ascii="Calibri" w:hAnsi="Calibri"/>
                <w:b/>
                <w:sz w:val="20"/>
              </w:rPr>
            </w:pPr>
            <w:r>
              <w:rPr>
                <w:rFonts w:ascii="Calibri" w:hAnsi="Calibri"/>
                <w:b/>
                <w:sz w:val="20"/>
              </w:rPr>
              <w:t>£104</w:t>
            </w:r>
          </w:p>
        </w:tc>
        <w:tc>
          <w:tcPr>
            <w:tcW w:w="1418" w:type="dxa"/>
          </w:tcPr>
          <w:p w:rsidR="006A18FD" w:rsidRDefault="002D29FC">
            <w:pPr>
              <w:spacing w:before="67" w:line="223" w:lineRule="exact"/>
              <w:ind w:left="322" w:right="327"/>
              <w:jc w:val="center"/>
              <w:rPr>
                <w:rFonts w:ascii="Calibri" w:hAnsi="Calibri"/>
                <w:b/>
                <w:sz w:val="20"/>
              </w:rPr>
            </w:pPr>
            <w:r>
              <w:rPr>
                <w:rFonts w:ascii="Calibri" w:hAnsi="Calibri"/>
                <w:b/>
                <w:sz w:val="20"/>
              </w:rPr>
              <w:t>£124</w:t>
            </w:r>
          </w:p>
        </w:tc>
      </w:tr>
      <w:tr w:rsidR="006A18FD">
        <w:trPr>
          <w:trHeight w:val="480"/>
        </w:trPr>
        <w:tc>
          <w:tcPr>
            <w:tcW w:w="2722" w:type="dxa"/>
          </w:tcPr>
          <w:p w:rsidR="006A18FD" w:rsidRDefault="002D29FC">
            <w:pPr>
              <w:spacing w:before="1" w:line="240" w:lineRule="atLeast"/>
              <w:ind w:left="103" w:right="578"/>
              <w:rPr>
                <w:rFonts w:ascii="Calibri"/>
                <w:sz w:val="20"/>
              </w:rPr>
            </w:pPr>
            <w:r>
              <w:rPr>
                <w:rFonts w:ascii="Calibri"/>
                <w:sz w:val="20"/>
              </w:rPr>
              <w:t>Cost per hour of patient- related work</w:t>
            </w:r>
          </w:p>
        </w:tc>
        <w:tc>
          <w:tcPr>
            <w:tcW w:w="1417" w:type="dxa"/>
          </w:tcPr>
          <w:p w:rsidR="006A18FD" w:rsidRDefault="006A18FD">
            <w:pPr>
              <w:rPr>
                <w:rFonts w:ascii="Times New Roman"/>
                <w:sz w:val="20"/>
              </w:rPr>
            </w:pPr>
          </w:p>
        </w:tc>
        <w:tc>
          <w:tcPr>
            <w:tcW w:w="1418" w:type="dxa"/>
          </w:tcPr>
          <w:p w:rsidR="006A18FD" w:rsidRDefault="006A18FD">
            <w:pPr>
              <w:spacing w:before="2"/>
              <w:rPr>
                <w:rFonts w:ascii="Calibri"/>
                <w:sz w:val="20"/>
              </w:rPr>
            </w:pPr>
          </w:p>
          <w:p w:rsidR="006A18FD" w:rsidRDefault="002D29FC">
            <w:pPr>
              <w:spacing w:line="223" w:lineRule="exact"/>
              <w:ind w:left="322" w:right="327"/>
              <w:jc w:val="center"/>
              <w:rPr>
                <w:rFonts w:ascii="Calibri" w:hAnsi="Calibri"/>
                <w:b/>
                <w:sz w:val="20"/>
              </w:rPr>
            </w:pPr>
            <w:r>
              <w:rPr>
                <w:rFonts w:ascii="Calibri" w:hAnsi="Calibri"/>
                <w:b/>
                <w:sz w:val="20"/>
              </w:rPr>
              <w:t>£60</w:t>
            </w:r>
          </w:p>
        </w:tc>
        <w:tc>
          <w:tcPr>
            <w:tcW w:w="1416" w:type="dxa"/>
          </w:tcPr>
          <w:p w:rsidR="006A18FD" w:rsidRDefault="006A18FD">
            <w:pPr>
              <w:spacing w:before="2"/>
              <w:rPr>
                <w:rFonts w:ascii="Calibri"/>
                <w:sz w:val="20"/>
              </w:rPr>
            </w:pPr>
          </w:p>
          <w:p w:rsidR="006A18FD" w:rsidRDefault="002D29FC">
            <w:pPr>
              <w:spacing w:line="223" w:lineRule="exact"/>
              <w:ind w:left="340" w:right="342"/>
              <w:jc w:val="center"/>
              <w:rPr>
                <w:rFonts w:ascii="Calibri" w:hAnsi="Calibri"/>
                <w:b/>
                <w:sz w:val="20"/>
              </w:rPr>
            </w:pPr>
            <w:r>
              <w:rPr>
                <w:rFonts w:ascii="Calibri" w:hAnsi="Calibri"/>
                <w:b/>
                <w:sz w:val="20"/>
              </w:rPr>
              <w:t>£84</w:t>
            </w:r>
          </w:p>
        </w:tc>
        <w:tc>
          <w:tcPr>
            <w:tcW w:w="1416" w:type="dxa"/>
          </w:tcPr>
          <w:p w:rsidR="006A18FD" w:rsidRDefault="006A18FD">
            <w:pPr>
              <w:spacing w:before="2"/>
              <w:rPr>
                <w:rFonts w:ascii="Calibri"/>
                <w:sz w:val="20"/>
              </w:rPr>
            </w:pPr>
          </w:p>
          <w:p w:rsidR="006A18FD" w:rsidRDefault="002D29FC">
            <w:pPr>
              <w:spacing w:line="223" w:lineRule="exact"/>
              <w:ind w:left="303" w:right="305"/>
              <w:jc w:val="center"/>
              <w:rPr>
                <w:rFonts w:ascii="Calibri" w:hAnsi="Calibri"/>
                <w:b/>
                <w:sz w:val="20"/>
              </w:rPr>
            </w:pPr>
            <w:r>
              <w:rPr>
                <w:rFonts w:ascii="Calibri" w:hAnsi="Calibri"/>
                <w:b/>
                <w:sz w:val="20"/>
              </w:rPr>
              <w:t>£112</w:t>
            </w:r>
          </w:p>
        </w:tc>
        <w:tc>
          <w:tcPr>
            <w:tcW w:w="1418" w:type="dxa"/>
          </w:tcPr>
          <w:p w:rsidR="006A18FD" w:rsidRDefault="006A18FD">
            <w:pPr>
              <w:spacing w:before="2"/>
              <w:rPr>
                <w:rFonts w:ascii="Calibri"/>
                <w:sz w:val="20"/>
              </w:rPr>
            </w:pPr>
          </w:p>
          <w:p w:rsidR="006A18FD" w:rsidRDefault="002D29FC">
            <w:pPr>
              <w:spacing w:line="223" w:lineRule="exact"/>
              <w:ind w:left="322" w:right="327"/>
              <w:jc w:val="center"/>
              <w:rPr>
                <w:rFonts w:ascii="Calibri" w:hAnsi="Calibri"/>
                <w:b/>
                <w:sz w:val="20"/>
              </w:rPr>
            </w:pPr>
            <w:r>
              <w:rPr>
                <w:rFonts w:ascii="Calibri" w:hAnsi="Calibri"/>
                <w:b/>
                <w:sz w:val="20"/>
              </w:rPr>
              <w:t>£131</w:t>
            </w:r>
          </w:p>
        </w:tc>
        <w:tc>
          <w:tcPr>
            <w:tcW w:w="1417" w:type="dxa"/>
          </w:tcPr>
          <w:p w:rsidR="006A18FD" w:rsidRDefault="006A18FD">
            <w:pPr>
              <w:spacing w:before="2"/>
              <w:rPr>
                <w:rFonts w:ascii="Calibri"/>
                <w:sz w:val="20"/>
              </w:rPr>
            </w:pPr>
          </w:p>
          <w:p w:rsidR="006A18FD" w:rsidRDefault="002D29FC">
            <w:pPr>
              <w:spacing w:line="223" w:lineRule="exact"/>
              <w:jc w:val="center"/>
              <w:rPr>
                <w:rFonts w:ascii="Calibri"/>
                <w:b/>
                <w:sz w:val="20"/>
              </w:rPr>
            </w:pPr>
            <w:r>
              <w:rPr>
                <w:rFonts w:ascii="Calibri"/>
                <w:b/>
                <w:w w:val="99"/>
                <w:sz w:val="20"/>
              </w:rPr>
              <w:t>-</w:t>
            </w:r>
          </w:p>
        </w:tc>
        <w:tc>
          <w:tcPr>
            <w:tcW w:w="1418" w:type="dxa"/>
          </w:tcPr>
          <w:p w:rsidR="006A18FD" w:rsidRDefault="006A18FD">
            <w:pPr>
              <w:spacing w:before="2"/>
              <w:rPr>
                <w:rFonts w:ascii="Calibri"/>
                <w:sz w:val="20"/>
              </w:rPr>
            </w:pPr>
          </w:p>
          <w:p w:rsidR="006A18FD" w:rsidRDefault="002D29FC">
            <w:pPr>
              <w:spacing w:line="223" w:lineRule="exact"/>
              <w:ind w:right="1"/>
              <w:jc w:val="center"/>
              <w:rPr>
                <w:rFonts w:ascii="Calibri"/>
                <w:b/>
                <w:sz w:val="20"/>
              </w:rPr>
            </w:pPr>
            <w:r>
              <w:rPr>
                <w:rFonts w:ascii="Calibri"/>
                <w:b/>
                <w:w w:val="99"/>
                <w:sz w:val="20"/>
              </w:rPr>
              <w:t>-</w:t>
            </w:r>
          </w:p>
        </w:tc>
        <w:tc>
          <w:tcPr>
            <w:tcW w:w="1416" w:type="dxa"/>
          </w:tcPr>
          <w:p w:rsidR="006A18FD" w:rsidRDefault="006A18FD">
            <w:pPr>
              <w:spacing w:before="2"/>
              <w:rPr>
                <w:rFonts w:ascii="Calibri"/>
                <w:sz w:val="20"/>
              </w:rPr>
            </w:pPr>
          </w:p>
          <w:p w:rsidR="006A18FD" w:rsidRDefault="002D29FC">
            <w:pPr>
              <w:spacing w:line="223" w:lineRule="exact"/>
              <w:ind w:right="1"/>
              <w:jc w:val="center"/>
              <w:rPr>
                <w:rFonts w:ascii="Calibri"/>
                <w:b/>
                <w:sz w:val="20"/>
              </w:rPr>
            </w:pPr>
            <w:r>
              <w:rPr>
                <w:rFonts w:ascii="Calibri"/>
                <w:b/>
                <w:w w:val="99"/>
                <w:sz w:val="20"/>
              </w:rPr>
              <w:t>-</w:t>
            </w:r>
          </w:p>
        </w:tc>
        <w:tc>
          <w:tcPr>
            <w:tcW w:w="1418" w:type="dxa"/>
          </w:tcPr>
          <w:p w:rsidR="006A18FD" w:rsidRDefault="006A18FD">
            <w:pPr>
              <w:spacing w:before="2"/>
              <w:rPr>
                <w:rFonts w:ascii="Calibri"/>
                <w:sz w:val="20"/>
              </w:rPr>
            </w:pPr>
          </w:p>
          <w:p w:rsidR="006A18FD" w:rsidRDefault="002D29FC">
            <w:pPr>
              <w:spacing w:line="223" w:lineRule="exact"/>
              <w:ind w:right="1"/>
              <w:jc w:val="center"/>
              <w:rPr>
                <w:rFonts w:ascii="Calibri"/>
                <w:b/>
                <w:sz w:val="20"/>
              </w:rPr>
            </w:pPr>
            <w:r>
              <w:rPr>
                <w:rFonts w:ascii="Calibri"/>
                <w:b/>
                <w:w w:val="99"/>
                <w:sz w:val="20"/>
              </w:rPr>
              <w:t>-</w:t>
            </w:r>
          </w:p>
        </w:tc>
      </w:tr>
    </w:tbl>
    <w:p w:rsidR="006A18FD" w:rsidRDefault="006A18FD">
      <w:pPr>
        <w:spacing w:line="223" w:lineRule="exact"/>
        <w:jc w:val="center"/>
        <w:rPr>
          <w:rFonts w:ascii="Calibri"/>
          <w:sz w:val="20"/>
        </w:rPr>
        <w:sectPr w:rsidR="006A18FD">
          <w:headerReference w:type="default" r:id="rId329"/>
          <w:pgSz w:w="16840" w:h="11910" w:orient="landscape"/>
          <w:pgMar w:top="1040" w:right="420" w:bottom="280" w:left="6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2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27" name="Line 8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445953" id="Group 8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o9lxj34CAAB/BQAA&#10;DgAAAAAAAAAAAAAAAAAuAgAAZHJzL2Uyb0RvYy54bWxQSwECLQAUAAYACAAAACEALXfkXNoAAAAE&#10;AQAADwAAAAAAAAAAAAAAAADYBAAAZHJzL2Rvd25yZXYueG1sUEsFBgAAAAAEAAQA8wAAAN8FAAAA&#10;AA==&#10;">
                <v:line id="Line 8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w10:anchorlock/>
              </v:group>
            </w:pict>
          </mc:Fallback>
        </mc:AlternateContent>
      </w:r>
    </w:p>
    <w:p w:rsidR="006A18FD" w:rsidRDefault="002D29FC" w:rsidP="008E3FA8">
      <w:pPr>
        <w:pStyle w:val="Heading2"/>
        <w:numPr>
          <w:ilvl w:val="1"/>
          <w:numId w:val="37"/>
        </w:numPr>
        <w:ind w:left="851" w:hanging="851"/>
      </w:pPr>
      <w:r>
        <w:t>Nurse (GP</w:t>
      </w:r>
      <w:r>
        <w:rPr>
          <w:spacing w:val="-11"/>
        </w:rPr>
        <w:t xml:space="preserve"> </w:t>
      </w:r>
      <w:r>
        <w:t>practice)</w:t>
      </w:r>
    </w:p>
    <w:p w:rsidR="006A18FD" w:rsidRDefault="006A18FD">
      <w:pPr>
        <w:spacing w:before="5"/>
        <w:rPr>
          <w:rFonts w:ascii="Cambria"/>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E2663F">
        <w:trPr>
          <w:trHeight w:val="320"/>
          <w:tblHeader/>
        </w:trPr>
        <w:tc>
          <w:tcPr>
            <w:tcW w:w="2232" w:type="dxa"/>
          </w:tcPr>
          <w:p w:rsidR="006A18FD" w:rsidRDefault="002D29FC">
            <w:pPr>
              <w:spacing w:line="206" w:lineRule="exact"/>
              <w:ind w:left="52"/>
              <w:rPr>
                <w:rFonts w:ascii="Calibri"/>
                <w:b/>
                <w:sz w:val="17"/>
              </w:rPr>
            </w:pPr>
            <w:r>
              <w:rPr>
                <w:rFonts w:ascii="Calibri"/>
                <w:b/>
                <w:sz w:val="17"/>
              </w:rPr>
              <w:t>Costs and unit estimation</w:t>
            </w:r>
          </w:p>
        </w:tc>
        <w:tc>
          <w:tcPr>
            <w:tcW w:w="1673" w:type="dxa"/>
          </w:tcPr>
          <w:p w:rsidR="006A18FD" w:rsidRDefault="002D29FC">
            <w:pPr>
              <w:spacing w:line="206" w:lineRule="exact"/>
              <w:ind w:left="102"/>
              <w:rPr>
                <w:rFonts w:ascii="Calibri"/>
                <w:b/>
                <w:sz w:val="17"/>
              </w:rPr>
            </w:pPr>
            <w:r>
              <w:rPr>
                <w:rFonts w:ascii="Calibri"/>
                <w:b/>
                <w:sz w:val="17"/>
              </w:rPr>
              <w:t>2018/2019 value</w:t>
            </w:r>
          </w:p>
        </w:tc>
        <w:tc>
          <w:tcPr>
            <w:tcW w:w="6138" w:type="dxa"/>
          </w:tcPr>
          <w:p w:rsidR="006A18FD" w:rsidRDefault="002D29FC">
            <w:pPr>
              <w:spacing w:line="206" w:lineRule="exact"/>
              <w:ind w:left="102"/>
              <w:rPr>
                <w:rFonts w:ascii="Calibri"/>
                <w:b/>
                <w:sz w:val="17"/>
              </w:rPr>
            </w:pPr>
            <w:r>
              <w:rPr>
                <w:rFonts w:ascii="Calibri"/>
                <w:b/>
                <w:sz w:val="17"/>
              </w:rPr>
              <w:t>Notes</w:t>
            </w:r>
          </w:p>
        </w:tc>
      </w:tr>
      <w:tr w:rsidR="006A18FD">
        <w:trPr>
          <w:trHeight w:val="820"/>
        </w:trPr>
        <w:tc>
          <w:tcPr>
            <w:tcW w:w="2232" w:type="dxa"/>
          </w:tcPr>
          <w:p w:rsidR="006A18FD" w:rsidRDefault="002D29FC">
            <w:pPr>
              <w:spacing w:line="206" w:lineRule="exact"/>
              <w:ind w:left="52"/>
              <w:rPr>
                <w:rFonts w:ascii="Calibri"/>
                <w:sz w:val="17"/>
              </w:rPr>
            </w:pPr>
            <w:r>
              <w:rPr>
                <w:rFonts w:ascii="Calibri"/>
                <w:sz w:val="17"/>
              </w:rPr>
              <w:t>A. Wages/salary</w:t>
            </w:r>
          </w:p>
        </w:tc>
        <w:tc>
          <w:tcPr>
            <w:tcW w:w="1673" w:type="dxa"/>
          </w:tcPr>
          <w:p w:rsidR="006A18FD" w:rsidRDefault="002D29FC">
            <w:pPr>
              <w:spacing w:line="206" w:lineRule="exact"/>
              <w:ind w:left="102"/>
              <w:rPr>
                <w:rFonts w:ascii="Calibri" w:hAnsi="Calibri"/>
                <w:sz w:val="17"/>
              </w:rPr>
            </w:pPr>
            <w:r>
              <w:rPr>
                <w:rFonts w:ascii="Calibri" w:hAnsi="Calibri"/>
                <w:sz w:val="17"/>
              </w:rPr>
              <w:t>£26,894 per year</w:t>
            </w:r>
          </w:p>
        </w:tc>
        <w:tc>
          <w:tcPr>
            <w:tcW w:w="6138" w:type="dxa"/>
          </w:tcPr>
          <w:p w:rsidR="006A18FD" w:rsidRDefault="002D29FC">
            <w:pPr>
              <w:ind w:left="102"/>
              <w:rPr>
                <w:rFonts w:ascii="Calibri"/>
                <w:sz w:val="17"/>
              </w:rPr>
            </w:pPr>
            <w:r>
              <w:rPr>
                <w:rFonts w:ascii="Calibri"/>
                <w:sz w:val="17"/>
              </w:rPr>
              <w:t>Based on the mean full-time equivalent basic salary for Agenda for Change band 5 of the May 2018/April 2019 staff earnings estimates for nurses.</w:t>
            </w:r>
            <w:r>
              <w:rPr>
                <w:rFonts w:ascii="Calibri"/>
                <w:position w:val="5"/>
                <w:sz w:val="11"/>
              </w:rPr>
              <w:t xml:space="preserve">1 </w:t>
            </w:r>
            <w:r>
              <w:rPr>
                <w:rFonts w:ascii="Calibri"/>
                <w:sz w:val="17"/>
              </w:rPr>
              <w:t>See NHS terms and conditions of service handbook for information on payment for unsocial hours.</w:t>
            </w:r>
            <w:r>
              <w:rPr>
                <w:rFonts w:ascii="Calibri"/>
                <w:position w:val="5"/>
                <w:sz w:val="11"/>
              </w:rPr>
              <w:t xml:space="preserve">2 </w:t>
            </w:r>
            <w:r>
              <w:rPr>
                <w:rFonts w:ascii="Calibri"/>
                <w:sz w:val="17"/>
              </w:rPr>
              <w:t>See</w:t>
            </w:r>
          </w:p>
          <w:p w:rsidR="006A18FD" w:rsidRDefault="002D29FC">
            <w:pPr>
              <w:spacing w:before="1" w:line="189" w:lineRule="exact"/>
              <w:ind w:left="102"/>
              <w:rPr>
                <w:rFonts w:ascii="Calibri"/>
                <w:sz w:val="17"/>
              </w:rPr>
            </w:pPr>
            <w:r>
              <w:rPr>
                <w:rFonts w:ascii="Calibri"/>
                <w:sz w:val="17"/>
              </w:rPr>
              <w:t>Section V for further information on pay scales.</w:t>
            </w:r>
          </w:p>
        </w:tc>
      </w:tr>
      <w:tr w:rsidR="006A18FD">
        <w:trPr>
          <w:trHeight w:val="400"/>
        </w:trPr>
        <w:tc>
          <w:tcPr>
            <w:tcW w:w="2232" w:type="dxa"/>
          </w:tcPr>
          <w:p w:rsidR="006A18FD" w:rsidRDefault="002D29FC">
            <w:pPr>
              <w:spacing w:line="206" w:lineRule="exact"/>
              <w:ind w:left="52"/>
              <w:rPr>
                <w:rFonts w:ascii="Calibri"/>
                <w:sz w:val="17"/>
              </w:rPr>
            </w:pPr>
            <w:r>
              <w:rPr>
                <w:rFonts w:ascii="Calibri"/>
                <w:sz w:val="17"/>
              </w:rPr>
              <w:t>B. Salary oncosts</w:t>
            </w:r>
          </w:p>
        </w:tc>
        <w:tc>
          <w:tcPr>
            <w:tcW w:w="1673" w:type="dxa"/>
          </w:tcPr>
          <w:p w:rsidR="006A18FD" w:rsidRDefault="002D29FC">
            <w:pPr>
              <w:spacing w:line="206" w:lineRule="exact"/>
              <w:ind w:left="102"/>
              <w:rPr>
                <w:rFonts w:ascii="Calibri" w:hAnsi="Calibri"/>
                <w:sz w:val="17"/>
              </w:rPr>
            </w:pPr>
            <w:r>
              <w:rPr>
                <w:rFonts w:ascii="Calibri" w:hAnsi="Calibri"/>
                <w:sz w:val="17"/>
              </w:rPr>
              <w:t>£6,416 per year</w:t>
            </w:r>
          </w:p>
        </w:tc>
        <w:tc>
          <w:tcPr>
            <w:tcW w:w="6138" w:type="dxa"/>
          </w:tcPr>
          <w:p w:rsidR="006A18FD" w:rsidRDefault="002D29FC">
            <w:pPr>
              <w:spacing w:line="206" w:lineRule="exact"/>
              <w:ind w:left="102"/>
              <w:rPr>
                <w:rFonts w:ascii="Calibri" w:hAnsi="Calibri"/>
                <w:sz w:val="17"/>
              </w:rPr>
            </w:pPr>
            <w:r>
              <w:rPr>
                <w:rFonts w:ascii="Calibri" w:hAnsi="Calibri"/>
                <w:sz w:val="17"/>
              </w:rPr>
              <w:t>Employer’s national insurance is included, plus 14.38 per cent of salary for</w:t>
            </w:r>
          </w:p>
          <w:p w:rsidR="006A18FD" w:rsidRDefault="002D29FC">
            <w:pPr>
              <w:spacing w:line="189" w:lineRule="exact"/>
              <w:ind w:left="102"/>
              <w:rPr>
                <w:rFonts w:ascii="Calibri" w:hAnsi="Calibri"/>
                <w:sz w:val="17"/>
              </w:rPr>
            </w:pPr>
            <w:r>
              <w:rPr>
                <w:rFonts w:ascii="Calibri" w:hAnsi="Calibri"/>
                <w:sz w:val="17"/>
              </w:rPr>
              <w:t>employer’s contribution to superannuation.</w:t>
            </w:r>
          </w:p>
        </w:tc>
      </w:tr>
      <w:tr w:rsidR="006A18FD">
        <w:trPr>
          <w:trHeight w:val="620"/>
        </w:trPr>
        <w:tc>
          <w:tcPr>
            <w:tcW w:w="2232" w:type="dxa"/>
          </w:tcPr>
          <w:p w:rsidR="006A18FD" w:rsidRDefault="002D29FC">
            <w:pPr>
              <w:spacing w:line="206" w:lineRule="exact"/>
              <w:ind w:left="52"/>
              <w:rPr>
                <w:rFonts w:ascii="Calibri"/>
                <w:sz w:val="17"/>
              </w:rPr>
            </w:pPr>
            <w:r>
              <w:rPr>
                <w:rFonts w:ascii="Calibri"/>
                <w:sz w:val="17"/>
              </w:rPr>
              <w:t>C. Qualifications</w:t>
            </w:r>
          </w:p>
        </w:tc>
        <w:tc>
          <w:tcPr>
            <w:tcW w:w="1673" w:type="dxa"/>
          </w:tcPr>
          <w:p w:rsidR="006A18FD" w:rsidRDefault="002D29FC">
            <w:pPr>
              <w:spacing w:line="206" w:lineRule="exact"/>
              <w:ind w:left="102"/>
              <w:rPr>
                <w:rFonts w:ascii="Calibri" w:hAnsi="Calibri"/>
                <w:sz w:val="17"/>
              </w:rPr>
            </w:pPr>
            <w:r>
              <w:rPr>
                <w:rFonts w:ascii="Calibri" w:hAnsi="Calibri"/>
                <w:sz w:val="17"/>
              </w:rPr>
              <w:t>£8,687 per year</w:t>
            </w:r>
          </w:p>
        </w:tc>
        <w:tc>
          <w:tcPr>
            <w:tcW w:w="6138" w:type="dxa"/>
          </w:tcPr>
          <w:p w:rsidR="006A18FD" w:rsidRDefault="002D29FC">
            <w:pPr>
              <w:ind w:left="102" w:right="196"/>
              <w:rPr>
                <w:rFonts w:ascii="Calibri"/>
                <w:sz w:val="17"/>
              </w:rPr>
            </w:pPr>
            <w:r>
              <w:rPr>
                <w:rFonts w:ascii="Calibri"/>
                <w:sz w:val="17"/>
              </w:rPr>
              <w:t>Qualification costs have been calculated using the method described in Netten et al. (1998).</w:t>
            </w:r>
            <w:r>
              <w:rPr>
                <w:rFonts w:ascii="Calibri"/>
                <w:position w:val="5"/>
                <w:sz w:val="11"/>
              </w:rPr>
              <w:t xml:space="preserve">3 </w:t>
            </w:r>
            <w:r>
              <w:rPr>
                <w:rFonts w:ascii="Calibri"/>
                <w:sz w:val="17"/>
              </w:rPr>
              <w:t>Current cost information has been gathered from various sources (see</w:t>
            </w:r>
          </w:p>
          <w:p w:rsidR="006A18FD" w:rsidRDefault="002D29FC">
            <w:pPr>
              <w:spacing w:before="1" w:line="186" w:lineRule="exact"/>
              <w:ind w:left="102"/>
              <w:rPr>
                <w:rFonts w:ascii="Calibri"/>
                <w:sz w:val="17"/>
              </w:rPr>
            </w:pPr>
            <w:r>
              <w:rPr>
                <w:rFonts w:ascii="Calibri"/>
                <w:sz w:val="17"/>
              </w:rPr>
              <w:t>Schema 18).See Schema 18 for more details.</w:t>
            </w:r>
          </w:p>
        </w:tc>
      </w:tr>
      <w:tr w:rsidR="006A18FD">
        <w:trPr>
          <w:trHeight w:val="1940"/>
        </w:trPr>
        <w:tc>
          <w:tcPr>
            <w:tcW w:w="2232" w:type="dxa"/>
          </w:tcPr>
          <w:p w:rsidR="006A18FD" w:rsidRDefault="002D29FC">
            <w:pPr>
              <w:spacing w:before="1"/>
              <w:ind w:left="52"/>
              <w:rPr>
                <w:rFonts w:ascii="Calibri"/>
                <w:sz w:val="17"/>
              </w:rPr>
            </w:pPr>
            <w:r>
              <w:rPr>
                <w:rFonts w:ascii="Calibri"/>
                <w:sz w:val="17"/>
              </w:rPr>
              <w:t>D. Overheads</w:t>
            </w:r>
          </w:p>
          <w:p w:rsidR="006A18FD" w:rsidRDefault="006A18FD">
            <w:pPr>
              <w:rPr>
                <w:rFonts w:ascii="Cambria"/>
                <w:b/>
                <w:sz w:val="16"/>
              </w:rPr>
            </w:pPr>
          </w:p>
          <w:p w:rsidR="006A18FD" w:rsidRDefault="002D29FC">
            <w:pPr>
              <w:spacing w:before="96"/>
              <w:ind w:left="52" w:right="923"/>
              <w:rPr>
                <w:rFonts w:ascii="Calibri"/>
                <w:sz w:val="17"/>
              </w:rPr>
            </w:pPr>
            <w:r>
              <w:rPr>
                <w:rFonts w:ascii="Calibri"/>
                <w:sz w:val="17"/>
              </w:rPr>
              <w:t>Management and administration</w:t>
            </w:r>
          </w:p>
          <w:p w:rsidR="006A18FD" w:rsidRDefault="006A18FD">
            <w:pPr>
              <w:spacing w:before="8"/>
              <w:rPr>
                <w:rFonts w:ascii="Cambria"/>
                <w:b/>
                <w:sz w:val="17"/>
              </w:rPr>
            </w:pPr>
          </w:p>
          <w:p w:rsidR="006A18FD" w:rsidRDefault="002D29FC">
            <w:pPr>
              <w:ind w:left="52" w:right="86"/>
              <w:rPr>
                <w:rFonts w:ascii="Calibri"/>
                <w:sz w:val="17"/>
              </w:rPr>
            </w:pPr>
            <w:r>
              <w:rPr>
                <w:rFonts w:ascii="Calibri"/>
                <w:sz w:val="17"/>
              </w:rPr>
              <w:t>Office, general business and premises (including advertising and promotion)</w:t>
            </w:r>
          </w:p>
        </w:tc>
        <w:tc>
          <w:tcPr>
            <w:tcW w:w="1673" w:type="dxa"/>
          </w:tcPr>
          <w:p w:rsidR="006A18FD" w:rsidRDefault="006A18FD">
            <w:pPr>
              <w:rPr>
                <w:rFonts w:ascii="Cambria"/>
                <w:b/>
                <w:sz w:val="16"/>
              </w:rPr>
            </w:pPr>
          </w:p>
          <w:p w:rsidR="006A18FD" w:rsidRDefault="006A18FD">
            <w:pPr>
              <w:rPr>
                <w:rFonts w:ascii="Cambria"/>
                <w:b/>
                <w:sz w:val="16"/>
              </w:rPr>
            </w:pPr>
          </w:p>
          <w:p w:rsidR="006A18FD" w:rsidRDefault="002D29FC">
            <w:pPr>
              <w:spacing w:before="118"/>
              <w:ind w:left="102"/>
              <w:rPr>
                <w:rFonts w:ascii="Calibri" w:hAnsi="Calibri"/>
                <w:sz w:val="17"/>
              </w:rPr>
            </w:pPr>
            <w:r>
              <w:rPr>
                <w:rFonts w:ascii="Calibri" w:hAnsi="Calibri"/>
                <w:sz w:val="17"/>
              </w:rPr>
              <w:t>£8,161 per year</w:t>
            </w:r>
          </w:p>
          <w:p w:rsidR="006A18FD" w:rsidRDefault="006A18FD">
            <w:pPr>
              <w:rPr>
                <w:rFonts w:ascii="Cambria"/>
                <w:b/>
                <w:sz w:val="16"/>
              </w:rPr>
            </w:pPr>
          </w:p>
          <w:p w:rsidR="006A18FD" w:rsidRDefault="006A18FD">
            <w:pPr>
              <w:spacing w:before="4"/>
              <w:rPr>
                <w:rFonts w:ascii="Cambria"/>
                <w:b/>
                <w:sz w:val="19"/>
              </w:rPr>
            </w:pPr>
          </w:p>
          <w:p w:rsidR="006A18FD" w:rsidRDefault="002D29FC">
            <w:pPr>
              <w:ind w:left="102"/>
              <w:rPr>
                <w:rFonts w:ascii="Calibri" w:hAnsi="Calibri"/>
                <w:sz w:val="17"/>
              </w:rPr>
            </w:pPr>
            <w:r>
              <w:rPr>
                <w:rFonts w:ascii="Calibri" w:hAnsi="Calibri"/>
                <w:sz w:val="17"/>
              </w:rPr>
              <w:t>£12,363 per year</w:t>
            </w:r>
          </w:p>
        </w:tc>
        <w:tc>
          <w:tcPr>
            <w:tcW w:w="6138" w:type="dxa"/>
          </w:tcPr>
          <w:p w:rsidR="006A18FD" w:rsidRDefault="002D29FC">
            <w:pPr>
              <w:spacing w:before="1"/>
              <w:ind w:left="102" w:right="571"/>
              <w:rPr>
                <w:rFonts w:ascii="Calibri"/>
                <w:sz w:val="17"/>
              </w:rPr>
            </w:pPr>
            <w:r>
              <w:rPr>
                <w:rFonts w:ascii="Calibri"/>
                <w:sz w:val="17"/>
              </w:rPr>
              <w:t xml:space="preserve">Taken from the 2013/2014 financial accounts for 10 community trusts. See the Preface of the </w:t>
            </w:r>
            <w:r>
              <w:rPr>
                <w:rFonts w:ascii="Calibri"/>
                <w:i/>
                <w:sz w:val="17"/>
              </w:rPr>
              <w:t xml:space="preserve">Unit Costs of Health &amp; Social Care </w:t>
            </w:r>
            <w:r>
              <w:rPr>
                <w:rFonts w:ascii="Calibri"/>
                <w:sz w:val="17"/>
              </w:rPr>
              <w:t>2015 for more information.</w:t>
            </w:r>
          </w:p>
          <w:p w:rsidR="006A18FD" w:rsidRDefault="002D29FC">
            <w:pPr>
              <w:spacing w:before="78"/>
              <w:ind w:left="102" w:right="184"/>
              <w:jc w:val="both"/>
              <w:rPr>
                <w:rFonts w:ascii="Calibri"/>
                <w:sz w:val="17"/>
              </w:rPr>
            </w:pPr>
            <w:r>
              <w:rPr>
                <w:rFonts w:ascii="Calibri"/>
                <w:sz w:val="17"/>
              </w:rPr>
              <w:t>No information available on management and administrative overheads for practice nurses. The same level of support has been assumed for practice nurses as for other NHS staff (24.5 per cent of direct care salary costs).</w:t>
            </w:r>
          </w:p>
          <w:p w:rsidR="006A18FD" w:rsidRDefault="002D29FC">
            <w:pPr>
              <w:ind w:left="102" w:right="199"/>
              <w:jc w:val="both"/>
              <w:rPr>
                <w:rFonts w:ascii="Calibri"/>
                <w:sz w:val="17"/>
              </w:rPr>
            </w:pPr>
            <w:r>
              <w:rPr>
                <w:rFonts w:ascii="Calibri"/>
                <w:sz w:val="17"/>
              </w:rPr>
              <w:t>No information available on overheads for a practice nurse. All information on</w:t>
            </w:r>
            <w:r>
              <w:rPr>
                <w:rFonts w:ascii="Calibri"/>
                <w:spacing w:val="-28"/>
                <w:sz w:val="17"/>
              </w:rPr>
              <w:t xml:space="preserve"> </w:t>
            </w:r>
            <w:r>
              <w:rPr>
                <w:rFonts w:ascii="Calibri"/>
                <w:sz w:val="17"/>
              </w:rPr>
              <w:t>office and general business expenses is drawn from the GP earnings and expenses report.</w:t>
            </w:r>
            <w:r>
              <w:rPr>
                <w:rFonts w:ascii="Calibri"/>
                <w:position w:val="5"/>
                <w:sz w:val="11"/>
              </w:rPr>
              <w:t xml:space="preserve">4 </w:t>
            </w:r>
            <w:r>
              <w:rPr>
                <w:rFonts w:ascii="Calibri"/>
                <w:sz w:val="17"/>
              </w:rPr>
              <w:t>Office and general business, premises and other expenses calculated as the ratio</w:t>
            </w:r>
            <w:r>
              <w:rPr>
                <w:rFonts w:ascii="Calibri"/>
                <w:spacing w:val="-23"/>
                <w:sz w:val="17"/>
              </w:rPr>
              <w:t xml:space="preserve"> </w:t>
            </w:r>
            <w:r>
              <w:rPr>
                <w:rFonts w:ascii="Calibri"/>
                <w:sz w:val="17"/>
              </w:rPr>
              <w:t>of</w:t>
            </w:r>
          </w:p>
          <w:p w:rsidR="006A18FD" w:rsidRDefault="002D29FC">
            <w:pPr>
              <w:spacing w:line="189" w:lineRule="exact"/>
              <w:ind w:left="102"/>
              <w:jc w:val="both"/>
              <w:rPr>
                <w:rFonts w:ascii="Calibri" w:hAnsi="Calibri"/>
                <w:sz w:val="17"/>
              </w:rPr>
            </w:pPr>
            <w:r>
              <w:rPr>
                <w:rFonts w:ascii="Calibri" w:hAnsi="Calibri"/>
                <w:sz w:val="17"/>
              </w:rPr>
              <w:t>practice nurse salary costs to all GP employees’ salary costs.</w:t>
            </w:r>
          </w:p>
        </w:tc>
      </w:tr>
      <w:tr w:rsidR="006A18FD">
        <w:trPr>
          <w:trHeight w:val="820"/>
        </w:trPr>
        <w:tc>
          <w:tcPr>
            <w:tcW w:w="2232" w:type="dxa"/>
          </w:tcPr>
          <w:p w:rsidR="006A18FD" w:rsidRDefault="002D29FC">
            <w:pPr>
              <w:spacing w:line="357" w:lineRule="auto"/>
              <w:ind w:left="52" w:right="748"/>
              <w:rPr>
                <w:rFonts w:ascii="Calibri"/>
                <w:sz w:val="17"/>
              </w:rPr>
            </w:pPr>
            <w:r>
              <w:rPr>
                <w:rFonts w:ascii="Calibri"/>
                <w:sz w:val="17"/>
              </w:rPr>
              <w:t>E. Capital overheads Buildings</w:t>
            </w:r>
          </w:p>
        </w:tc>
        <w:tc>
          <w:tcPr>
            <w:tcW w:w="1673" w:type="dxa"/>
          </w:tcPr>
          <w:p w:rsidR="006A18FD" w:rsidRDefault="006A18FD">
            <w:pPr>
              <w:rPr>
                <w:rFonts w:ascii="Cambria"/>
                <w:b/>
                <w:sz w:val="16"/>
              </w:rPr>
            </w:pPr>
          </w:p>
          <w:p w:rsidR="006A18FD" w:rsidRDefault="002D29FC">
            <w:pPr>
              <w:spacing w:before="120"/>
              <w:ind w:left="102"/>
              <w:rPr>
                <w:rFonts w:ascii="Calibri" w:hAnsi="Calibri"/>
                <w:sz w:val="17"/>
              </w:rPr>
            </w:pPr>
            <w:r>
              <w:rPr>
                <w:rFonts w:ascii="Calibri" w:hAnsi="Calibri"/>
                <w:sz w:val="17"/>
              </w:rPr>
              <w:t>£3,814 per year</w:t>
            </w:r>
          </w:p>
        </w:tc>
        <w:tc>
          <w:tcPr>
            <w:tcW w:w="6138" w:type="dxa"/>
          </w:tcPr>
          <w:p w:rsidR="006A18FD" w:rsidRDefault="002D29FC">
            <w:pPr>
              <w:ind w:left="102" w:right="119"/>
              <w:rPr>
                <w:rFonts w:ascii="Calibri" w:hAnsi="Calibri"/>
                <w:sz w:val="17"/>
              </w:rPr>
            </w:pPr>
            <w:r>
              <w:rPr>
                <w:rFonts w:ascii="Calibri" w:hAnsi="Calibri"/>
                <w:sz w:val="17"/>
              </w:rPr>
              <w:t>Calculated as the ratio of GP practice nurse salary costs to net remuneration of GP salary and based on new-build and land requirements for a GP practitioner’s suite and annuitised over 60 years at a discount rate of 3.5 per cent, declining to 3 per</w:t>
            </w:r>
            <w:r>
              <w:rPr>
                <w:rFonts w:ascii="Calibri" w:hAnsi="Calibri"/>
                <w:spacing w:val="-23"/>
                <w:sz w:val="17"/>
              </w:rPr>
              <w:t xml:space="preserve"> </w:t>
            </w:r>
            <w:r>
              <w:rPr>
                <w:rFonts w:ascii="Calibri" w:hAnsi="Calibri"/>
                <w:sz w:val="17"/>
              </w:rPr>
              <w:t>cent</w:t>
            </w:r>
          </w:p>
          <w:p w:rsidR="006A18FD" w:rsidRDefault="002D29FC">
            <w:pPr>
              <w:spacing w:before="1" w:line="189" w:lineRule="exact"/>
              <w:ind w:left="102"/>
              <w:rPr>
                <w:rFonts w:ascii="Calibri"/>
                <w:sz w:val="11"/>
              </w:rPr>
            </w:pPr>
            <w:r>
              <w:rPr>
                <w:rFonts w:ascii="Calibri"/>
                <w:sz w:val="17"/>
              </w:rPr>
              <w:t>after 30 years.</w:t>
            </w:r>
            <w:r>
              <w:rPr>
                <w:rFonts w:ascii="Calibri"/>
                <w:position w:val="5"/>
                <w:sz w:val="11"/>
              </w:rPr>
              <w:t>5, 6</w:t>
            </w:r>
          </w:p>
        </w:tc>
      </w:tr>
      <w:tr w:rsidR="006A18FD">
        <w:trPr>
          <w:trHeight w:val="820"/>
        </w:trPr>
        <w:tc>
          <w:tcPr>
            <w:tcW w:w="2232" w:type="dxa"/>
          </w:tcPr>
          <w:p w:rsidR="006A18FD" w:rsidRDefault="002D29FC">
            <w:pPr>
              <w:spacing w:line="206" w:lineRule="exact"/>
              <w:ind w:left="52"/>
              <w:rPr>
                <w:rFonts w:ascii="Calibri"/>
                <w:sz w:val="17"/>
              </w:rPr>
            </w:pPr>
            <w:r>
              <w:rPr>
                <w:rFonts w:ascii="Calibri"/>
                <w:sz w:val="17"/>
              </w:rPr>
              <w:t>F. Travel</w:t>
            </w:r>
          </w:p>
        </w:tc>
        <w:tc>
          <w:tcPr>
            <w:tcW w:w="1673" w:type="dxa"/>
          </w:tcPr>
          <w:p w:rsidR="006A18FD" w:rsidRDefault="006A18FD">
            <w:pPr>
              <w:rPr>
                <w:rFonts w:ascii="Times New Roman"/>
                <w:sz w:val="16"/>
              </w:rPr>
            </w:pPr>
          </w:p>
        </w:tc>
        <w:tc>
          <w:tcPr>
            <w:tcW w:w="6138" w:type="dxa"/>
          </w:tcPr>
          <w:p w:rsidR="006A18FD" w:rsidRDefault="002D29FC">
            <w:pPr>
              <w:ind w:left="102" w:right="242"/>
              <w:jc w:val="both"/>
              <w:rPr>
                <w:rFonts w:ascii="Calibri"/>
                <w:sz w:val="17"/>
              </w:rPr>
            </w:pPr>
            <w:r>
              <w:rPr>
                <w:rFonts w:ascii="Calibri"/>
                <w:sz w:val="17"/>
              </w:rPr>
              <w:t>No information available on average mileage covered per visit. From July 2014, NHS reimbursement has been based on a single rate for the first 3,500 miles travelled of 56p per mile, and a reduced rate thereafter of 20p per mile, irrespective of the type</w:t>
            </w:r>
          </w:p>
          <w:p w:rsidR="006A18FD" w:rsidRDefault="002D29FC">
            <w:pPr>
              <w:spacing w:before="1" w:line="189" w:lineRule="exact"/>
              <w:ind w:left="102"/>
              <w:jc w:val="both"/>
              <w:rPr>
                <w:rFonts w:ascii="Calibri"/>
                <w:sz w:val="11"/>
              </w:rPr>
            </w:pPr>
            <w:r>
              <w:rPr>
                <w:rFonts w:ascii="Calibri"/>
                <w:sz w:val="17"/>
              </w:rPr>
              <w:t xml:space="preserve">of car or fuel used. </w:t>
            </w:r>
            <w:r>
              <w:rPr>
                <w:rFonts w:ascii="Calibri"/>
                <w:position w:val="5"/>
                <w:sz w:val="11"/>
              </w:rPr>
              <w:t>7</w:t>
            </w:r>
          </w:p>
        </w:tc>
      </w:tr>
      <w:tr w:rsidR="006A18FD">
        <w:trPr>
          <w:trHeight w:val="400"/>
        </w:trPr>
        <w:tc>
          <w:tcPr>
            <w:tcW w:w="2232" w:type="dxa"/>
          </w:tcPr>
          <w:p w:rsidR="006A18FD" w:rsidRDefault="002D29FC">
            <w:pPr>
              <w:spacing w:line="206" w:lineRule="exact"/>
              <w:ind w:left="52"/>
              <w:rPr>
                <w:rFonts w:ascii="Calibri"/>
                <w:sz w:val="17"/>
              </w:rPr>
            </w:pPr>
            <w:r>
              <w:rPr>
                <w:rFonts w:ascii="Calibri"/>
                <w:sz w:val="17"/>
              </w:rPr>
              <w:t>Working time</w:t>
            </w:r>
          </w:p>
        </w:tc>
        <w:tc>
          <w:tcPr>
            <w:tcW w:w="1673" w:type="dxa"/>
          </w:tcPr>
          <w:p w:rsidR="006A18FD" w:rsidRDefault="002D29FC">
            <w:pPr>
              <w:spacing w:line="206" w:lineRule="exact"/>
              <w:ind w:left="102"/>
              <w:rPr>
                <w:rFonts w:ascii="Calibri"/>
                <w:sz w:val="17"/>
              </w:rPr>
            </w:pPr>
            <w:r>
              <w:rPr>
                <w:rFonts w:ascii="Calibri"/>
                <w:sz w:val="17"/>
              </w:rPr>
              <w:t>41.9 weeks per year</w:t>
            </w:r>
          </w:p>
          <w:p w:rsidR="006A18FD" w:rsidRDefault="002D29FC">
            <w:pPr>
              <w:spacing w:before="1" w:line="187" w:lineRule="exact"/>
              <w:ind w:left="102"/>
              <w:rPr>
                <w:rFonts w:ascii="Calibri"/>
                <w:sz w:val="17"/>
              </w:rPr>
            </w:pPr>
            <w:r>
              <w:rPr>
                <w:rFonts w:ascii="Calibri"/>
                <w:sz w:val="17"/>
              </w:rPr>
              <w:t>37.5 hours per week</w:t>
            </w:r>
          </w:p>
        </w:tc>
        <w:tc>
          <w:tcPr>
            <w:tcW w:w="6138" w:type="dxa"/>
          </w:tcPr>
          <w:p w:rsidR="006A18FD" w:rsidRDefault="002D29FC">
            <w:pPr>
              <w:spacing w:line="206" w:lineRule="exact"/>
              <w:ind w:left="102"/>
              <w:rPr>
                <w:rFonts w:ascii="Calibri"/>
                <w:sz w:val="17"/>
              </w:rPr>
            </w:pPr>
            <w:r>
              <w:rPr>
                <w:rFonts w:ascii="Calibri"/>
                <w:sz w:val="17"/>
              </w:rPr>
              <w:t>Unit costs are based on 1,573 hours per year: 225 working days minus sickness</w:t>
            </w:r>
          </w:p>
          <w:p w:rsidR="006A18FD" w:rsidRDefault="002D29FC">
            <w:pPr>
              <w:spacing w:before="1" w:line="187" w:lineRule="exact"/>
              <w:ind w:left="102"/>
              <w:rPr>
                <w:rFonts w:ascii="Calibri"/>
                <w:sz w:val="17"/>
              </w:rPr>
            </w:pPr>
            <w:r>
              <w:rPr>
                <w:rFonts w:ascii="Calibri"/>
                <w:sz w:val="17"/>
              </w:rPr>
              <w:t>absence 8  and training/study days as reported for all NHS staff groups.</w:t>
            </w:r>
          </w:p>
        </w:tc>
      </w:tr>
      <w:tr w:rsidR="006A18FD">
        <w:trPr>
          <w:trHeight w:val="1000"/>
        </w:trPr>
        <w:tc>
          <w:tcPr>
            <w:tcW w:w="2232" w:type="dxa"/>
          </w:tcPr>
          <w:p w:rsidR="006A18FD" w:rsidRDefault="002D29FC">
            <w:pPr>
              <w:ind w:left="52" w:right="64"/>
              <w:rPr>
                <w:rFonts w:ascii="Calibri"/>
                <w:sz w:val="17"/>
              </w:rPr>
            </w:pPr>
            <w:r>
              <w:rPr>
                <w:rFonts w:ascii="Calibri"/>
                <w:sz w:val="17"/>
              </w:rPr>
              <w:t>Ratio of direct to indirect time on:</w:t>
            </w:r>
          </w:p>
          <w:p w:rsidR="006A18FD" w:rsidRDefault="002D29FC">
            <w:pPr>
              <w:spacing w:before="91"/>
              <w:ind w:left="52"/>
              <w:rPr>
                <w:rFonts w:ascii="Calibri"/>
                <w:sz w:val="17"/>
              </w:rPr>
            </w:pPr>
            <w:r>
              <w:rPr>
                <w:rFonts w:ascii="Calibri"/>
                <w:sz w:val="17"/>
              </w:rPr>
              <w:t>face-to-face contacts</w:t>
            </w:r>
          </w:p>
        </w:tc>
        <w:tc>
          <w:tcPr>
            <w:tcW w:w="1673" w:type="dxa"/>
          </w:tcPr>
          <w:p w:rsidR="006A18FD" w:rsidRDefault="006A18FD">
            <w:pPr>
              <w:rPr>
                <w:rFonts w:ascii="Times New Roman"/>
                <w:sz w:val="16"/>
              </w:rPr>
            </w:pPr>
          </w:p>
        </w:tc>
        <w:tc>
          <w:tcPr>
            <w:tcW w:w="6138" w:type="dxa"/>
          </w:tcPr>
          <w:p w:rsidR="006A18FD" w:rsidRDefault="002D29FC">
            <w:pPr>
              <w:ind w:left="102"/>
              <w:rPr>
                <w:rFonts w:ascii="Calibri"/>
                <w:sz w:val="17"/>
              </w:rPr>
            </w:pPr>
            <w:r>
              <w:rPr>
                <w:rFonts w:ascii="Calibri"/>
                <w:sz w:val="17"/>
              </w:rPr>
              <w:t>No current information available. See previous editions of this volume for sources of information.</w:t>
            </w:r>
          </w:p>
        </w:tc>
      </w:tr>
      <w:tr w:rsidR="006A18FD">
        <w:trPr>
          <w:trHeight w:val="400"/>
        </w:trPr>
        <w:tc>
          <w:tcPr>
            <w:tcW w:w="2232" w:type="dxa"/>
          </w:tcPr>
          <w:p w:rsidR="006A18FD" w:rsidRDefault="002D29FC">
            <w:pPr>
              <w:spacing w:line="206" w:lineRule="exact"/>
              <w:ind w:left="52"/>
              <w:rPr>
                <w:rFonts w:ascii="Calibri"/>
                <w:sz w:val="17"/>
              </w:rPr>
            </w:pPr>
            <w:r>
              <w:rPr>
                <w:rFonts w:ascii="Calibri"/>
                <w:sz w:val="17"/>
              </w:rPr>
              <w:t>Duration of contact</w:t>
            </w:r>
          </w:p>
        </w:tc>
        <w:tc>
          <w:tcPr>
            <w:tcW w:w="1673" w:type="dxa"/>
          </w:tcPr>
          <w:p w:rsidR="006A18FD" w:rsidRDefault="006A18FD">
            <w:pPr>
              <w:rPr>
                <w:rFonts w:ascii="Times New Roman"/>
                <w:sz w:val="16"/>
              </w:rPr>
            </w:pPr>
          </w:p>
        </w:tc>
        <w:tc>
          <w:tcPr>
            <w:tcW w:w="6138" w:type="dxa"/>
          </w:tcPr>
          <w:p w:rsidR="006A18FD" w:rsidRDefault="002D29FC">
            <w:pPr>
              <w:spacing w:line="206" w:lineRule="exact"/>
              <w:ind w:left="102"/>
              <w:rPr>
                <w:rFonts w:ascii="Calibri"/>
                <w:sz w:val="17"/>
              </w:rPr>
            </w:pPr>
            <w:r>
              <w:rPr>
                <w:rFonts w:ascii="Calibri"/>
                <w:sz w:val="17"/>
              </w:rPr>
              <w:t>No current information available. See previous editions of this volume for sources of</w:t>
            </w:r>
          </w:p>
          <w:p w:rsidR="006A18FD" w:rsidRDefault="002D29FC">
            <w:pPr>
              <w:spacing w:line="189" w:lineRule="exact"/>
              <w:ind w:left="102"/>
              <w:rPr>
                <w:rFonts w:ascii="Calibri"/>
                <w:sz w:val="17"/>
              </w:rPr>
            </w:pPr>
            <w:r>
              <w:rPr>
                <w:rFonts w:ascii="Calibri"/>
                <w:sz w:val="17"/>
              </w:rPr>
              <w:t>information.</w:t>
            </w:r>
          </w:p>
        </w:tc>
      </w:tr>
      <w:tr w:rsidR="006A18FD">
        <w:trPr>
          <w:trHeight w:val="400"/>
        </w:trPr>
        <w:tc>
          <w:tcPr>
            <w:tcW w:w="2232" w:type="dxa"/>
          </w:tcPr>
          <w:p w:rsidR="006A18FD" w:rsidRDefault="002D29FC">
            <w:pPr>
              <w:spacing w:line="206" w:lineRule="exact"/>
              <w:ind w:left="52"/>
              <w:rPr>
                <w:rFonts w:ascii="Calibri"/>
                <w:sz w:val="17"/>
              </w:rPr>
            </w:pPr>
            <w:r>
              <w:rPr>
                <w:rFonts w:ascii="Calibri"/>
                <w:sz w:val="17"/>
              </w:rPr>
              <w:t>Patient contacts</w:t>
            </w:r>
          </w:p>
        </w:tc>
        <w:tc>
          <w:tcPr>
            <w:tcW w:w="1673" w:type="dxa"/>
          </w:tcPr>
          <w:p w:rsidR="006A18FD" w:rsidRDefault="006A18FD">
            <w:pPr>
              <w:rPr>
                <w:rFonts w:ascii="Times New Roman"/>
                <w:sz w:val="16"/>
              </w:rPr>
            </w:pPr>
          </w:p>
        </w:tc>
        <w:tc>
          <w:tcPr>
            <w:tcW w:w="6138" w:type="dxa"/>
          </w:tcPr>
          <w:p w:rsidR="006A18FD" w:rsidRDefault="002D29FC">
            <w:pPr>
              <w:spacing w:line="206" w:lineRule="exact"/>
              <w:ind w:left="102"/>
              <w:rPr>
                <w:rFonts w:ascii="Calibri"/>
                <w:sz w:val="17"/>
              </w:rPr>
            </w:pPr>
            <w:r>
              <w:rPr>
                <w:rFonts w:ascii="Calibri"/>
                <w:sz w:val="17"/>
              </w:rPr>
              <w:t>No current information available. See previous editions of this volume for sources of</w:t>
            </w:r>
          </w:p>
          <w:p w:rsidR="006A18FD" w:rsidRDefault="002D29FC">
            <w:pPr>
              <w:spacing w:line="189" w:lineRule="exact"/>
              <w:ind w:left="102"/>
              <w:rPr>
                <w:rFonts w:ascii="Calibri"/>
                <w:sz w:val="17"/>
              </w:rPr>
            </w:pPr>
            <w:r>
              <w:rPr>
                <w:rFonts w:ascii="Calibri"/>
                <w:sz w:val="17"/>
              </w:rPr>
              <w:t>information.</w:t>
            </w:r>
          </w:p>
        </w:tc>
      </w:tr>
      <w:tr w:rsidR="006A18FD">
        <w:trPr>
          <w:trHeight w:val="820"/>
        </w:trPr>
        <w:tc>
          <w:tcPr>
            <w:tcW w:w="2232" w:type="dxa"/>
          </w:tcPr>
          <w:p w:rsidR="006A18FD" w:rsidRDefault="002D29FC">
            <w:pPr>
              <w:spacing w:line="206" w:lineRule="exact"/>
              <w:ind w:left="52"/>
              <w:rPr>
                <w:rFonts w:ascii="Calibri"/>
                <w:sz w:val="17"/>
              </w:rPr>
            </w:pPr>
            <w:r>
              <w:rPr>
                <w:rFonts w:ascii="Calibri"/>
                <w:sz w:val="17"/>
              </w:rPr>
              <w:t>London multiplier</w:t>
            </w:r>
          </w:p>
        </w:tc>
        <w:tc>
          <w:tcPr>
            <w:tcW w:w="1673" w:type="dxa"/>
          </w:tcPr>
          <w:p w:rsidR="006A18FD" w:rsidRDefault="006A18FD">
            <w:pPr>
              <w:rPr>
                <w:rFonts w:ascii="Times New Roman"/>
                <w:sz w:val="16"/>
              </w:rPr>
            </w:pPr>
          </w:p>
        </w:tc>
        <w:tc>
          <w:tcPr>
            <w:tcW w:w="6138" w:type="dxa"/>
          </w:tcPr>
          <w:p w:rsidR="006A18FD" w:rsidRDefault="002D29FC">
            <w:pPr>
              <w:ind w:left="102" w:right="124"/>
              <w:rPr>
                <w:rFonts w:ascii="Calibri"/>
                <w:sz w:val="17"/>
              </w:rPr>
            </w:pPr>
            <w:r>
              <w:rPr>
                <w:rFonts w:ascii="Calibri"/>
                <w:sz w:val="17"/>
              </w:rPr>
              <w:t>See information produced by NHS Employers</w:t>
            </w:r>
            <w:r>
              <w:rPr>
                <w:rFonts w:ascii="Calibri"/>
                <w:position w:val="5"/>
                <w:sz w:val="11"/>
              </w:rPr>
              <w:t xml:space="preserve">9 </w:t>
            </w:r>
            <w:r>
              <w:rPr>
                <w:rFonts w:ascii="Calibri"/>
                <w:sz w:val="17"/>
              </w:rPr>
              <w:t>and NHS Improvement</w:t>
            </w:r>
            <w:r>
              <w:rPr>
                <w:rFonts w:ascii="Calibri"/>
                <w:position w:val="5"/>
                <w:sz w:val="11"/>
              </w:rPr>
              <w:t xml:space="preserve">10 </w:t>
            </w:r>
            <w:r>
              <w:rPr>
                <w:rFonts w:ascii="Calibri"/>
                <w:sz w:val="17"/>
              </w:rPr>
              <w:t>for information on Inner and Outer London supplements and the market forces factor (MFF) which estimates the unavoidable cost differences between healthcare</w:t>
            </w:r>
          </w:p>
          <w:p w:rsidR="006A18FD" w:rsidRDefault="002D29FC">
            <w:pPr>
              <w:spacing w:before="1" w:line="189" w:lineRule="exact"/>
              <w:ind w:left="102"/>
              <w:rPr>
                <w:rFonts w:ascii="Calibri"/>
                <w:sz w:val="17"/>
              </w:rPr>
            </w:pPr>
            <w:r>
              <w:rPr>
                <w:rFonts w:ascii="Calibri"/>
                <w:sz w:val="17"/>
              </w:rPr>
              <w:t>providers, based on their geographical location.</w:t>
            </w:r>
          </w:p>
        </w:tc>
      </w:tr>
      <w:tr w:rsidR="006A18FD">
        <w:trPr>
          <w:trHeight w:val="220"/>
        </w:trPr>
        <w:tc>
          <w:tcPr>
            <w:tcW w:w="10044" w:type="dxa"/>
            <w:gridSpan w:val="3"/>
          </w:tcPr>
          <w:p w:rsidR="006A18FD" w:rsidRDefault="002D29FC">
            <w:pPr>
              <w:spacing w:before="1" w:line="199" w:lineRule="exact"/>
              <w:ind w:left="52"/>
              <w:rPr>
                <w:rFonts w:ascii="Calibri"/>
                <w:b/>
                <w:sz w:val="18"/>
              </w:rPr>
            </w:pPr>
            <w:r>
              <w:rPr>
                <w:rFonts w:ascii="Calibri"/>
                <w:b/>
                <w:sz w:val="18"/>
              </w:rPr>
              <w:t>Unit costs available 2018/2019 (costs including qualifications given in brackets)</w:t>
            </w:r>
          </w:p>
        </w:tc>
      </w:tr>
      <w:tr w:rsidR="006A18FD">
        <w:trPr>
          <w:trHeight w:val="220"/>
        </w:trPr>
        <w:tc>
          <w:tcPr>
            <w:tcW w:w="10044" w:type="dxa"/>
            <w:gridSpan w:val="3"/>
          </w:tcPr>
          <w:p w:rsidR="006A18FD" w:rsidRDefault="002D29FC">
            <w:pPr>
              <w:spacing w:line="200" w:lineRule="exact"/>
              <w:ind w:left="52"/>
              <w:rPr>
                <w:rFonts w:ascii="Calibri" w:hAnsi="Calibri"/>
                <w:sz w:val="18"/>
              </w:rPr>
            </w:pPr>
            <w:r>
              <w:rPr>
                <w:rFonts w:ascii="Calibri" w:hAnsi="Calibri"/>
                <w:sz w:val="18"/>
              </w:rPr>
              <w:t>£37 (£42) per hour</w:t>
            </w:r>
          </w:p>
        </w:tc>
      </w:tr>
    </w:tbl>
    <w:p w:rsidR="006A18FD" w:rsidRDefault="006A18FD">
      <w:pPr>
        <w:rPr>
          <w:rFonts w:ascii="Cambria"/>
          <w:b/>
          <w:sz w:val="32"/>
        </w:rPr>
      </w:pPr>
    </w:p>
    <w:p w:rsidR="006A18FD" w:rsidRDefault="006A18FD">
      <w:pPr>
        <w:rPr>
          <w:rFonts w:ascii="Cambria"/>
          <w:b/>
          <w:sz w:val="32"/>
        </w:rPr>
      </w:pPr>
    </w:p>
    <w:p w:rsidR="006A18FD" w:rsidRDefault="006A18FD">
      <w:pPr>
        <w:spacing w:before="7"/>
        <w:rPr>
          <w:rFonts w:ascii="Cambria"/>
          <w:b/>
          <w:sz w:val="42"/>
        </w:rPr>
      </w:pPr>
    </w:p>
    <w:p w:rsidR="006A18FD" w:rsidRDefault="002D29FC">
      <w:pPr>
        <w:spacing w:line="195" w:lineRule="exact"/>
        <w:ind w:left="140"/>
        <w:rPr>
          <w:rFonts w:ascii="Times New Roman" w:hAnsi="Times New Roman"/>
          <w:sz w:val="16"/>
        </w:rPr>
      </w:pPr>
      <w:r>
        <w:rPr>
          <w:rFonts w:ascii="Calibri" w:hAnsi="Calibri"/>
          <w:position w:val="5"/>
          <w:sz w:val="10"/>
        </w:rPr>
        <w:t xml:space="preserve">1 </w:t>
      </w:r>
      <w:r>
        <w:rPr>
          <w:rFonts w:ascii="Calibri" w:hAnsi="Calibri"/>
          <w:sz w:val="16"/>
        </w:rPr>
        <w:t xml:space="preserve">NHS Digital (2018) </w:t>
      </w:r>
      <w:r>
        <w:rPr>
          <w:rFonts w:ascii="Calibri" w:hAnsi="Calibri"/>
          <w:i/>
          <w:sz w:val="16"/>
        </w:rPr>
        <w:t xml:space="preserve">NHS staff earnings estimates, 12-month period from May 2018 – April 2019 </w:t>
      </w:r>
      <w:r>
        <w:rPr>
          <w:rFonts w:ascii="Calibri" w:hAnsi="Calibri"/>
          <w:sz w:val="16"/>
        </w:rPr>
        <w:t>(not publicly available), NHS Digital, Leeds</w:t>
      </w:r>
      <w:r>
        <w:rPr>
          <w:rFonts w:ascii="Times New Roman" w:hAnsi="Times New Roman"/>
          <w:sz w:val="16"/>
        </w:rPr>
        <w:t>.</w:t>
      </w:r>
    </w:p>
    <w:p w:rsidR="006A18FD" w:rsidRDefault="002D29FC">
      <w:pPr>
        <w:ind w:left="423" w:right="284" w:hanging="284"/>
        <w:rPr>
          <w:rFonts w:ascii="Calibri"/>
          <w:sz w:val="16"/>
        </w:rPr>
      </w:pPr>
      <w:r>
        <w:rPr>
          <w:rFonts w:ascii="Calibri"/>
          <w:position w:val="5"/>
          <w:sz w:val="10"/>
        </w:rPr>
        <w:t xml:space="preserve">2 </w:t>
      </w:r>
      <w:r>
        <w:rPr>
          <w:rFonts w:ascii="Calibri"/>
          <w:sz w:val="16"/>
        </w:rPr>
        <w:t xml:space="preserve">NHS Employers (2018) </w:t>
      </w:r>
      <w:r>
        <w:rPr>
          <w:rFonts w:ascii="Calibri"/>
          <w:i/>
          <w:sz w:val="16"/>
        </w:rPr>
        <w:t xml:space="preserve">NHS Terms and Conditions of Service Handbook, </w:t>
      </w:r>
      <w:r>
        <w:rPr>
          <w:rFonts w:ascii="Calibri"/>
          <w:sz w:val="16"/>
        </w:rPr>
        <w:t xml:space="preserve">NHS Employers, London. </w:t>
      </w:r>
      <w:hyperlink r:id="rId330">
        <w:r>
          <w:rPr>
            <w:rFonts w:ascii="Calibri"/>
            <w:sz w:val="16"/>
            <w:u w:val="single"/>
          </w:rPr>
          <w:t>http://www.nhsemployers.org/tchandbook</w:t>
        </w:r>
        <w:r>
          <w:rPr>
            <w:rFonts w:ascii="Calibri"/>
            <w:sz w:val="16"/>
          </w:rPr>
          <w:t xml:space="preserve"> </w:t>
        </w:r>
      </w:hyperlink>
      <w:r>
        <w:rPr>
          <w:rFonts w:ascii="Calibri"/>
          <w:sz w:val="16"/>
        </w:rPr>
        <w:t>[accessed 25 September 2018].</w:t>
      </w:r>
    </w:p>
    <w:p w:rsidR="006A18FD" w:rsidRDefault="002D29FC">
      <w:pPr>
        <w:ind w:left="423"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1"/>
        <w:ind w:left="423" w:right="653" w:hanging="284"/>
        <w:rPr>
          <w:rFonts w:ascii="Calibri"/>
          <w:sz w:val="16"/>
        </w:rPr>
      </w:pPr>
      <w:r>
        <w:rPr>
          <w:rFonts w:ascii="Calibri"/>
          <w:position w:val="5"/>
          <w:sz w:val="10"/>
        </w:rPr>
        <w:t xml:space="preserve">4 </w:t>
      </w:r>
      <w:r>
        <w:rPr>
          <w:rFonts w:ascii="Calibri"/>
          <w:sz w:val="16"/>
        </w:rPr>
        <w:t xml:space="preserve">NHS Digital (2019) </w:t>
      </w:r>
      <w:r>
        <w:rPr>
          <w:rFonts w:ascii="Calibri"/>
          <w:i/>
          <w:sz w:val="16"/>
        </w:rPr>
        <w:t xml:space="preserve">GP </w:t>
      </w:r>
      <w:hyperlink r:id="rId331">
        <w:r>
          <w:rPr>
            <w:rFonts w:ascii="Calibri"/>
            <w:i/>
            <w:sz w:val="16"/>
            <w:u w:val="single"/>
          </w:rPr>
          <w:t>earnings</w:t>
        </w:r>
        <w:r>
          <w:rPr>
            <w:rFonts w:ascii="Calibri"/>
            <w:i/>
            <w:sz w:val="16"/>
          </w:rPr>
          <w:t xml:space="preserve"> </w:t>
        </w:r>
      </w:hyperlink>
      <w:r>
        <w:rPr>
          <w:rFonts w:ascii="Calibri"/>
          <w:i/>
          <w:sz w:val="16"/>
        </w:rPr>
        <w:t>and expenses 2017/18</w:t>
      </w:r>
      <w:r>
        <w:rPr>
          <w:rFonts w:ascii="Calibri"/>
          <w:sz w:val="16"/>
        </w:rPr>
        <w:t xml:space="preserve">, NHS Digital, Leeds. </w:t>
      </w:r>
      <w:r>
        <w:rPr>
          <w:rFonts w:ascii="Calibri"/>
          <w:sz w:val="16"/>
          <w:u w:val="single"/>
        </w:rPr>
        <w:t>https://digital.nhs.uk/data-and-information/publications/statistical/gp-</w:t>
      </w:r>
      <w:r>
        <w:rPr>
          <w:rFonts w:ascii="Calibri"/>
          <w:sz w:val="16"/>
        </w:rPr>
        <w:t xml:space="preserve"> </w:t>
      </w:r>
      <w:r>
        <w:rPr>
          <w:rFonts w:ascii="Calibri"/>
          <w:sz w:val="16"/>
          <w:u w:val="single"/>
        </w:rPr>
        <w:t>earnings-and-expenses-estimates</w:t>
      </w:r>
      <w:r>
        <w:rPr>
          <w:rFonts w:ascii="Calibri"/>
          <w:sz w:val="16"/>
        </w:rPr>
        <w:t xml:space="preserve"> [accessed 18 September, 2019].</w:t>
      </w:r>
    </w:p>
    <w:p w:rsidR="006A18FD" w:rsidRDefault="002D29FC">
      <w:pPr>
        <w:spacing w:line="195" w:lineRule="exact"/>
        <w:ind w:left="140"/>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32">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423" w:right="377" w:hanging="284"/>
        <w:rPr>
          <w:rFonts w:ascii="Calibri" w:hAnsi="Calibri"/>
          <w:sz w:val="16"/>
        </w:rPr>
      </w:pPr>
      <w:r>
        <w:rPr>
          <w:rFonts w:ascii="Calibri" w:hAnsi="Calibri"/>
          <w:position w:val="5"/>
          <w:sz w:val="10"/>
        </w:rPr>
        <w:t xml:space="preserve">7 </w:t>
      </w:r>
      <w:r>
        <w:rPr>
          <w:rFonts w:ascii="Calibri" w:hAnsi="Calibri"/>
          <w:sz w:val="16"/>
        </w:rPr>
        <w:t xml:space="preserve">NHS Employers (2018) </w:t>
      </w:r>
      <w:r>
        <w:rPr>
          <w:rFonts w:ascii="Calibri" w:hAnsi="Calibri"/>
          <w:i/>
          <w:sz w:val="16"/>
        </w:rPr>
        <w:t>Mileage allowances – Section 17</w:t>
      </w:r>
      <w:r>
        <w:rPr>
          <w:rFonts w:ascii="Calibri" w:hAnsi="Calibri"/>
          <w:sz w:val="16"/>
        </w:rPr>
        <w:t xml:space="preserve">, NHS Employers, </w:t>
      </w:r>
      <w:hyperlink r:id="rId333">
        <w:r>
          <w:rPr>
            <w:rFonts w:ascii="Calibri" w:hAnsi="Calibri"/>
            <w:sz w:val="16"/>
            <w:u w:val="single"/>
          </w:rPr>
          <w:t>http://www.nhsemployers.org/your-workforce/pay-and-reward/agenda-for-</w:t>
        </w:r>
      </w:hyperlink>
      <w:r>
        <w:rPr>
          <w:rFonts w:ascii="Calibri" w:hAnsi="Calibri"/>
          <w:sz w:val="16"/>
        </w:rPr>
        <w:t xml:space="preserve"> </w:t>
      </w:r>
      <w:hyperlink r:id="rId334">
        <w:r>
          <w:rPr>
            <w:rFonts w:ascii="Calibri" w:hAnsi="Calibri"/>
            <w:sz w:val="16"/>
            <w:u w:val="single"/>
          </w:rPr>
          <w:t>change/nhs-terms-and-conditions-of-service-handbook/mileage-allowances</w:t>
        </w:r>
        <w:r>
          <w:rPr>
            <w:rFonts w:ascii="Calibri" w:hAnsi="Calibri"/>
            <w:sz w:val="16"/>
          </w:rPr>
          <w:t xml:space="preserve"> </w:t>
        </w:r>
      </w:hyperlink>
      <w:r>
        <w:rPr>
          <w:rFonts w:ascii="Calibri" w:hAnsi="Calibri"/>
          <w:sz w:val="16"/>
        </w:rPr>
        <w:t>[accessed 25 September 2018].</w:t>
      </w:r>
    </w:p>
    <w:p w:rsidR="006A18FD" w:rsidRDefault="002D29FC">
      <w:pPr>
        <w:ind w:left="423" w:right="279" w:hanging="284"/>
        <w:rPr>
          <w:rFonts w:ascii="Calibri"/>
          <w:sz w:val="16"/>
        </w:rPr>
      </w:pPr>
      <w:r>
        <w:rPr>
          <w:rFonts w:ascii="Calibri"/>
          <w:position w:val="5"/>
          <w:sz w:val="10"/>
        </w:rPr>
        <w:t xml:space="preserve">8 </w:t>
      </w:r>
      <w:r>
        <w:rPr>
          <w:rFonts w:ascii="Calibri"/>
          <w:sz w:val="16"/>
        </w:rPr>
        <w:t xml:space="preserve">NHS Digital, NHS sickness absence rates, January 2019 to March 2019 and Annual Summary 2010-11 to 2018-19, NHS Digital, London. </w:t>
      </w:r>
      <w:hyperlink r:id="rId335">
        <w:r>
          <w:rPr>
            <w:rFonts w:ascii="Calibri"/>
            <w:sz w:val="16"/>
            <w:u w:val="single"/>
          </w:rPr>
          <w:t>https://digital.nhs.uk/data-and-information/publications/statistical/nhs-sickness-absence-rates/january-2019-to-march-2019-and-annual-summary-</w:t>
        </w:r>
      </w:hyperlink>
      <w:r>
        <w:rPr>
          <w:rFonts w:ascii="Calibri"/>
          <w:sz w:val="16"/>
        </w:rPr>
        <w:t xml:space="preserve"> </w:t>
      </w:r>
      <w:hyperlink r:id="rId336">
        <w:r>
          <w:rPr>
            <w:rFonts w:ascii="Calibri"/>
            <w:sz w:val="16"/>
            <w:u w:val="single"/>
          </w:rPr>
          <w:t>2010-11-to-2018-19</w:t>
        </w:r>
        <w:r>
          <w:rPr>
            <w:rFonts w:ascii="Calibri"/>
            <w:sz w:val="16"/>
          </w:rPr>
          <w:t xml:space="preserve"> </w:t>
        </w:r>
      </w:hyperlink>
      <w:r>
        <w:rPr>
          <w:rFonts w:ascii="Calibri"/>
          <w:sz w:val="16"/>
        </w:rPr>
        <w:t>[accessed 1 October 2019].</w:t>
      </w:r>
    </w:p>
    <w:p w:rsidR="006A18FD" w:rsidRDefault="002D29FC">
      <w:pPr>
        <w:spacing w:before="3"/>
        <w:ind w:left="423" w:hanging="284"/>
        <w:rPr>
          <w:rFonts w:ascii="Calibri"/>
          <w:sz w:val="16"/>
        </w:rPr>
      </w:pPr>
      <w:r>
        <w:rPr>
          <w:rFonts w:ascii="Calibri"/>
          <w:position w:val="5"/>
          <w:sz w:val="10"/>
        </w:rPr>
        <w:t xml:space="preserve">9 </w:t>
      </w:r>
      <w:r>
        <w:rPr>
          <w:rFonts w:ascii="Calibri"/>
          <w:sz w:val="16"/>
        </w:rPr>
        <w:t xml:space="preserve">NHS Employers (2019) Annex 9: High cost area supplements, </w:t>
      </w:r>
      <w:hyperlink r:id="rId337">
        <w:r>
          <w:rPr>
            <w:rFonts w:ascii="Calibri"/>
            <w:sz w:val="16"/>
            <w:u w:val="single"/>
          </w:rPr>
          <w:t>https://www.nhsemployers.org/tchandbook/annex-4-to-10/annex-9-high-cost-area-</w:t>
        </w:r>
      </w:hyperlink>
      <w:r>
        <w:rPr>
          <w:rFonts w:ascii="Calibri"/>
          <w:sz w:val="16"/>
        </w:rPr>
        <w:t xml:space="preserve"> </w:t>
      </w:r>
      <w:hyperlink r:id="rId338">
        <w:r>
          <w:rPr>
            <w:rFonts w:ascii="Calibri"/>
            <w:sz w:val="16"/>
            <w:u w:val="single"/>
          </w:rPr>
          <w:t>supplements [accessed</w:t>
        </w:r>
        <w:r>
          <w:rPr>
            <w:rFonts w:ascii="Calibri"/>
            <w:sz w:val="16"/>
          </w:rPr>
          <w:t xml:space="preserve"> </w:t>
        </w:r>
      </w:hyperlink>
      <w:r>
        <w:rPr>
          <w:rFonts w:ascii="Calibri"/>
          <w:sz w:val="16"/>
        </w:rPr>
        <w:t>1 October 2019].</w:t>
      </w:r>
    </w:p>
    <w:p w:rsidR="006A18FD" w:rsidRDefault="002D29FC">
      <w:pPr>
        <w:ind w:left="423" w:hanging="284"/>
        <w:rPr>
          <w:rFonts w:ascii="Calibri"/>
          <w:sz w:val="16"/>
        </w:rPr>
      </w:pPr>
      <w:r>
        <w:rPr>
          <w:rFonts w:ascii="Calibri"/>
          <w:position w:val="5"/>
          <w:sz w:val="10"/>
        </w:rPr>
        <w:t xml:space="preserve">10 </w:t>
      </w:r>
      <w:r>
        <w:rPr>
          <w:rFonts w:ascii="Calibri"/>
          <w:sz w:val="16"/>
        </w:rPr>
        <w:t xml:space="preserve">NHS Improvement (2019) 2019/20 payment reform proposals, </w:t>
      </w:r>
      <w:hyperlink r:id="rId339">
        <w:r>
          <w:rPr>
            <w:rFonts w:ascii="Calibri"/>
            <w:sz w:val="16"/>
            <w:u w:val="single"/>
          </w:rPr>
          <w:t>https://improvement.nhs.uk/resources/201920-payment-reform-proposals/</w:t>
        </w:r>
        <w:r>
          <w:rPr>
            <w:rFonts w:ascii="Calibri"/>
            <w:sz w:val="16"/>
          </w:rPr>
          <w:t xml:space="preserve">. </w:t>
        </w:r>
      </w:hyperlink>
      <w:r>
        <w:rPr>
          <w:rFonts w:ascii="Calibri"/>
          <w:sz w:val="16"/>
        </w:rPr>
        <w:t>[accessed 1 October 2019].</w:t>
      </w:r>
    </w:p>
    <w:p w:rsidR="006A18FD" w:rsidRDefault="006A18FD">
      <w:pPr>
        <w:rPr>
          <w:rFonts w:ascii="Calibri"/>
          <w:sz w:val="16"/>
        </w:rPr>
        <w:sectPr w:rsidR="006A18FD">
          <w:headerReference w:type="even" r:id="rId340"/>
          <w:headerReference w:type="default" r:id="rId341"/>
          <w:pgSz w:w="11910" w:h="16840"/>
          <w:pgMar w:top="960" w:right="980" w:bottom="280" w:left="580" w:header="751" w:footer="0" w:gutter="0"/>
          <w:pgNumType w:start="118"/>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2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25" name="Line 8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419FF5" id="Group 8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D8dCop8AgAAfwUAAA4A&#10;AAAAAAAAAAAAAAAALgIAAGRycy9lMm9Eb2MueG1sUEsBAi0AFAAGAAgAAAAhAC135FzaAAAABAEA&#10;AA8AAAAAAAAAAAAAAAAA1gQAAGRycy9kb3ducmV2LnhtbFBLBQYAAAAABAAEAPMAAADdBQAAAAA=&#10;">
                <v:line id="Line 8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anchorlock/>
              </v:group>
            </w:pict>
          </mc:Fallback>
        </mc:AlternateContent>
      </w:r>
    </w:p>
    <w:p w:rsidR="006A18FD" w:rsidRDefault="002D29FC" w:rsidP="008E3FA8">
      <w:pPr>
        <w:pStyle w:val="Heading2"/>
        <w:numPr>
          <w:ilvl w:val="1"/>
          <w:numId w:val="37"/>
        </w:numPr>
      </w:pPr>
      <w:r>
        <w:t>General</w:t>
      </w:r>
      <w:r>
        <w:rPr>
          <w:spacing w:val="-5"/>
        </w:rPr>
        <w:t xml:space="preserve"> </w:t>
      </w:r>
      <w:r>
        <w:t>practitioner</w:t>
      </w:r>
    </w:p>
    <w:p w:rsidR="006A18FD" w:rsidRDefault="002D29FC" w:rsidP="00610F71">
      <w:pPr>
        <w:pStyle w:val="Heading3"/>
      </w:pPr>
      <w:r>
        <w:t>10.3a General practitioner — cost elements</w:t>
      </w:r>
    </w:p>
    <w:p w:rsidR="006A18FD" w:rsidRDefault="006A18FD">
      <w:pPr>
        <w:spacing w:before="4" w:after="1"/>
        <w:rPr>
          <w:rFonts w:ascii="Cambria"/>
          <w:b/>
          <w:sz w:val="13"/>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E2663F">
        <w:trPr>
          <w:trHeight w:val="320"/>
          <w:tblHeader/>
        </w:trPr>
        <w:tc>
          <w:tcPr>
            <w:tcW w:w="2268" w:type="dxa"/>
          </w:tcPr>
          <w:p w:rsidR="006A18FD" w:rsidRDefault="002D29FC">
            <w:pPr>
              <w:spacing w:before="1"/>
              <w:ind w:left="52"/>
              <w:rPr>
                <w:rFonts w:ascii="Calibri"/>
                <w:b/>
                <w:sz w:val="18"/>
              </w:rPr>
            </w:pPr>
            <w:r>
              <w:rPr>
                <w:rFonts w:ascii="Calibri"/>
                <w:b/>
                <w:sz w:val="18"/>
              </w:rPr>
              <w:t>Costs and unit estimation</w:t>
            </w:r>
          </w:p>
        </w:tc>
        <w:tc>
          <w:tcPr>
            <w:tcW w:w="1702" w:type="dxa"/>
          </w:tcPr>
          <w:p w:rsidR="006A18FD" w:rsidRDefault="002D29FC">
            <w:pPr>
              <w:spacing w:before="1"/>
              <w:ind w:left="52"/>
              <w:rPr>
                <w:rFonts w:ascii="Calibri"/>
                <w:b/>
                <w:sz w:val="18"/>
              </w:rPr>
            </w:pPr>
            <w:r>
              <w:rPr>
                <w:rFonts w:ascii="Calibri"/>
                <w:b/>
                <w:sz w:val="18"/>
              </w:rPr>
              <w:t>2018/2019 value</w:t>
            </w:r>
          </w:p>
        </w:tc>
        <w:tc>
          <w:tcPr>
            <w:tcW w:w="6236" w:type="dxa"/>
          </w:tcPr>
          <w:p w:rsidR="006A18FD" w:rsidRDefault="002D29FC">
            <w:pPr>
              <w:spacing w:before="1"/>
              <w:ind w:left="52"/>
              <w:rPr>
                <w:rFonts w:ascii="Calibri"/>
                <w:b/>
                <w:sz w:val="18"/>
              </w:rPr>
            </w:pPr>
            <w:r>
              <w:rPr>
                <w:rFonts w:ascii="Calibri"/>
                <w:b/>
                <w:sz w:val="18"/>
              </w:rPr>
              <w:t>Notes (for further clarification see Commentary)</w:t>
            </w:r>
          </w:p>
        </w:tc>
      </w:tr>
      <w:tr w:rsidR="006A18FD">
        <w:trPr>
          <w:trHeight w:val="440"/>
        </w:trPr>
        <w:tc>
          <w:tcPr>
            <w:tcW w:w="2268" w:type="dxa"/>
          </w:tcPr>
          <w:p w:rsidR="006A18FD" w:rsidRDefault="002D29FC">
            <w:pPr>
              <w:spacing w:before="1"/>
              <w:ind w:left="52"/>
              <w:rPr>
                <w:rFonts w:ascii="Calibri"/>
                <w:sz w:val="18"/>
              </w:rPr>
            </w:pPr>
            <w:r>
              <w:rPr>
                <w:rFonts w:ascii="Calibri"/>
                <w:sz w:val="18"/>
              </w:rPr>
              <w:t>A. Net remuneration</w:t>
            </w:r>
          </w:p>
        </w:tc>
        <w:tc>
          <w:tcPr>
            <w:tcW w:w="1702" w:type="dxa"/>
          </w:tcPr>
          <w:p w:rsidR="006A18FD" w:rsidRDefault="002D29FC">
            <w:pPr>
              <w:spacing w:before="1"/>
              <w:ind w:left="52"/>
              <w:rPr>
                <w:rFonts w:ascii="Calibri" w:hAnsi="Calibri"/>
                <w:sz w:val="18"/>
              </w:rPr>
            </w:pPr>
            <w:r>
              <w:rPr>
                <w:rFonts w:ascii="Calibri" w:hAnsi="Calibri"/>
                <w:sz w:val="18"/>
              </w:rPr>
              <w:t>£113,400 per year</w:t>
            </w:r>
          </w:p>
        </w:tc>
        <w:tc>
          <w:tcPr>
            <w:tcW w:w="6236" w:type="dxa"/>
          </w:tcPr>
          <w:p w:rsidR="006A18FD" w:rsidRDefault="002D29FC">
            <w:pPr>
              <w:spacing w:before="1" w:line="220" w:lineRule="atLeast"/>
              <w:ind w:left="52" w:right="639"/>
              <w:rPr>
                <w:rFonts w:ascii="Calibri"/>
                <w:sz w:val="18"/>
              </w:rPr>
            </w:pPr>
            <w:r>
              <w:rPr>
                <w:rFonts w:ascii="Calibri"/>
                <w:sz w:val="18"/>
              </w:rPr>
              <w:t>Average income before tax for GPMS contractor GPs for England.</w:t>
            </w:r>
            <w:r>
              <w:rPr>
                <w:rFonts w:ascii="Calibri"/>
                <w:position w:val="5"/>
                <w:sz w:val="12"/>
              </w:rPr>
              <w:t xml:space="preserve">1 </w:t>
            </w:r>
            <w:r>
              <w:rPr>
                <w:rFonts w:ascii="Calibri"/>
                <w:sz w:val="18"/>
              </w:rPr>
              <w:t>This is an increase of 3.4 per cent on last year.</w:t>
            </w:r>
          </w:p>
        </w:tc>
      </w:tr>
      <w:tr w:rsidR="006A18FD">
        <w:trPr>
          <w:trHeight w:val="260"/>
        </w:trPr>
        <w:tc>
          <w:tcPr>
            <w:tcW w:w="2268" w:type="dxa"/>
            <w:tcBorders>
              <w:bottom w:val="nil"/>
            </w:tcBorders>
          </w:tcPr>
          <w:p w:rsidR="006A18FD" w:rsidRDefault="002D29FC">
            <w:pPr>
              <w:spacing w:line="218" w:lineRule="exact"/>
              <w:ind w:left="52"/>
              <w:rPr>
                <w:rFonts w:ascii="Calibri"/>
                <w:sz w:val="18"/>
              </w:rPr>
            </w:pPr>
            <w:r>
              <w:rPr>
                <w:rFonts w:ascii="Calibri"/>
                <w:sz w:val="18"/>
              </w:rPr>
              <w:t>B. Practice expenses:</w:t>
            </w:r>
          </w:p>
        </w:tc>
        <w:tc>
          <w:tcPr>
            <w:tcW w:w="1702" w:type="dxa"/>
            <w:tcBorders>
              <w:bottom w:val="nil"/>
            </w:tcBorders>
          </w:tcPr>
          <w:p w:rsidR="006A18FD" w:rsidRDefault="006A18FD">
            <w:pPr>
              <w:rPr>
                <w:rFonts w:ascii="Times New Roman"/>
                <w:sz w:val="16"/>
              </w:rPr>
            </w:pPr>
          </w:p>
        </w:tc>
        <w:tc>
          <w:tcPr>
            <w:tcW w:w="6236" w:type="dxa"/>
            <w:tcBorders>
              <w:bottom w:val="nil"/>
            </w:tcBorders>
          </w:tcPr>
          <w:p w:rsidR="006A18FD" w:rsidRDefault="006A18FD">
            <w:pPr>
              <w:rPr>
                <w:rFonts w:ascii="Times New Roman"/>
                <w:sz w:val="16"/>
              </w:rPr>
            </w:pPr>
          </w:p>
        </w:tc>
      </w:tr>
      <w:tr w:rsidR="006A18FD">
        <w:trPr>
          <w:trHeight w:val="240"/>
        </w:trPr>
        <w:tc>
          <w:tcPr>
            <w:tcW w:w="2268" w:type="dxa"/>
            <w:tcBorders>
              <w:top w:val="nil"/>
              <w:bottom w:val="nil"/>
            </w:tcBorders>
          </w:tcPr>
          <w:p w:rsidR="006A18FD" w:rsidRDefault="002D29FC">
            <w:pPr>
              <w:spacing w:before="23" w:line="216" w:lineRule="exact"/>
              <w:ind w:left="52"/>
              <w:rPr>
                <w:rFonts w:ascii="Calibri"/>
                <w:sz w:val="18"/>
              </w:rPr>
            </w:pPr>
            <w:r>
              <w:rPr>
                <w:rFonts w:ascii="Calibri"/>
                <w:sz w:val="18"/>
              </w:rPr>
              <w:t>Direct care staff</w:t>
            </w:r>
          </w:p>
        </w:tc>
        <w:tc>
          <w:tcPr>
            <w:tcW w:w="1702" w:type="dxa"/>
            <w:tcBorders>
              <w:top w:val="nil"/>
              <w:bottom w:val="nil"/>
            </w:tcBorders>
          </w:tcPr>
          <w:p w:rsidR="006A18FD" w:rsidRDefault="002D29FC">
            <w:pPr>
              <w:spacing w:before="23" w:line="216" w:lineRule="exact"/>
              <w:ind w:left="52"/>
              <w:rPr>
                <w:rFonts w:ascii="Calibri" w:hAnsi="Calibri"/>
                <w:sz w:val="18"/>
              </w:rPr>
            </w:pPr>
            <w:r>
              <w:rPr>
                <w:rFonts w:ascii="Calibri" w:hAnsi="Calibri"/>
                <w:sz w:val="18"/>
              </w:rPr>
              <w:t>£27,712 per year</w:t>
            </w:r>
          </w:p>
        </w:tc>
        <w:tc>
          <w:tcPr>
            <w:tcW w:w="6236" w:type="dxa"/>
            <w:tcBorders>
              <w:top w:val="nil"/>
              <w:bottom w:val="nil"/>
            </w:tcBorders>
          </w:tcPr>
          <w:p w:rsidR="006A18FD" w:rsidRDefault="002D29FC">
            <w:pPr>
              <w:spacing w:before="23" w:line="216" w:lineRule="exact"/>
              <w:ind w:left="52"/>
              <w:rPr>
                <w:rFonts w:ascii="Calibri"/>
                <w:sz w:val="18"/>
              </w:rPr>
            </w:pPr>
            <w:r>
              <w:rPr>
                <w:rFonts w:ascii="Calibri"/>
                <w:sz w:val="18"/>
              </w:rPr>
              <w:t>Ninety one per cent of FTE equivalent practitioners (excluding GP registrars and GP</w:t>
            </w:r>
          </w:p>
        </w:tc>
      </w:tr>
      <w:tr w:rsidR="006A18FD">
        <w:trPr>
          <w:trHeight w:val="20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197" w:lineRule="exact"/>
              <w:ind w:left="52"/>
              <w:rPr>
                <w:rFonts w:ascii="Calibri"/>
                <w:sz w:val="18"/>
              </w:rPr>
            </w:pPr>
            <w:r>
              <w:rPr>
                <w:rFonts w:ascii="Calibri"/>
                <w:sz w:val="18"/>
              </w:rPr>
              <w:t>retainers) employed 0.62 FTE nurse (including practice nurses, advanced level</w:t>
            </w:r>
          </w:p>
        </w:tc>
      </w:tr>
      <w:tr w:rsidR="006A18FD">
        <w:trPr>
          <w:trHeight w:val="220"/>
        </w:trPr>
        <w:tc>
          <w:tcPr>
            <w:tcW w:w="2268" w:type="dxa"/>
            <w:tcBorders>
              <w:top w:val="nil"/>
              <w:bottom w:val="nil"/>
            </w:tcBorders>
          </w:tcPr>
          <w:p w:rsidR="006A18FD" w:rsidRDefault="006A18FD">
            <w:pPr>
              <w:rPr>
                <w:rFonts w:ascii="Times New Roman"/>
                <w:sz w:val="14"/>
              </w:rPr>
            </w:pP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2" w:lineRule="exact"/>
              <w:ind w:left="52"/>
              <w:rPr>
                <w:rFonts w:ascii="Calibri"/>
                <w:sz w:val="12"/>
              </w:rPr>
            </w:pPr>
            <w:r>
              <w:rPr>
                <w:rFonts w:ascii="Calibri"/>
                <w:sz w:val="18"/>
              </w:rPr>
              <w:t>nurses and extended role and specialist nurses includes salary and oncosts.</w:t>
            </w:r>
            <w:r>
              <w:rPr>
                <w:rFonts w:ascii="Calibri"/>
                <w:position w:val="5"/>
                <w:sz w:val="12"/>
              </w:rPr>
              <w:t>2,3</w:t>
            </w:r>
          </w:p>
        </w:tc>
      </w:tr>
      <w:tr w:rsidR="006A18FD">
        <w:trPr>
          <w:trHeight w:val="200"/>
        </w:trPr>
        <w:tc>
          <w:tcPr>
            <w:tcW w:w="2268" w:type="dxa"/>
            <w:tcBorders>
              <w:top w:val="nil"/>
              <w:bottom w:val="nil"/>
            </w:tcBorders>
          </w:tcPr>
          <w:p w:rsidR="006A18FD" w:rsidRDefault="002D29FC">
            <w:pPr>
              <w:spacing w:line="197" w:lineRule="exact"/>
              <w:ind w:left="52"/>
              <w:rPr>
                <w:rFonts w:ascii="Calibri"/>
                <w:sz w:val="18"/>
              </w:rPr>
            </w:pPr>
            <w:r>
              <w:rPr>
                <w:rFonts w:ascii="Calibri"/>
                <w:sz w:val="18"/>
              </w:rPr>
              <w:t>Administrative and clerical</w:t>
            </w:r>
          </w:p>
        </w:tc>
        <w:tc>
          <w:tcPr>
            <w:tcW w:w="1702" w:type="dxa"/>
            <w:tcBorders>
              <w:top w:val="nil"/>
              <w:bottom w:val="nil"/>
            </w:tcBorders>
          </w:tcPr>
          <w:p w:rsidR="006A18FD" w:rsidRDefault="002D29FC">
            <w:pPr>
              <w:spacing w:line="197" w:lineRule="exact"/>
              <w:ind w:left="52"/>
              <w:rPr>
                <w:rFonts w:ascii="Calibri" w:hAnsi="Calibri"/>
                <w:sz w:val="18"/>
              </w:rPr>
            </w:pPr>
            <w:r>
              <w:rPr>
                <w:rFonts w:ascii="Calibri" w:hAnsi="Calibri"/>
                <w:sz w:val="18"/>
              </w:rPr>
              <w:t>£34,252 per year</w:t>
            </w:r>
          </w:p>
        </w:tc>
        <w:tc>
          <w:tcPr>
            <w:tcW w:w="6236" w:type="dxa"/>
            <w:tcBorders>
              <w:top w:val="nil"/>
              <w:bottom w:val="nil"/>
            </w:tcBorders>
          </w:tcPr>
          <w:p w:rsidR="006A18FD" w:rsidRDefault="002D29FC">
            <w:pPr>
              <w:spacing w:line="197" w:lineRule="exact"/>
              <w:ind w:left="52"/>
              <w:rPr>
                <w:rFonts w:ascii="Calibri"/>
                <w:sz w:val="18"/>
              </w:rPr>
            </w:pPr>
            <w:r>
              <w:rPr>
                <w:rFonts w:ascii="Calibri"/>
                <w:sz w:val="18"/>
              </w:rPr>
              <w:t>Each FTE equivalent practitioner (excluding GP registrars and GP retainers)</w:t>
            </w:r>
          </w:p>
        </w:tc>
      </w:tr>
      <w:tr w:rsidR="006A18FD">
        <w:trPr>
          <w:trHeight w:val="260"/>
        </w:trPr>
        <w:tc>
          <w:tcPr>
            <w:tcW w:w="2268" w:type="dxa"/>
            <w:tcBorders>
              <w:top w:val="nil"/>
              <w:bottom w:val="nil"/>
            </w:tcBorders>
          </w:tcPr>
          <w:p w:rsidR="006A18FD" w:rsidRDefault="002D29FC">
            <w:pPr>
              <w:spacing w:line="206" w:lineRule="exact"/>
              <w:ind w:left="52"/>
              <w:rPr>
                <w:rFonts w:ascii="Calibri"/>
                <w:sz w:val="18"/>
              </w:rPr>
            </w:pPr>
            <w:r>
              <w:rPr>
                <w:rFonts w:ascii="Calibri"/>
                <w:sz w:val="18"/>
              </w:rPr>
              <w:t>staff</w:t>
            </w:r>
          </w:p>
        </w:tc>
        <w:tc>
          <w:tcPr>
            <w:tcW w:w="1702" w:type="dxa"/>
            <w:tcBorders>
              <w:top w:val="nil"/>
              <w:bottom w:val="nil"/>
            </w:tcBorders>
          </w:tcPr>
          <w:p w:rsidR="006A18FD" w:rsidRDefault="006A18FD">
            <w:pPr>
              <w:rPr>
                <w:rFonts w:ascii="Times New Roman"/>
                <w:sz w:val="16"/>
              </w:rPr>
            </w:pPr>
          </w:p>
        </w:tc>
        <w:tc>
          <w:tcPr>
            <w:tcW w:w="6236" w:type="dxa"/>
            <w:tcBorders>
              <w:top w:val="nil"/>
              <w:bottom w:val="nil"/>
            </w:tcBorders>
          </w:tcPr>
          <w:p w:rsidR="006A18FD" w:rsidRDefault="002D29FC">
            <w:pPr>
              <w:spacing w:line="206" w:lineRule="exact"/>
              <w:ind w:left="52"/>
              <w:rPr>
                <w:rFonts w:ascii="Calibri"/>
                <w:sz w:val="18"/>
              </w:rPr>
            </w:pPr>
            <w:r>
              <w:rPr>
                <w:rFonts w:ascii="Calibri"/>
                <w:sz w:val="18"/>
              </w:rPr>
              <w:t xml:space="preserve">employed 1.28 FTE administrative and clerical staff </w:t>
            </w:r>
            <w:r>
              <w:rPr>
                <w:rFonts w:ascii="Calibri"/>
                <w:position w:val="5"/>
                <w:sz w:val="12"/>
              </w:rPr>
              <w:t>1,2</w:t>
            </w:r>
            <w:r>
              <w:rPr>
                <w:rFonts w:ascii="Calibri"/>
                <w:sz w:val="18"/>
              </w:rPr>
              <w:t>, includes salary and oncosts.</w:t>
            </w:r>
          </w:p>
        </w:tc>
      </w:tr>
      <w:tr w:rsidR="006A18FD">
        <w:trPr>
          <w:trHeight w:val="260"/>
        </w:trPr>
        <w:tc>
          <w:tcPr>
            <w:tcW w:w="2268" w:type="dxa"/>
            <w:tcBorders>
              <w:top w:val="nil"/>
              <w:bottom w:val="nil"/>
            </w:tcBorders>
          </w:tcPr>
          <w:p w:rsidR="006A18FD" w:rsidRDefault="002D29FC">
            <w:pPr>
              <w:spacing w:before="33" w:line="216" w:lineRule="exact"/>
              <w:ind w:left="52"/>
              <w:rPr>
                <w:rFonts w:ascii="Calibri"/>
                <w:sz w:val="18"/>
              </w:rPr>
            </w:pPr>
            <w:r>
              <w:rPr>
                <w:rFonts w:ascii="Calibri"/>
                <w:sz w:val="18"/>
              </w:rPr>
              <w:t>Office and general business</w:t>
            </w:r>
          </w:p>
        </w:tc>
        <w:tc>
          <w:tcPr>
            <w:tcW w:w="1702" w:type="dxa"/>
            <w:tcBorders>
              <w:top w:val="nil"/>
              <w:bottom w:val="nil"/>
            </w:tcBorders>
          </w:tcPr>
          <w:p w:rsidR="006A18FD" w:rsidRDefault="002D29FC">
            <w:pPr>
              <w:spacing w:before="33" w:line="216" w:lineRule="exact"/>
              <w:ind w:left="52"/>
              <w:rPr>
                <w:rFonts w:ascii="Calibri" w:hAnsi="Calibri"/>
                <w:sz w:val="18"/>
              </w:rPr>
            </w:pPr>
            <w:r>
              <w:rPr>
                <w:rFonts w:ascii="Calibri" w:hAnsi="Calibri"/>
                <w:sz w:val="18"/>
              </w:rPr>
              <w:t>£10,856 per year</w:t>
            </w:r>
          </w:p>
        </w:tc>
        <w:tc>
          <w:tcPr>
            <w:tcW w:w="6236" w:type="dxa"/>
            <w:tcBorders>
              <w:top w:val="nil"/>
              <w:bottom w:val="nil"/>
            </w:tcBorders>
          </w:tcPr>
          <w:p w:rsidR="006A18FD" w:rsidRDefault="002D29FC">
            <w:pPr>
              <w:spacing w:before="33" w:line="216" w:lineRule="exact"/>
              <w:ind w:left="52"/>
              <w:rPr>
                <w:rFonts w:ascii="Calibri"/>
                <w:sz w:val="18"/>
              </w:rPr>
            </w:pPr>
            <w:r>
              <w:rPr>
                <w:rFonts w:ascii="Calibri"/>
                <w:sz w:val="18"/>
              </w:rPr>
              <w:t>All office and general business, premises and other expenses, including advertising,</w:t>
            </w:r>
          </w:p>
        </w:tc>
      </w:tr>
      <w:tr w:rsidR="006A18FD">
        <w:trPr>
          <w:trHeight w:val="180"/>
        </w:trPr>
        <w:tc>
          <w:tcPr>
            <w:tcW w:w="2268" w:type="dxa"/>
            <w:tcBorders>
              <w:top w:val="nil"/>
              <w:bottom w:val="nil"/>
            </w:tcBorders>
          </w:tcPr>
          <w:p w:rsidR="006A18FD" w:rsidRDefault="006A18FD">
            <w:pPr>
              <w:rPr>
                <w:rFonts w:ascii="Times New Roman"/>
                <w:sz w:val="12"/>
              </w:rPr>
            </w:pPr>
          </w:p>
        </w:tc>
        <w:tc>
          <w:tcPr>
            <w:tcW w:w="1702" w:type="dxa"/>
            <w:tcBorders>
              <w:top w:val="nil"/>
              <w:bottom w:val="nil"/>
            </w:tcBorders>
          </w:tcPr>
          <w:p w:rsidR="006A18FD" w:rsidRDefault="006A18FD">
            <w:pPr>
              <w:rPr>
                <w:rFonts w:ascii="Times New Roman"/>
                <w:sz w:val="12"/>
              </w:rPr>
            </w:pPr>
          </w:p>
        </w:tc>
        <w:tc>
          <w:tcPr>
            <w:tcW w:w="6236" w:type="dxa"/>
            <w:tcBorders>
              <w:top w:val="nil"/>
              <w:bottom w:val="nil"/>
            </w:tcBorders>
          </w:tcPr>
          <w:p w:rsidR="006A18FD" w:rsidRDefault="002D29FC">
            <w:pPr>
              <w:spacing w:line="178" w:lineRule="exact"/>
              <w:ind w:left="52"/>
              <w:rPr>
                <w:rFonts w:ascii="Calibri"/>
                <w:sz w:val="18"/>
              </w:rPr>
            </w:pPr>
            <w:r>
              <w:rPr>
                <w:rFonts w:ascii="Calibri"/>
                <w:sz w:val="18"/>
              </w:rPr>
              <w:t>promotion and entertainment, are based on expenditure taken from the GP</w:t>
            </w:r>
          </w:p>
        </w:tc>
      </w:tr>
      <w:tr w:rsidR="006A18FD">
        <w:trPr>
          <w:trHeight w:val="220"/>
        </w:trPr>
        <w:tc>
          <w:tcPr>
            <w:tcW w:w="2268" w:type="dxa"/>
            <w:tcBorders>
              <w:top w:val="nil"/>
              <w:bottom w:val="nil"/>
            </w:tcBorders>
          </w:tcPr>
          <w:p w:rsidR="006A18FD" w:rsidRDefault="002D29FC">
            <w:pPr>
              <w:spacing w:line="182" w:lineRule="exact"/>
              <w:ind w:left="52"/>
              <w:rPr>
                <w:rFonts w:ascii="Calibri"/>
                <w:sz w:val="18"/>
              </w:rPr>
            </w:pPr>
            <w:r>
              <w:rPr>
                <w:rFonts w:ascii="Calibri"/>
                <w:sz w:val="18"/>
              </w:rPr>
              <w:t>Premises</w:t>
            </w:r>
          </w:p>
        </w:tc>
        <w:tc>
          <w:tcPr>
            <w:tcW w:w="1702" w:type="dxa"/>
            <w:tcBorders>
              <w:top w:val="nil"/>
              <w:bottom w:val="nil"/>
            </w:tcBorders>
          </w:tcPr>
          <w:p w:rsidR="006A18FD" w:rsidRDefault="002D29FC">
            <w:pPr>
              <w:spacing w:line="182" w:lineRule="exact"/>
              <w:ind w:left="52"/>
              <w:rPr>
                <w:rFonts w:ascii="Calibri" w:hAnsi="Calibri"/>
                <w:sz w:val="18"/>
              </w:rPr>
            </w:pPr>
            <w:r>
              <w:rPr>
                <w:rFonts w:ascii="Calibri" w:hAnsi="Calibri"/>
                <w:sz w:val="18"/>
              </w:rPr>
              <w:t>£15,660 per year</w:t>
            </w:r>
          </w:p>
        </w:tc>
        <w:tc>
          <w:tcPr>
            <w:tcW w:w="6236" w:type="dxa"/>
            <w:tcBorders>
              <w:top w:val="nil"/>
              <w:bottom w:val="nil"/>
            </w:tcBorders>
          </w:tcPr>
          <w:p w:rsidR="006A18FD" w:rsidRDefault="002D29FC">
            <w:pPr>
              <w:spacing w:before="5" w:line="213" w:lineRule="exact"/>
              <w:ind w:left="52"/>
              <w:rPr>
                <w:rFonts w:ascii="Calibri"/>
                <w:sz w:val="18"/>
              </w:rPr>
            </w:pPr>
            <w:r>
              <w:rPr>
                <w:rFonts w:ascii="Calibri"/>
                <w:sz w:val="18"/>
              </w:rPr>
              <w:t>earnings and expenses report.</w:t>
            </w:r>
            <w:r>
              <w:rPr>
                <w:rFonts w:ascii="Calibri"/>
                <w:position w:val="5"/>
                <w:sz w:val="12"/>
              </w:rPr>
              <w:t xml:space="preserve">1 </w:t>
            </w:r>
            <w:r>
              <w:rPr>
                <w:rFonts w:ascii="Calibri"/>
                <w:sz w:val="18"/>
              </w:rPr>
              <w:t>Each GP employs 3.02 members of staff, including</w:t>
            </w:r>
          </w:p>
        </w:tc>
      </w:tr>
      <w:tr w:rsidR="006A18FD">
        <w:trPr>
          <w:trHeight w:val="780"/>
        </w:trPr>
        <w:tc>
          <w:tcPr>
            <w:tcW w:w="2268" w:type="dxa"/>
            <w:tcBorders>
              <w:top w:val="nil"/>
              <w:bottom w:val="nil"/>
            </w:tcBorders>
          </w:tcPr>
          <w:p w:rsidR="006A18FD" w:rsidRDefault="002D29FC">
            <w:pPr>
              <w:spacing w:before="122"/>
              <w:ind w:left="52" w:right="176"/>
              <w:rPr>
                <w:rFonts w:ascii="Calibri"/>
                <w:sz w:val="18"/>
              </w:rPr>
            </w:pPr>
            <w:r>
              <w:rPr>
                <w:rFonts w:ascii="Calibri"/>
                <w:sz w:val="18"/>
              </w:rPr>
              <w:t>Other: includes advertising, promotion and</w:t>
            </w:r>
          </w:p>
          <w:p w:rsidR="006A18FD" w:rsidRDefault="002D29FC">
            <w:pPr>
              <w:spacing w:line="213" w:lineRule="exact"/>
              <w:ind w:left="52"/>
              <w:rPr>
                <w:rFonts w:ascii="Calibri"/>
                <w:sz w:val="18"/>
              </w:rPr>
            </w:pPr>
            <w:r>
              <w:rPr>
                <w:rFonts w:ascii="Calibri"/>
                <w:sz w:val="18"/>
              </w:rPr>
              <w:t>entertainment</w:t>
            </w:r>
          </w:p>
        </w:tc>
        <w:tc>
          <w:tcPr>
            <w:tcW w:w="1702" w:type="dxa"/>
            <w:tcBorders>
              <w:top w:val="nil"/>
              <w:bottom w:val="nil"/>
            </w:tcBorders>
          </w:tcPr>
          <w:p w:rsidR="006A18FD" w:rsidRDefault="002D29FC">
            <w:pPr>
              <w:spacing w:before="122"/>
              <w:ind w:left="52"/>
              <w:rPr>
                <w:rFonts w:ascii="Calibri" w:hAnsi="Calibri"/>
                <w:sz w:val="18"/>
              </w:rPr>
            </w:pPr>
            <w:r>
              <w:rPr>
                <w:rFonts w:ascii="Calibri" w:hAnsi="Calibri"/>
                <w:sz w:val="18"/>
              </w:rPr>
              <w:t>£17,053 per year</w:t>
            </w:r>
          </w:p>
        </w:tc>
        <w:tc>
          <w:tcPr>
            <w:tcW w:w="6236" w:type="dxa"/>
            <w:tcBorders>
              <w:top w:val="nil"/>
              <w:bottom w:val="nil"/>
            </w:tcBorders>
          </w:tcPr>
          <w:p w:rsidR="006A18FD" w:rsidRDefault="002D29FC">
            <w:pPr>
              <w:spacing w:line="206" w:lineRule="exact"/>
              <w:ind w:left="52"/>
              <w:rPr>
                <w:rFonts w:ascii="Calibri"/>
                <w:sz w:val="12"/>
              </w:rPr>
            </w:pPr>
            <w:r>
              <w:rPr>
                <w:rFonts w:ascii="Calibri"/>
                <w:sz w:val="18"/>
              </w:rPr>
              <w:t>practice nurses, other patient care staff, plus administrators and clerical staff.</w:t>
            </w:r>
            <w:r>
              <w:rPr>
                <w:rFonts w:ascii="Calibri"/>
                <w:position w:val="5"/>
                <w:sz w:val="12"/>
              </w:rPr>
              <w:t>1,2</w:t>
            </w:r>
          </w:p>
          <w:p w:rsidR="006A18FD" w:rsidRDefault="002D29FC">
            <w:pPr>
              <w:spacing w:before="1"/>
              <w:ind w:left="52" w:right="140"/>
              <w:rPr>
                <w:rFonts w:ascii="Calibri"/>
                <w:sz w:val="18"/>
              </w:rPr>
            </w:pPr>
            <w:r>
              <w:rPr>
                <w:rFonts w:ascii="Calibri"/>
                <w:sz w:val="18"/>
              </w:rPr>
              <w:t>Office and general business, premises, and other expenses calculated as the ratio of GP salary costs to all GP employees salary costs.</w:t>
            </w:r>
          </w:p>
        </w:tc>
      </w:tr>
      <w:tr w:rsidR="006A18FD">
        <w:trPr>
          <w:trHeight w:val="200"/>
        </w:trPr>
        <w:tc>
          <w:tcPr>
            <w:tcW w:w="2268" w:type="dxa"/>
            <w:tcBorders>
              <w:top w:val="nil"/>
            </w:tcBorders>
          </w:tcPr>
          <w:p w:rsidR="006A18FD" w:rsidRDefault="002D29FC">
            <w:pPr>
              <w:spacing w:line="185" w:lineRule="exact"/>
              <w:ind w:left="52"/>
              <w:rPr>
                <w:rFonts w:ascii="Calibri"/>
                <w:sz w:val="18"/>
              </w:rPr>
            </w:pPr>
            <w:r>
              <w:rPr>
                <w:rFonts w:ascii="Calibri"/>
                <w:sz w:val="18"/>
              </w:rPr>
              <w:t>Car and travel</w:t>
            </w:r>
          </w:p>
        </w:tc>
        <w:tc>
          <w:tcPr>
            <w:tcW w:w="1702" w:type="dxa"/>
            <w:tcBorders>
              <w:top w:val="nil"/>
            </w:tcBorders>
          </w:tcPr>
          <w:p w:rsidR="006A18FD" w:rsidRDefault="002D29FC">
            <w:pPr>
              <w:spacing w:line="185" w:lineRule="exact"/>
              <w:ind w:left="52"/>
              <w:rPr>
                <w:rFonts w:ascii="Calibri" w:hAnsi="Calibri"/>
                <w:sz w:val="18"/>
              </w:rPr>
            </w:pPr>
            <w:r>
              <w:rPr>
                <w:rFonts w:ascii="Calibri" w:hAnsi="Calibri"/>
                <w:sz w:val="18"/>
              </w:rPr>
              <w:t>£1,100 per year</w:t>
            </w:r>
          </w:p>
        </w:tc>
        <w:tc>
          <w:tcPr>
            <w:tcW w:w="6236" w:type="dxa"/>
            <w:tcBorders>
              <w:top w:val="nil"/>
            </w:tcBorders>
          </w:tcPr>
          <w:p w:rsidR="006A18FD" w:rsidRDefault="002D29FC">
            <w:pPr>
              <w:spacing w:line="185" w:lineRule="exact"/>
              <w:ind w:left="52"/>
              <w:rPr>
                <w:rFonts w:ascii="Calibri"/>
                <w:sz w:val="12"/>
              </w:rPr>
            </w:pPr>
            <w:r>
              <w:rPr>
                <w:rFonts w:ascii="Calibri"/>
                <w:sz w:val="18"/>
              </w:rPr>
              <w:t>Based on information taken from the GP earnings and expenses report.</w:t>
            </w:r>
            <w:r>
              <w:rPr>
                <w:rFonts w:ascii="Calibri"/>
                <w:position w:val="5"/>
                <w:sz w:val="12"/>
              </w:rPr>
              <w:t>1,2</w:t>
            </w:r>
          </w:p>
        </w:tc>
      </w:tr>
      <w:tr w:rsidR="006A18FD">
        <w:trPr>
          <w:trHeight w:val="640"/>
        </w:trPr>
        <w:tc>
          <w:tcPr>
            <w:tcW w:w="2268" w:type="dxa"/>
          </w:tcPr>
          <w:p w:rsidR="006A18FD" w:rsidRDefault="002D29FC">
            <w:pPr>
              <w:spacing w:before="1"/>
              <w:ind w:left="52"/>
              <w:rPr>
                <w:rFonts w:ascii="Calibri"/>
                <w:sz w:val="18"/>
              </w:rPr>
            </w:pPr>
            <w:r>
              <w:rPr>
                <w:rFonts w:ascii="Calibri"/>
                <w:sz w:val="18"/>
              </w:rPr>
              <w:t>C. Qualifications</w:t>
            </w:r>
          </w:p>
        </w:tc>
        <w:tc>
          <w:tcPr>
            <w:tcW w:w="1702" w:type="dxa"/>
          </w:tcPr>
          <w:p w:rsidR="006A18FD" w:rsidRDefault="002D29FC">
            <w:pPr>
              <w:spacing w:before="1"/>
              <w:ind w:left="52"/>
              <w:rPr>
                <w:rFonts w:ascii="Calibri" w:hAnsi="Calibri"/>
                <w:sz w:val="18"/>
              </w:rPr>
            </w:pPr>
            <w:r>
              <w:rPr>
                <w:rFonts w:ascii="Calibri" w:hAnsi="Calibri"/>
                <w:sz w:val="18"/>
              </w:rPr>
              <w:t>£42,219 per year</w:t>
            </w:r>
          </w:p>
        </w:tc>
        <w:tc>
          <w:tcPr>
            <w:tcW w:w="6236" w:type="dxa"/>
          </w:tcPr>
          <w:p w:rsidR="006A18FD" w:rsidRDefault="002D29FC">
            <w:pPr>
              <w:spacing w:before="1"/>
              <w:ind w:left="52" w:right="90"/>
              <w:rPr>
                <w:rFonts w:ascii="Calibri"/>
                <w:sz w:val="18"/>
              </w:rPr>
            </w:pPr>
            <w:r>
              <w:rPr>
                <w:rFonts w:ascii="Calibri"/>
                <w:sz w:val="18"/>
              </w:rPr>
              <w:t>Qualification costs have been calculated using the method described in Netten et al. (1998).</w:t>
            </w:r>
            <w:r>
              <w:rPr>
                <w:rFonts w:ascii="Calibri"/>
                <w:position w:val="5"/>
                <w:sz w:val="12"/>
              </w:rPr>
              <w:t xml:space="preserve">4 </w:t>
            </w:r>
            <w:r>
              <w:rPr>
                <w:rFonts w:ascii="Calibri"/>
                <w:sz w:val="18"/>
              </w:rPr>
              <w:t>Current cost information has been provided by the Department of</w:t>
            </w:r>
          </w:p>
          <w:p w:rsidR="006A18FD" w:rsidRDefault="002D29FC">
            <w:pPr>
              <w:spacing w:line="198" w:lineRule="exact"/>
              <w:ind w:left="52"/>
              <w:rPr>
                <w:rFonts w:ascii="Calibri"/>
                <w:sz w:val="12"/>
              </w:rPr>
            </w:pPr>
            <w:r>
              <w:rPr>
                <w:rFonts w:ascii="Calibri"/>
                <w:sz w:val="18"/>
              </w:rPr>
              <w:t>Health and Health Education England.</w:t>
            </w:r>
            <w:r>
              <w:rPr>
                <w:rFonts w:ascii="Calibri"/>
                <w:position w:val="5"/>
                <w:sz w:val="12"/>
              </w:rPr>
              <w:t>5</w:t>
            </w:r>
          </w:p>
        </w:tc>
      </w:tr>
      <w:tr w:rsidR="006A18FD">
        <w:trPr>
          <w:trHeight w:val="220"/>
        </w:trPr>
        <w:tc>
          <w:tcPr>
            <w:tcW w:w="2268" w:type="dxa"/>
          </w:tcPr>
          <w:p w:rsidR="006A18FD" w:rsidRDefault="002D29FC">
            <w:pPr>
              <w:spacing w:before="1" w:line="199" w:lineRule="exact"/>
              <w:ind w:left="52"/>
              <w:rPr>
                <w:rFonts w:ascii="Calibri"/>
                <w:sz w:val="18"/>
              </w:rPr>
            </w:pPr>
            <w:r>
              <w:rPr>
                <w:rFonts w:ascii="Calibri"/>
                <w:sz w:val="18"/>
              </w:rPr>
              <w:t>D. Ongoing training</w:t>
            </w:r>
          </w:p>
        </w:tc>
        <w:tc>
          <w:tcPr>
            <w:tcW w:w="1702" w:type="dxa"/>
          </w:tcPr>
          <w:p w:rsidR="006A18FD" w:rsidRDefault="006A18FD">
            <w:pPr>
              <w:rPr>
                <w:rFonts w:ascii="Times New Roman"/>
                <w:sz w:val="14"/>
              </w:rPr>
            </w:pPr>
          </w:p>
        </w:tc>
        <w:tc>
          <w:tcPr>
            <w:tcW w:w="6236" w:type="dxa"/>
          </w:tcPr>
          <w:p w:rsidR="006A18FD" w:rsidRDefault="002D29FC">
            <w:pPr>
              <w:spacing w:before="1" w:line="199" w:lineRule="exact"/>
              <w:ind w:left="52"/>
              <w:rPr>
                <w:rFonts w:ascii="Calibri"/>
                <w:sz w:val="18"/>
              </w:rPr>
            </w:pPr>
            <w:r>
              <w:rPr>
                <w:rFonts w:ascii="Calibri"/>
                <w:sz w:val="18"/>
              </w:rPr>
              <w:t>No estimates available.</w:t>
            </w:r>
          </w:p>
        </w:tc>
      </w:tr>
      <w:tr w:rsidR="006A18FD">
        <w:trPr>
          <w:trHeight w:val="640"/>
        </w:trPr>
        <w:tc>
          <w:tcPr>
            <w:tcW w:w="2268" w:type="dxa"/>
          </w:tcPr>
          <w:p w:rsidR="006A18FD" w:rsidRDefault="002D29FC">
            <w:pPr>
              <w:spacing w:before="1" w:line="249" w:lineRule="auto"/>
              <w:ind w:left="52" w:right="1045"/>
              <w:rPr>
                <w:rFonts w:ascii="Calibri"/>
                <w:sz w:val="18"/>
              </w:rPr>
            </w:pPr>
            <w:r>
              <w:rPr>
                <w:rFonts w:ascii="Calibri"/>
                <w:sz w:val="18"/>
              </w:rPr>
              <w:t>E. Capital costs: Premises</w:t>
            </w:r>
          </w:p>
        </w:tc>
        <w:tc>
          <w:tcPr>
            <w:tcW w:w="1702" w:type="dxa"/>
          </w:tcPr>
          <w:p w:rsidR="006A18FD" w:rsidRDefault="006A18FD">
            <w:pPr>
              <w:spacing w:before="6"/>
              <w:rPr>
                <w:rFonts w:ascii="Cambria"/>
                <w:b/>
                <w:sz w:val="19"/>
              </w:rPr>
            </w:pPr>
          </w:p>
          <w:p w:rsidR="006A18FD" w:rsidRDefault="002D29FC">
            <w:pPr>
              <w:ind w:left="52"/>
              <w:rPr>
                <w:rFonts w:ascii="Calibri" w:hAnsi="Calibri"/>
                <w:sz w:val="18"/>
              </w:rPr>
            </w:pPr>
            <w:r>
              <w:rPr>
                <w:rFonts w:ascii="Calibri" w:hAnsi="Calibri"/>
                <w:sz w:val="18"/>
              </w:rPr>
              <w:t>£16,081 per year</w:t>
            </w:r>
          </w:p>
        </w:tc>
        <w:tc>
          <w:tcPr>
            <w:tcW w:w="6236" w:type="dxa"/>
          </w:tcPr>
          <w:p w:rsidR="006A18FD" w:rsidRDefault="002D29FC">
            <w:pPr>
              <w:spacing w:before="1"/>
              <w:ind w:left="52" w:right="61"/>
              <w:rPr>
                <w:rFonts w:ascii="Calibri"/>
                <w:sz w:val="18"/>
              </w:rPr>
            </w:pPr>
            <w:r>
              <w:rPr>
                <w:rFonts w:ascii="Calibri"/>
                <w:sz w:val="18"/>
              </w:rPr>
              <w:t>Based on new-build and land requirements for a GP practitioner suite. Capital costs have been annuitised over 60 years at a discount rate of 3.5 per cent, declining to 3</w:t>
            </w:r>
          </w:p>
          <w:p w:rsidR="006A18FD" w:rsidRDefault="002D29FC">
            <w:pPr>
              <w:spacing w:before="1" w:line="199" w:lineRule="exact"/>
              <w:ind w:left="52"/>
              <w:rPr>
                <w:rFonts w:ascii="Calibri"/>
                <w:sz w:val="12"/>
              </w:rPr>
            </w:pPr>
            <w:r>
              <w:rPr>
                <w:rFonts w:ascii="Calibri"/>
                <w:sz w:val="18"/>
              </w:rPr>
              <w:t>per cent after 30 years.</w:t>
            </w:r>
            <w:r>
              <w:rPr>
                <w:rFonts w:ascii="Calibri"/>
                <w:position w:val="5"/>
                <w:sz w:val="12"/>
              </w:rPr>
              <w:t>6,7</w:t>
            </w:r>
          </w:p>
        </w:tc>
      </w:tr>
      <w:tr w:rsidR="006A18FD">
        <w:trPr>
          <w:trHeight w:val="640"/>
        </w:trPr>
        <w:tc>
          <w:tcPr>
            <w:tcW w:w="2268" w:type="dxa"/>
          </w:tcPr>
          <w:p w:rsidR="006A18FD" w:rsidRDefault="002D29FC">
            <w:pPr>
              <w:spacing w:line="219" w:lineRule="exact"/>
              <w:ind w:left="52"/>
              <w:rPr>
                <w:rFonts w:ascii="Calibri"/>
                <w:sz w:val="18"/>
              </w:rPr>
            </w:pPr>
            <w:r>
              <w:rPr>
                <w:rFonts w:ascii="Calibri"/>
                <w:sz w:val="18"/>
              </w:rPr>
              <w:t>Working time</w:t>
            </w:r>
          </w:p>
        </w:tc>
        <w:tc>
          <w:tcPr>
            <w:tcW w:w="1702" w:type="dxa"/>
          </w:tcPr>
          <w:p w:rsidR="006A18FD" w:rsidRDefault="002D29FC">
            <w:pPr>
              <w:spacing w:line="219" w:lineRule="exact"/>
              <w:ind w:left="52"/>
              <w:rPr>
                <w:rFonts w:ascii="Calibri"/>
                <w:sz w:val="18"/>
              </w:rPr>
            </w:pPr>
            <w:r>
              <w:rPr>
                <w:rFonts w:ascii="Calibri"/>
                <w:sz w:val="18"/>
              </w:rPr>
              <w:t>42 weeks per year</w:t>
            </w:r>
          </w:p>
          <w:p w:rsidR="006A18FD" w:rsidRDefault="002D29FC">
            <w:pPr>
              <w:spacing w:before="1"/>
              <w:ind w:left="52"/>
              <w:rPr>
                <w:rFonts w:ascii="Calibri"/>
                <w:sz w:val="18"/>
              </w:rPr>
            </w:pPr>
            <w:r>
              <w:rPr>
                <w:rFonts w:ascii="Calibri"/>
                <w:sz w:val="18"/>
              </w:rPr>
              <w:t>41.4 hours per week</w:t>
            </w:r>
          </w:p>
        </w:tc>
        <w:tc>
          <w:tcPr>
            <w:tcW w:w="6236" w:type="dxa"/>
          </w:tcPr>
          <w:p w:rsidR="006A18FD" w:rsidRDefault="002D29FC">
            <w:pPr>
              <w:ind w:left="52" w:right="291"/>
              <w:rPr>
                <w:rFonts w:ascii="Calibri"/>
                <w:sz w:val="18"/>
              </w:rPr>
            </w:pPr>
            <w:r>
              <w:rPr>
                <w:rFonts w:ascii="Calibri"/>
                <w:sz w:val="18"/>
              </w:rPr>
              <w:t>Based on information taken from the 9</w:t>
            </w:r>
            <w:r>
              <w:rPr>
                <w:rFonts w:ascii="Calibri"/>
                <w:position w:val="5"/>
                <w:sz w:val="12"/>
              </w:rPr>
              <w:t xml:space="preserve">th </w:t>
            </w:r>
            <w:r>
              <w:rPr>
                <w:rFonts w:ascii="Calibri"/>
                <w:sz w:val="18"/>
              </w:rPr>
              <w:t>National GP Worklife Survey.</w:t>
            </w:r>
            <w:r>
              <w:rPr>
                <w:rFonts w:ascii="Calibri"/>
                <w:position w:val="5"/>
                <w:sz w:val="12"/>
              </w:rPr>
              <w:t xml:space="preserve">8 </w:t>
            </w:r>
            <w:r>
              <w:rPr>
                <w:rFonts w:ascii="Calibri"/>
                <w:sz w:val="18"/>
              </w:rPr>
              <w:t>Respondents to this survey reported working an average of 41.8 hours per week</w:t>
            </w:r>
          </w:p>
          <w:p w:rsidR="006A18FD" w:rsidRDefault="002D29FC">
            <w:pPr>
              <w:spacing w:before="1" w:line="198" w:lineRule="exact"/>
              <w:ind w:left="52"/>
              <w:rPr>
                <w:rFonts w:ascii="Calibri"/>
                <w:sz w:val="18"/>
              </w:rPr>
            </w:pPr>
            <w:r>
              <w:rPr>
                <w:rFonts w:ascii="Calibri"/>
                <w:sz w:val="18"/>
              </w:rPr>
              <w:t>and a mean number of 6.7 sessions.</w:t>
            </w:r>
          </w:p>
        </w:tc>
      </w:tr>
      <w:tr w:rsidR="006A18FD">
        <w:trPr>
          <w:trHeight w:val="220"/>
        </w:trPr>
        <w:tc>
          <w:tcPr>
            <w:tcW w:w="2268" w:type="dxa"/>
            <w:tcBorders>
              <w:bottom w:val="nil"/>
            </w:tcBorders>
          </w:tcPr>
          <w:p w:rsidR="006A18FD" w:rsidRDefault="002D29FC">
            <w:pPr>
              <w:spacing w:before="1" w:line="217" w:lineRule="exact"/>
              <w:ind w:left="52"/>
              <w:rPr>
                <w:rFonts w:ascii="Calibri"/>
                <w:sz w:val="18"/>
              </w:rPr>
            </w:pPr>
            <w:r>
              <w:rPr>
                <w:rFonts w:ascii="Calibri"/>
                <w:sz w:val="18"/>
              </w:rPr>
              <w:t>Ratio of direct to indirect</w:t>
            </w:r>
          </w:p>
        </w:tc>
        <w:tc>
          <w:tcPr>
            <w:tcW w:w="1702" w:type="dxa"/>
            <w:tcBorders>
              <w:bottom w:val="nil"/>
            </w:tcBorders>
          </w:tcPr>
          <w:p w:rsidR="006A18FD" w:rsidRDefault="006A18FD">
            <w:pPr>
              <w:rPr>
                <w:rFonts w:ascii="Times New Roman"/>
                <w:sz w:val="16"/>
              </w:rPr>
            </w:pPr>
          </w:p>
        </w:tc>
        <w:tc>
          <w:tcPr>
            <w:tcW w:w="6236" w:type="dxa"/>
            <w:tcBorders>
              <w:bottom w:val="nil"/>
            </w:tcBorders>
          </w:tcPr>
          <w:p w:rsidR="006A18FD" w:rsidRDefault="002D29FC">
            <w:pPr>
              <w:spacing w:before="1" w:line="217" w:lineRule="exact"/>
              <w:ind w:left="52"/>
              <w:rPr>
                <w:rFonts w:ascii="Calibri"/>
                <w:sz w:val="18"/>
              </w:rPr>
            </w:pPr>
            <w:r>
              <w:rPr>
                <w:rFonts w:ascii="Calibri"/>
                <w:sz w:val="18"/>
              </w:rPr>
              <w:t>Based on information taken from the 9</w:t>
            </w:r>
            <w:r>
              <w:rPr>
                <w:rFonts w:ascii="Calibri"/>
                <w:position w:val="5"/>
                <w:sz w:val="12"/>
              </w:rPr>
              <w:t xml:space="preserve">th </w:t>
            </w:r>
            <w:r>
              <w:rPr>
                <w:rFonts w:ascii="Calibri"/>
                <w:sz w:val="18"/>
              </w:rPr>
              <w:t>National GP Worklife Survey,</w:t>
            </w:r>
            <w:r>
              <w:rPr>
                <w:rFonts w:ascii="Calibri"/>
                <w:position w:val="5"/>
                <w:sz w:val="12"/>
              </w:rPr>
              <w:t xml:space="preserve">8 </w:t>
            </w:r>
            <w:r>
              <w:rPr>
                <w:rFonts w:ascii="Calibri"/>
                <w:sz w:val="18"/>
              </w:rPr>
              <w:t>direct</w:t>
            </w:r>
          </w:p>
        </w:tc>
      </w:tr>
      <w:tr w:rsidR="006A18FD">
        <w:trPr>
          <w:trHeight w:val="200"/>
        </w:trPr>
        <w:tc>
          <w:tcPr>
            <w:tcW w:w="2268" w:type="dxa"/>
            <w:tcBorders>
              <w:top w:val="nil"/>
              <w:bottom w:val="nil"/>
            </w:tcBorders>
          </w:tcPr>
          <w:p w:rsidR="006A18FD" w:rsidRDefault="002D29FC">
            <w:pPr>
              <w:spacing w:line="200" w:lineRule="exact"/>
              <w:ind w:left="52"/>
              <w:rPr>
                <w:rFonts w:ascii="Calibri"/>
                <w:sz w:val="18"/>
              </w:rPr>
            </w:pPr>
            <w:r>
              <w:rPr>
                <w:rFonts w:ascii="Calibri"/>
                <w:sz w:val="18"/>
              </w:rPr>
              <w:t>time:</w:t>
            </w:r>
          </w:p>
        </w:tc>
        <w:tc>
          <w:tcPr>
            <w:tcW w:w="1702" w:type="dxa"/>
            <w:tcBorders>
              <w:top w:val="nil"/>
              <w:bottom w:val="nil"/>
            </w:tcBorders>
          </w:tcPr>
          <w:p w:rsidR="006A18FD" w:rsidRDefault="006A18FD">
            <w:pPr>
              <w:rPr>
                <w:rFonts w:ascii="Times New Roman"/>
                <w:sz w:val="14"/>
              </w:rPr>
            </w:pPr>
          </w:p>
        </w:tc>
        <w:tc>
          <w:tcPr>
            <w:tcW w:w="6236" w:type="dxa"/>
            <w:tcBorders>
              <w:top w:val="nil"/>
              <w:bottom w:val="nil"/>
            </w:tcBorders>
          </w:tcPr>
          <w:p w:rsidR="006A18FD" w:rsidRDefault="002D29FC">
            <w:pPr>
              <w:spacing w:line="200" w:lineRule="exact"/>
              <w:ind w:left="52"/>
              <w:rPr>
                <w:rFonts w:ascii="Calibri"/>
                <w:sz w:val="18"/>
              </w:rPr>
            </w:pPr>
            <w:r>
              <w:rPr>
                <w:rFonts w:ascii="Calibri"/>
                <w:sz w:val="18"/>
              </w:rPr>
              <w:t>patient care (surgeries, clinics, telephone consultations &amp; home visits) took 61 per</w:t>
            </w:r>
          </w:p>
        </w:tc>
      </w:tr>
      <w:tr w:rsidR="006A18FD">
        <w:trPr>
          <w:trHeight w:val="640"/>
        </w:trPr>
        <w:tc>
          <w:tcPr>
            <w:tcW w:w="2268" w:type="dxa"/>
            <w:tcBorders>
              <w:top w:val="nil"/>
              <w:bottom w:val="nil"/>
            </w:tcBorders>
          </w:tcPr>
          <w:p w:rsidR="006A18FD" w:rsidRDefault="002D29FC">
            <w:pPr>
              <w:spacing w:before="86"/>
              <w:ind w:left="52" w:right="202"/>
              <w:rPr>
                <w:rFonts w:ascii="Calibri"/>
                <w:sz w:val="18"/>
              </w:rPr>
            </w:pPr>
            <w:r>
              <w:rPr>
                <w:rFonts w:ascii="Calibri"/>
                <w:sz w:val="18"/>
              </w:rPr>
              <w:t>face-to-face time (excludes travel time)</w:t>
            </w:r>
          </w:p>
        </w:tc>
        <w:tc>
          <w:tcPr>
            <w:tcW w:w="1702" w:type="dxa"/>
            <w:tcBorders>
              <w:top w:val="nil"/>
              <w:bottom w:val="nil"/>
            </w:tcBorders>
          </w:tcPr>
          <w:p w:rsidR="006A18FD" w:rsidRDefault="002D29FC">
            <w:pPr>
              <w:spacing w:before="86"/>
              <w:ind w:left="52"/>
              <w:rPr>
                <w:rFonts w:ascii="Calibri"/>
                <w:sz w:val="18"/>
              </w:rPr>
            </w:pPr>
            <w:r>
              <w:rPr>
                <w:rFonts w:ascii="Calibri"/>
                <w:sz w:val="18"/>
              </w:rPr>
              <w:t>1:0.64</w:t>
            </w:r>
          </w:p>
        </w:tc>
        <w:tc>
          <w:tcPr>
            <w:tcW w:w="6236" w:type="dxa"/>
            <w:tcBorders>
              <w:top w:val="nil"/>
              <w:bottom w:val="nil"/>
            </w:tcBorders>
          </w:tcPr>
          <w:p w:rsidR="006A18FD" w:rsidRDefault="002D29FC">
            <w:pPr>
              <w:spacing w:line="203" w:lineRule="exact"/>
              <w:ind w:left="52"/>
              <w:rPr>
                <w:rFonts w:ascii="Calibri" w:hAnsi="Calibri"/>
                <w:sz w:val="18"/>
              </w:rPr>
            </w:pPr>
            <w:r>
              <w:rPr>
                <w:rFonts w:ascii="Calibri" w:hAnsi="Calibri"/>
                <w:sz w:val="18"/>
              </w:rPr>
              <w:t>cent of a GP’s time. Indirect patient care (referral letters, arranging admissions)</w:t>
            </w:r>
          </w:p>
          <w:p w:rsidR="006A18FD" w:rsidRDefault="002D29FC">
            <w:pPr>
              <w:spacing w:before="1" w:line="219" w:lineRule="exact"/>
              <w:ind w:left="52"/>
              <w:rPr>
                <w:rFonts w:ascii="Calibri"/>
                <w:sz w:val="18"/>
              </w:rPr>
            </w:pPr>
            <w:r>
              <w:rPr>
                <w:rFonts w:ascii="Calibri"/>
                <w:sz w:val="18"/>
              </w:rPr>
              <w:t>absorbed 21 per cent of time. General administration (practice management etc.)</w:t>
            </w:r>
          </w:p>
          <w:p w:rsidR="006A18FD" w:rsidRDefault="002D29FC">
            <w:pPr>
              <w:spacing w:line="216" w:lineRule="exact"/>
              <w:ind w:left="52"/>
              <w:rPr>
                <w:rFonts w:ascii="Calibri"/>
                <w:sz w:val="18"/>
              </w:rPr>
            </w:pPr>
            <w:r>
              <w:rPr>
                <w:rFonts w:ascii="Calibri"/>
                <w:sz w:val="18"/>
              </w:rPr>
              <w:t>formed 8.4 per cent of time, 3.7 per cent was spent on external meetings, with</w:t>
            </w:r>
          </w:p>
        </w:tc>
      </w:tr>
      <w:tr w:rsidR="006A18FD">
        <w:trPr>
          <w:trHeight w:val="440"/>
        </w:trPr>
        <w:tc>
          <w:tcPr>
            <w:tcW w:w="2268" w:type="dxa"/>
            <w:tcBorders>
              <w:top w:val="nil"/>
              <w:bottom w:val="nil"/>
            </w:tcBorders>
          </w:tcPr>
          <w:p w:rsidR="006A18FD" w:rsidRDefault="002D29FC">
            <w:pPr>
              <w:spacing w:before="85"/>
              <w:ind w:left="52"/>
              <w:rPr>
                <w:rFonts w:ascii="Calibri"/>
                <w:sz w:val="18"/>
              </w:rPr>
            </w:pPr>
            <w:r>
              <w:rPr>
                <w:rFonts w:ascii="Calibri"/>
                <w:sz w:val="18"/>
              </w:rPr>
              <w:t>Patient-related time</w:t>
            </w:r>
          </w:p>
        </w:tc>
        <w:tc>
          <w:tcPr>
            <w:tcW w:w="1702" w:type="dxa"/>
            <w:tcBorders>
              <w:top w:val="nil"/>
              <w:bottom w:val="nil"/>
            </w:tcBorders>
          </w:tcPr>
          <w:p w:rsidR="006A18FD" w:rsidRDefault="002D29FC">
            <w:pPr>
              <w:spacing w:before="85"/>
              <w:ind w:left="52"/>
              <w:rPr>
                <w:rFonts w:ascii="Calibri"/>
                <w:sz w:val="18"/>
              </w:rPr>
            </w:pPr>
            <w:r>
              <w:rPr>
                <w:rFonts w:ascii="Calibri"/>
                <w:sz w:val="18"/>
              </w:rPr>
              <w:t>1:0.22</w:t>
            </w:r>
          </w:p>
        </w:tc>
        <w:tc>
          <w:tcPr>
            <w:tcW w:w="6236" w:type="dxa"/>
            <w:tcBorders>
              <w:top w:val="nil"/>
              <w:bottom w:val="nil"/>
            </w:tcBorders>
          </w:tcPr>
          <w:p w:rsidR="006A18FD" w:rsidRDefault="002D29FC">
            <w:pPr>
              <w:spacing w:line="204" w:lineRule="exact"/>
              <w:ind w:left="52"/>
              <w:rPr>
                <w:rFonts w:ascii="Calibri"/>
                <w:sz w:val="18"/>
              </w:rPr>
            </w:pPr>
            <w:r>
              <w:rPr>
                <w:rFonts w:ascii="Calibri"/>
                <w:sz w:val="18"/>
              </w:rPr>
              <w:t>other activities (continuing education/development, research, teaching etc.) taking</w:t>
            </w:r>
          </w:p>
          <w:p w:rsidR="006A18FD" w:rsidRDefault="002D29FC">
            <w:pPr>
              <w:spacing w:before="1" w:line="216" w:lineRule="exact"/>
              <w:ind w:left="52"/>
              <w:rPr>
                <w:rFonts w:ascii="Calibri" w:hAnsi="Calibri"/>
                <w:sz w:val="18"/>
              </w:rPr>
            </w:pPr>
            <w:r>
              <w:rPr>
                <w:rFonts w:ascii="Calibri" w:hAnsi="Calibri"/>
                <w:sz w:val="18"/>
              </w:rPr>
              <w:t>5.9 per cent of a GP’s time. No information was available on the percentage time</w:t>
            </w:r>
          </w:p>
        </w:tc>
      </w:tr>
      <w:tr w:rsidR="006A18FD">
        <w:trPr>
          <w:trHeight w:val="200"/>
        </w:trPr>
        <w:tc>
          <w:tcPr>
            <w:tcW w:w="2268" w:type="dxa"/>
            <w:tcBorders>
              <w:top w:val="nil"/>
            </w:tcBorders>
          </w:tcPr>
          <w:p w:rsidR="006A18FD" w:rsidRDefault="006A18FD">
            <w:pPr>
              <w:rPr>
                <w:rFonts w:ascii="Times New Roman"/>
                <w:sz w:val="14"/>
              </w:rPr>
            </w:pPr>
          </w:p>
        </w:tc>
        <w:tc>
          <w:tcPr>
            <w:tcW w:w="1702" w:type="dxa"/>
            <w:tcBorders>
              <w:top w:val="nil"/>
            </w:tcBorders>
          </w:tcPr>
          <w:p w:rsidR="006A18FD" w:rsidRDefault="006A18FD">
            <w:pPr>
              <w:rPr>
                <w:rFonts w:ascii="Times New Roman"/>
                <w:sz w:val="14"/>
              </w:rPr>
            </w:pPr>
          </w:p>
        </w:tc>
        <w:tc>
          <w:tcPr>
            <w:tcW w:w="6236" w:type="dxa"/>
            <w:tcBorders>
              <w:top w:val="nil"/>
            </w:tcBorders>
          </w:tcPr>
          <w:p w:rsidR="006A18FD" w:rsidRDefault="002D29FC">
            <w:pPr>
              <w:spacing w:line="182" w:lineRule="exact"/>
              <w:ind w:left="52"/>
              <w:rPr>
                <w:rFonts w:ascii="Calibri"/>
                <w:sz w:val="18"/>
              </w:rPr>
            </w:pPr>
            <w:r>
              <w:rPr>
                <w:rFonts w:ascii="Calibri"/>
                <w:sz w:val="18"/>
              </w:rPr>
              <w:t>allocated to out-of-surgery visits.</w:t>
            </w:r>
          </w:p>
        </w:tc>
      </w:tr>
      <w:tr w:rsidR="006A18FD">
        <w:trPr>
          <w:trHeight w:val="1300"/>
        </w:trPr>
        <w:tc>
          <w:tcPr>
            <w:tcW w:w="2268" w:type="dxa"/>
          </w:tcPr>
          <w:p w:rsidR="006A18FD" w:rsidRDefault="002D29FC">
            <w:pPr>
              <w:spacing w:before="1"/>
              <w:ind w:left="52"/>
              <w:rPr>
                <w:rFonts w:ascii="Calibri"/>
                <w:b/>
                <w:sz w:val="18"/>
              </w:rPr>
            </w:pPr>
            <w:r>
              <w:rPr>
                <w:rFonts w:ascii="Calibri"/>
                <w:b/>
                <w:sz w:val="18"/>
              </w:rPr>
              <w:t>Consultations:</w:t>
            </w:r>
          </w:p>
          <w:p w:rsidR="006A18FD" w:rsidRDefault="002D29FC">
            <w:pPr>
              <w:spacing w:before="10"/>
              <w:ind w:left="52"/>
              <w:rPr>
                <w:rFonts w:ascii="Calibri"/>
                <w:sz w:val="18"/>
              </w:rPr>
            </w:pPr>
            <w:r>
              <w:rPr>
                <w:rFonts w:ascii="Calibri"/>
                <w:sz w:val="18"/>
              </w:rPr>
              <w:t>Surgery</w:t>
            </w:r>
          </w:p>
        </w:tc>
        <w:tc>
          <w:tcPr>
            <w:tcW w:w="1702" w:type="dxa"/>
          </w:tcPr>
          <w:p w:rsidR="006A18FD" w:rsidRDefault="006A18FD">
            <w:pPr>
              <w:spacing w:before="8"/>
              <w:rPr>
                <w:rFonts w:ascii="Cambria"/>
                <w:b/>
                <w:sz w:val="19"/>
              </w:rPr>
            </w:pPr>
          </w:p>
          <w:p w:rsidR="006A18FD" w:rsidRDefault="002D29FC">
            <w:pPr>
              <w:spacing w:before="1"/>
              <w:ind w:left="52"/>
              <w:rPr>
                <w:rFonts w:ascii="Calibri"/>
                <w:sz w:val="18"/>
              </w:rPr>
            </w:pPr>
            <w:r>
              <w:rPr>
                <w:rFonts w:ascii="Calibri"/>
                <w:sz w:val="18"/>
              </w:rPr>
              <w:t>9.22 minutes</w:t>
            </w:r>
          </w:p>
        </w:tc>
        <w:tc>
          <w:tcPr>
            <w:tcW w:w="6236" w:type="dxa"/>
          </w:tcPr>
          <w:p w:rsidR="006A18FD" w:rsidRDefault="006A18FD">
            <w:pPr>
              <w:spacing w:before="8"/>
              <w:rPr>
                <w:rFonts w:ascii="Cambria"/>
                <w:b/>
                <w:sz w:val="18"/>
              </w:rPr>
            </w:pPr>
          </w:p>
          <w:p w:rsidR="006A18FD" w:rsidRDefault="002D29FC">
            <w:pPr>
              <w:ind w:left="52" w:right="47"/>
              <w:rPr>
                <w:rFonts w:ascii="Calibri"/>
                <w:sz w:val="18"/>
              </w:rPr>
            </w:pPr>
            <w:r>
              <w:rPr>
                <w:rFonts w:ascii="Calibri"/>
                <w:sz w:val="18"/>
              </w:rPr>
              <w:t>Based on a study carried out by Hobbs et al. (2016) of 398 English general practices,</w:t>
            </w:r>
            <w:r>
              <w:rPr>
                <w:rFonts w:ascii="Calibri"/>
                <w:position w:val="5"/>
                <w:sz w:val="12"/>
              </w:rPr>
              <w:t xml:space="preserve">9 </w:t>
            </w:r>
            <w:r>
              <w:rPr>
                <w:rFonts w:ascii="Calibri"/>
                <w:sz w:val="18"/>
              </w:rPr>
              <w:t>the mean duration of a GP surgery consultation was 9.22 minutes. Based on research carried out by Elmore et al. (2016)</w:t>
            </w:r>
            <w:r>
              <w:rPr>
                <w:rFonts w:ascii="Calibri"/>
                <w:position w:val="5"/>
                <w:sz w:val="12"/>
              </w:rPr>
              <w:t xml:space="preserve">10 </w:t>
            </w:r>
            <w:r>
              <w:rPr>
                <w:rFonts w:ascii="Calibri"/>
                <w:sz w:val="18"/>
              </w:rPr>
              <w:t>in which 440 video-recorded consultations were analysed from 13 primary care practices in England, the mean</w:t>
            </w:r>
          </w:p>
          <w:p w:rsidR="006A18FD" w:rsidRDefault="002D29FC">
            <w:pPr>
              <w:spacing w:line="199" w:lineRule="exact"/>
              <w:ind w:left="52"/>
              <w:rPr>
                <w:rFonts w:ascii="Calibri"/>
                <w:sz w:val="18"/>
              </w:rPr>
            </w:pPr>
            <w:r>
              <w:rPr>
                <w:rFonts w:ascii="Calibri"/>
                <w:sz w:val="18"/>
              </w:rPr>
              <w:t>consultation length was 10.22 minutes.</w:t>
            </w:r>
          </w:p>
        </w:tc>
      </w:tr>
      <w:tr w:rsidR="006A18FD">
        <w:trPr>
          <w:trHeight w:val="200"/>
        </w:trPr>
        <w:tc>
          <w:tcPr>
            <w:tcW w:w="10207" w:type="dxa"/>
            <w:gridSpan w:val="3"/>
          </w:tcPr>
          <w:p w:rsidR="006A18FD" w:rsidRDefault="002D29FC">
            <w:pPr>
              <w:spacing w:line="199" w:lineRule="exact"/>
              <w:ind w:left="52"/>
              <w:rPr>
                <w:rFonts w:ascii="Calibri"/>
                <w:b/>
                <w:sz w:val="18"/>
              </w:rPr>
            </w:pPr>
            <w:r>
              <w:rPr>
                <w:rFonts w:ascii="Calibri"/>
                <w:b/>
                <w:sz w:val="18"/>
              </w:rPr>
              <w:t>Unit costs for 2018/2019 are given in table 10.3b</w:t>
            </w:r>
          </w:p>
        </w:tc>
      </w:tr>
    </w:tbl>
    <w:p w:rsidR="006A18FD" w:rsidRDefault="006A18FD">
      <w:pPr>
        <w:rPr>
          <w:rFonts w:ascii="Cambria"/>
          <w:b/>
          <w:sz w:val="26"/>
        </w:rPr>
      </w:pPr>
    </w:p>
    <w:p w:rsidR="006A18FD" w:rsidRDefault="006A18FD">
      <w:pPr>
        <w:rPr>
          <w:rFonts w:ascii="Cambria"/>
          <w:b/>
          <w:sz w:val="26"/>
        </w:rPr>
      </w:pPr>
    </w:p>
    <w:p w:rsidR="006A18FD" w:rsidRDefault="006A18FD">
      <w:pPr>
        <w:spacing w:before="5"/>
        <w:rPr>
          <w:rFonts w:ascii="Cambria"/>
          <w:b/>
          <w:sz w:val="23"/>
        </w:rPr>
      </w:pPr>
    </w:p>
    <w:p w:rsidR="006A18FD" w:rsidRDefault="002D29FC">
      <w:pPr>
        <w:ind w:left="436" w:right="781" w:hanging="284"/>
        <w:rPr>
          <w:rFonts w:ascii="Calibri"/>
          <w:sz w:val="16"/>
        </w:rPr>
      </w:pPr>
      <w:r>
        <w:rPr>
          <w:rFonts w:ascii="Calibri"/>
          <w:position w:val="5"/>
          <w:sz w:val="10"/>
        </w:rPr>
        <w:t xml:space="preserve">1 </w:t>
      </w:r>
      <w:r>
        <w:rPr>
          <w:rFonts w:ascii="Calibri"/>
          <w:sz w:val="16"/>
        </w:rPr>
        <w:t xml:space="preserve">NHS Digital (2019) </w:t>
      </w:r>
      <w:r>
        <w:rPr>
          <w:rFonts w:ascii="Calibri"/>
          <w:i/>
          <w:sz w:val="16"/>
        </w:rPr>
        <w:t>GP earnings and expenses 2017/18</w:t>
      </w:r>
      <w:r>
        <w:rPr>
          <w:rFonts w:ascii="Calibri"/>
          <w:sz w:val="16"/>
        </w:rPr>
        <w:t xml:space="preserve">, NHS Digital, Leeds. </w:t>
      </w:r>
      <w:hyperlink r:id="rId342">
        <w:r>
          <w:rPr>
            <w:rFonts w:ascii="Calibri"/>
            <w:sz w:val="16"/>
            <w:u w:val="single"/>
          </w:rPr>
          <w:t>https://digital.nhs.uk/data-and-information/publications/statistical/gp-</w:t>
        </w:r>
      </w:hyperlink>
      <w:r>
        <w:rPr>
          <w:rFonts w:ascii="Calibri"/>
          <w:sz w:val="16"/>
        </w:rPr>
        <w:t xml:space="preserve"> </w:t>
      </w:r>
      <w:hyperlink r:id="rId343">
        <w:r>
          <w:rPr>
            <w:rFonts w:ascii="Calibri"/>
            <w:sz w:val="16"/>
            <w:u w:val="single"/>
          </w:rPr>
          <w:t>earnings-and-expenses-estimates</w:t>
        </w:r>
        <w:r>
          <w:rPr>
            <w:rFonts w:ascii="Calibri"/>
            <w:sz w:val="16"/>
          </w:rPr>
          <w:t xml:space="preserve"> </w:t>
        </w:r>
      </w:hyperlink>
      <w:r>
        <w:rPr>
          <w:rFonts w:ascii="Calibri"/>
          <w:sz w:val="16"/>
        </w:rPr>
        <w:t>[accessed 18 September, 2019].</w:t>
      </w:r>
    </w:p>
    <w:p w:rsidR="006A18FD" w:rsidRDefault="00E60AD2">
      <w:pPr>
        <w:ind w:left="436" w:right="659" w:hanging="284"/>
        <w:rPr>
          <w:rFonts w:ascii="Calibri"/>
          <w:sz w:val="16"/>
        </w:rPr>
      </w:pPr>
      <w:r>
        <w:rPr>
          <w:noProof/>
          <w:lang w:val="en-GB" w:eastAsia="en-GB"/>
        </w:rPr>
        <mc:AlternateContent>
          <mc:Choice Requires="wps">
            <w:drawing>
              <wp:anchor distT="0" distB="0" distL="114300" distR="114300" simplePos="0" relativeHeight="251612160" behindDoc="1" locked="0" layoutInCell="1" allowOverlap="1">
                <wp:simplePos x="0" y="0"/>
                <wp:positionH relativeFrom="page">
                  <wp:posOffset>899160</wp:posOffset>
                </wp:positionH>
                <wp:positionV relativeFrom="paragraph">
                  <wp:posOffset>235585</wp:posOffset>
                </wp:positionV>
                <wp:extent cx="5114290" cy="0"/>
                <wp:effectExtent l="13335" t="6985" r="6350" b="12065"/>
                <wp:wrapNone/>
                <wp:docPr id="2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5D254" id="Line 80"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8.55pt" to="47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X0FgIAACsEAAAOAAAAZHJzL2Uyb0RvYy54bWysU02P2yAQvVfqf0DcE3+sN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" strokeweight=".48pt">
                <w10:wrap anchorx="page"/>
              </v:line>
            </w:pict>
          </mc:Fallback>
        </mc:AlternateContent>
      </w:r>
      <w:r w:rsidR="002D29FC">
        <w:rPr>
          <w:rFonts w:ascii="Calibri"/>
          <w:position w:val="5"/>
          <w:sz w:val="10"/>
        </w:rPr>
        <w:t xml:space="preserve">2 </w:t>
      </w:r>
      <w:r w:rsidR="002D29FC">
        <w:rPr>
          <w:rFonts w:ascii="Calibri"/>
          <w:sz w:val="16"/>
        </w:rPr>
        <w:t xml:space="preserve">NHS Digital (2019) </w:t>
      </w:r>
      <w:r w:rsidR="002D29FC">
        <w:rPr>
          <w:rFonts w:ascii="Calibri"/>
          <w:i/>
          <w:sz w:val="16"/>
        </w:rPr>
        <w:t xml:space="preserve">General Practice Workforce, Final 31 March 2019, experimental statistics, England, </w:t>
      </w:r>
      <w:r w:rsidR="002D29FC">
        <w:rPr>
          <w:rFonts w:ascii="Calibri"/>
          <w:sz w:val="16"/>
        </w:rPr>
        <w:t>NHS Digital,</w:t>
      </w:r>
      <w:hyperlink r:id="rId344">
        <w:r w:rsidR="002D29FC">
          <w:rPr>
            <w:rFonts w:ascii="Calibri"/>
            <w:sz w:val="16"/>
            <w:u w:val="single"/>
          </w:rPr>
          <w:t xml:space="preserve"> https://digital.nhs.uk/data-and-</w:t>
        </w:r>
      </w:hyperlink>
      <w:r w:rsidR="002D29FC">
        <w:rPr>
          <w:rFonts w:ascii="Calibri"/>
          <w:sz w:val="16"/>
        </w:rPr>
        <w:t xml:space="preserve"> </w:t>
      </w:r>
      <w:hyperlink r:id="rId345">
        <w:r w:rsidR="002D29FC">
          <w:rPr>
            <w:rFonts w:ascii="Calibri"/>
            <w:sz w:val="16"/>
          </w:rPr>
          <w:t xml:space="preserve">information/publications/statistical/general-and-personal-medical-services/final-31-march-2019-experimental-statistics  [18  </w:t>
        </w:r>
      </w:hyperlink>
      <w:r w:rsidR="002D29FC">
        <w:rPr>
          <w:rFonts w:ascii="Calibri"/>
          <w:sz w:val="16"/>
        </w:rPr>
        <w:t>September, 2019].</w:t>
      </w:r>
    </w:p>
    <w:p w:rsidR="006A18FD" w:rsidRDefault="002D29FC">
      <w:pPr>
        <w:spacing w:before="2" w:line="195" w:lineRule="exact"/>
        <w:ind w:left="152"/>
        <w:rPr>
          <w:rFonts w:ascii="Calibri"/>
          <w:sz w:val="16"/>
        </w:rPr>
      </w:pPr>
      <w:r>
        <w:rPr>
          <w:rFonts w:ascii="Calibri"/>
          <w:position w:val="5"/>
          <w:sz w:val="10"/>
        </w:rPr>
        <w:t xml:space="preserve">3 </w:t>
      </w:r>
      <w:r>
        <w:rPr>
          <w:rFonts w:ascii="Calibri"/>
          <w:sz w:val="16"/>
        </w:rPr>
        <w:t>Based on personal correspondence with the Chairman of the East Midlands Regional Council, British Medical Association.</w:t>
      </w:r>
    </w:p>
    <w:p w:rsidR="006A18FD" w:rsidRDefault="002D29FC">
      <w:pPr>
        <w:ind w:left="436" w:right="353" w:hanging="284"/>
        <w:rPr>
          <w:rFonts w:ascii="Calibri"/>
          <w:sz w:val="16"/>
        </w:rPr>
      </w:pPr>
      <w:r>
        <w:rPr>
          <w:rFonts w:ascii="Calibri"/>
          <w:position w:val="5"/>
          <w:sz w:val="10"/>
        </w:rPr>
        <w:t xml:space="preserve">4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1" w:line="194" w:lineRule="exact"/>
        <w:ind w:left="152"/>
        <w:rPr>
          <w:rFonts w:ascii="Calibri"/>
          <w:sz w:val="16"/>
        </w:rPr>
      </w:pPr>
      <w:r>
        <w:rPr>
          <w:rFonts w:ascii="Calibri"/>
          <w:position w:val="5"/>
          <w:sz w:val="10"/>
        </w:rPr>
        <w:t xml:space="preserve">5 </w:t>
      </w:r>
      <w:r>
        <w:rPr>
          <w:rFonts w:ascii="Calibri"/>
          <w:sz w:val="16"/>
        </w:rPr>
        <w:t>Personal communication with the Department of Health and Health Education England (HEE), 2015.</w:t>
      </w:r>
    </w:p>
    <w:p w:rsidR="006A18FD" w:rsidRDefault="002D29FC">
      <w:pPr>
        <w:spacing w:line="195" w:lineRule="exact"/>
        <w:ind w:left="152"/>
        <w:rPr>
          <w:rFonts w:ascii="Calibri"/>
          <w:sz w:val="16"/>
        </w:rPr>
      </w:pPr>
      <w:r>
        <w:rPr>
          <w:rFonts w:ascii="Calibri"/>
          <w:position w:val="5"/>
          <w:sz w:val="10"/>
        </w:rPr>
        <w:t xml:space="preserve">6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36" w:right="1844" w:hanging="284"/>
        <w:rPr>
          <w:rFonts w:ascii="Calibri"/>
          <w:sz w:val="16"/>
        </w:rPr>
      </w:pPr>
      <w:r>
        <w:rPr>
          <w:rFonts w:ascii="Calibri"/>
          <w:position w:val="5"/>
          <w:sz w:val="10"/>
        </w:rPr>
        <w:t xml:space="preserve">7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46">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ind w:left="436" w:right="1683" w:hanging="284"/>
        <w:rPr>
          <w:rFonts w:ascii="Calibri"/>
          <w:sz w:val="16"/>
        </w:rPr>
      </w:pPr>
      <w:r>
        <w:rPr>
          <w:rFonts w:ascii="Calibri"/>
          <w:position w:val="5"/>
          <w:sz w:val="10"/>
        </w:rPr>
        <w:t xml:space="preserve">8 </w:t>
      </w:r>
      <w:r>
        <w:rPr>
          <w:rFonts w:ascii="Calibri"/>
          <w:sz w:val="16"/>
        </w:rPr>
        <w:t xml:space="preserve">Gibson, J., Sutton, M., Spooner, S., &amp; Checkland, K. (2018) </w:t>
      </w:r>
      <w:r>
        <w:rPr>
          <w:rFonts w:ascii="Calibri"/>
          <w:i/>
          <w:sz w:val="16"/>
        </w:rPr>
        <w:t>Ninth national GP worklife survey</w:t>
      </w:r>
      <w:r>
        <w:rPr>
          <w:rFonts w:ascii="Calibri"/>
          <w:sz w:val="16"/>
        </w:rPr>
        <w:t xml:space="preserve">, University of Manchester, Manchester. </w:t>
      </w:r>
      <w:hyperlink r:id="rId347">
        <w:r>
          <w:rPr>
            <w:rFonts w:ascii="Calibri"/>
            <w:sz w:val="16"/>
            <w:u w:val="single"/>
          </w:rPr>
          <w:t>http://blogs.lshtm.ac.uk/prucomm/files/2018/05/Ninth-National-GP-Worklife-Survey.pdf</w:t>
        </w:r>
        <w:r>
          <w:rPr>
            <w:rFonts w:ascii="Calibri"/>
            <w:sz w:val="16"/>
          </w:rPr>
          <w:t xml:space="preserve"> </w:t>
        </w:r>
      </w:hyperlink>
      <w:r>
        <w:rPr>
          <w:rFonts w:ascii="Calibri"/>
          <w:sz w:val="16"/>
        </w:rPr>
        <w:t>[accessed 19 September 2018].]</w:t>
      </w:r>
    </w:p>
    <w:p w:rsidR="006A18FD" w:rsidRDefault="002D29FC">
      <w:pPr>
        <w:ind w:left="436" w:right="592" w:hanging="284"/>
        <w:rPr>
          <w:rFonts w:ascii="Calibri"/>
          <w:sz w:val="16"/>
        </w:rPr>
      </w:pPr>
      <w:r>
        <w:rPr>
          <w:rFonts w:ascii="Calibri"/>
          <w:position w:val="5"/>
          <w:sz w:val="10"/>
        </w:rPr>
        <w:t xml:space="preserve">9 </w:t>
      </w:r>
      <w:r>
        <w:rPr>
          <w:rFonts w:ascii="Calibri"/>
          <w:sz w:val="16"/>
        </w:rPr>
        <w:t xml:space="preserve">Hobbs, R. Bankhead, C. Mukhtar, T., Stevens, S. Perera-Salazar, R. Holt, T., &amp; Salisbury, C. (2016) Clinical workload in UK primary care: a retrospective analysis of 100 million consultations in England, 2007-14, </w:t>
      </w:r>
      <w:r>
        <w:rPr>
          <w:rFonts w:ascii="Calibri"/>
          <w:i/>
          <w:sz w:val="16"/>
        </w:rPr>
        <w:t>The Lancet</w:t>
      </w:r>
      <w:r>
        <w:rPr>
          <w:rFonts w:ascii="Calibri"/>
          <w:sz w:val="16"/>
        </w:rPr>
        <w:t>, 387, 10035, 2323-2330.</w:t>
      </w:r>
    </w:p>
    <w:p w:rsidR="006A18FD" w:rsidRDefault="00E60AD2">
      <w:pPr>
        <w:spacing w:line="194" w:lineRule="exact"/>
        <w:ind w:left="436"/>
        <w:rPr>
          <w:rFonts w:ascii="Calibri"/>
          <w:sz w:val="16"/>
        </w:rPr>
      </w:pPr>
      <w:hyperlink r:id="rId348">
        <w:r w:rsidR="002D29FC">
          <w:rPr>
            <w:rFonts w:ascii="Calibri"/>
            <w:sz w:val="16"/>
            <w:u w:val="single"/>
          </w:rPr>
          <w:t>http://www.sciencedirect.com/science/article/pii/S0140673616006206</w:t>
        </w:r>
        <w:r w:rsidR="002D29FC">
          <w:rPr>
            <w:rFonts w:ascii="Calibri"/>
            <w:sz w:val="16"/>
          </w:rPr>
          <w:t xml:space="preserve">. </w:t>
        </w:r>
      </w:hyperlink>
      <w:r w:rsidR="002D29FC">
        <w:rPr>
          <w:rFonts w:ascii="Calibri"/>
          <w:sz w:val="16"/>
        </w:rPr>
        <w:t>[accessed 17 October 2016]</w:t>
      </w:r>
    </w:p>
    <w:p w:rsidR="006A18FD" w:rsidRDefault="002D29FC">
      <w:pPr>
        <w:ind w:left="436" w:right="353" w:hanging="284"/>
        <w:rPr>
          <w:rFonts w:ascii="Calibri"/>
          <w:sz w:val="16"/>
        </w:rPr>
      </w:pPr>
      <w:r>
        <w:rPr>
          <w:rFonts w:ascii="Calibri"/>
          <w:position w:val="5"/>
          <w:sz w:val="10"/>
        </w:rPr>
        <w:t xml:space="preserve">10 </w:t>
      </w:r>
      <w:r>
        <w:rPr>
          <w:rFonts w:ascii="Calibri"/>
          <w:sz w:val="16"/>
        </w:rPr>
        <w:t xml:space="preserve">Elmore, N., Burt, J., Abel, G., Maratos, F., Montague, J., Campbell, J. &amp; Roland, M. (2016) Investigating the relationship between consultation length and patient experience: a cross-sectional study in primary care, </w:t>
      </w:r>
      <w:r>
        <w:rPr>
          <w:rFonts w:ascii="Calibri"/>
          <w:i/>
          <w:sz w:val="16"/>
        </w:rPr>
        <w:t>British Journal of General Practice</w:t>
      </w:r>
      <w:r>
        <w:rPr>
          <w:rFonts w:ascii="Calibri"/>
          <w:sz w:val="16"/>
        </w:rPr>
        <w:t>, DOI: 10.3399/bjgp 16X687733.</w:t>
      </w:r>
    </w:p>
    <w:p w:rsidR="006A18FD" w:rsidRDefault="006A18FD">
      <w:pPr>
        <w:rPr>
          <w:rFonts w:ascii="Calibri"/>
          <w:sz w:val="16"/>
        </w:rPr>
        <w:sectPr w:rsidR="006A18FD">
          <w:pgSz w:w="11910" w:h="16840"/>
          <w:pgMar w:top="960" w:right="44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22" name="Line 7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B9FD36" id="Group 7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AY/KRXfQIAAH8FAAAO&#10;AAAAAAAAAAAAAAAAAC4CAABkcnMvZTJvRG9jLnhtbFBLAQItABQABgAIAAAAIQAtd+Rc2gAAAAQB&#10;AAAPAAAAAAAAAAAAAAAAANcEAABkcnMvZG93bnJldi54bWxQSwUGAAAAAAQABADzAAAA3gUAAAAA&#10;">
                <v:line id="Line 7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w10:anchorlock/>
              </v:group>
            </w:pict>
          </mc:Fallback>
        </mc:AlternateContent>
      </w:r>
    </w:p>
    <w:p w:rsidR="006A18FD" w:rsidRDefault="002D29FC" w:rsidP="00610F71">
      <w:pPr>
        <w:pStyle w:val="Heading3"/>
      </w:pPr>
      <w:r>
        <w:t>10.3b General practitioner — unit costs</w:t>
      </w:r>
    </w:p>
    <w:p w:rsidR="006A18FD" w:rsidRDefault="006A18FD">
      <w:pPr>
        <w:spacing w:before="2" w:after="1"/>
        <w:rPr>
          <w:rFonts w:ascii="Cambria"/>
          <w:b/>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772"/>
        <w:gridCol w:w="1642"/>
        <w:gridCol w:w="1892"/>
        <w:gridCol w:w="1771"/>
      </w:tblGrid>
      <w:tr w:rsidR="006A18FD" w:rsidTr="00E2663F">
        <w:trPr>
          <w:trHeight w:val="360"/>
          <w:tblHeader/>
        </w:trPr>
        <w:tc>
          <w:tcPr>
            <w:tcW w:w="2967" w:type="dxa"/>
            <w:vMerge w:val="restart"/>
          </w:tcPr>
          <w:p w:rsidR="006A18FD" w:rsidRDefault="002D29FC">
            <w:pPr>
              <w:spacing w:before="3"/>
              <w:ind w:left="103"/>
              <w:rPr>
                <w:rFonts w:ascii="Calibri"/>
                <w:b/>
                <w:sz w:val="20"/>
              </w:rPr>
            </w:pPr>
            <w:r>
              <w:rPr>
                <w:rFonts w:ascii="Calibri"/>
                <w:b/>
                <w:sz w:val="20"/>
              </w:rPr>
              <w:t>Unit cost 2018/2019</w:t>
            </w:r>
          </w:p>
        </w:tc>
        <w:tc>
          <w:tcPr>
            <w:tcW w:w="3414" w:type="dxa"/>
            <w:gridSpan w:val="2"/>
          </w:tcPr>
          <w:p w:rsidR="006A18FD" w:rsidRDefault="002D29FC">
            <w:pPr>
              <w:spacing w:before="3"/>
              <w:ind w:left="415"/>
              <w:rPr>
                <w:rFonts w:ascii="Calibri"/>
                <w:b/>
                <w:sz w:val="20"/>
              </w:rPr>
            </w:pPr>
            <w:r>
              <w:rPr>
                <w:rFonts w:ascii="Calibri"/>
                <w:b/>
                <w:sz w:val="20"/>
              </w:rPr>
              <w:t>Including direct care staff costs</w:t>
            </w:r>
          </w:p>
        </w:tc>
        <w:tc>
          <w:tcPr>
            <w:tcW w:w="3663" w:type="dxa"/>
            <w:gridSpan w:val="2"/>
          </w:tcPr>
          <w:p w:rsidR="006A18FD" w:rsidRDefault="002D29FC">
            <w:pPr>
              <w:spacing w:before="3"/>
              <w:ind w:left="525"/>
              <w:rPr>
                <w:rFonts w:ascii="Calibri"/>
                <w:b/>
                <w:sz w:val="20"/>
              </w:rPr>
            </w:pPr>
            <w:r>
              <w:rPr>
                <w:rFonts w:ascii="Calibri"/>
                <w:b/>
                <w:sz w:val="20"/>
              </w:rPr>
              <w:t>Excluding direct care staff costs</w:t>
            </w:r>
          </w:p>
        </w:tc>
      </w:tr>
      <w:tr w:rsidR="006A18FD" w:rsidTr="00E2663F">
        <w:trPr>
          <w:trHeight w:val="720"/>
          <w:tblHeader/>
        </w:trPr>
        <w:tc>
          <w:tcPr>
            <w:tcW w:w="2967" w:type="dxa"/>
            <w:vMerge/>
            <w:tcBorders>
              <w:top w:val="nil"/>
            </w:tcBorders>
          </w:tcPr>
          <w:p w:rsidR="006A18FD" w:rsidRDefault="006A18FD">
            <w:pPr>
              <w:rPr>
                <w:sz w:val="2"/>
                <w:szCs w:val="2"/>
              </w:rPr>
            </w:pPr>
          </w:p>
        </w:tc>
        <w:tc>
          <w:tcPr>
            <w:tcW w:w="1772" w:type="dxa"/>
          </w:tcPr>
          <w:p w:rsidR="006A18FD" w:rsidRDefault="002D29FC">
            <w:pPr>
              <w:spacing w:before="1"/>
              <w:ind w:left="674" w:right="137" w:hanging="519"/>
              <w:rPr>
                <w:rFonts w:ascii="Calibri"/>
                <w:sz w:val="20"/>
              </w:rPr>
            </w:pPr>
            <w:r>
              <w:rPr>
                <w:rFonts w:ascii="Calibri"/>
                <w:sz w:val="20"/>
              </w:rPr>
              <w:t>With qualification costs</w:t>
            </w:r>
          </w:p>
        </w:tc>
        <w:tc>
          <w:tcPr>
            <w:tcW w:w="1642" w:type="dxa"/>
          </w:tcPr>
          <w:p w:rsidR="006A18FD" w:rsidRDefault="002D29FC">
            <w:pPr>
              <w:spacing w:before="1" w:line="240" w:lineRule="atLeast"/>
              <w:ind w:left="311" w:right="311" w:hanging="3"/>
              <w:jc w:val="center"/>
              <w:rPr>
                <w:rFonts w:ascii="Calibri"/>
                <w:sz w:val="20"/>
              </w:rPr>
            </w:pPr>
            <w:r>
              <w:rPr>
                <w:rFonts w:ascii="Calibri"/>
                <w:sz w:val="20"/>
              </w:rPr>
              <w:t xml:space="preserve">Without </w:t>
            </w:r>
            <w:r>
              <w:rPr>
                <w:rFonts w:ascii="Calibri"/>
                <w:w w:val="95"/>
                <w:sz w:val="20"/>
              </w:rPr>
              <w:t xml:space="preserve">qualification </w:t>
            </w:r>
            <w:r>
              <w:rPr>
                <w:rFonts w:ascii="Calibri"/>
                <w:sz w:val="20"/>
              </w:rPr>
              <w:t>costs</w:t>
            </w:r>
          </w:p>
        </w:tc>
        <w:tc>
          <w:tcPr>
            <w:tcW w:w="1892" w:type="dxa"/>
          </w:tcPr>
          <w:p w:rsidR="006A18FD" w:rsidRDefault="002D29FC">
            <w:pPr>
              <w:spacing w:before="1"/>
              <w:ind w:left="734" w:right="197" w:hanging="519"/>
              <w:rPr>
                <w:rFonts w:ascii="Calibri"/>
                <w:sz w:val="20"/>
              </w:rPr>
            </w:pPr>
            <w:r>
              <w:rPr>
                <w:rFonts w:ascii="Calibri"/>
                <w:sz w:val="20"/>
              </w:rPr>
              <w:t>With qualification costs</w:t>
            </w:r>
          </w:p>
        </w:tc>
        <w:tc>
          <w:tcPr>
            <w:tcW w:w="1771" w:type="dxa"/>
          </w:tcPr>
          <w:p w:rsidR="006A18FD" w:rsidRDefault="002D29FC">
            <w:pPr>
              <w:spacing w:before="1"/>
              <w:ind w:left="146" w:firstLine="396"/>
              <w:rPr>
                <w:rFonts w:ascii="Calibri"/>
                <w:sz w:val="20"/>
              </w:rPr>
            </w:pPr>
            <w:r>
              <w:rPr>
                <w:rFonts w:ascii="Calibri"/>
                <w:sz w:val="20"/>
              </w:rPr>
              <w:t>Without qualification costs</w:t>
            </w:r>
          </w:p>
        </w:tc>
      </w:tr>
      <w:tr w:rsidR="006A18FD">
        <w:trPr>
          <w:trHeight w:val="239"/>
        </w:trPr>
        <w:tc>
          <w:tcPr>
            <w:tcW w:w="2967" w:type="dxa"/>
          </w:tcPr>
          <w:p w:rsidR="006A18FD" w:rsidRDefault="002D29FC">
            <w:pPr>
              <w:spacing w:line="223" w:lineRule="exact"/>
              <w:ind w:left="103"/>
              <w:rPr>
                <w:rFonts w:ascii="Calibri"/>
                <w:sz w:val="20"/>
              </w:rPr>
            </w:pPr>
            <w:r>
              <w:rPr>
                <w:rFonts w:ascii="Calibri"/>
                <w:sz w:val="20"/>
              </w:rPr>
              <w:t>Annual (including travel)</w:t>
            </w:r>
          </w:p>
        </w:tc>
        <w:tc>
          <w:tcPr>
            <w:tcW w:w="1772" w:type="dxa"/>
          </w:tcPr>
          <w:p w:rsidR="006A18FD" w:rsidRDefault="002D29FC">
            <w:pPr>
              <w:spacing w:line="223" w:lineRule="exact"/>
              <w:ind w:left="566"/>
              <w:rPr>
                <w:rFonts w:ascii="Calibri" w:hAnsi="Calibri"/>
                <w:sz w:val="20"/>
              </w:rPr>
            </w:pPr>
            <w:r>
              <w:rPr>
                <w:rFonts w:ascii="Calibri" w:hAnsi="Calibri"/>
                <w:sz w:val="20"/>
              </w:rPr>
              <w:t>£278,759</w:t>
            </w:r>
          </w:p>
        </w:tc>
        <w:tc>
          <w:tcPr>
            <w:tcW w:w="1642" w:type="dxa"/>
          </w:tcPr>
          <w:p w:rsidR="006A18FD" w:rsidRDefault="002D29FC">
            <w:pPr>
              <w:spacing w:line="223" w:lineRule="exact"/>
              <w:ind w:left="453"/>
              <w:rPr>
                <w:rFonts w:ascii="Calibri" w:hAnsi="Calibri"/>
                <w:sz w:val="20"/>
              </w:rPr>
            </w:pPr>
            <w:r>
              <w:rPr>
                <w:rFonts w:ascii="Calibri" w:hAnsi="Calibri"/>
                <w:sz w:val="20"/>
              </w:rPr>
              <w:t>£236,114</w:t>
            </w:r>
          </w:p>
        </w:tc>
        <w:tc>
          <w:tcPr>
            <w:tcW w:w="1892" w:type="dxa"/>
          </w:tcPr>
          <w:p w:rsidR="006A18FD" w:rsidRDefault="002D29FC">
            <w:pPr>
              <w:spacing w:line="223" w:lineRule="exact"/>
              <w:ind w:left="595"/>
              <w:rPr>
                <w:rFonts w:ascii="Calibri" w:hAnsi="Calibri"/>
                <w:sz w:val="20"/>
              </w:rPr>
            </w:pPr>
            <w:r>
              <w:rPr>
                <w:rFonts w:ascii="Calibri" w:hAnsi="Calibri"/>
                <w:sz w:val="20"/>
              </w:rPr>
              <w:t>£243,648</w:t>
            </w:r>
          </w:p>
        </w:tc>
        <w:tc>
          <w:tcPr>
            <w:tcW w:w="1771" w:type="dxa"/>
          </w:tcPr>
          <w:p w:rsidR="006A18FD" w:rsidRDefault="002D29FC">
            <w:pPr>
              <w:spacing w:line="223" w:lineRule="exact"/>
              <w:ind w:left="563"/>
              <w:rPr>
                <w:rFonts w:ascii="Calibri" w:hAnsi="Calibri"/>
                <w:sz w:val="20"/>
              </w:rPr>
            </w:pPr>
            <w:r>
              <w:rPr>
                <w:rFonts w:ascii="Calibri" w:hAnsi="Calibri"/>
                <w:sz w:val="20"/>
              </w:rPr>
              <w:t>£201,003</w:t>
            </w:r>
          </w:p>
        </w:tc>
      </w:tr>
      <w:tr w:rsidR="006A18FD">
        <w:trPr>
          <w:trHeight w:val="240"/>
        </w:trPr>
        <w:tc>
          <w:tcPr>
            <w:tcW w:w="2967" w:type="dxa"/>
          </w:tcPr>
          <w:p w:rsidR="006A18FD" w:rsidRDefault="002D29FC">
            <w:pPr>
              <w:spacing w:line="222" w:lineRule="exact"/>
              <w:ind w:left="103"/>
              <w:rPr>
                <w:rFonts w:ascii="Calibri"/>
                <w:sz w:val="20"/>
              </w:rPr>
            </w:pPr>
            <w:r>
              <w:rPr>
                <w:rFonts w:ascii="Calibri"/>
                <w:sz w:val="20"/>
              </w:rPr>
              <w:t>Annual (excluding travel)</w:t>
            </w:r>
          </w:p>
        </w:tc>
        <w:tc>
          <w:tcPr>
            <w:tcW w:w="1772" w:type="dxa"/>
          </w:tcPr>
          <w:p w:rsidR="006A18FD" w:rsidRDefault="002D29FC">
            <w:pPr>
              <w:spacing w:line="222" w:lineRule="exact"/>
              <w:ind w:left="566"/>
              <w:rPr>
                <w:rFonts w:ascii="Calibri" w:hAnsi="Calibri"/>
                <w:sz w:val="20"/>
              </w:rPr>
            </w:pPr>
            <w:r>
              <w:rPr>
                <w:rFonts w:ascii="Calibri" w:hAnsi="Calibri"/>
                <w:sz w:val="20"/>
              </w:rPr>
              <w:t>£277,659</w:t>
            </w:r>
          </w:p>
        </w:tc>
        <w:tc>
          <w:tcPr>
            <w:tcW w:w="1642" w:type="dxa"/>
          </w:tcPr>
          <w:p w:rsidR="006A18FD" w:rsidRDefault="002D29FC">
            <w:pPr>
              <w:spacing w:line="222" w:lineRule="exact"/>
              <w:ind w:left="453"/>
              <w:rPr>
                <w:rFonts w:ascii="Calibri" w:hAnsi="Calibri"/>
                <w:sz w:val="20"/>
              </w:rPr>
            </w:pPr>
            <w:r>
              <w:rPr>
                <w:rFonts w:ascii="Calibri" w:hAnsi="Calibri"/>
                <w:sz w:val="20"/>
              </w:rPr>
              <w:t>£235,014</w:t>
            </w:r>
          </w:p>
        </w:tc>
        <w:tc>
          <w:tcPr>
            <w:tcW w:w="1892" w:type="dxa"/>
          </w:tcPr>
          <w:p w:rsidR="006A18FD" w:rsidRDefault="002D29FC">
            <w:pPr>
              <w:spacing w:line="222" w:lineRule="exact"/>
              <w:ind w:left="595"/>
              <w:rPr>
                <w:rFonts w:ascii="Calibri" w:hAnsi="Calibri"/>
                <w:sz w:val="20"/>
              </w:rPr>
            </w:pPr>
            <w:r>
              <w:rPr>
                <w:rFonts w:ascii="Calibri" w:hAnsi="Calibri"/>
                <w:sz w:val="20"/>
              </w:rPr>
              <w:t>£242,548</w:t>
            </w:r>
          </w:p>
        </w:tc>
        <w:tc>
          <w:tcPr>
            <w:tcW w:w="1771" w:type="dxa"/>
          </w:tcPr>
          <w:p w:rsidR="006A18FD" w:rsidRDefault="002D29FC">
            <w:pPr>
              <w:spacing w:line="222" w:lineRule="exact"/>
              <w:ind w:left="563"/>
              <w:rPr>
                <w:rFonts w:ascii="Calibri" w:hAnsi="Calibri"/>
                <w:sz w:val="20"/>
              </w:rPr>
            </w:pPr>
            <w:r>
              <w:rPr>
                <w:rFonts w:ascii="Calibri" w:hAnsi="Calibri"/>
                <w:sz w:val="20"/>
              </w:rPr>
              <w:t>£199,903</w:t>
            </w:r>
          </w:p>
        </w:tc>
      </w:tr>
      <w:tr w:rsidR="006A18FD">
        <w:trPr>
          <w:trHeight w:val="240"/>
        </w:trPr>
        <w:tc>
          <w:tcPr>
            <w:tcW w:w="2967" w:type="dxa"/>
          </w:tcPr>
          <w:p w:rsidR="006A18FD" w:rsidRDefault="002D29FC">
            <w:pPr>
              <w:spacing w:line="224" w:lineRule="exact"/>
              <w:ind w:left="103"/>
              <w:rPr>
                <w:rFonts w:ascii="Calibri"/>
                <w:sz w:val="13"/>
              </w:rPr>
            </w:pPr>
            <w:r>
              <w:rPr>
                <w:rFonts w:ascii="Calibri"/>
                <w:sz w:val="20"/>
              </w:rPr>
              <w:t>Per hour of GMS activity</w:t>
            </w:r>
            <w:r>
              <w:rPr>
                <w:rFonts w:ascii="Calibri"/>
                <w:position w:val="7"/>
                <w:sz w:val="13"/>
              </w:rPr>
              <w:t>1</w:t>
            </w:r>
          </w:p>
        </w:tc>
        <w:tc>
          <w:tcPr>
            <w:tcW w:w="1772" w:type="dxa"/>
          </w:tcPr>
          <w:p w:rsidR="006A18FD" w:rsidRDefault="002D29FC">
            <w:pPr>
              <w:spacing w:before="1" w:line="223" w:lineRule="exact"/>
              <w:ind w:right="438"/>
              <w:jc w:val="right"/>
              <w:rPr>
                <w:rFonts w:ascii="Calibri" w:hAnsi="Calibri"/>
                <w:sz w:val="20"/>
              </w:rPr>
            </w:pPr>
            <w:r>
              <w:rPr>
                <w:rFonts w:ascii="Calibri" w:hAnsi="Calibri"/>
                <w:sz w:val="20"/>
              </w:rPr>
              <w:t>£156</w:t>
            </w:r>
          </w:p>
        </w:tc>
        <w:tc>
          <w:tcPr>
            <w:tcW w:w="1642" w:type="dxa"/>
          </w:tcPr>
          <w:p w:rsidR="006A18FD" w:rsidRDefault="002D29FC">
            <w:pPr>
              <w:spacing w:before="1" w:line="223" w:lineRule="exact"/>
              <w:ind w:left="806"/>
              <w:rPr>
                <w:rFonts w:ascii="Calibri" w:hAnsi="Calibri"/>
                <w:sz w:val="20"/>
              </w:rPr>
            </w:pPr>
            <w:r>
              <w:rPr>
                <w:rFonts w:ascii="Calibri" w:hAnsi="Calibri"/>
                <w:sz w:val="20"/>
              </w:rPr>
              <w:t>£132</w:t>
            </w:r>
          </w:p>
        </w:tc>
        <w:tc>
          <w:tcPr>
            <w:tcW w:w="1892" w:type="dxa"/>
          </w:tcPr>
          <w:p w:rsidR="006A18FD" w:rsidRDefault="002D29FC">
            <w:pPr>
              <w:spacing w:before="1" w:line="223" w:lineRule="exact"/>
              <w:ind w:right="528"/>
              <w:jc w:val="right"/>
              <w:rPr>
                <w:rFonts w:ascii="Calibri" w:hAnsi="Calibri"/>
                <w:sz w:val="20"/>
              </w:rPr>
            </w:pPr>
            <w:r>
              <w:rPr>
                <w:rFonts w:ascii="Calibri" w:hAnsi="Calibri"/>
                <w:sz w:val="20"/>
              </w:rPr>
              <w:t>£136</w:t>
            </w:r>
          </w:p>
        </w:tc>
        <w:tc>
          <w:tcPr>
            <w:tcW w:w="1771" w:type="dxa"/>
          </w:tcPr>
          <w:p w:rsidR="006A18FD" w:rsidRDefault="002D29FC">
            <w:pPr>
              <w:spacing w:before="1" w:line="223" w:lineRule="exact"/>
              <w:ind w:right="439"/>
              <w:jc w:val="right"/>
              <w:rPr>
                <w:rFonts w:ascii="Calibri" w:hAnsi="Calibri"/>
                <w:sz w:val="20"/>
              </w:rPr>
            </w:pPr>
            <w:r>
              <w:rPr>
                <w:rFonts w:ascii="Calibri" w:hAnsi="Calibri"/>
                <w:sz w:val="20"/>
              </w:rPr>
              <w:t>£112</w:t>
            </w:r>
          </w:p>
        </w:tc>
      </w:tr>
      <w:tr w:rsidR="006A18FD">
        <w:trPr>
          <w:trHeight w:val="240"/>
        </w:trPr>
        <w:tc>
          <w:tcPr>
            <w:tcW w:w="2967" w:type="dxa"/>
          </w:tcPr>
          <w:p w:rsidR="006A18FD" w:rsidRDefault="002D29FC">
            <w:pPr>
              <w:spacing w:line="224" w:lineRule="exact"/>
              <w:ind w:left="103"/>
              <w:rPr>
                <w:rFonts w:ascii="Calibri"/>
                <w:sz w:val="13"/>
              </w:rPr>
            </w:pPr>
            <w:r>
              <w:rPr>
                <w:rFonts w:ascii="Calibri"/>
                <w:sz w:val="20"/>
              </w:rPr>
              <w:t>Per hour of patient contact</w:t>
            </w:r>
            <w:r>
              <w:rPr>
                <w:rFonts w:ascii="Calibri"/>
                <w:position w:val="7"/>
                <w:sz w:val="13"/>
              </w:rPr>
              <w:t>1</w:t>
            </w:r>
          </w:p>
        </w:tc>
        <w:tc>
          <w:tcPr>
            <w:tcW w:w="1772" w:type="dxa"/>
          </w:tcPr>
          <w:p w:rsidR="006A18FD" w:rsidRDefault="002D29FC">
            <w:pPr>
              <w:spacing w:before="1" w:line="223" w:lineRule="exact"/>
              <w:ind w:right="438"/>
              <w:jc w:val="right"/>
              <w:rPr>
                <w:rFonts w:ascii="Calibri" w:hAnsi="Calibri"/>
                <w:sz w:val="20"/>
              </w:rPr>
            </w:pPr>
            <w:r>
              <w:rPr>
                <w:rFonts w:ascii="Calibri" w:hAnsi="Calibri"/>
                <w:sz w:val="20"/>
              </w:rPr>
              <w:t>£255</w:t>
            </w:r>
          </w:p>
        </w:tc>
        <w:tc>
          <w:tcPr>
            <w:tcW w:w="1642" w:type="dxa"/>
          </w:tcPr>
          <w:p w:rsidR="006A18FD" w:rsidRDefault="002D29FC">
            <w:pPr>
              <w:spacing w:before="1" w:line="223" w:lineRule="exact"/>
              <w:ind w:left="806"/>
              <w:rPr>
                <w:rFonts w:ascii="Calibri" w:hAnsi="Calibri"/>
                <w:sz w:val="20"/>
              </w:rPr>
            </w:pPr>
            <w:r>
              <w:rPr>
                <w:rFonts w:ascii="Calibri" w:hAnsi="Calibri"/>
                <w:sz w:val="20"/>
              </w:rPr>
              <w:t>£217</w:t>
            </w:r>
          </w:p>
        </w:tc>
        <w:tc>
          <w:tcPr>
            <w:tcW w:w="1892" w:type="dxa"/>
          </w:tcPr>
          <w:p w:rsidR="006A18FD" w:rsidRDefault="002D29FC">
            <w:pPr>
              <w:spacing w:before="1" w:line="223" w:lineRule="exact"/>
              <w:ind w:right="528"/>
              <w:jc w:val="right"/>
              <w:rPr>
                <w:rFonts w:ascii="Calibri" w:hAnsi="Calibri"/>
                <w:sz w:val="20"/>
              </w:rPr>
            </w:pPr>
            <w:r>
              <w:rPr>
                <w:rFonts w:ascii="Calibri" w:hAnsi="Calibri"/>
                <w:sz w:val="20"/>
              </w:rPr>
              <w:t>£223</w:t>
            </w:r>
          </w:p>
        </w:tc>
        <w:tc>
          <w:tcPr>
            <w:tcW w:w="1771" w:type="dxa"/>
          </w:tcPr>
          <w:p w:rsidR="006A18FD" w:rsidRDefault="002D29FC">
            <w:pPr>
              <w:spacing w:before="1" w:line="223" w:lineRule="exact"/>
              <w:ind w:right="439"/>
              <w:jc w:val="right"/>
              <w:rPr>
                <w:rFonts w:ascii="Calibri" w:hAnsi="Calibri"/>
                <w:sz w:val="20"/>
              </w:rPr>
            </w:pPr>
            <w:r>
              <w:rPr>
                <w:rFonts w:ascii="Calibri" w:hAnsi="Calibri"/>
                <w:sz w:val="20"/>
              </w:rPr>
              <w:t>£184</w:t>
            </w:r>
          </w:p>
        </w:tc>
      </w:tr>
      <w:tr w:rsidR="006A18FD">
        <w:trPr>
          <w:trHeight w:val="240"/>
        </w:trPr>
        <w:tc>
          <w:tcPr>
            <w:tcW w:w="2967" w:type="dxa"/>
          </w:tcPr>
          <w:p w:rsidR="006A18FD" w:rsidRDefault="002D29FC">
            <w:pPr>
              <w:spacing w:line="224" w:lineRule="exact"/>
              <w:ind w:left="103"/>
              <w:rPr>
                <w:rFonts w:ascii="Calibri"/>
                <w:sz w:val="13"/>
              </w:rPr>
            </w:pPr>
            <w:r>
              <w:rPr>
                <w:rFonts w:ascii="Calibri"/>
                <w:sz w:val="20"/>
              </w:rPr>
              <w:t>Per minute of patient contact</w:t>
            </w:r>
            <w:r>
              <w:rPr>
                <w:rFonts w:ascii="Calibri"/>
                <w:position w:val="7"/>
                <w:sz w:val="13"/>
              </w:rPr>
              <w:t>1</w:t>
            </w:r>
          </w:p>
        </w:tc>
        <w:tc>
          <w:tcPr>
            <w:tcW w:w="1772" w:type="dxa"/>
          </w:tcPr>
          <w:p w:rsidR="006A18FD" w:rsidRDefault="002D29FC">
            <w:pPr>
              <w:spacing w:before="1" w:line="223" w:lineRule="exact"/>
              <w:ind w:right="309"/>
              <w:jc w:val="right"/>
              <w:rPr>
                <w:rFonts w:ascii="Calibri" w:hAnsi="Calibri"/>
                <w:sz w:val="20"/>
              </w:rPr>
            </w:pPr>
            <w:r>
              <w:rPr>
                <w:rFonts w:ascii="Calibri" w:hAnsi="Calibri"/>
                <w:sz w:val="20"/>
              </w:rPr>
              <w:t>£4.30</w:t>
            </w:r>
          </w:p>
        </w:tc>
        <w:tc>
          <w:tcPr>
            <w:tcW w:w="1642" w:type="dxa"/>
          </w:tcPr>
          <w:p w:rsidR="006A18FD" w:rsidRDefault="002D29FC">
            <w:pPr>
              <w:spacing w:before="1" w:line="223" w:lineRule="exact"/>
              <w:ind w:right="299"/>
              <w:jc w:val="right"/>
              <w:rPr>
                <w:rFonts w:ascii="Calibri" w:hAnsi="Calibri"/>
                <w:sz w:val="20"/>
              </w:rPr>
            </w:pPr>
            <w:r>
              <w:rPr>
                <w:rFonts w:ascii="Calibri" w:hAnsi="Calibri"/>
                <w:sz w:val="20"/>
              </w:rPr>
              <w:t>£3.60</w:t>
            </w:r>
          </w:p>
        </w:tc>
        <w:tc>
          <w:tcPr>
            <w:tcW w:w="1892" w:type="dxa"/>
          </w:tcPr>
          <w:p w:rsidR="006A18FD" w:rsidRDefault="002D29FC">
            <w:pPr>
              <w:spacing w:before="1" w:line="223" w:lineRule="exact"/>
              <w:ind w:right="401"/>
              <w:jc w:val="right"/>
              <w:rPr>
                <w:rFonts w:ascii="Calibri" w:hAnsi="Calibri"/>
                <w:sz w:val="20"/>
              </w:rPr>
            </w:pPr>
            <w:r>
              <w:rPr>
                <w:rFonts w:ascii="Calibri" w:hAnsi="Calibri"/>
                <w:sz w:val="20"/>
              </w:rPr>
              <w:t>£3.70</w:t>
            </w:r>
          </w:p>
        </w:tc>
        <w:tc>
          <w:tcPr>
            <w:tcW w:w="1771" w:type="dxa"/>
          </w:tcPr>
          <w:p w:rsidR="006A18FD" w:rsidRDefault="002D29FC">
            <w:pPr>
              <w:spacing w:before="1" w:line="223" w:lineRule="exact"/>
              <w:ind w:right="321"/>
              <w:jc w:val="right"/>
              <w:rPr>
                <w:rFonts w:ascii="Calibri" w:hAnsi="Calibri"/>
                <w:sz w:val="20"/>
              </w:rPr>
            </w:pPr>
            <w:r>
              <w:rPr>
                <w:rFonts w:ascii="Calibri" w:hAnsi="Calibri"/>
                <w:sz w:val="20"/>
              </w:rPr>
              <w:t>£3.10</w:t>
            </w:r>
          </w:p>
        </w:tc>
      </w:tr>
      <w:tr w:rsidR="006A18FD">
        <w:trPr>
          <w:trHeight w:val="480"/>
        </w:trPr>
        <w:tc>
          <w:tcPr>
            <w:tcW w:w="2967" w:type="dxa"/>
          </w:tcPr>
          <w:p w:rsidR="006A18FD" w:rsidRDefault="002D29FC">
            <w:pPr>
              <w:spacing w:before="1" w:line="243" w:lineRule="exact"/>
              <w:ind w:left="103"/>
              <w:rPr>
                <w:rFonts w:ascii="Calibri"/>
                <w:sz w:val="20"/>
              </w:rPr>
            </w:pPr>
            <w:r>
              <w:rPr>
                <w:rFonts w:ascii="Calibri"/>
                <w:sz w:val="20"/>
              </w:rPr>
              <w:t>Per surgery consultation lasting</w:t>
            </w:r>
          </w:p>
          <w:p w:rsidR="006A18FD" w:rsidRDefault="002D29FC">
            <w:pPr>
              <w:spacing w:line="225" w:lineRule="exact"/>
              <w:ind w:left="103"/>
              <w:rPr>
                <w:rFonts w:ascii="Calibri"/>
                <w:sz w:val="13"/>
              </w:rPr>
            </w:pPr>
            <w:r>
              <w:rPr>
                <w:rFonts w:ascii="Calibri"/>
                <w:sz w:val="20"/>
              </w:rPr>
              <w:t>9.22 minutes</w:t>
            </w:r>
            <w:r>
              <w:rPr>
                <w:rFonts w:ascii="Calibri"/>
                <w:position w:val="7"/>
                <w:sz w:val="13"/>
              </w:rPr>
              <w:t>1</w:t>
            </w:r>
          </w:p>
        </w:tc>
        <w:tc>
          <w:tcPr>
            <w:tcW w:w="1772" w:type="dxa"/>
          </w:tcPr>
          <w:p w:rsidR="006A18FD" w:rsidRDefault="002D29FC">
            <w:pPr>
              <w:spacing w:before="1"/>
              <w:ind w:right="438"/>
              <w:jc w:val="right"/>
              <w:rPr>
                <w:rFonts w:ascii="Calibri" w:hAnsi="Calibri"/>
                <w:sz w:val="20"/>
              </w:rPr>
            </w:pPr>
            <w:r>
              <w:rPr>
                <w:rFonts w:ascii="Calibri" w:hAnsi="Calibri"/>
                <w:sz w:val="20"/>
              </w:rPr>
              <w:t>£39</w:t>
            </w:r>
          </w:p>
        </w:tc>
        <w:tc>
          <w:tcPr>
            <w:tcW w:w="1642" w:type="dxa"/>
          </w:tcPr>
          <w:p w:rsidR="006A18FD" w:rsidRDefault="002D29FC">
            <w:pPr>
              <w:spacing w:before="1"/>
              <w:ind w:left="907"/>
              <w:rPr>
                <w:rFonts w:ascii="Calibri" w:hAnsi="Calibri"/>
                <w:sz w:val="20"/>
              </w:rPr>
            </w:pPr>
            <w:r>
              <w:rPr>
                <w:rFonts w:ascii="Calibri" w:hAnsi="Calibri"/>
                <w:sz w:val="20"/>
              </w:rPr>
              <w:t>£33</w:t>
            </w:r>
          </w:p>
        </w:tc>
        <w:tc>
          <w:tcPr>
            <w:tcW w:w="1892" w:type="dxa"/>
          </w:tcPr>
          <w:p w:rsidR="006A18FD" w:rsidRDefault="002D29FC">
            <w:pPr>
              <w:spacing w:before="1"/>
              <w:ind w:right="528"/>
              <w:jc w:val="right"/>
              <w:rPr>
                <w:rFonts w:ascii="Calibri" w:hAnsi="Calibri"/>
                <w:sz w:val="20"/>
              </w:rPr>
            </w:pPr>
            <w:r>
              <w:rPr>
                <w:rFonts w:ascii="Calibri" w:hAnsi="Calibri"/>
                <w:sz w:val="20"/>
              </w:rPr>
              <w:t>£34</w:t>
            </w:r>
          </w:p>
        </w:tc>
        <w:tc>
          <w:tcPr>
            <w:tcW w:w="1771" w:type="dxa"/>
          </w:tcPr>
          <w:p w:rsidR="006A18FD" w:rsidRDefault="002D29FC">
            <w:pPr>
              <w:spacing w:before="1"/>
              <w:ind w:right="439"/>
              <w:jc w:val="right"/>
              <w:rPr>
                <w:rFonts w:ascii="Calibri" w:hAnsi="Calibri"/>
                <w:sz w:val="20"/>
              </w:rPr>
            </w:pPr>
            <w:r>
              <w:rPr>
                <w:rFonts w:ascii="Calibri" w:hAnsi="Calibri"/>
                <w:sz w:val="20"/>
              </w:rPr>
              <w:t>£28</w:t>
            </w:r>
          </w:p>
        </w:tc>
      </w:tr>
      <w:tr w:rsidR="006A18FD">
        <w:trPr>
          <w:trHeight w:val="960"/>
        </w:trPr>
        <w:tc>
          <w:tcPr>
            <w:tcW w:w="2967" w:type="dxa"/>
          </w:tcPr>
          <w:p w:rsidR="006A18FD" w:rsidRDefault="002D29FC">
            <w:pPr>
              <w:spacing w:before="4" w:line="237" w:lineRule="auto"/>
              <w:ind w:left="103" w:right="298"/>
              <w:rPr>
                <w:rFonts w:ascii="Calibri"/>
                <w:sz w:val="20"/>
              </w:rPr>
            </w:pPr>
            <w:r>
              <w:rPr>
                <w:rFonts w:ascii="Calibri"/>
                <w:sz w:val="20"/>
              </w:rPr>
              <w:t>Per patient contact lasting 9.22 minutes (including carbon emissions (6 KgCO2e)</w:t>
            </w:r>
            <w:r>
              <w:rPr>
                <w:rFonts w:ascii="Calibri"/>
                <w:position w:val="7"/>
                <w:sz w:val="13"/>
              </w:rPr>
              <w:t>2</w:t>
            </w:r>
            <w:r>
              <w:rPr>
                <w:rFonts w:ascii="Calibri"/>
                <w:sz w:val="20"/>
              </w:rPr>
              <w:t>(carbon</w:t>
            </w:r>
          </w:p>
          <w:p w:rsidR="006A18FD" w:rsidRDefault="002D29FC">
            <w:pPr>
              <w:spacing w:before="1" w:line="223" w:lineRule="exact"/>
              <w:ind w:left="103"/>
              <w:rPr>
                <w:rFonts w:ascii="Calibri" w:hAnsi="Calibri"/>
                <w:sz w:val="20"/>
              </w:rPr>
            </w:pPr>
            <w:r>
              <w:rPr>
                <w:rFonts w:ascii="Calibri" w:hAnsi="Calibri"/>
                <w:sz w:val="20"/>
              </w:rPr>
              <w:t>costs less than £1)</w:t>
            </w:r>
          </w:p>
        </w:tc>
        <w:tc>
          <w:tcPr>
            <w:tcW w:w="1772" w:type="dxa"/>
          </w:tcPr>
          <w:p w:rsidR="006A18FD" w:rsidRDefault="002D29FC">
            <w:pPr>
              <w:spacing w:before="1"/>
              <w:ind w:right="309"/>
              <w:jc w:val="right"/>
              <w:rPr>
                <w:rFonts w:ascii="Calibri" w:hAnsi="Calibri"/>
                <w:sz w:val="20"/>
              </w:rPr>
            </w:pPr>
            <w:r>
              <w:rPr>
                <w:rFonts w:ascii="Calibri" w:hAnsi="Calibri"/>
                <w:sz w:val="20"/>
              </w:rPr>
              <w:t>£39.23</w:t>
            </w:r>
          </w:p>
        </w:tc>
        <w:tc>
          <w:tcPr>
            <w:tcW w:w="1642" w:type="dxa"/>
          </w:tcPr>
          <w:p w:rsidR="006A18FD" w:rsidRDefault="002D29FC">
            <w:pPr>
              <w:spacing w:before="1"/>
              <w:ind w:right="292"/>
              <w:jc w:val="right"/>
              <w:rPr>
                <w:rFonts w:ascii="Calibri" w:hAnsi="Calibri"/>
                <w:sz w:val="20"/>
              </w:rPr>
            </w:pPr>
            <w:r>
              <w:rPr>
                <w:rFonts w:ascii="Calibri" w:hAnsi="Calibri"/>
                <w:w w:val="95"/>
                <w:sz w:val="20"/>
              </w:rPr>
              <w:t>£33.19</w:t>
            </w:r>
          </w:p>
        </w:tc>
        <w:tc>
          <w:tcPr>
            <w:tcW w:w="1892" w:type="dxa"/>
          </w:tcPr>
          <w:p w:rsidR="006A18FD" w:rsidRDefault="002D29FC">
            <w:pPr>
              <w:spacing w:before="1"/>
              <w:ind w:right="400"/>
              <w:jc w:val="right"/>
              <w:rPr>
                <w:rFonts w:ascii="Calibri" w:hAnsi="Calibri"/>
                <w:sz w:val="20"/>
              </w:rPr>
            </w:pPr>
            <w:r>
              <w:rPr>
                <w:rFonts w:ascii="Calibri" w:hAnsi="Calibri"/>
                <w:w w:val="95"/>
                <w:sz w:val="20"/>
              </w:rPr>
              <w:t>£34.20</w:t>
            </w:r>
          </w:p>
        </w:tc>
        <w:tc>
          <w:tcPr>
            <w:tcW w:w="1771" w:type="dxa"/>
          </w:tcPr>
          <w:p w:rsidR="006A18FD" w:rsidRDefault="002D29FC">
            <w:pPr>
              <w:spacing w:before="1"/>
              <w:ind w:right="311"/>
              <w:jc w:val="right"/>
              <w:rPr>
                <w:rFonts w:ascii="Calibri" w:hAnsi="Calibri"/>
                <w:sz w:val="20"/>
              </w:rPr>
            </w:pPr>
            <w:r>
              <w:rPr>
                <w:rFonts w:ascii="Calibri" w:hAnsi="Calibri"/>
                <w:w w:val="95"/>
                <w:sz w:val="20"/>
              </w:rPr>
              <w:t>£28.16</w:t>
            </w:r>
          </w:p>
        </w:tc>
      </w:tr>
      <w:tr w:rsidR="006A18FD">
        <w:trPr>
          <w:trHeight w:val="260"/>
        </w:trPr>
        <w:tc>
          <w:tcPr>
            <w:tcW w:w="2967" w:type="dxa"/>
            <w:tcBorders>
              <w:bottom w:val="nil"/>
            </w:tcBorders>
          </w:tcPr>
          <w:p w:rsidR="006A18FD" w:rsidRDefault="002D29FC">
            <w:pPr>
              <w:spacing w:before="1" w:line="242" w:lineRule="exact"/>
              <w:ind w:left="103"/>
              <w:rPr>
                <w:rFonts w:ascii="Calibri"/>
                <w:sz w:val="20"/>
              </w:rPr>
            </w:pPr>
            <w:r>
              <w:rPr>
                <w:rFonts w:ascii="Calibri"/>
                <w:sz w:val="20"/>
              </w:rPr>
              <w:t>Prescription costs per</w:t>
            </w:r>
          </w:p>
        </w:tc>
        <w:tc>
          <w:tcPr>
            <w:tcW w:w="7077" w:type="dxa"/>
            <w:gridSpan w:val="4"/>
            <w:tcBorders>
              <w:bottom w:val="nil"/>
            </w:tcBorders>
          </w:tcPr>
          <w:p w:rsidR="006A18FD" w:rsidRDefault="002D29FC">
            <w:pPr>
              <w:spacing w:line="243" w:lineRule="exact"/>
              <w:ind w:left="3143" w:right="3144"/>
              <w:jc w:val="center"/>
              <w:rPr>
                <w:rFonts w:ascii="Calibri" w:hAnsi="Calibri"/>
                <w:sz w:val="13"/>
              </w:rPr>
            </w:pPr>
            <w:r>
              <w:rPr>
                <w:rFonts w:ascii="Calibri" w:hAnsi="Calibri"/>
                <w:sz w:val="20"/>
              </w:rPr>
              <w:t>£33.10</w:t>
            </w:r>
            <w:r>
              <w:rPr>
                <w:rFonts w:ascii="Calibri" w:hAnsi="Calibri"/>
                <w:position w:val="7"/>
                <w:sz w:val="13"/>
              </w:rPr>
              <w:t>3</w:t>
            </w:r>
          </w:p>
        </w:tc>
      </w:tr>
      <w:tr w:rsidR="006A18FD">
        <w:trPr>
          <w:trHeight w:val="240"/>
        </w:trPr>
        <w:tc>
          <w:tcPr>
            <w:tcW w:w="2967" w:type="dxa"/>
            <w:tcBorders>
              <w:top w:val="nil"/>
              <w:bottom w:val="nil"/>
            </w:tcBorders>
          </w:tcPr>
          <w:p w:rsidR="006A18FD" w:rsidRDefault="002D29FC">
            <w:pPr>
              <w:spacing w:line="224" w:lineRule="exact"/>
              <w:ind w:left="103"/>
              <w:rPr>
                <w:rFonts w:ascii="Calibri"/>
                <w:sz w:val="20"/>
              </w:rPr>
            </w:pPr>
            <w:r>
              <w:rPr>
                <w:rFonts w:ascii="Calibri"/>
                <w:sz w:val="20"/>
              </w:rPr>
              <w:t>consultation (net ingredient cost)</w:t>
            </w:r>
          </w:p>
        </w:tc>
        <w:tc>
          <w:tcPr>
            <w:tcW w:w="7077" w:type="dxa"/>
            <w:gridSpan w:val="4"/>
            <w:tcBorders>
              <w:top w:val="nil"/>
              <w:bottom w:val="nil"/>
            </w:tcBorders>
          </w:tcPr>
          <w:p w:rsidR="006A18FD" w:rsidRDefault="006A18FD">
            <w:pPr>
              <w:rPr>
                <w:rFonts w:ascii="Times New Roman"/>
                <w:sz w:val="16"/>
              </w:rPr>
            </w:pPr>
          </w:p>
        </w:tc>
      </w:tr>
      <w:tr w:rsidR="006A18FD">
        <w:trPr>
          <w:trHeight w:val="220"/>
        </w:trPr>
        <w:tc>
          <w:tcPr>
            <w:tcW w:w="2967" w:type="dxa"/>
            <w:tcBorders>
              <w:top w:val="nil"/>
              <w:bottom w:val="nil"/>
            </w:tcBorders>
          </w:tcPr>
          <w:p w:rsidR="006A18FD" w:rsidRDefault="002D29FC">
            <w:pPr>
              <w:spacing w:line="216" w:lineRule="exact"/>
              <w:ind w:left="103"/>
              <w:rPr>
                <w:rFonts w:ascii="Calibri"/>
                <w:sz w:val="20"/>
              </w:rPr>
            </w:pPr>
            <w:r>
              <w:rPr>
                <w:rFonts w:ascii="Calibri"/>
                <w:sz w:val="20"/>
              </w:rPr>
              <w:t>Net ingredient cost including</w:t>
            </w:r>
          </w:p>
        </w:tc>
        <w:tc>
          <w:tcPr>
            <w:tcW w:w="7077" w:type="dxa"/>
            <w:gridSpan w:val="4"/>
            <w:tcBorders>
              <w:top w:val="nil"/>
              <w:bottom w:val="nil"/>
            </w:tcBorders>
          </w:tcPr>
          <w:p w:rsidR="006A18FD" w:rsidRDefault="002D29FC">
            <w:pPr>
              <w:spacing w:line="216" w:lineRule="exact"/>
              <w:ind w:left="3143" w:right="3144"/>
              <w:jc w:val="center"/>
              <w:rPr>
                <w:rFonts w:ascii="Calibri" w:hAnsi="Calibri"/>
                <w:sz w:val="20"/>
              </w:rPr>
            </w:pPr>
            <w:r>
              <w:rPr>
                <w:rFonts w:ascii="Calibri" w:hAnsi="Calibri"/>
                <w:sz w:val="20"/>
              </w:rPr>
              <w:t>£34.19</w:t>
            </w:r>
          </w:p>
        </w:tc>
      </w:tr>
      <w:tr w:rsidR="006A18FD">
        <w:trPr>
          <w:trHeight w:val="220"/>
        </w:trPr>
        <w:tc>
          <w:tcPr>
            <w:tcW w:w="2967" w:type="dxa"/>
            <w:tcBorders>
              <w:top w:val="nil"/>
            </w:tcBorders>
          </w:tcPr>
          <w:p w:rsidR="006A18FD" w:rsidRDefault="002D29FC">
            <w:pPr>
              <w:spacing w:line="214" w:lineRule="exact"/>
              <w:ind w:left="103"/>
              <w:rPr>
                <w:rFonts w:ascii="Calibri"/>
                <w:sz w:val="13"/>
              </w:rPr>
            </w:pPr>
            <w:r>
              <w:rPr>
                <w:rFonts w:ascii="Calibri"/>
                <w:sz w:val="20"/>
              </w:rPr>
              <w:t>carbon emissions (17 KgCO2e)</w:t>
            </w:r>
            <w:r>
              <w:rPr>
                <w:rFonts w:ascii="Calibri"/>
                <w:position w:val="7"/>
                <w:sz w:val="13"/>
              </w:rPr>
              <w:t>2</w:t>
            </w:r>
          </w:p>
        </w:tc>
        <w:tc>
          <w:tcPr>
            <w:tcW w:w="7077" w:type="dxa"/>
            <w:gridSpan w:val="4"/>
            <w:tcBorders>
              <w:top w:val="nil"/>
            </w:tcBorders>
          </w:tcPr>
          <w:p w:rsidR="006A18FD" w:rsidRDefault="006A18FD">
            <w:pPr>
              <w:rPr>
                <w:rFonts w:ascii="Times New Roman"/>
                <w:sz w:val="16"/>
              </w:rPr>
            </w:pPr>
          </w:p>
        </w:tc>
      </w:tr>
      <w:tr w:rsidR="006A18FD">
        <w:trPr>
          <w:trHeight w:val="260"/>
        </w:trPr>
        <w:tc>
          <w:tcPr>
            <w:tcW w:w="2967" w:type="dxa"/>
            <w:tcBorders>
              <w:bottom w:val="nil"/>
            </w:tcBorders>
          </w:tcPr>
          <w:p w:rsidR="006A18FD" w:rsidRDefault="002D29FC">
            <w:pPr>
              <w:spacing w:before="1" w:line="242" w:lineRule="exact"/>
              <w:ind w:left="103"/>
              <w:rPr>
                <w:rFonts w:ascii="Calibri"/>
                <w:sz w:val="20"/>
              </w:rPr>
            </w:pPr>
            <w:r>
              <w:rPr>
                <w:rFonts w:ascii="Calibri"/>
                <w:sz w:val="20"/>
              </w:rPr>
              <w:t>Prescription costs per</w:t>
            </w:r>
          </w:p>
        </w:tc>
        <w:tc>
          <w:tcPr>
            <w:tcW w:w="7077" w:type="dxa"/>
            <w:gridSpan w:val="4"/>
            <w:tcBorders>
              <w:bottom w:val="nil"/>
            </w:tcBorders>
          </w:tcPr>
          <w:p w:rsidR="006A18FD" w:rsidRDefault="002D29FC">
            <w:pPr>
              <w:spacing w:line="243" w:lineRule="exact"/>
              <w:ind w:left="3143" w:right="3144"/>
              <w:jc w:val="center"/>
              <w:rPr>
                <w:rFonts w:ascii="Calibri" w:hAnsi="Calibri"/>
                <w:sz w:val="13"/>
              </w:rPr>
            </w:pPr>
            <w:r>
              <w:rPr>
                <w:rFonts w:ascii="Calibri" w:hAnsi="Calibri"/>
                <w:sz w:val="20"/>
              </w:rPr>
              <w:t>£30.90</w:t>
            </w:r>
            <w:r>
              <w:rPr>
                <w:rFonts w:ascii="Calibri" w:hAnsi="Calibri"/>
                <w:position w:val="7"/>
                <w:sz w:val="13"/>
              </w:rPr>
              <w:t>3</w:t>
            </w:r>
          </w:p>
        </w:tc>
      </w:tr>
      <w:tr w:rsidR="006A18FD">
        <w:trPr>
          <w:trHeight w:val="240"/>
        </w:trPr>
        <w:tc>
          <w:tcPr>
            <w:tcW w:w="2967" w:type="dxa"/>
            <w:tcBorders>
              <w:top w:val="nil"/>
              <w:bottom w:val="nil"/>
            </w:tcBorders>
          </w:tcPr>
          <w:p w:rsidR="006A18FD" w:rsidRDefault="002D29FC">
            <w:pPr>
              <w:spacing w:line="224" w:lineRule="exact"/>
              <w:ind w:left="103"/>
              <w:rPr>
                <w:rFonts w:ascii="Calibri"/>
                <w:sz w:val="20"/>
              </w:rPr>
            </w:pPr>
            <w:r>
              <w:rPr>
                <w:rFonts w:ascii="Calibri"/>
                <w:sz w:val="20"/>
              </w:rPr>
              <w:t>consultation (actual cost)</w:t>
            </w:r>
          </w:p>
        </w:tc>
        <w:tc>
          <w:tcPr>
            <w:tcW w:w="7077" w:type="dxa"/>
            <w:gridSpan w:val="4"/>
            <w:tcBorders>
              <w:top w:val="nil"/>
              <w:bottom w:val="nil"/>
            </w:tcBorders>
          </w:tcPr>
          <w:p w:rsidR="006A18FD" w:rsidRDefault="006A18FD">
            <w:pPr>
              <w:rPr>
                <w:rFonts w:ascii="Times New Roman"/>
                <w:sz w:val="16"/>
              </w:rPr>
            </w:pPr>
          </w:p>
        </w:tc>
      </w:tr>
      <w:tr w:rsidR="006A18FD">
        <w:trPr>
          <w:trHeight w:val="220"/>
        </w:trPr>
        <w:tc>
          <w:tcPr>
            <w:tcW w:w="2967" w:type="dxa"/>
            <w:tcBorders>
              <w:top w:val="nil"/>
              <w:bottom w:val="nil"/>
            </w:tcBorders>
          </w:tcPr>
          <w:p w:rsidR="006A18FD" w:rsidRDefault="002D29FC">
            <w:pPr>
              <w:spacing w:line="216" w:lineRule="exact"/>
              <w:ind w:left="103"/>
              <w:rPr>
                <w:rFonts w:ascii="Calibri"/>
                <w:sz w:val="20"/>
              </w:rPr>
            </w:pPr>
            <w:r>
              <w:rPr>
                <w:rFonts w:ascii="Calibri"/>
                <w:sz w:val="20"/>
              </w:rPr>
              <w:t>Actual cost including carbon</w:t>
            </w:r>
          </w:p>
        </w:tc>
        <w:tc>
          <w:tcPr>
            <w:tcW w:w="7077" w:type="dxa"/>
            <w:gridSpan w:val="4"/>
            <w:tcBorders>
              <w:top w:val="nil"/>
              <w:bottom w:val="nil"/>
            </w:tcBorders>
          </w:tcPr>
          <w:p w:rsidR="006A18FD" w:rsidRDefault="002D29FC">
            <w:pPr>
              <w:spacing w:line="216" w:lineRule="exact"/>
              <w:ind w:left="3201" w:right="3020"/>
              <w:jc w:val="center"/>
              <w:rPr>
                <w:rFonts w:ascii="Calibri" w:hAnsi="Calibri"/>
                <w:sz w:val="20"/>
              </w:rPr>
            </w:pPr>
            <w:r>
              <w:rPr>
                <w:rFonts w:ascii="Calibri" w:hAnsi="Calibri"/>
                <w:sz w:val="20"/>
              </w:rPr>
              <w:t>£32.12</w:t>
            </w:r>
          </w:p>
        </w:tc>
      </w:tr>
      <w:tr w:rsidR="006A18FD">
        <w:trPr>
          <w:trHeight w:val="220"/>
        </w:trPr>
        <w:tc>
          <w:tcPr>
            <w:tcW w:w="2967" w:type="dxa"/>
            <w:tcBorders>
              <w:top w:val="nil"/>
            </w:tcBorders>
          </w:tcPr>
          <w:p w:rsidR="006A18FD" w:rsidRDefault="002D29FC">
            <w:pPr>
              <w:spacing w:line="214" w:lineRule="exact"/>
              <w:ind w:left="103"/>
              <w:rPr>
                <w:rFonts w:ascii="Calibri"/>
                <w:sz w:val="13"/>
              </w:rPr>
            </w:pPr>
            <w:r>
              <w:rPr>
                <w:rFonts w:ascii="Calibri"/>
                <w:sz w:val="20"/>
              </w:rPr>
              <w:t>emissions (16 KgCO2e)</w:t>
            </w:r>
            <w:r>
              <w:rPr>
                <w:rFonts w:ascii="Calibri"/>
                <w:position w:val="7"/>
                <w:sz w:val="13"/>
              </w:rPr>
              <w:t>2</w:t>
            </w:r>
          </w:p>
        </w:tc>
        <w:tc>
          <w:tcPr>
            <w:tcW w:w="7077" w:type="dxa"/>
            <w:gridSpan w:val="4"/>
            <w:tcBorders>
              <w:top w:val="nil"/>
            </w:tcBorders>
          </w:tcPr>
          <w:p w:rsidR="006A18FD" w:rsidRDefault="006A18FD">
            <w:pPr>
              <w:rPr>
                <w:rFonts w:ascii="Times New Roman"/>
                <w:sz w:val="16"/>
              </w:rPr>
            </w:pPr>
          </w:p>
        </w:tc>
      </w:tr>
    </w:tbl>
    <w:p w:rsidR="006A18FD" w:rsidRDefault="002D29FC" w:rsidP="00610F71">
      <w:pPr>
        <w:pStyle w:val="Heading3"/>
      </w:pPr>
      <w:r>
        <w:t>10.3c General practitioner — commentary</w:t>
      </w:r>
    </w:p>
    <w:p w:rsidR="006A18FD" w:rsidRDefault="002D29FC">
      <w:pPr>
        <w:spacing w:before="159" w:line="276" w:lineRule="auto"/>
        <w:ind w:left="140" w:right="444"/>
        <w:rPr>
          <w:rFonts w:ascii="Calibri" w:hAnsi="Calibri"/>
          <w:sz w:val="20"/>
        </w:rPr>
      </w:pPr>
      <w:r w:rsidRPr="00610F71">
        <w:rPr>
          <w:rStyle w:val="Heading4Char"/>
        </w:rPr>
        <w:t>General note about GP expenditure</w:t>
      </w:r>
      <w:r>
        <w:rPr>
          <w:rFonts w:ascii="Calibri" w:hAnsi="Calibri"/>
          <w:b/>
          <w:i/>
          <w:sz w:val="20"/>
        </w:rPr>
        <w:t xml:space="preserve">. </w:t>
      </w:r>
      <w:r>
        <w:rPr>
          <w:rFonts w:ascii="Calibri" w:hAnsi="Calibri"/>
          <w:sz w:val="20"/>
        </w:rPr>
        <w:t xml:space="preserve">NHS England, the Government, and the British Medical Association’s General Practitioners Committee reached agreement on changes to the GP contract in England for 2016/2017, which took effect from 1 April 2016: </w:t>
      </w:r>
      <w:hyperlink r:id="rId349">
        <w:r>
          <w:rPr>
            <w:rFonts w:ascii="Calibri" w:hAnsi="Calibri"/>
            <w:sz w:val="20"/>
            <w:u w:val="single"/>
          </w:rPr>
          <w:t>https://www.england.nhs.uk/2016/02/gp-contract-16-17/</w:t>
        </w:r>
        <w:r>
          <w:rPr>
            <w:rFonts w:ascii="Calibri" w:hAnsi="Calibri"/>
            <w:sz w:val="20"/>
          </w:rPr>
          <w:t>.</w:t>
        </w:r>
      </w:hyperlink>
    </w:p>
    <w:p w:rsidR="006A18FD" w:rsidRDefault="002D29FC">
      <w:pPr>
        <w:spacing w:before="120" w:line="273" w:lineRule="auto"/>
        <w:ind w:left="140" w:right="169"/>
        <w:rPr>
          <w:rFonts w:ascii="Calibri"/>
          <w:sz w:val="20"/>
        </w:rPr>
      </w:pPr>
      <w:r w:rsidRPr="00610F71">
        <w:rPr>
          <w:rStyle w:val="Heading4Char"/>
        </w:rPr>
        <w:t>Allowing for time equivalence (FTE).</w:t>
      </w:r>
      <w:r>
        <w:rPr>
          <w:rFonts w:ascii="Calibri"/>
          <w:b/>
          <w:sz w:val="20"/>
        </w:rPr>
        <w:t xml:space="preserve"> </w:t>
      </w:r>
      <w:r>
        <w:rPr>
          <w:rFonts w:ascii="Calibri"/>
          <w:sz w:val="20"/>
        </w:rPr>
        <w:t>NHS Digital has estimated that the number of FTE practitioners (excluding GP registrars and GP retainers) has reduced from 27,717 in 2018 to 27,232 FTE in 2019.</w:t>
      </w:r>
      <w:r>
        <w:rPr>
          <w:rFonts w:ascii="Calibri"/>
          <w:position w:val="7"/>
          <w:sz w:val="13"/>
        </w:rPr>
        <w:t xml:space="preserve">4 </w:t>
      </w:r>
      <w:r>
        <w:rPr>
          <w:rFonts w:ascii="Calibri"/>
          <w:sz w:val="20"/>
        </w:rPr>
        <w:t>FTE practice staff included 16,483 practice nurses (includes specialist nurses, advanced level nurses, extended role and specialist nurses), 12,976 direct patient care staff, and 67,036 administrative and clerical.</w:t>
      </w:r>
      <w:r>
        <w:rPr>
          <w:rFonts w:ascii="Calibri"/>
          <w:position w:val="7"/>
          <w:sz w:val="13"/>
        </w:rPr>
        <w:t xml:space="preserve">2 </w:t>
      </w:r>
      <w:r>
        <w:rPr>
          <w:rFonts w:ascii="Calibri"/>
          <w:sz w:val="20"/>
        </w:rPr>
        <w:t>Assuming that administrative and clerical staff are shared equally between</w:t>
      </w:r>
      <w:r>
        <w:rPr>
          <w:rFonts w:ascii="Calibri"/>
          <w:spacing w:val="-3"/>
          <w:sz w:val="20"/>
        </w:rPr>
        <w:t xml:space="preserve"> </w:t>
      </w:r>
      <w:r>
        <w:rPr>
          <w:rFonts w:ascii="Calibri"/>
          <w:sz w:val="20"/>
        </w:rPr>
        <w:t>GP</w:t>
      </w:r>
      <w:r>
        <w:rPr>
          <w:rFonts w:ascii="Calibri"/>
          <w:spacing w:val="-4"/>
          <w:sz w:val="20"/>
        </w:rPr>
        <w:t xml:space="preserve"> </w:t>
      </w:r>
      <w:r>
        <w:rPr>
          <w:rFonts w:ascii="Calibri"/>
          <w:sz w:val="20"/>
        </w:rPr>
        <w:t>practitioners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direct</w:t>
      </w:r>
      <w:r>
        <w:rPr>
          <w:rFonts w:ascii="Calibri"/>
          <w:spacing w:val="-3"/>
          <w:sz w:val="20"/>
        </w:rPr>
        <w:t xml:space="preserve"> </w:t>
      </w:r>
      <w:r>
        <w:rPr>
          <w:rFonts w:ascii="Calibri"/>
          <w:sz w:val="20"/>
        </w:rPr>
        <w:t>patient</w:t>
      </w:r>
      <w:r>
        <w:rPr>
          <w:rFonts w:ascii="Calibri"/>
          <w:spacing w:val="-3"/>
          <w:sz w:val="20"/>
        </w:rPr>
        <w:t xml:space="preserve"> </w:t>
      </w:r>
      <w:r>
        <w:rPr>
          <w:rFonts w:ascii="Calibri"/>
          <w:sz w:val="20"/>
        </w:rPr>
        <w:t>care</w:t>
      </w:r>
      <w:r>
        <w:rPr>
          <w:rFonts w:ascii="Calibri"/>
          <w:spacing w:val="-4"/>
          <w:sz w:val="20"/>
        </w:rPr>
        <w:t xml:space="preserve"> </w:t>
      </w:r>
      <w:r>
        <w:rPr>
          <w:rFonts w:ascii="Calibri"/>
          <w:sz w:val="20"/>
        </w:rPr>
        <w:t>staff</w:t>
      </w:r>
      <w:r>
        <w:rPr>
          <w:rFonts w:ascii="Calibri"/>
          <w:spacing w:val="-5"/>
          <w:sz w:val="20"/>
        </w:rPr>
        <w:t xml:space="preserve"> </w:t>
      </w:r>
      <w:r>
        <w:rPr>
          <w:rFonts w:ascii="Calibri"/>
          <w:sz w:val="20"/>
        </w:rPr>
        <w:t>(including</w:t>
      </w:r>
      <w:r>
        <w:rPr>
          <w:rFonts w:ascii="Calibri"/>
          <w:spacing w:val="-4"/>
          <w:sz w:val="20"/>
        </w:rPr>
        <w:t xml:space="preserve"> </w:t>
      </w:r>
      <w:r>
        <w:rPr>
          <w:rFonts w:ascii="Calibri"/>
          <w:sz w:val="20"/>
        </w:rPr>
        <w:t>practice</w:t>
      </w:r>
      <w:r>
        <w:rPr>
          <w:rFonts w:ascii="Calibri"/>
          <w:spacing w:val="-5"/>
          <w:sz w:val="20"/>
        </w:rPr>
        <w:t xml:space="preserve"> </w:t>
      </w:r>
      <w:r>
        <w:rPr>
          <w:rFonts w:ascii="Calibri"/>
          <w:sz w:val="20"/>
        </w:rPr>
        <w:t>nurses),</w:t>
      </w:r>
      <w:r>
        <w:rPr>
          <w:rFonts w:ascii="Calibri"/>
          <w:spacing w:val="-3"/>
          <w:sz w:val="20"/>
        </w:rPr>
        <w:t xml:space="preserve"> </w:t>
      </w:r>
      <w:r>
        <w:rPr>
          <w:rFonts w:ascii="Calibri"/>
          <w:sz w:val="20"/>
        </w:rPr>
        <w:t>each</w:t>
      </w:r>
      <w:r>
        <w:rPr>
          <w:rFonts w:ascii="Calibri"/>
          <w:spacing w:val="-2"/>
          <w:sz w:val="20"/>
        </w:rPr>
        <w:t xml:space="preserve"> </w:t>
      </w:r>
      <w:r>
        <w:rPr>
          <w:rFonts w:ascii="Calibri"/>
          <w:sz w:val="20"/>
        </w:rPr>
        <w:t>FTE</w:t>
      </w:r>
      <w:r>
        <w:rPr>
          <w:rFonts w:ascii="Calibri"/>
          <w:spacing w:val="-3"/>
          <w:sz w:val="20"/>
        </w:rPr>
        <w:t xml:space="preserve"> </w:t>
      </w:r>
      <w:r>
        <w:rPr>
          <w:rFonts w:ascii="Calibri"/>
          <w:sz w:val="20"/>
        </w:rPr>
        <w:t>practitioner</w:t>
      </w:r>
      <w:r>
        <w:rPr>
          <w:rFonts w:ascii="Calibri"/>
          <w:spacing w:val="-3"/>
          <w:sz w:val="20"/>
        </w:rPr>
        <w:t xml:space="preserve"> </w:t>
      </w:r>
      <w:r>
        <w:rPr>
          <w:rFonts w:ascii="Calibri"/>
          <w:sz w:val="20"/>
        </w:rPr>
        <w:t>(n=56,691)</w:t>
      </w:r>
      <w:r>
        <w:rPr>
          <w:rFonts w:ascii="Calibri"/>
          <w:spacing w:val="-4"/>
          <w:sz w:val="20"/>
        </w:rPr>
        <w:t xml:space="preserve"> </w:t>
      </w:r>
      <w:r>
        <w:rPr>
          <w:rFonts w:ascii="Calibri"/>
          <w:sz w:val="20"/>
        </w:rPr>
        <w:t>employs</w:t>
      </w:r>
    </w:p>
    <w:p w:rsidR="006A18FD" w:rsidRDefault="002D29FC">
      <w:pPr>
        <w:spacing w:before="2"/>
        <w:ind w:left="140"/>
        <w:rPr>
          <w:rFonts w:ascii="Calibri"/>
          <w:sz w:val="20"/>
        </w:rPr>
      </w:pPr>
      <w:r>
        <w:rPr>
          <w:rFonts w:ascii="Calibri"/>
          <w:sz w:val="20"/>
        </w:rPr>
        <w:t>1.18 FTE administrative and clerical staff (n=67,036).</w:t>
      </w:r>
    </w:p>
    <w:p w:rsidR="006A18FD" w:rsidRDefault="002D29FC">
      <w:pPr>
        <w:spacing w:before="156" w:line="273" w:lineRule="auto"/>
        <w:ind w:left="140" w:right="191"/>
        <w:rPr>
          <w:rFonts w:ascii="Calibri"/>
          <w:sz w:val="20"/>
        </w:rPr>
      </w:pPr>
      <w:r w:rsidRPr="00610F71">
        <w:rPr>
          <w:rStyle w:val="Heading4Char"/>
        </w:rPr>
        <w:t>Direct care staff</w:t>
      </w:r>
      <w:r>
        <w:rPr>
          <w:rFonts w:ascii="Calibri"/>
          <w:b/>
          <w:i/>
          <w:sz w:val="20"/>
        </w:rPr>
        <w:t xml:space="preserve">. </w:t>
      </w:r>
      <w:r>
        <w:rPr>
          <w:rFonts w:ascii="Calibri"/>
          <w:sz w:val="20"/>
        </w:rPr>
        <w:t>On average in 2019, approximately 91 per cent of FTE equivalent practitioners (excluding GP registrars and GP retainers)</w:t>
      </w:r>
      <w:r>
        <w:rPr>
          <w:rFonts w:ascii="Calibri"/>
          <w:position w:val="7"/>
          <w:sz w:val="13"/>
        </w:rPr>
        <w:t xml:space="preserve">5 </w:t>
      </w:r>
      <w:r>
        <w:rPr>
          <w:rFonts w:ascii="Calibri"/>
          <w:sz w:val="20"/>
        </w:rPr>
        <w:t>employed 0.67 FTE nursing staff (16,483/27,232). All direct care staff have been costed at the same level as a band 6 GP practice nurse.</w:t>
      </w:r>
    </w:p>
    <w:p w:rsidR="006A18FD" w:rsidRDefault="002D29FC">
      <w:pPr>
        <w:spacing w:before="122" w:line="273" w:lineRule="auto"/>
        <w:ind w:left="140" w:right="284"/>
        <w:rPr>
          <w:rFonts w:ascii="Calibri"/>
          <w:sz w:val="13"/>
        </w:rPr>
      </w:pPr>
      <w:r w:rsidRPr="00610F71">
        <w:rPr>
          <w:rStyle w:val="Heading4Char"/>
        </w:rPr>
        <w:t>Qualifications</w:t>
      </w:r>
      <w:r>
        <w:rPr>
          <w:rFonts w:ascii="Calibri"/>
          <w:b/>
          <w:i/>
          <w:sz w:val="20"/>
        </w:rPr>
        <w:t xml:space="preserve">. </w:t>
      </w:r>
      <w:r>
        <w:rPr>
          <w:rFonts w:ascii="Calibri"/>
          <w:sz w:val="20"/>
        </w:rPr>
        <w:t>The equivalent annual cost of pre-registration and post-graduate medical education. The investment in training has been annuitised over the expected working life of the doctor.</w:t>
      </w:r>
      <w:r>
        <w:rPr>
          <w:rFonts w:ascii="Calibri"/>
          <w:position w:val="7"/>
          <w:sz w:val="13"/>
        </w:rPr>
        <w:t xml:space="preserve">6 </w:t>
      </w:r>
      <w:r>
        <w:rPr>
          <w:rFonts w:ascii="Calibri"/>
          <w:sz w:val="20"/>
        </w:rPr>
        <w:t>Post-graduate education costs have been calculated using information provided by the Department of Health and Health Education England.</w:t>
      </w:r>
      <w:r>
        <w:rPr>
          <w:rFonts w:ascii="Calibri"/>
          <w:position w:val="7"/>
          <w:sz w:val="13"/>
        </w:rPr>
        <w:t xml:space="preserve">7 </w:t>
      </w:r>
      <w:r>
        <w:rPr>
          <w:rFonts w:ascii="Calibri"/>
          <w:sz w:val="20"/>
        </w:rPr>
        <w:t>This includes the cost of the two-year foundation programme, two years on a General Practice Vocational Training Scheme (GP-VTS) and a further year as a general practice registrar.</w:t>
      </w:r>
      <w:r>
        <w:rPr>
          <w:rFonts w:ascii="Calibri"/>
          <w:position w:val="7"/>
          <w:sz w:val="13"/>
        </w:rPr>
        <w:t>8</w:t>
      </w: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rPr>
          <w:rFonts w:ascii="Calibri"/>
        </w:rPr>
      </w:pPr>
    </w:p>
    <w:p w:rsidR="006A18FD" w:rsidRDefault="006A18FD">
      <w:pPr>
        <w:spacing w:before="5"/>
        <w:rPr>
          <w:rFonts w:ascii="Calibri"/>
          <w:sz w:val="27"/>
        </w:rPr>
      </w:pPr>
    </w:p>
    <w:p w:rsidR="006A18FD" w:rsidRDefault="002D29FC">
      <w:pPr>
        <w:spacing w:before="1"/>
        <w:ind w:left="140"/>
        <w:rPr>
          <w:rFonts w:ascii="Calibri"/>
          <w:sz w:val="16"/>
        </w:rPr>
      </w:pPr>
      <w:r>
        <w:rPr>
          <w:rFonts w:ascii="Calibri"/>
          <w:position w:val="5"/>
          <w:sz w:val="10"/>
        </w:rPr>
        <w:t xml:space="preserve">1  </w:t>
      </w:r>
      <w:r>
        <w:rPr>
          <w:rFonts w:ascii="Calibri"/>
          <w:sz w:val="16"/>
        </w:rPr>
        <w:t>Excludes travel.</w:t>
      </w:r>
    </w:p>
    <w:p w:rsidR="006A18FD" w:rsidRDefault="002D29FC">
      <w:pPr>
        <w:spacing w:before="2" w:line="195" w:lineRule="exact"/>
        <w:ind w:left="140"/>
        <w:rPr>
          <w:rFonts w:ascii="Calibri" w:hAnsi="Calibri"/>
          <w:sz w:val="16"/>
        </w:rPr>
      </w:pPr>
      <w:r>
        <w:rPr>
          <w:rFonts w:ascii="Calibri" w:hAnsi="Calibri"/>
          <w:position w:val="5"/>
          <w:sz w:val="10"/>
        </w:rPr>
        <w:t xml:space="preserve">2 </w:t>
      </w:r>
      <w:r>
        <w:rPr>
          <w:rFonts w:ascii="Calibri" w:hAnsi="Calibri"/>
          <w:sz w:val="16"/>
        </w:rPr>
        <w:t>Costs provided by Richard Lomax, Sustainable Development Unit. Costs are &lt;£1 for carbon emissions per patient contact lasting 9.22 minutes.</w:t>
      </w:r>
    </w:p>
    <w:p w:rsidR="006A18FD" w:rsidRDefault="002D29FC">
      <w:pPr>
        <w:spacing w:line="195" w:lineRule="exact"/>
        <w:ind w:left="140"/>
        <w:rPr>
          <w:rFonts w:ascii="Calibri"/>
          <w:sz w:val="16"/>
        </w:rPr>
      </w:pPr>
      <w:r>
        <w:rPr>
          <w:rFonts w:ascii="Calibri"/>
          <w:position w:val="5"/>
          <w:sz w:val="10"/>
        </w:rPr>
        <w:t xml:space="preserve">3 </w:t>
      </w:r>
      <w:r>
        <w:rPr>
          <w:rFonts w:ascii="Calibri"/>
          <w:sz w:val="16"/>
        </w:rPr>
        <w:t>Personal communication with NHS Business Services Authority, 2019.</w:t>
      </w:r>
    </w:p>
    <w:p w:rsidR="006A18FD" w:rsidRDefault="002D29FC">
      <w:pPr>
        <w:spacing w:before="1" w:line="195" w:lineRule="exact"/>
        <w:ind w:left="140"/>
        <w:rPr>
          <w:rFonts w:ascii="Calibri"/>
          <w:sz w:val="16"/>
        </w:rPr>
      </w:pPr>
      <w:r>
        <w:rPr>
          <w:rFonts w:ascii="Calibri"/>
          <w:position w:val="5"/>
          <w:sz w:val="10"/>
        </w:rPr>
        <w:t xml:space="preserve">4 </w:t>
      </w:r>
      <w:r>
        <w:rPr>
          <w:rFonts w:ascii="Calibri"/>
          <w:sz w:val="16"/>
        </w:rPr>
        <w:t xml:space="preserve">NHS Digital (2019) General Practice Workforce, England, Bulletin Tables March 2019. Experimental Statistics, </w:t>
      </w:r>
      <w:hyperlink r:id="rId350">
        <w:r>
          <w:rPr>
            <w:rFonts w:ascii="Calibri"/>
            <w:sz w:val="16"/>
            <w:u w:val="single"/>
          </w:rPr>
          <w:t>http://digital.nhs.uk/pubs/gpworkmay19</w:t>
        </w:r>
        <w:r>
          <w:rPr>
            <w:rFonts w:ascii="Calibri"/>
            <w:sz w:val="16"/>
          </w:rPr>
          <w:t>.</w:t>
        </w:r>
      </w:hyperlink>
    </w:p>
    <w:p w:rsidR="006A18FD" w:rsidRDefault="002D29FC">
      <w:pPr>
        <w:spacing w:line="194" w:lineRule="exact"/>
        <w:ind w:left="140"/>
        <w:rPr>
          <w:rFonts w:ascii="Calibri"/>
          <w:sz w:val="16"/>
        </w:rPr>
      </w:pPr>
      <w:r>
        <w:rPr>
          <w:rFonts w:ascii="Calibri"/>
          <w:position w:val="5"/>
          <w:sz w:val="10"/>
        </w:rPr>
        <w:t xml:space="preserve">5 </w:t>
      </w:r>
      <w:r>
        <w:rPr>
          <w:rFonts w:ascii="Calibri"/>
          <w:sz w:val="16"/>
        </w:rPr>
        <w:t>Based on personal correspondence with the Chairman of the East Midlands Regional Council, British Medical Association (2015).</w:t>
      </w:r>
    </w:p>
    <w:p w:rsidR="006A18FD" w:rsidRDefault="002D29FC">
      <w:pPr>
        <w:ind w:left="423" w:hanging="284"/>
        <w:rPr>
          <w:rFonts w:ascii="Calibri"/>
          <w:sz w:val="16"/>
        </w:rPr>
      </w:pPr>
      <w:r>
        <w:rPr>
          <w:rFonts w:ascii="Calibri"/>
          <w:position w:val="5"/>
          <w:sz w:val="10"/>
        </w:rPr>
        <w:t xml:space="preserve">6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line="194" w:lineRule="exact"/>
        <w:ind w:left="140"/>
        <w:rPr>
          <w:rFonts w:ascii="Calibri"/>
          <w:sz w:val="16"/>
        </w:rPr>
      </w:pPr>
      <w:r>
        <w:rPr>
          <w:rFonts w:ascii="Calibri"/>
          <w:position w:val="5"/>
          <w:sz w:val="10"/>
        </w:rPr>
        <w:t xml:space="preserve">7 </w:t>
      </w:r>
      <w:r>
        <w:rPr>
          <w:rFonts w:ascii="Calibri"/>
          <w:sz w:val="16"/>
        </w:rPr>
        <w:t>Personal communication with the Department of Health and Health Education England (HEE), 2015.</w:t>
      </w:r>
    </w:p>
    <w:p w:rsidR="006A18FD" w:rsidRDefault="002D29FC">
      <w:pPr>
        <w:spacing w:line="195" w:lineRule="exact"/>
        <w:ind w:left="140"/>
        <w:rPr>
          <w:rFonts w:ascii="Calibri"/>
          <w:sz w:val="16"/>
        </w:rPr>
      </w:pPr>
      <w:r>
        <w:rPr>
          <w:rFonts w:ascii="Calibri"/>
          <w:position w:val="5"/>
          <w:sz w:val="10"/>
        </w:rPr>
        <w:t xml:space="preserve">8 </w:t>
      </w:r>
      <w:r>
        <w:rPr>
          <w:rFonts w:ascii="Calibri"/>
          <w:sz w:val="16"/>
        </w:rPr>
        <w:t xml:space="preserve">NHS Employers (2006) </w:t>
      </w:r>
      <w:r>
        <w:rPr>
          <w:rFonts w:ascii="Calibri"/>
          <w:i/>
          <w:sz w:val="16"/>
        </w:rPr>
        <w:t>Modernising medical careers: a new era in medical training</w:t>
      </w:r>
      <w:r>
        <w:rPr>
          <w:rFonts w:ascii="Calibri"/>
          <w:sz w:val="16"/>
        </w:rPr>
        <w:t>, NHS Employers, London.</w:t>
      </w:r>
    </w:p>
    <w:p w:rsidR="006A18FD" w:rsidRDefault="006A18FD">
      <w:pPr>
        <w:spacing w:line="195" w:lineRule="exact"/>
        <w:rPr>
          <w:rFonts w:ascii="Calibri"/>
          <w:sz w:val="16"/>
        </w:rPr>
        <w:sectPr w:rsidR="006A18FD">
          <w:headerReference w:type="even" r:id="rId351"/>
          <w:headerReference w:type="default" r:id="rId352"/>
          <w:pgSz w:w="11910" w:h="16840"/>
          <w:pgMar w:top="960" w:right="980" w:bottom="280" w:left="580" w:header="751" w:footer="0" w:gutter="0"/>
          <w:pgNumType w:start="12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20" name="Line 7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5C25AA" id="Group 7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">
                <v:line id="Line 7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w10:anchorlock/>
              </v:group>
            </w:pict>
          </mc:Fallback>
        </mc:AlternateContent>
      </w:r>
    </w:p>
    <w:p w:rsidR="006A18FD" w:rsidRDefault="002D29FC">
      <w:pPr>
        <w:spacing w:line="276" w:lineRule="auto"/>
        <w:ind w:left="152" w:right="154"/>
        <w:rPr>
          <w:rFonts w:ascii="Calibri" w:hAnsi="Calibri"/>
          <w:sz w:val="20"/>
        </w:rPr>
      </w:pPr>
      <w:r w:rsidRPr="00610F71">
        <w:rPr>
          <w:rStyle w:val="Heading4Char"/>
        </w:rPr>
        <w:t>Environment costs.</w:t>
      </w:r>
      <w:r>
        <w:rPr>
          <w:rFonts w:ascii="Calibri" w:hAnsi="Calibri"/>
          <w:b/>
          <w:sz w:val="20"/>
        </w:rPr>
        <w:t xml:space="preserve"> </w:t>
      </w:r>
      <w:r>
        <w:rPr>
          <w:rFonts w:ascii="Calibri" w:hAnsi="Calibri"/>
          <w:sz w:val="20"/>
        </w:rPr>
        <w:t xml:space="preserve">The cost of carbon emissions from patient and staff travel, electricity and gas for the building, along with embedded emissions in the goods and services used to provide the appointment. The embedded carbon in pharmaceuticals prescribed is shown separately and accounts for half of GP emissions. A carbon price of £44 per tonne of carbon dioxide emission has been used to value these externalities in line with the mix of traded and non-traded emissions and HM Treasury Green Book </w:t>
      </w:r>
      <w:hyperlink r:id="rId353">
        <w:r>
          <w:rPr>
            <w:rFonts w:ascii="Calibri" w:hAnsi="Calibri"/>
            <w:sz w:val="20"/>
            <w:u w:val="single"/>
          </w:rPr>
          <w:t>https://www.gov.uk/government/publications/valuation-of-energy-use-and-greenhouse-gas-</w:t>
        </w:r>
      </w:hyperlink>
      <w:r>
        <w:rPr>
          <w:rFonts w:ascii="Calibri" w:hAnsi="Calibri"/>
          <w:sz w:val="20"/>
        </w:rPr>
        <w:t xml:space="preserve"> </w:t>
      </w:r>
      <w:hyperlink r:id="rId354">
        <w:r>
          <w:rPr>
            <w:rFonts w:ascii="Calibri" w:hAnsi="Calibri"/>
            <w:sz w:val="20"/>
            <w:u w:val="single"/>
          </w:rPr>
          <w:t>emissions-for-appraisal.</w:t>
        </w:r>
      </w:hyperlink>
    </w:p>
    <w:p w:rsidR="006A18FD" w:rsidRDefault="006A18FD">
      <w:pPr>
        <w:spacing w:before="5"/>
        <w:rPr>
          <w:rFonts w:ascii="Calibri"/>
          <w:sz w:val="11"/>
        </w:rPr>
      </w:pPr>
    </w:p>
    <w:p w:rsidR="006A18FD" w:rsidRDefault="002D29FC">
      <w:pPr>
        <w:spacing w:before="60" w:line="276" w:lineRule="auto"/>
        <w:ind w:left="152" w:right="239"/>
        <w:rPr>
          <w:rFonts w:ascii="Calibri" w:hAnsi="Calibri"/>
          <w:sz w:val="20"/>
        </w:rPr>
      </w:pPr>
      <w:r w:rsidRPr="00610F71">
        <w:rPr>
          <w:rStyle w:val="Heading4Char"/>
        </w:rPr>
        <w:t>Prescription costs</w:t>
      </w:r>
      <w:r>
        <w:rPr>
          <w:rFonts w:ascii="Calibri" w:hAnsi="Calibri"/>
          <w:b/>
          <w:i/>
          <w:sz w:val="20"/>
        </w:rPr>
        <w:t xml:space="preserve">. </w:t>
      </w:r>
      <w:r>
        <w:rPr>
          <w:rFonts w:ascii="Calibri" w:hAnsi="Calibri"/>
          <w:sz w:val="20"/>
        </w:rPr>
        <w:t>Prescription costs per consultation are £33.30 (net ingredient cost) and £31 (actual cost). The net ingredient cost (NIC) is the basic cost of the drug, while the actual cost is the NIC less the assumed average discount plus the container allowance, plus on-cost for appliance contractors. The NIC does not take account of dispensing costs, fees or prescription charges income. The prescription cost per consultation has been calculated by first dividing the number of prescriptions per GP by the number of consultations per GP (38,859/9,130)</w:t>
      </w:r>
      <w:r>
        <w:rPr>
          <w:rFonts w:ascii="Calibri" w:hAnsi="Calibri"/>
          <w:position w:val="7"/>
          <w:sz w:val="13"/>
        </w:rPr>
        <w:t xml:space="preserve">1,2 </w:t>
      </w:r>
      <w:r>
        <w:rPr>
          <w:rFonts w:ascii="Calibri" w:hAnsi="Calibri"/>
          <w:sz w:val="20"/>
        </w:rPr>
        <w:t>(no updated number of consultations per GP available) to give the number of prescriptions per GP consultation (4.25) and multiplying this by the actual cost per GP prescription (£7.30) and the NIC per GP prescription (£7.80). The total NIC and actual cost of GP prescriptions were</w:t>
      </w:r>
    </w:p>
    <w:p w:rsidR="006A18FD" w:rsidRDefault="002D29FC">
      <w:pPr>
        <w:spacing w:line="245" w:lineRule="exact"/>
        <w:ind w:left="152"/>
        <w:rPr>
          <w:rFonts w:ascii="Calibri" w:hAnsi="Calibri"/>
          <w:sz w:val="13"/>
        </w:rPr>
      </w:pPr>
      <w:r>
        <w:rPr>
          <w:rFonts w:ascii="Calibri" w:hAnsi="Calibri"/>
          <w:sz w:val="20"/>
        </w:rPr>
        <w:t>£8,252,437,072 and £7,695,342,049 respectively.</w:t>
      </w:r>
      <w:r>
        <w:rPr>
          <w:rFonts w:ascii="Calibri" w:hAnsi="Calibri"/>
          <w:position w:val="7"/>
          <w:sz w:val="13"/>
        </w:rPr>
        <w:t>2</w:t>
      </w:r>
    </w:p>
    <w:p w:rsidR="006A18FD" w:rsidRDefault="002D29FC">
      <w:pPr>
        <w:spacing w:before="153" w:line="276" w:lineRule="auto"/>
        <w:ind w:left="152" w:right="164"/>
        <w:rPr>
          <w:rFonts w:ascii="Calibri"/>
          <w:sz w:val="20"/>
        </w:rPr>
      </w:pPr>
      <w:r w:rsidRPr="00610F71">
        <w:rPr>
          <w:rStyle w:val="Heading4Char"/>
        </w:rPr>
        <w:t>Activity.</w:t>
      </w:r>
      <w:r>
        <w:rPr>
          <w:rFonts w:ascii="Calibri"/>
          <w:b/>
          <w:sz w:val="20"/>
        </w:rPr>
        <w:t xml:space="preserve"> </w:t>
      </w:r>
      <w:r>
        <w:rPr>
          <w:rFonts w:ascii="Calibri"/>
          <w:sz w:val="20"/>
        </w:rPr>
        <w:t>Hobbs and colleagues (2016)</w:t>
      </w:r>
      <w:r>
        <w:rPr>
          <w:rFonts w:ascii="Calibri"/>
          <w:position w:val="7"/>
          <w:sz w:val="13"/>
        </w:rPr>
        <w:t xml:space="preserve">3 </w:t>
      </w:r>
      <w:r>
        <w:rPr>
          <w:rFonts w:ascii="Calibri"/>
          <w:sz w:val="20"/>
        </w:rPr>
        <w:t>carried out a retrospective analysis of GP and nurse consultations of non-temporary patients registered at 398 English general practices between April 2007 and March 2014. They used data from electronic health records routinely entered in the Clinical Practice Research Datalink (CPRD), and linked CPRD data to national datasets. The dataset comprised 101,818,352 consultations and 20,626,297 person-years of observation. The mean duration of GP surgery consultations increased by 6.7 per cent, from 8.65 minutes to 9.22 minutes during that time.</w:t>
      </w: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5"/>
        <w:rPr>
          <w:rFonts w:ascii="Calibri"/>
          <w:sz w:val="20"/>
        </w:rPr>
      </w:pPr>
    </w:p>
    <w:p w:rsidR="006A18FD" w:rsidRDefault="002D29FC">
      <w:pPr>
        <w:spacing w:before="1"/>
        <w:ind w:left="436" w:right="346" w:hanging="284"/>
        <w:rPr>
          <w:rFonts w:ascii="Calibri"/>
          <w:sz w:val="18"/>
        </w:rPr>
      </w:pPr>
      <w:r>
        <w:rPr>
          <w:rFonts w:ascii="Calibri"/>
          <w:position w:val="5"/>
          <w:sz w:val="10"/>
        </w:rPr>
        <w:t xml:space="preserve">1 </w:t>
      </w:r>
      <w:r>
        <w:rPr>
          <w:rFonts w:ascii="Calibri"/>
          <w:sz w:val="16"/>
        </w:rPr>
        <w:t xml:space="preserve">See news item issued by the RCGP Press office which says that GPs have an average of 41.5 patient contacts per day. (41.5 consultations per day x 220 working days per year x the number of FTE GP registrars and retainers; 27,773, gives a total of 253,567,490 GP consultations per annum). </w:t>
      </w:r>
      <w:hyperlink r:id="rId355">
        <w:r>
          <w:rPr>
            <w:rFonts w:ascii="Calibri"/>
            <w:sz w:val="16"/>
            <w:u w:val="single"/>
          </w:rPr>
          <w:t>http://www.rcgp.org.uk/about-us/news/2018/january/workload-in-general-practice-a-real-concern-says-rcgp.aspx</w:t>
        </w:r>
        <w:r>
          <w:rPr>
            <w:rFonts w:ascii="Calibri"/>
            <w:sz w:val="18"/>
          </w:rPr>
          <w:t>.</w:t>
        </w:r>
      </w:hyperlink>
    </w:p>
    <w:p w:rsidR="006A18FD" w:rsidRDefault="002D29FC">
      <w:pPr>
        <w:spacing w:line="194" w:lineRule="exact"/>
        <w:ind w:left="152"/>
        <w:rPr>
          <w:rFonts w:ascii="Calibri"/>
          <w:sz w:val="16"/>
        </w:rPr>
      </w:pPr>
      <w:r>
        <w:rPr>
          <w:rFonts w:ascii="Calibri"/>
          <w:position w:val="5"/>
          <w:sz w:val="10"/>
        </w:rPr>
        <w:t xml:space="preserve">2 </w:t>
      </w:r>
      <w:r>
        <w:rPr>
          <w:rFonts w:ascii="Calibri"/>
          <w:sz w:val="16"/>
        </w:rPr>
        <w:t>Personal communication with NHS Business Services Authority, 2019.</w:t>
      </w:r>
    </w:p>
    <w:p w:rsidR="006A18FD" w:rsidRDefault="002D29FC">
      <w:pPr>
        <w:spacing w:before="1"/>
        <w:ind w:left="436" w:right="452" w:hanging="284"/>
        <w:rPr>
          <w:rFonts w:ascii="Calibri"/>
          <w:sz w:val="16"/>
        </w:rPr>
      </w:pPr>
      <w:r>
        <w:rPr>
          <w:rFonts w:ascii="Calibri"/>
          <w:position w:val="5"/>
          <w:sz w:val="10"/>
        </w:rPr>
        <w:t xml:space="preserve">3 </w:t>
      </w:r>
      <w:r>
        <w:rPr>
          <w:rFonts w:ascii="Calibri"/>
          <w:sz w:val="16"/>
        </w:rPr>
        <w:t xml:space="preserve">Hobbs, R. Bankhead, C. Mukhtar, T., Stevens, S. Perera-Salazar, R. Holt, T., &amp; Salisbury, C. (2016) Clinical workload in UK primary care: a retrospective analysis of 100 million consultations in England, 2007-14, </w:t>
      </w:r>
      <w:r>
        <w:rPr>
          <w:rFonts w:ascii="Calibri"/>
          <w:i/>
          <w:sz w:val="16"/>
        </w:rPr>
        <w:t>The Lancet</w:t>
      </w:r>
      <w:r>
        <w:rPr>
          <w:rFonts w:ascii="Calibri"/>
          <w:sz w:val="16"/>
        </w:rPr>
        <w:t xml:space="preserve">, 387, 10035, 2323-2330. </w:t>
      </w:r>
      <w:hyperlink r:id="rId356">
        <w:r>
          <w:rPr>
            <w:rFonts w:ascii="Calibri"/>
            <w:sz w:val="16"/>
            <w:u w:val="single"/>
          </w:rPr>
          <w:t>http://www.sciencedirect.com/science/article/pii/S0140673616006206</w:t>
        </w:r>
        <w:r>
          <w:rPr>
            <w:rFonts w:ascii="Calibri"/>
            <w:sz w:val="16"/>
          </w:rPr>
          <w:t>.</w:t>
        </w:r>
      </w:hyperlink>
    </w:p>
    <w:p w:rsidR="006A18FD" w:rsidRDefault="006A18FD">
      <w:pPr>
        <w:rPr>
          <w:rFonts w:ascii="Calibri"/>
          <w:sz w:val="16"/>
        </w:rPr>
        <w:sectPr w:rsidR="006A18FD">
          <w:pgSz w:w="11910" w:h="16840"/>
          <w:pgMar w:top="960" w:right="580" w:bottom="280" w:left="980" w:header="751"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1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18" name="Line 7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3DAE4" id="Group 7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Eoj6un4CAAB/BQAA&#10;DgAAAAAAAAAAAAAAAAAuAgAAZHJzL2Uyb0RvYy54bWxQSwECLQAUAAYACAAAACEALXfkXNoAAAAE&#10;AQAADwAAAAAAAAAAAAAAAADYBAAAZHJzL2Rvd25yZXYueG1sUEsFBgAAAAAEAAQA8wAAAN8FAAAA&#10;AA==&#10;">
                <v:line id="Line 7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w10:anchorlock/>
              </v:group>
            </w:pict>
          </mc:Fallback>
        </mc:AlternateContent>
      </w:r>
    </w:p>
    <w:p w:rsidR="006A18FD" w:rsidRDefault="002D29FC" w:rsidP="008E3FA8">
      <w:pPr>
        <w:pStyle w:val="Heading2"/>
        <w:numPr>
          <w:ilvl w:val="1"/>
          <w:numId w:val="37"/>
        </w:numPr>
        <w:ind w:left="709" w:hanging="709"/>
      </w:pPr>
      <w:r>
        <w:t>The cost of online</w:t>
      </w:r>
      <w:r>
        <w:rPr>
          <w:spacing w:val="-16"/>
        </w:rPr>
        <w:t xml:space="preserve"> </w:t>
      </w:r>
      <w:r>
        <w:t>consultations</w:t>
      </w:r>
    </w:p>
    <w:p w:rsidR="006A18FD" w:rsidRDefault="002D29FC">
      <w:pPr>
        <w:spacing w:before="174" w:line="273" w:lineRule="auto"/>
        <w:ind w:left="140"/>
        <w:rPr>
          <w:rFonts w:ascii="Calibri"/>
          <w:sz w:val="20"/>
        </w:rPr>
      </w:pPr>
      <w:r>
        <w:rPr>
          <w:rFonts w:ascii="Calibri"/>
          <w:sz w:val="20"/>
        </w:rPr>
        <w:t>Information for this schema was taken from a 15 month observational study carried out in South West England by Hannah Edwards and colleagues</w:t>
      </w:r>
      <w:r>
        <w:rPr>
          <w:rFonts w:ascii="Calibri"/>
          <w:position w:val="7"/>
          <w:sz w:val="13"/>
        </w:rPr>
        <w:t xml:space="preserve">1 </w:t>
      </w:r>
      <w:r>
        <w:rPr>
          <w:rFonts w:ascii="Calibri"/>
          <w:sz w:val="20"/>
        </w:rPr>
        <w:t>to evaluate an online consultation system in primary care. Thirty-six general practices covering</w:t>
      </w:r>
    </w:p>
    <w:p w:rsidR="006A18FD" w:rsidRDefault="002D29FC">
      <w:pPr>
        <w:spacing w:before="1" w:line="276" w:lineRule="auto"/>
        <w:ind w:left="140" w:right="589"/>
        <w:rPr>
          <w:rFonts w:ascii="Calibri" w:hAnsi="Calibri"/>
          <w:sz w:val="20"/>
        </w:rPr>
      </w:pPr>
      <w:r>
        <w:rPr>
          <w:rFonts w:ascii="Calibri" w:hAnsi="Calibri"/>
          <w:sz w:val="20"/>
        </w:rPr>
        <w:t>396,828 patients took part in the pilot and 7,472 patients completed an ’e-consultation’. Patient records (n=485) were abstracted for eight practices.</w:t>
      </w:r>
    </w:p>
    <w:p w:rsidR="006A18FD" w:rsidRDefault="002D29FC">
      <w:pPr>
        <w:spacing w:before="119" w:line="276" w:lineRule="auto"/>
        <w:ind w:left="140" w:right="173"/>
        <w:rPr>
          <w:rFonts w:ascii="Calibri" w:hAnsi="Calibri"/>
          <w:sz w:val="20"/>
        </w:rPr>
      </w:pPr>
      <w:r>
        <w:rPr>
          <w:rFonts w:ascii="Calibri" w:hAnsi="Calibri"/>
          <w:sz w:val="20"/>
        </w:rPr>
        <w:t>To contact their GP, a patient completed an online form describing the nature of their problem (hereafter referred to an ‘e- consultation’). This was submitted to their practice, which committed to responding by the end of the next working day.</w:t>
      </w:r>
    </w:p>
    <w:p w:rsidR="006A18FD" w:rsidRDefault="002D29FC">
      <w:pPr>
        <w:spacing w:line="276" w:lineRule="auto"/>
        <w:ind w:left="140" w:right="311"/>
        <w:rPr>
          <w:rFonts w:ascii="Calibri" w:hAnsi="Calibri"/>
          <w:sz w:val="20"/>
        </w:rPr>
      </w:pPr>
      <w:r>
        <w:rPr>
          <w:rFonts w:ascii="Calibri" w:hAnsi="Calibri"/>
          <w:sz w:val="20"/>
        </w:rPr>
        <w:t xml:space="preserve">The study calculated the average cost of all initial primary care actions in response to an e-consultation was £37.70. The cost was driven mainly by the time needed for a GP to triage the e-consultations (5 minutes assumed based on interviews with practice staff) and the relatively high proportion of e-consultations that resulted in a face-to-face or telephone consultation with a GP. When considering further follow-up actions taken in the subsequent 30 days, the average cost associated with an e-consultation increased to £47.10. Staff time was valued using data from the </w:t>
      </w:r>
      <w:r>
        <w:rPr>
          <w:rFonts w:ascii="Calibri" w:hAnsi="Calibri"/>
          <w:i/>
          <w:sz w:val="20"/>
        </w:rPr>
        <w:t xml:space="preserve">Unit Costs of Health &amp; Social Care 2015 </w:t>
      </w:r>
      <w:r>
        <w:rPr>
          <w:rFonts w:ascii="Calibri" w:hAnsi="Calibri"/>
          <w:sz w:val="20"/>
        </w:rPr>
        <w:t>and has been uprated to current costs.</w:t>
      </w:r>
    </w:p>
    <w:p w:rsidR="006A18FD" w:rsidRDefault="002D29FC">
      <w:pPr>
        <w:spacing w:before="118" w:line="276" w:lineRule="auto"/>
        <w:ind w:left="140"/>
        <w:rPr>
          <w:rFonts w:ascii="Calibri"/>
          <w:sz w:val="20"/>
        </w:rPr>
      </w:pPr>
      <w:r>
        <w:rPr>
          <w:rFonts w:ascii="Calibri"/>
          <w:sz w:val="20"/>
        </w:rPr>
        <w:t>Table 1 shows that the cost needed for the GP to triage the e-consultations formed 32% of the total cost. Costs have been uprated from 2015 to current values using the appropriate inflators.</w:t>
      </w:r>
    </w:p>
    <w:p w:rsidR="006A18FD" w:rsidRDefault="002D29FC">
      <w:pPr>
        <w:spacing w:before="120"/>
        <w:ind w:left="140"/>
        <w:rPr>
          <w:rFonts w:ascii="Calibri"/>
          <w:b/>
          <w:sz w:val="20"/>
        </w:rPr>
      </w:pPr>
      <w:r>
        <w:rPr>
          <w:rFonts w:ascii="Calibri"/>
          <w:b/>
          <w:sz w:val="20"/>
        </w:rPr>
        <w:t>Table 1 Average cost of all initial primary care actions in response to an e-consultation</w:t>
      </w:r>
    </w:p>
    <w:p w:rsidR="006A18FD" w:rsidRDefault="006A18FD">
      <w:pPr>
        <w:spacing w:before="8" w:after="1"/>
        <w:rPr>
          <w:rFonts w:ascii="Calibri"/>
          <w:b/>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381"/>
        <w:gridCol w:w="2381"/>
        <w:gridCol w:w="2381"/>
      </w:tblGrid>
      <w:tr w:rsidR="006A18FD" w:rsidTr="00E2663F">
        <w:trPr>
          <w:trHeight w:val="720"/>
          <w:tblHeader/>
        </w:trPr>
        <w:tc>
          <w:tcPr>
            <w:tcW w:w="2552" w:type="dxa"/>
          </w:tcPr>
          <w:p w:rsidR="006A18FD" w:rsidRDefault="002D29FC">
            <w:pPr>
              <w:spacing w:before="123"/>
              <w:ind w:left="103"/>
              <w:rPr>
                <w:rFonts w:ascii="Calibri"/>
                <w:b/>
                <w:sz w:val="20"/>
              </w:rPr>
            </w:pPr>
            <w:r>
              <w:rPr>
                <w:rFonts w:ascii="Calibri"/>
                <w:b/>
                <w:sz w:val="20"/>
              </w:rPr>
              <w:t>All initial response actions</w:t>
            </w:r>
          </w:p>
        </w:tc>
        <w:tc>
          <w:tcPr>
            <w:tcW w:w="2381" w:type="dxa"/>
          </w:tcPr>
          <w:p w:rsidR="006A18FD" w:rsidRDefault="002D29FC">
            <w:pPr>
              <w:spacing w:before="123"/>
              <w:ind w:left="103"/>
              <w:rPr>
                <w:rFonts w:ascii="Calibri"/>
                <w:b/>
                <w:sz w:val="20"/>
              </w:rPr>
            </w:pPr>
            <w:r>
              <w:rPr>
                <w:rFonts w:ascii="Calibri"/>
                <w:b/>
                <w:sz w:val="20"/>
              </w:rPr>
              <w:t>number</w:t>
            </w:r>
          </w:p>
        </w:tc>
        <w:tc>
          <w:tcPr>
            <w:tcW w:w="2381" w:type="dxa"/>
          </w:tcPr>
          <w:p w:rsidR="006A18FD" w:rsidRDefault="002D29FC">
            <w:pPr>
              <w:spacing w:before="121"/>
              <w:ind w:left="103"/>
              <w:rPr>
                <w:rFonts w:ascii="Calibri"/>
                <w:b/>
                <w:sz w:val="20"/>
              </w:rPr>
            </w:pPr>
            <w:r>
              <w:rPr>
                <w:rFonts w:ascii="Calibri"/>
                <w:b/>
                <w:sz w:val="20"/>
              </w:rPr>
              <w:t>% all e-consultations (n=482)</w:t>
            </w:r>
          </w:p>
        </w:tc>
        <w:tc>
          <w:tcPr>
            <w:tcW w:w="2381" w:type="dxa"/>
          </w:tcPr>
          <w:p w:rsidR="006A18FD" w:rsidRDefault="002D29FC">
            <w:pPr>
              <w:spacing w:before="121"/>
              <w:ind w:left="102" w:right="650"/>
              <w:rPr>
                <w:rFonts w:ascii="Calibri"/>
                <w:b/>
                <w:sz w:val="20"/>
              </w:rPr>
            </w:pPr>
            <w:r>
              <w:rPr>
                <w:rFonts w:ascii="Calibri"/>
                <w:b/>
                <w:sz w:val="20"/>
              </w:rPr>
              <w:t>Average cost per e- consultation</w:t>
            </w:r>
          </w:p>
        </w:tc>
      </w:tr>
      <w:tr w:rsidR="006A18FD">
        <w:trPr>
          <w:trHeight w:val="720"/>
        </w:trPr>
        <w:tc>
          <w:tcPr>
            <w:tcW w:w="2552" w:type="dxa"/>
          </w:tcPr>
          <w:p w:rsidR="006A18FD" w:rsidRDefault="002D29FC">
            <w:pPr>
              <w:spacing w:before="121"/>
              <w:ind w:left="103" w:right="1167"/>
              <w:rPr>
                <w:rFonts w:ascii="Calibri"/>
                <w:sz w:val="20"/>
              </w:rPr>
            </w:pPr>
            <w:r>
              <w:rPr>
                <w:rFonts w:ascii="Calibri"/>
                <w:sz w:val="20"/>
              </w:rPr>
              <w:t>GP face-to-face appointments</w:t>
            </w:r>
          </w:p>
        </w:tc>
        <w:tc>
          <w:tcPr>
            <w:tcW w:w="2381" w:type="dxa"/>
          </w:tcPr>
          <w:p w:rsidR="006A18FD" w:rsidRDefault="002D29FC">
            <w:pPr>
              <w:spacing w:before="121"/>
              <w:ind w:left="103"/>
              <w:rPr>
                <w:rFonts w:ascii="Calibri"/>
                <w:sz w:val="20"/>
              </w:rPr>
            </w:pPr>
            <w:r>
              <w:rPr>
                <w:rFonts w:ascii="Calibri"/>
                <w:sz w:val="20"/>
              </w:rPr>
              <w:t>186</w:t>
            </w:r>
          </w:p>
        </w:tc>
        <w:tc>
          <w:tcPr>
            <w:tcW w:w="2381" w:type="dxa"/>
          </w:tcPr>
          <w:p w:rsidR="006A18FD" w:rsidRDefault="002D29FC">
            <w:pPr>
              <w:spacing w:before="121"/>
              <w:ind w:left="103"/>
              <w:rPr>
                <w:rFonts w:ascii="Calibri"/>
                <w:sz w:val="20"/>
              </w:rPr>
            </w:pPr>
            <w:r>
              <w:rPr>
                <w:rFonts w:ascii="Calibri"/>
                <w:sz w:val="20"/>
              </w:rPr>
              <w:t>39</w:t>
            </w:r>
          </w:p>
        </w:tc>
        <w:tc>
          <w:tcPr>
            <w:tcW w:w="2381" w:type="dxa"/>
          </w:tcPr>
          <w:p w:rsidR="006A18FD" w:rsidRDefault="002D29FC">
            <w:pPr>
              <w:spacing w:before="121"/>
              <w:ind w:left="102"/>
              <w:rPr>
                <w:rFonts w:ascii="Calibri" w:hAnsi="Calibri"/>
                <w:sz w:val="20"/>
              </w:rPr>
            </w:pPr>
            <w:r>
              <w:rPr>
                <w:rFonts w:ascii="Calibri" w:hAnsi="Calibri"/>
                <w:sz w:val="20"/>
              </w:rPr>
              <w:t>£13.20</w:t>
            </w:r>
          </w:p>
        </w:tc>
      </w:tr>
      <w:tr w:rsidR="006A18FD">
        <w:trPr>
          <w:trHeight w:val="480"/>
        </w:trPr>
        <w:tc>
          <w:tcPr>
            <w:tcW w:w="2552" w:type="dxa"/>
          </w:tcPr>
          <w:p w:rsidR="006A18FD" w:rsidRDefault="002D29FC">
            <w:pPr>
              <w:spacing w:before="121"/>
              <w:ind w:left="103"/>
              <w:rPr>
                <w:rFonts w:ascii="Calibri"/>
                <w:sz w:val="20"/>
              </w:rPr>
            </w:pPr>
            <w:r>
              <w:rPr>
                <w:rFonts w:ascii="Calibri"/>
                <w:sz w:val="20"/>
              </w:rPr>
              <w:t>GP telephone calls</w:t>
            </w:r>
          </w:p>
        </w:tc>
        <w:tc>
          <w:tcPr>
            <w:tcW w:w="2381" w:type="dxa"/>
          </w:tcPr>
          <w:p w:rsidR="006A18FD" w:rsidRDefault="002D29FC">
            <w:pPr>
              <w:spacing w:before="121"/>
              <w:ind w:left="103"/>
              <w:rPr>
                <w:rFonts w:ascii="Calibri"/>
                <w:sz w:val="20"/>
              </w:rPr>
            </w:pPr>
            <w:r>
              <w:rPr>
                <w:rFonts w:ascii="Calibri"/>
                <w:sz w:val="20"/>
              </w:rPr>
              <w:t>187</w:t>
            </w:r>
          </w:p>
        </w:tc>
        <w:tc>
          <w:tcPr>
            <w:tcW w:w="2381" w:type="dxa"/>
          </w:tcPr>
          <w:p w:rsidR="006A18FD" w:rsidRDefault="002D29FC">
            <w:pPr>
              <w:spacing w:before="121"/>
              <w:ind w:left="103"/>
              <w:rPr>
                <w:rFonts w:ascii="Calibri"/>
                <w:sz w:val="20"/>
              </w:rPr>
            </w:pPr>
            <w:r>
              <w:rPr>
                <w:rFonts w:ascii="Calibri"/>
                <w:sz w:val="20"/>
              </w:rPr>
              <w:t>39</w:t>
            </w:r>
          </w:p>
        </w:tc>
        <w:tc>
          <w:tcPr>
            <w:tcW w:w="2381" w:type="dxa"/>
          </w:tcPr>
          <w:p w:rsidR="006A18FD" w:rsidRDefault="002D29FC">
            <w:pPr>
              <w:spacing w:before="121"/>
              <w:ind w:left="102"/>
              <w:rPr>
                <w:rFonts w:ascii="Calibri" w:hAnsi="Calibri"/>
                <w:sz w:val="20"/>
              </w:rPr>
            </w:pPr>
            <w:r>
              <w:rPr>
                <w:rFonts w:ascii="Calibri" w:hAnsi="Calibri"/>
                <w:sz w:val="20"/>
              </w:rPr>
              <w:t>£8.00</w:t>
            </w:r>
          </w:p>
        </w:tc>
      </w:tr>
      <w:tr w:rsidR="006A18FD">
        <w:trPr>
          <w:trHeight w:val="480"/>
        </w:trPr>
        <w:tc>
          <w:tcPr>
            <w:tcW w:w="2552" w:type="dxa"/>
          </w:tcPr>
          <w:p w:rsidR="006A18FD" w:rsidRDefault="002D29FC">
            <w:pPr>
              <w:spacing w:before="121"/>
              <w:ind w:left="103"/>
              <w:rPr>
                <w:rFonts w:ascii="Calibri"/>
                <w:sz w:val="20"/>
              </w:rPr>
            </w:pPr>
            <w:r>
              <w:rPr>
                <w:rFonts w:ascii="Calibri"/>
                <w:sz w:val="20"/>
              </w:rPr>
              <w:t>Nurse face-to-face contacts</w:t>
            </w:r>
          </w:p>
        </w:tc>
        <w:tc>
          <w:tcPr>
            <w:tcW w:w="2381" w:type="dxa"/>
          </w:tcPr>
          <w:p w:rsidR="006A18FD" w:rsidRDefault="002D29FC">
            <w:pPr>
              <w:spacing w:before="121"/>
              <w:ind w:left="103"/>
              <w:rPr>
                <w:rFonts w:ascii="Calibri"/>
                <w:sz w:val="20"/>
              </w:rPr>
            </w:pPr>
            <w:r>
              <w:rPr>
                <w:rFonts w:ascii="Calibri"/>
                <w:sz w:val="20"/>
              </w:rPr>
              <w:t>70</w:t>
            </w:r>
          </w:p>
        </w:tc>
        <w:tc>
          <w:tcPr>
            <w:tcW w:w="2381" w:type="dxa"/>
          </w:tcPr>
          <w:p w:rsidR="006A18FD" w:rsidRDefault="002D29FC">
            <w:pPr>
              <w:spacing w:before="121"/>
              <w:ind w:left="103"/>
              <w:rPr>
                <w:rFonts w:ascii="Calibri"/>
                <w:sz w:val="20"/>
              </w:rPr>
            </w:pPr>
            <w:r>
              <w:rPr>
                <w:rFonts w:ascii="Calibri"/>
                <w:sz w:val="20"/>
              </w:rPr>
              <w:t>15</w:t>
            </w:r>
          </w:p>
        </w:tc>
        <w:tc>
          <w:tcPr>
            <w:tcW w:w="2381" w:type="dxa"/>
          </w:tcPr>
          <w:p w:rsidR="006A18FD" w:rsidRDefault="002D29FC">
            <w:pPr>
              <w:spacing w:before="121"/>
              <w:ind w:left="102"/>
              <w:rPr>
                <w:rFonts w:ascii="Calibri" w:hAnsi="Calibri"/>
                <w:sz w:val="20"/>
              </w:rPr>
            </w:pPr>
            <w:r>
              <w:rPr>
                <w:rFonts w:ascii="Calibri" w:hAnsi="Calibri"/>
                <w:sz w:val="20"/>
              </w:rPr>
              <w:t>£1.80</w:t>
            </w:r>
          </w:p>
        </w:tc>
      </w:tr>
      <w:tr w:rsidR="006A18FD">
        <w:trPr>
          <w:trHeight w:val="720"/>
        </w:trPr>
        <w:tc>
          <w:tcPr>
            <w:tcW w:w="2552" w:type="dxa"/>
          </w:tcPr>
          <w:p w:rsidR="006A18FD" w:rsidRDefault="002D29FC">
            <w:pPr>
              <w:spacing w:before="121"/>
              <w:ind w:left="103" w:right="1059"/>
              <w:rPr>
                <w:rFonts w:ascii="Calibri"/>
                <w:sz w:val="20"/>
              </w:rPr>
            </w:pPr>
            <w:r>
              <w:rPr>
                <w:rFonts w:ascii="Calibri"/>
                <w:sz w:val="20"/>
              </w:rPr>
              <w:t>Nurse telephone appointments</w:t>
            </w:r>
          </w:p>
        </w:tc>
        <w:tc>
          <w:tcPr>
            <w:tcW w:w="2381" w:type="dxa"/>
          </w:tcPr>
          <w:p w:rsidR="006A18FD" w:rsidRDefault="002D29FC">
            <w:pPr>
              <w:spacing w:before="123"/>
              <w:ind w:left="103"/>
              <w:rPr>
                <w:rFonts w:ascii="Calibri"/>
                <w:sz w:val="20"/>
              </w:rPr>
            </w:pPr>
            <w:r>
              <w:rPr>
                <w:rFonts w:ascii="Calibri"/>
                <w:w w:val="99"/>
                <w:sz w:val="20"/>
              </w:rPr>
              <w:t>0</w:t>
            </w:r>
          </w:p>
        </w:tc>
        <w:tc>
          <w:tcPr>
            <w:tcW w:w="2381" w:type="dxa"/>
          </w:tcPr>
          <w:p w:rsidR="006A18FD" w:rsidRDefault="002D29FC">
            <w:pPr>
              <w:spacing w:before="123"/>
              <w:ind w:left="103"/>
              <w:rPr>
                <w:rFonts w:ascii="Calibri"/>
                <w:sz w:val="20"/>
              </w:rPr>
            </w:pPr>
            <w:r>
              <w:rPr>
                <w:rFonts w:ascii="Calibri"/>
                <w:w w:val="99"/>
                <w:sz w:val="20"/>
              </w:rPr>
              <w:t>0</w:t>
            </w:r>
          </w:p>
        </w:tc>
        <w:tc>
          <w:tcPr>
            <w:tcW w:w="2381" w:type="dxa"/>
          </w:tcPr>
          <w:p w:rsidR="006A18FD" w:rsidRDefault="002D29FC">
            <w:pPr>
              <w:spacing w:before="123"/>
              <w:ind w:left="102"/>
              <w:rPr>
                <w:rFonts w:ascii="Calibri" w:hAnsi="Calibri"/>
                <w:sz w:val="20"/>
              </w:rPr>
            </w:pPr>
            <w:r>
              <w:rPr>
                <w:rFonts w:ascii="Calibri" w:hAnsi="Calibri"/>
                <w:sz w:val="20"/>
              </w:rPr>
              <w:t>£0.00</w:t>
            </w:r>
          </w:p>
        </w:tc>
      </w:tr>
      <w:tr w:rsidR="006A18FD">
        <w:trPr>
          <w:trHeight w:val="480"/>
        </w:trPr>
        <w:tc>
          <w:tcPr>
            <w:tcW w:w="2552" w:type="dxa"/>
          </w:tcPr>
          <w:p w:rsidR="006A18FD" w:rsidRDefault="002D29FC">
            <w:pPr>
              <w:spacing w:before="121"/>
              <w:ind w:left="103"/>
              <w:rPr>
                <w:rFonts w:ascii="Calibri"/>
                <w:sz w:val="20"/>
              </w:rPr>
            </w:pPr>
            <w:r>
              <w:rPr>
                <w:rFonts w:ascii="Calibri"/>
                <w:sz w:val="20"/>
              </w:rPr>
              <w:t>Prescriptions</w:t>
            </w:r>
          </w:p>
        </w:tc>
        <w:tc>
          <w:tcPr>
            <w:tcW w:w="2381" w:type="dxa"/>
          </w:tcPr>
          <w:p w:rsidR="006A18FD" w:rsidRDefault="002D29FC">
            <w:pPr>
              <w:spacing w:before="121"/>
              <w:ind w:left="103"/>
              <w:rPr>
                <w:rFonts w:ascii="Calibri"/>
                <w:sz w:val="20"/>
              </w:rPr>
            </w:pPr>
            <w:r>
              <w:rPr>
                <w:rFonts w:ascii="Calibri"/>
                <w:sz w:val="20"/>
              </w:rPr>
              <w:t>151</w:t>
            </w:r>
          </w:p>
        </w:tc>
        <w:tc>
          <w:tcPr>
            <w:tcW w:w="2381" w:type="dxa"/>
          </w:tcPr>
          <w:p w:rsidR="006A18FD" w:rsidRDefault="002D29FC">
            <w:pPr>
              <w:spacing w:before="121"/>
              <w:ind w:left="103"/>
              <w:rPr>
                <w:rFonts w:ascii="Calibri"/>
                <w:sz w:val="20"/>
              </w:rPr>
            </w:pPr>
            <w:r>
              <w:rPr>
                <w:rFonts w:ascii="Calibri"/>
                <w:sz w:val="20"/>
              </w:rPr>
              <w:t>31</w:t>
            </w:r>
          </w:p>
        </w:tc>
        <w:tc>
          <w:tcPr>
            <w:tcW w:w="2381" w:type="dxa"/>
          </w:tcPr>
          <w:p w:rsidR="006A18FD" w:rsidRDefault="002D29FC">
            <w:pPr>
              <w:spacing w:before="121"/>
              <w:ind w:left="102"/>
              <w:rPr>
                <w:rFonts w:ascii="Calibri" w:hAnsi="Calibri"/>
                <w:sz w:val="20"/>
              </w:rPr>
            </w:pPr>
            <w:r>
              <w:rPr>
                <w:rFonts w:ascii="Calibri" w:hAnsi="Calibri"/>
                <w:sz w:val="20"/>
              </w:rPr>
              <w:t>£1.30</w:t>
            </w:r>
          </w:p>
        </w:tc>
      </w:tr>
      <w:tr w:rsidR="006A18FD">
        <w:trPr>
          <w:trHeight w:val="480"/>
        </w:trPr>
        <w:tc>
          <w:tcPr>
            <w:tcW w:w="2552" w:type="dxa"/>
          </w:tcPr>
          <w:p w:rsidR="006A18FD" w:rsidRDefault="002D29FC">
            <w:pPr>
              <w:spacing w:before="121"/>
              <w:ind w:left="103"/>
              <w:rPr>
                <w:rFonts w:ascii="Calibri"/>
                <w:sz w:val="20"/>
              </w:rPr>
            </w:pPr>
            <w:r>
              <w:rPr>
                <w:rFonts w:ascii="Calibri"/>
                <w:sz w:val="20"/>
              </w:rPr>
              <w:t>Fit notes</w:t>
            </w:r>
          </w:p>
        </w:tc>
        <w:tc>
          <w:tcPr>
            <w:tcW w:w="2381" w:type="dxa"/>
          </w:tcPr>
          <w:p w:rsidR="006A18FD" w:rsidRDefault="002D29FC">
            <w:pPr>
              <w:spacing w:before="121"/>
              <w:ind w:left="103"/>
              <w:rPr>
                <w:rFonts w:ascii="Calibri"/>
                <w:sz w:val="20"/>
              </w:rPr>
            </w:pPr>
            <w:r>
              <w:rPr>
                <w:rFonts w:ascii="Calibri"/>
                <w:sz w:val="20"/>
              </w:rPr>
              <w:t>31</w:t>
            </w:r>
          </w:p>
        </w:tc>
        <w:tc>
          <w:tcPr>
            <w:tcW w:w="2381" w:type="dxa"/>
          </w:tcPr>
          <w:p w:rsidR="006A18FD" w:rsidRDefault="002D29FC">
            <w:pPr>
              <w:spacing w:before="121"/>
              <w:ind w:left="103"/>
              <w:rPr>
                <w:rFonts w:ascii="Calibri"/>
                <w:sz w:val="20"/>
              </w:rPr>
            </w:pPr>
            <w:r>
              <w:rPr>
                <w:rFonts w:ascii="Calibri"/>
                <w:w w:val="99"/>
                <w:sz w:val="20"/>
              </w:rPr>
              <w:t>6</w:t>
            </w:r>
          </w:p>
        </w:tc>
        <w:tc>
          <w:tcPr>
            <w:tcW w:w="2381" w:type="dxa"/>
          </w:tcPr>
          <w:p w:rsidR="006A18FD" w:rsidRDefault="002D29FC">
            <w:pPr>
              <w:spacing w:before="121"/>
              <w:ind w:left="102"/>
              <w:rPr>
                <w:rFonts w:ascii="Calibri" w:hAnsi="Calibri"/>
                <w:sz w:val="20"/>
              </w:rPr>
            </w:pPr>
            <w:r>
              <w:rPr>
                <w:rFonts w:ascii="Calibri" w:hAnsi="Calibri"/>
                <w:sz w:val="20"/>
              </w:rPr>
              <w:t>£0.40</w:t>
            </w:r>
          </w:p>
        </w:tc>
      </w:tr>
      <w:tr w:rsidR="006A18FD">
        <w:trPr>
          <w:trHeight w:val="480"/>
        </w:trPr>
        <w:tc>
          <w:tcPr>
            <w:tcW w:w="2552" w:type="dxa"/>
          </w:tcPr>
          <w:p w:rsidR="006A18FD" w:rsidRDefault="002D29FC">
            <w:pPr>
              <w:spacing w:before="121"/>
              <w:ind w:left="103"/>
              <w:rPr>
                <w:rFonts w:ascii="Calibri"/>
                <w:sz w:val="20"/>
              </w:rPr>
            </w:pPr>
            <w:r>
              <w:rPr>
                <w:rFonts w:ascii="Calibri"/>
                <w:sz w:val="20"/>
              </w:rPr>
              <w:t>Routine referral letters</w:t>
            </w:r>
          </w:p>
        </w:tc>
        <w:tc>
          <w:tcPr>
            <w:tcW w:w="2381" w:type="dxa"/>
          </w:tcPr>
          <w:p w:rsidR="006A18FD" w:rsidRDefault="002D29FC">
            <w:pPr>
              <w:spacing w:before="121"/>
              <w:ind w:left="103"/>
              <w:rPr>
                <w:rFonts w:ascii="Calibri"/>
                <w:sz w:val="20"/>
              </w:rPr>
            </w:pPr>
            <w:r>
              <w:rPr>
                <w:rFonts w:ascii="Calibri"/>
                <w:sz w:val="20"/>
              </w:rPr>
              <w:t>56</w:t>
            </w:r>
          </w:p>
        </w:tc>
        <w:tc>
          <w:tcPr>
            <w:tcW w:w="2381" w:type="dxa"/>
          </w:tcPr>
          <w:p w:rsidR="006A18FD" w:rsidRDefault="002D29FC">
            <w:pPr>
              <w:spacing w:before="121"/>
              <w:ind w:left="103"/>
              <w:rPr>
                <w:rFonts w:ascii="Calibri"/>
                <w:sz w:val="20"/>
              </w:rPr>
            </w:pPr>
            <w:r>
              <w:rPr>
                <w:rFonts w:ascii="Calibri"/>
                <w:sz w:val="20"/>
              </w:rPr>
              <w:t>12</w:t>
            </w:r>
          </w:p>
        </w:tc>
        <w:tc>
          <w:tcPr>
            <w:tcW w:w="2381" w:type="dxa"/>
          </w:tcPr>
          <w:p w:rsidR="006A18FD" w:rsidRDefault="002D29FC">
            <w:pPr>
              <w:spacing w:before="121"/>
              <w:ind w:left="102"/>
              <w:rPr>
                <w:rFonts w:ascii="Calibri" w:hAnsi="Calibri"/>
                <w:sz w:val="20"/>
              </w:rPr>
            </w:pPr>
            <w:r>
              <w:rPr>
                <w:rFonts w:ascii="Calibri" w:hAnsi="Calibri"/>
                <w:sz w:val="20"/>
              </w:rPr>
              <w:t>£0.70</w:t>
            </w:r>
          </w:p>
        </w:tc>
      </w:tr>
      <w:tr w:rsidR="006A18FD">
        <w:trPr>
          <w:trHeight w:val="480"/>
        </w:trPr>
        <w:tc>
          <w:tcPr>
            <w:tcW w:w="2552" w:type="dxa"/>
          </w:tcPr>
          <w:p w:rsidR="006A18FD" w:rsidRDefault="002D29FC">
            <w:pPr>
              <w:spacing w:before="121"/>
              <w:ind w:left="103"/>
              <w:rPr>
                <w:rFonts w:ascii="Calibri"/>
                <w:sz w:val="20"/>
              </w:rPr>
            </w:pPr>
            <w:r>
              <w:rPr>
                <w:rFonts w:ascii="Calibri"/>
                <w:sz w:val="20"/>
              </w:rPr>
              <w:t>2-week wait referral letters</w:t>
            </w:r>
          </w:p>
        </w:tc>
        <w:tc>
          <w:tcPr>
            <w:tcW w:w="2381" w:type="dxa"/>
          </w:tcPr>
          <w:p w:rsidR="006A18FD" w:rsidRDefault="002D29FC">
            <w:pPr>
              <w:spacing w:before="121"/>
              <w:ind w:left="103"/>
              <w:rPr>
                <w:rFonts w:ascii="Calibri"/>
                <w:sz w:val="20"/>
              </w:rPr>
            </w:pPr>
            <w:r>
              <w:rPr>
                <w:rFonts w:ascii="Calibri"/>
                <w:sz w:val="20"/>
              </w:rPr>
              <w:t>10</w:t>
            </w:r>
          </w:p>
        </w:tc>
        <w:tc>
          <w:tcPr>
            <w:tcW w:w="2381" w:type="dxa"/>
          </w:tcPr>
          <w:p w:rsidR="006A18FD" w:rsidRDefault="002D29FC">
            <w:pPr>
              <w:spacing w:before="121"/>
              <w:ind w:left="103"/>
              <w:rPr>
                <w:rFonts w:ascii="Calibri"/>
                <w:sz w:val="20"/>
              </w:rPr>
            </w:pPr>
            <w:r>
              <w:rPr>
                <w:rFonts w:ascii="Calibri"/>
                <w:w w:val="99"/>
                <w:sz w:val="20"/>
              </w:rPr>
              <w:t>2</w:t>
            </w:r>
          </w:p>
        </w:tc>
        <w:tc>
          <w:tcPr>
            <w:tcW w:w="2381" w:type="dxa"/>
          </w:tcPr>
          <w:p w:rsidR="006A18FD" w:rsidRDefault="002D29FC">
            <w:pPr>
              <w:spacing w:before="121"/>
              <w:ind w:left="102"/>
              <w:rPr>
                <w:rFonts w:ascii="Calibri" w:hAnsi="Calibri"/>
                <w:sz w:val="20"/>
              </w:rPr>
            </w:pPr>
            <w:r>
              <w:rPr>
                <w:rFonts w:ascii="Calibri" w:hAnsi="Calibri"/>
                <w:sz w:val="20"/>
              </w:rPr>
              <w:t>£0.10</w:t>
            </w:r>
          </w:p>
        </w:tc>
      </w:tr>
      <w:tr w:rsidR="006A18FD">
        <w:trPr>
          <w:trHeight w:val="480"/>
        </w:trPr>
        <w:tc>
          <w:tcPr>
            <w:tcW w:w="2552" w:type="dxa"/>
          </w:tcPr>
          <w:p w:rsidR="006A18FD" w:rsidRDefault="002D29FC">
            <w:pPr>
              <w:spacing w:before="122"/>
              <w:ind w:left="103"/>
              <w:rPr>
                <w:rFonts w:ascii="Calibri"/>
                <w:sz w:val="20"/>
              </w:rPr>
            </w:pPr>
            <w:r>
              <w:rPr>
                <w:rFonts w:ascii="Calibri"/>
                <w:sz w:val="20"/>
              </w:rPr>
              <w:t>GP given advice by email</w:t>
            </w:r>
          </w:p>
        </w:tc>
        <w:tc>
          <w:tcPr>
            <w:tcW w:w="2381" w:type="dxa"/>
          </w:tcPr>
          <w:p w:rsidR="006A18FD" w:rsidRDefault="002D29FC">
            <w:pPr>
              <w:spacing w:before="122"/>
              <w:ind w:left="103"/>
              <w:rPr>
                <w:rFonts w:ascii="Calibri"/>
                <w:sz w:val="20"/>
              </w:rPr>
            </w:pPr>
            <w:r>
              <w:rPr>
                <w:rFonts w:ascii="Calibri"/>
                <w:sz w:val="20"/>
              </w:rPr>
              <w:t>125</w:t>
            </w:r>
          </w:p>
        </w:tc>
        <w:tc>
          <w:tcPr>
            <w:tcW w:w="2381" w:type="dxa"/>
          </w:tcPr>
          <w:p w:rsidR="006A18FD" w:rsidRDefault="002D29FC">
            <w:pPr>
              <w:spacing w:before="122"/>
              <w:ind w:left="103"/>
              <w:rPr>
                <w:rFonts w:ascii="Calibri"/>
                <w:sz w:val="20"/>
              </w:rPr>
            </w:pPr>
            <w:r>
              <w:rPr>
                <w:rFonts w:ascii="Calibri"/>
                <w:sz w:val="20"/>
              </w:rPr>
              <w:t>26</w:t>
            </w:r>
          </w:p>
        </w:tc>
        <w:tc>
          <w:tcPr>
            <w:tcW w:w="2381" w:type="dxa"/>
          </w:tcPr>
          <w:p w:rsidR="006A18FD" w:rsidRDefault="002D29FC">
            <w:pPr>
              <w:spacing w:before="122"/>
              <w:ind w:left="102"/>
              <w:rPr>
                <w:rFonts w:ascii="Calibri" w:hAnsi="Calibri"/>
                <w:sz w:val="20"/>
              </w:rPr>
            </w:pPr>
            <w:r>
              <w:rPr>
                <w:rFonts w:ascii="Calibri" w:hAnsi="Calibri"/>
                <w:sz w:val="20"/>
              </w:rPr>
              <w:t>£0.00</w:t>
            </w:r>
          </w:p>
        </w:tc>
      </w:tr>
      <w:tr w:rsidR="006A18FD">
        <w:trPr>
          <w:trHeight w:val="480"/>
        </w:trPr>
        <w:tc>
          <w:tcPr>
            <w:tcW w:w="2552" w:type="dxa"/>
          </w:tcPr>
          <w:p w:rsidR="006A18FD" w:rsidRDefault="002D29FC">
            <w:pPr>
              <w:spacing w:before="121"/>
              <w:ind w:left="103"/>
              <w:rPr>
                <w:rFonts w:ascii="Calibri"/>
                <w:sz w:val="20"/>
              </w:rPr>
            </w:pPr>
            <w:r>
              <w:rPr>
                <w:rFonts w:ascii="Calibri"/>
                <w:sz w:val="20"/>
              </w:rPr>
              <w:t>Other GP actions</w:t>
            </w:r>
          </w:p>
        </w:tc>
        <w:tc>
          <w:tcPr>
            <w:tcW w:w="2381" w:type="dxa"/>
          </w:tcPr>
          <w:p w:rsidR="006A18FD" w:rsidRDefault="002D29FC">
            <w:pPr>
              <w:spacing w:before="121"/>
              <w:ind w:left="103"/>
              <w:rPr>
                <w:rFonts w:ascii="Calibri"/>
                <w:sz w:val="20"/>
              </w:rPr>
            </w:pPr>
            <w:r>
              <w:rPr>
                <w:rFonts w:ascii="Calibri"/>
                <w:sz w:val="20"/>
              </w:rPr>
              <w:t>108</w:t>
            </w:r>
          </w:p>
        </w:tc>
        <w:tc>
          <w:tcPr>
            <w:tcW w:w="2381" w:type="dxa"/>
          </w:tcPr>
          <w:p w:rsidR="006A18FD" w:rsidRDefault="002D29FC">
            <w:pPr>
              <w:spacing w:before="121"/>
              <w:ind w:left="103"/>
              <w:rPr>
                <w:rFonts w:ascii="Calibri"/>
                <w:sz w:val="20"/>
              </w:rPr>
            </w:pPr>
            <w:r>
              <w:rPr>
                <w:rFonts w:ascii="Calibri"/>
                <w:sz w:val="20"/>
              </w:rPr>
              <w:t>22</w:t>
            </w:r>
          </w:p>
        </w:tc>
        <w:tc>
          <w:tcPr>
            <w:tcW w:w="2381" w:type="dxa"/>
          </w:tcPr>
          <w:p w:rsidR="006A18FD" w:rsidRDefault="002D29FC">
            <w:pPr>
              <w:spacing w:before="121"/>
              <w:ind w:left="102"/>
              <w:rPr>
                <w:rFonts w:ascii="Calibri" w:hAnsi="Calibri"/>
                <w:sz w:val="20"/>
              </w:rPr>
            </w:pPr>
            <w:r>
              <w:rPr>
                <w:rFonts w:ascii="Calibri" w:hAnsi="Calibri"/>
                <w:sz w:val="20"/>
              </w:rPr>
              <w:t>£0.00</w:t>
            </w:r>
          </w:p>
        </w:tc>
      </w:tr>
      <w:tr w:rsidR="006A18FD">
        <w:trPr>
          <w:trHeight w:val="480"/>
        </w:trPr>
        <w:tc>
          <w:tcPr>
            <w:tcW w:w="2552" w:type="dxa"/>
          </w:tcPr>
          <w:p w:rsidR="006A18FD" w:rsidRDefault="002D29FC">
            <w:pPr>
              <w:spacing w:before="123"/>
              <w:ind w:left="103"/>
              <w:rPr>
                <w:rFonts w:ascii="Calibri"/>
                <w:sz w:val="20"/>
              </w:rPr>
            </w:pPr>
            <w:r>
              <w:rPr>
                <w:rFonts w:ascii="Calibri"/>
                <w:sz w:val="20"/>
              </w:rPr>
              <w:t>Unknown GP actions</w:t>
            </w:r>
          </w:p>
        </w:tc>
        <w:tc>
          <w:tcPr>
            <w:tcW w:w="2381" w:type="dxa"/>
          </w:tcPr>
          <w:p w:rsidR="006A18FD" w:rsidRDefault="002D29FC">
            <w:pPr>
              <w:spacing w:before="123"/>
              <w:ind w:left="103"/>
              <w:rPr>
                <w:rFonts w:ascii="Calibri"/>
                <w:sz w:val="20"/>
              </w:rPr>
            </w:pPr>
            <w:r>
              <w:rPr>
                <w:rFonts w:ascii="Calibri"/>
                <w:sz w:val="20"/>
              </w:rPr>
              <w:t>15</w:t>
            </w:r>
          </w:p>
        </w:tc>
        <w:tc>
          <w:tcPr>
            <w:tcW w:w="2381" w:type="dxa"/>
          </w:tcPr>
          <w:p w:rsidR="006A18FD" w:rsidRDefault="002D29FC">
            <w:pPr>
              <w:spacing w:before="123"/>
              <w:ind w:left="103"/>
              <w:rPr>
                <w:rFonts w:ascii="Calibri"/>
                <w:sz w:val="20"/>
              </w:rPr>
            </w:pPr>
            <w:r>
              <w:rPr>
                <w:rFonts w:ascii="Calibri"/>
                <w:w w:val="99"/>
                <w:sz w:val="20"/>
              </w:rPr>
              <w:t>3</w:t>
            </w:r>
          </w:p>
        </w:tc>
        <w:tc>
          <w:tcPr>
            <w:tcW w:w="2381" w:type="dxa"/>
          </w:tcPr>
          <w:p w:rsidR="006A18FD" w:rsidRDefault="002D29FC">
            <w:pPr>
              <w:spacing w:before="123"/>
              <w:ind w:left="102"/>
              <w:rPr>
                <w:rFonts w:ascii="Calibri" w:hAnsi="Calibri"/>
                <w:sz w:val="20"/>
              </w:rPr>
            </w:pPr>
            <w:r>
              <w:rPr>
                <w:rFonts w:ascii="Calibri" w:hAnsi="Calibri"/>
                <w:sz w:val="20"/>
              </w:rPr>
              <w:t>£0.00</w:t>
            </w:r>
          </w:p>
        </w:tc>
      </w:tr>
      <w:tr w:rsidR="006A18FD">
        <w:trPr>
          <w:trHeight w:val="480"/>
        </w:trPr>
        <w:tc>
          <w:tcPr>
            <w:tcW w:w="2552" w:type="dxa"/>
          </w:tcPr>
          <w:p w:rsidR="006A18FD" w:rsidRDefault="002D29FC">
            <w:pPr>
              <w:spacing w:before="121"/>
              <w:ind w:left="103"/>
              <w:rPr>
                <w:rFonts w:ascii="Calibri"/>
                <w:sz w:val="20"/>
              </w:rPr>
            </w:pPr>
            <w:r>
              <w:rPr>
                <w:rFonts w:ascii="Calibri"/>
                <w:sz w:val="20"/>
              </w:rPr>
              <w:t>GP-led triage cost</w:t>
            </w:r>
          </w:p>
        </w:tc>
        <w:tc>
          <w:tcPr>
            <w:tcW w:w="2381" w:type="dxa"/>
          </w:tcPr>
          <w:p w:rsidR="006A18FD" w:rsidRDefault="002D29FC">
            <w:pPr>
              <w:spacing w:before="121"/>
              <w:ind w:left="103"/>
              <w:rPr>
                <w:rFonts w:ascii="Calibri"/>
                <w:sz w:val="20"/>
              </w:rPr>
            </w:pPr>
            <w:r>
              <w:rPr>
                <w:rFonts w:ascii="Calibri"/>
                <w:sz w:val="20"/>
              </w:rPr>
              <w:t>15</w:t>
            </w:r>
          </w:p>
        </w:tc>
        <w:tc>
          <w:tcPr>
            <w:tcW w:w="2381" w:type="dxa"/>
          </w:tcPr>
          <w:p w:rsidR="006A18FD" w:rsidRDefault="002D29FC">
            <w:pPr>
              <w:spacing w:before="121"/>
              <w:ind w:left="103"/>
              <w:rPr>
                <w:rFonts w:ascii="Calibri"/>
                <w:sz w:val="20"/>
              </w:rPr>
            </w:pPr>
            <w:r>
              <w:rPr>
                <w:rFonts w:ascii="Calibri"/>
                <w:w w:val="99"/>
                <w:sz w:val="20"/>
              </w:rPr>
              <w:t>3</w:t>
            </w:r>
          </w:p>
        </w:tc>
        <w:tc>
          <w:tcPr>
            <w:tcW w:w="2381" w:type="dxa"/>
          </w:tcPr>
          <w:p w:rsidR="006A18FD" w:rsidRDefault="002D29FC">
            <w:pPr>
              <w:spacing w:before="121"/>
              <w:ind w:left="102"/>
              <w:rPr>
                <w:rFonts w:ascii="Calibri" w:hAnsi="Calibri"/>
                <w:sz w:val="20"/>
              </w:rPr>
            </w:pPr>
            <w:r>
              <w:rPr>
                <w:rFonts w:ascii="Calibri" w:hAnsi="Calibri"/>
                <w:sz w:val="20"/>
              </w:rPr>
              <w:t>£12.10</w:t>
            </w:r>
          </w:p>
        </w:tc>
      </w:tr>
      <w:tr w:rsidR="006A18FD">
        <w:trPr>
          <w:trHeight w:val="720"/>
        </w:trPr>
        <w:tc>
          <w:tcPr>
            <w:tcW w:w="2552" w:type="dxa"/>
          </w:tcPr>
          <w:p w:rsidR="006A18FD" w:rsidRDefault="002D29FC">
            <w:pPr>
              <w:spacing w:before="121"/>
              <w:ind w:left="103" w:right="928"/>
              <w:rPr>
                <w:rFonts w:ascii="Calibri"/>
                <w:b/>
                <w:sz w:val="20"/>
              </w:rPr>
            </w:pPr>
            <w:r>
              <w:rPr>
                <w:rFonts w:ascii="Calibri"/>
                <w:b/>
                <w:sz w:val="20"/>
              </w:rPr>
              <w:t>Average cost of e- consultation</w:t>
            </w:r>
          </w:p>
        </w:tc>
        <w:tc>
          <w:tcPr>
            <w:tcW w:w="2381" w:type="dxa"/>
          </w:tcPr>
          <w:p w:rsidR="006A18FD" w:rsidRDefault="006A18FD">
            <w:pPr>
              <w:rPr>
                <w:rFonts w:ascii="Times New Roman"/>
                <w:sz w:val="18"/>
              </w:rPr>
            </w:pPr>
          </w:p>
        </w:tc>
        <w:tc>
          <w:tcPr>
            <w:tcW w:w="2381" w:type="dxa"/>
          </w:tcPr>
          <w:p w:rsidR="006A18FD" w:rsidRDefault="006A18FD">
            <w:pPr>
              <w:rPr>
                <w:rFonts w:ascii="Times New Roman"/>
                <w:sz w:val="18"/>
              </w:rPr>
            </w:pPr>
          </w:p>
        </w:tc>
        <w:tc>
          <w:tcPr>
            <w:tcW w:w="2381" w:type="dxa"/>
          </w:tcPr>
          <w:p w:rsidR="006A18FD" w:rsidRDefault="002D29FC">
            <w:pPr>
              <w:spacing w:before="121"/>
              <w:ind w:left="102"/>
              <w:rPr>
                <w:rFonts w:ascii="Calibri" w:hAnsi="Calibri"/>
                <w:sz w:val="20"/>
              </w:rPr>
            </w:pPr>
            <w:r>
              <w:rPr>
                <w:rFonts w:ascii="Calibri" w:hAnsi="Calibri"/>
                <w:sz w:val="20"/>
              </w:rPr>
              <w:t>£37.60</w:t>
            </w:r>
          </w:p>
        </w:tc>
      </w:tr>
    </w:tbl>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rPr>
          <w:rFonts w:ascii="Calibri"/>
          <w:b/>
          <w:sz w:val="20"/>
        </w:rPr>
      </w:pPr>
    </w:p>
    <w:p w:rsidR="006A18FD" w:rsidRDefault="006A18FD">
      <w:pPr>
        <w:spacing w:before="3"/>
        <w:rPr>
          <w:rFonts w:ascii="Calibri"/>
          <w:b/>
          <w:sz w:val="16"/>
        </w:rPr>
      </w:pPr>
    </w:p>
    <w:p w:rsidR="006A18FD" w:rsidRDefault="002D29FC">
      <w:pPr>
        <w:ind w:left="423" w:right="469" w:hanging="284"/>
        <w:rPr>
          <w:rFonts w:ascii="Calibri"/>
          <w:sz w:val="16"/>
        </w:rPr>
      </w:pPr>
      <w:r>
        <w:rPr>
          <w:rFonts w:ascii="Calibri"/>
          <w:position w:val="5"/>
          <w:sz w:val="10"/>
        </w:rPr>
        <w:t xml:space="preserve">1 </w:t>
      </w:r>
      <w:r>
        <w:rPr>
          <w:rFonts w:ascii="Calibri"/>
          <w:sz w:val="16"/>
        </w:rPr>
        <w:t xml:space="preserve">Edwards, H., Marques, E, Hollingworth, W., Horwood, J., Farr, M., Bernard, E., Salisbury, &amp; Northstone, K. (2017) Use of a primary care online consultation system, by whom, when and why: evaluation of a pilot observational study in 36 general practices in South West England, </w:t>
      </w:r>
      <w:r>
        <w:rPr>
          <w:rFonts w:ascii="Calibri"/>
          <w:i/>
          <w:sz w:val="16"/>
        </w:rPr>
        <w:t xml:space="preserve">BMJ Open </w:t>
      </w:r>
      <w:r>
        <w:rPr>
          <w:rFonts w:ascii="Calibri"/>
          <w:sz w:val="16"/>
        </w:rPr>
        <w:t>2017:7:eO16901.</w:t>
      </w:r>
    </w:p>
    <w:p w:rsidR="006A18FD" w:rsidRDefault="006A18FD">
      <w:pPr>
        <w:rPr>
          <w:rFonts w:ascii="Calibri"/>
          <w:sz w:val="16"/>
        </w:rPr>
        <w:sectPr w:rsidR="006A18FD">
          <w:pgSz w:w="11910" w:h="16840"/>
          <w:pgMar w:top="980" w:right="980" w:bottom="280" w:left="580" w:header="751"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1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16" name="Line 7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102A7" id="Group 7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D7u3vIfQIAAH8FAAAO&#10;AAAAAAAAAAAAAAAAAC4CAABkcnMvZTJvRG9jLnhtbFBLAQItABQABgAIAAAAIQAtd+Rc2gAAAAQB&#10;AAAPAAAAAAAAAAAAAAAAANcEAABkcnMvZG93bnJldi54bWxQSwUGAAAAAAQABADzAAAA3gUAAAAA&#10;">
                <v:line id="Line 7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anchorlock/>
              </v:group>
            </w:pict>
          </mc:Fallback>
        </mc:AlternateContent>
      </w:r>
    </w:p>
    <w:p w:rsidR="006A18FD" w:rsidRDefault="002D29FC" w:rsidP="008E3FA8">
      <w:pPr>
        <w:pStyle w:val="Heading2"/>
        <w:numPr>
          <w:ilvl w:val="1"/>
          <w:numId w:val="37"/>
        </w:numPr>
      </w:pPr>
      <w:r>
        <w:t>Telephone triage – GP-led and</w:t>
      </w:r>
      <w:r>
        <w:rPr>
          <w:spacing w:val="-17"/>
        </w:rPr>
        <w:t xml:space="preserve"> </w:t>
      </w:r>
      <w:r>
        <w:t>nurse-led</w:t>
      </w:r>
    </w:p>
    <w:p w:rsidR="006A18FD" w:rsidRDefault="002D29FC">
      <w:pPr>
        <w:spacing w:before="174" w:line="276" w:lineRule="auto"/>
        <w:ind w:left="152" w:right="411"/>
        <w:rPr>
          <w:rFonts w:ascii="Calibri" w:hAnsi="Calibri"/>
          <w:sz w:val="19"/>
        </w:rPr>
      </w:pPr>
      <w:r>
        <w:rPr>
          <w:rFonts w:ascii="Calibri" w:hAnsi="Calibri"/>
          <w:sz w:val="19"/>
        </w:rPr>
        <w:t>Telephone triage is increasingly used to manage workloads in primary care. A study carried out between 1 March 2011 and 31 March 2013 by John Campbell and colleagues</w:t>
      </w:r>
      <w:r>
        <w:rPr>
          <w:rFonts w:ascii="Calibri" w:hAnsi="Calibri"/>
          <w:position w:val="6"/>
          <w:sz w:val="12"/>
        </w:rPr>
        <w:t xml:space="preserve">1,2 </w:t>
      </w:r>
      <w:r>
        <w:rPr>
          <w:rFonts w:ascii="Calibri" w:hAnsi="Calibri"/>
          <w:sz w:val="19"/>
        </w:rPr>
        <w:t>aimed to assess the effectiveness and cost consequences of GP-led and nurse-led triage compared with usual care for requests for same-day appointments. Based on a review of 5,567 clinician contact forms for GP-led triage and 5,535 forms for nurse-led triage, the study found that mean clinician contact times for interventions were 4 minutes (SD 2.83) for GP triage and 6.56 minutes (SD 3.83) for nurse triage. Using national cost estimates (see schema 10.2 and 10.3), a detailed breakdown of the costs is provided below. Mean costs per intervention, including training, were £15.32 for GP- led triage and £7.80 (including computer decision support software) for nurse-led triage.</w:t>
      </w:r>
    </w:p>
    <w:p w:rsidR="006A18FD" w:rsidRDefault="006A18FD">
      <w:pPr>
        <w:spacing w:before="10"/>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702"/>
        <w:gridCol w:w="1988"/>
        <w:gridCol w:w="1700"/>
        <w:gridCol w:w="1903"/>
      </w:tblGrid>
      <w:tr w:rsidR="006A18FD" w:rsidTr="00E2663F">
        <w:trPr>
          <w:trHeight w:val="360"/>
          <w:tblHeader/>
        </w:trPr>
        <w:tc>
          <w:tcPr>
            <w:tcW w:w="2967" w:type="dxa"/>
          </w:tcPr>
          <w:p w:rsidR="006A18FD" w:rsidRDefault="002D29FC">
            <w:pPr>
              <w:spacing w:before="1"/>
              <w:ind w:left="52"/>
              <w:rPr>
                <w:rFonts w:ascii="Calibri"/>
                <w:b/>
                <w:sz w:val="19"/>
              </w:rPr>
            </w:pPr>
            <w:r>
              <w:rPr>
                <w:rFonts w:ascii="Calibri"/>
                <w:b/>
                <w:sz w:val="19"/>
              </w:rPr>
              <w:t>Costs and unit estimation</w:t>
            </w:r>
          </w:p>
        </w:tc>
        <w:tc>
          <w:tcPr>
            <w:tcW w:w="1702" w:type="dxa"/>
          </w:tcPr>
          <w:p w:rsidR="006A18FD" w:rsidRDefault="002D29FC">
            <w:pPr>
              <w:spacing w:before="1"/>
              <w:ind w:right="210"/>
              <w:jc w:val="right"/>
              <w:rPr>
                <w:rFonts w:ascii="Calibri"/>
                <w:b/>
                <w:sz w:val="19"/>
              </w:rPr>
            </w:pPr>
            <w:r>
              <w:rPr>
                <w:rFonts w:ascii="Calibri"/>
                <w:b/>
                <w:sz w:val="19"/>
              </w:rPr>
              <w:t>Nurse-led triage</w:t>
            </w:r>
          </w:p>
        </w:tc>
        <w:tc>
          <w:tcPr>
            <w:tcW w:w="1988" w:type="dxa"/>
          </w:tcPr>
          <w:p w:rsidR="006A18FD" w:rsidRDefault="002D29FC">
            <w:pPr>
              <w:spacing w:before="1"/>
              <w:ind w:left="105"/>
              <w:rPr>
                <w:rFonts w:ascii="Calibri"/>
                <w:b/>
                <w:sz w:val="19"/>
              </w:rPr>
            </w:pPr>
            <w:r>
              <w:rPr>
                <w:rFonts w:ascii="Calibri"/>
                <w:b/>
                <w:sz w:val="19"/>
              </w:rPr>
              <w:t>Notes</w:t>
            </w:r>
          </w:p>
        </w:tc>
        <w:tc>
          <w:tcPr>
            <w:tcW w:w="1700" w:type="dxa"/>
          </w:tcPr>
          <w:p w:rsidR="006A18FD" w:rsidRDefault="002D29FC">
            <w:pPr>
              <w:spacing w:before="1"/>
              <w:ind w:left="333"/>
              <w:rPr>
                <w:rFonts w:ascii="Calibri"/>
                <w:b/>
                <w:sz w:val="19"/>
              </w:rPr>
            </w:pPr>
            <w:r>
              <w:rPr>
                <w:rFonts w:ascii="Calibri"/>
                <w:b/>
                <w:sz w:val="19"/>
              </w:rPr>
              <w:t>GP-led triage</w:t>
            </w:r>
          </w:p>
        </w:tc>
        <w:tc>
          <w:tcPr>
            <w:tcW w:w="1903" w:type="dxa"/>
          </w:tcPr>
          <w:p w:rsidR="006A18FD" w:rsidRDefault="002D29FC">
            <w:pPr>
              <w:spacing w:before="1"/>
              <w:ind w:left="105"/>
              <w:rPr>
                <w:rFonts w:ascii="Calibri"/>
                <w:b/>
                <w:sz w:val="20"/>
              </w:rPr>
            </w:pPr>
            <w:r>
              <w:rPr>
                <w:rFonts w:ascii="Calibri"/>
                <w:b/>
                <w:sz w:val="20"/>
              </w:rPr>
              <w:t>Notes</w:t>
            </w:r>
          </w:p>
        </w:tc>
      </w:tr>
      <w:tr w:rsidR="006A18FD" w:rsidTr="00E2663F">
        <w:trPr>
          <w:trHeight w:val="380"/>
          <w:tblHeader/>
        </w:trPr>
        <w:tc>
          <w:tcPr>
            <w:tcW w:w="2967" w:type="dxa"/>
          </w:tcPr>
          <w:p w:rsidR="006A18FD" w:rsidRDefault="006A18FD">
            <w:pPr>
              <w:rPr>
                <w:rFonts w:ascii="Times New Roman"/>
                <w:sz w:val="18"/>
              </w:rPr>
            </w:pPr>
          </w:p>
        </w:tc>
        <w:tc>
          <w:tcPr>
            <w:tcW w:w="1702" w:type="dxa"/>
          </w:tcPr>
          <w:p w:rsidR="006A18FD" w:rsidRDefault="002D29FC">
            <w:pPr>
              <w:spacing w:before="1"/>
              <w:ind w:right="183"/>
              <w:jc w:val="right"/>
              <w:rPr>
                <w:rFonts w:ascii="Calibri"/>
                <w:b/>
                <w:sz w:val="19"/>
              </w:rPr>
            </w:pPr>
            <w:r>
              <w:rPr>
                <w:rFonts w:ascii="Calibri"/>
                <w:b/>
                <w:sz w:val="19"/>
              </w:rPr>
              <w:t>2018/2019 value</w:t>
            </w:r>
          </w:p>
        </w:tc>
        <w:tc>
          <w:tcPr>
            <w:tcW w:w="1988" w:type="dxa"/>
          </w:tcPr>
          <w:p w:rsidR="006A18FD" w:rsidRDefault="006A18FD">
            <w:pPr>
              <w:rPr>
                <w:rFonts w:ascii="Times New Roman"/>
                <w:sz w:val="18"/>
              </w:rPr>
            </w:pPr>
          </w:p>
        </w:tc>
        <w:tc>
          <w:tcPr>
            <w:tcW w:w="1700" w:type="dxa"/>
          </w:tcPr>
          <w:p w:rsidR="006A18FD" w:rsidRDefault="002D29FC">
            <w:pPr>
              <w:spacing w:before="1"/>
              <w:ind w:left="184"/>
              <w:rPr>
                <w:rFonts w:ascii="Calibri"/>
                <w:b/>
                <w:sz w:val="19"/>
              </w:rPr>
            </w:pPr>
            <w:r>
              <w:rPr>
                <w:rFonts w:ascii="Calibri"/>
                <w:b/>
                <w:sz w:val="19"/>
              </w:rPr>
              <w:t>2018/2019 value</w:t>
            </w:r>
          </w:p>
        </w:tc>
        <w:tc>
          <w:tcPr>
            <w:tcW w:w="1903" w:type="dxa"/>
          </w:tcPr>
          <w:p w:rsidR="006A18FD" w:rsidRDefault="006A18FD">
            <w:pPr>
              <w:rPr>
                <w:rFonts w:ascii="Times New Roman"/>
                <w:sz w:val="18"/>
              </w:rPr>
            </w:pPr>
          </w:p>
        </w:tc>
      </w:tr>
      <w:tr w:rsidR="006A18FD">
        <w:trPr>
          <w:trHeight w:val="240"/>
        </w:trPr>
        <w:tc>
          <w:tcPr>
            <w:tcW w:w="2967" w:type="dxa"/>
            <w:tcBorders>
              <w:bottom w:val="nil"/>
            </w:tcBorders>
          </w:tcPr>
          <w:p w:rsidR="006A18FD" w:rsidRDefault="002D29FC">
            <w:pPr>
              <w:spacing w:line="229" w:lineRule="exact"/>
              <w:ind w:left="52"/>
              <w:rPr>
                <w:rFonts w:ascii="Calibri"/>
                <w:sz w:val="19"/>
              </w:rPr>
            </w:pPr>
            <w:r>
              <w:rPr>
                <w:rFonts w:ascii="Calibri"/>
                <w:sz w:val="19"/>
              </w:rPr>
              <w:t>A. Wages/salary and oncosts</w:t>
            </w:r>
          </w:p>
        </w:tc>
        <w:tc>
          <w:tcPr>
            <w:tcW w:w="1702" w:type="dxa"/>
            <w:tcBorders>
              <w:bottom w:val="nil"/>
            </w:tcBorders>
          </w:tcPr>
          <w:p w:rsidR="006A18FD" w:rsidRDefault="002D29FC">
            <w:pPr>
              <w:spacing w:line="229" w:lineRule="exact"/>
              <w:ind w:left="54"/>
              <w:rPr>
                <w:rFonts w:ascii="Calibri" w:hAnsi="Calibri"/>
                <w:sz w:val="19"/>
              </w:rPr>
            </w:pPr>
            <w:r>
              <w:rPr>
                <w:rFonts w:ascii="Calibri" w:hAnsi="Calibri"/>
                <w:sz w:val="19"/>
              </w:rPr>
              <w:t>£33,310 per year</w:t>
            </w:r>
          </w:p>
        </w:tc>
        <w:tc>
          <w:tcPr>
            <w:tcW w:w="1988" w:type="dxa"/>
            <w:tcBorders>
              <w:bottom w:val="nil"/>
            </w:tcBorders>
          </w:tcPr>
          <w:p w:rsidR="006A18FD" w:rsidRDefault="002D29FC">
            <w:pPr>
              <w:spacing w:line="229" w:lineRule="exact"/>
              <w:ind w:left="105"/>
              <w:rPr>
                <w:rFonts w:ascii="Calibri"/>
                <w:sz w:val="19"/>
              </w:rPr>
            </w:pPr>
            <w:r>
              <w:rPr>
                <w:rFonts w:ascii="Calibri"/>
                <w:sz w:val="19"/>
              </w:rPr>
              <w:t>Based on the salary of</w:t>
            </w:r>
          </w:p>
        </w:tc>
        <w:tc>
          <w:tcPr>
            <w:tcW w:w="1700" w:type="dxa"/>
            <w:tcBorders>
              <w:bottom w:val="nil"/>
            </w:tcBorders>
          </w:tcPr>
          <w:p w:rsidR="006A18FD" w:rsidRDefault="002D29FC">
            <w:pPr>
              <w:spacing w:line="229" w:lineRule="exact"/>
              <w:ind w:left="105"/>
              <w:rPr>
                <w:rFonts w:ascii="Calibri" w:hAnsi="Calibri"/>
                <w:sz w:val="19"/>
              </w:rPr>
            </w:pPr>
            <w:r>
              <w:rPr>
                <w:rFonts w:ascii="Calibri" w:hAnsi="Calibri"/>
                <w:sz w:val="19"/>
              </w:rPr>
              <w:t>£113,400</w:t>
            </w:r>
          </w:p>
        </w:tc>
        <w:tc>
          <w:tcPr>
            <w:tcW w:w="1903" w:type="dxa"/>
            <w:tcBorders>
              <w:bottom w:val="nil"/>
            </w:tcBorders>
          </w:tcPr>
          <w:p w:rsidR="006A18FD" w:rsidRDefault="002D29FC">
            <w:pPr>
              <w:spacing w:line="229" w:lineRule="exact"/>
              <w:ind w:left="105"/>
              <w:rPr>
                <w:rFonts w:ascii="Calibri"/>
                <w:sz w:val="19"/>
              </w:rPr>
            </w:pPr>
            <w:r>
              <w:rPr>
                <w:rFonts w:ascii="Calibri"/>
                <w:sz w:val="19"/>
              </w:rPr>
              <w:t>Average income</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2D29FC">
            <w:pPr>
              <w:spacing w:line="213" w:lineRule="exact"/>
              <w:ind w:left="105"/>
              <w:rPr>
                <w:rFonts w:ascii="Calibri"/>
                <w:sz w:val="19"/>
              </w:rPr>
            </w:pPr>
            <w:r>
              <w:rPr>
                <w:rFonts w:ascii="Calibri"/>
                <w:sz w:val="19"/>
              </w:rPr>
              <w:t>a GP practice nurse</w:t>
            </w: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2D29FC">
            <w:pPr>
              <w:spacing w:line="213" w:lineRule="exact"/>
              <w:ind w:left="105"/>
              <w:rPr>
                <w:rFonts w:ascii="Calibri"/>
                <w:sz w:val="19"/>
              </w:rPr>
            </w:pPr>
            <w:r>
              <w:rPr>
                <w:rFonts w:ascii="Calibri"/>
                <w:sz w:val="19"/>
              </w:rPr>
              <w:t>before tax. See 10.3.</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2D29FC">
            <w:pPr>
              <w:spacing w:line="212" w:lineRule="exact"/>
              <w:ind w:left="105"/>
              <w:rPr>
                <w:rFonts w:ascii="Calibri"/>
                <w:sz w:val="19"/>
              </w:rPr>
            </w:pPr>
            <w:r>
              <w:rPr>
                <w:rFonts w:ascii="Calibri"/>
                <w:sz w:val="19"/>
              </w:rPr>
              <w:t>(AfC band 5) plus</w:t>
            </w: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6A18FD">
            <w:pPr>
              <w:rPr>
                <w:rFonts w:ascii="Times New Roman"/>
                <w:sz w:val="16"/>
              </w:rPr>
            </w:pPr>
          </w:p>
        </w:tc>
      </w:tr>
      <w:tr w:rsidR="006A18FD">
        <w:trPr>
          <w:trHeight w:val="200"/>
        </w:trPr>
        <w:tc>
          <w:tcPr>
            <w:tcW w:w="2967" w:type="dxa"/>
            <w:tcBorders>
              <w:top w:val="nil"/>
            </w:tcBorders>
          </w:tcPr>
          <w:p w:rsidR="006A18FD" w:rsidRDefault="006A18FD">
            <w:pPr>
              <w:rPr>
                <w:rFonts w:ascii="Times New Roman"/>
                <w:sz w:val="14"/>
              </w:rPr>
            </w:pPr>
          </w:p>
        </w:tc>
        <w:tc>
          <w:tcPr>
            <w:tcW w:w="1702" w:type="dxa"/>
            <w:tcBorders>
              <w:top w:val="nil"/>
            </w:tcBorders>
          </w:tcPr>
          <w:p w:rsidR="006A18FD" w:rsidRDefault="006A18FD">
            <w:pPr>
              <w:rPr>
                <w:rFonts w:ascii="Times New Roman"/>
                <w:sz w:val="14"/>
              </w:rPr>
            </w:pPr>
          </w:p>
        </w:tc>
        <w:tc>
          <w:tcPr>
            <w:tcW w:w="1988" w:type="dxa"/>
            <w:tcBorders>
              <w:top w:val="nil"/>
            </w:tcBorders>
          </w:tcPr>
          <w:p w:rsidR="006A18FD" w:rsidRDefault="002D29FC">
            <w:pPr>
              <w:spacing w:line="193" w:lineRule="exact"/>
              <w:ind w:left="105"/>
              <w:rPr>
                <w:rFonts w:ascii="Calibri"/>
                <w:sz w:val="19"/>
              </w:rPr>
            </w:pPr>
            <w:r>
              <w:rPr>
                <w:rFonts w:ascii="Calibri"/>
                <w:sz w:val="19"/>
              </w:rPr>
              <w:t>oncosts (see 10.2)</w:t>
            </w:r>
          </w:p>
        </w:tc>
        <w:tc>
          <w:tcPr>
            <w:tcW w:w="1700" w:type="dxa"/>
            <w:tcBorders>
              <w:top w:val="nil"/>
            </w:tcBorders>
          </w:tcPr>
          <w:p w:rsidR="006A18FD" w:rsidRDefault="006A18FD">
            <w:pPr>
              <w:rPr>
                <w:rFonts w:ascii="Times New Roman"/>
                <w:sz w:val="14"/>
              </w:rPr>
            </w:pPr>
          </w:p>
        </w:tc>
        <w:tc>
          <w:tcPr>
            <w:tcW w:w="1903" w:type="dxa"/>
            <w:tcBorders>
              <w:top w:val="nil"/>
            </w:tcBorders>
          </w:tcPr>
          <w:p w:rsidR="006A18FD" w:rsidRDefault="006A18FD">
            <w:pPr>
              <w:rPr>
                <w:rFonts w:ascii="Times New Roman"/>
                <w:sz w:val="14"/>
              </w:rPr>
            </w:pPr>
          </w:p>
        </w:tc>
      </w:tr>
      <w:tr w:rsidR="006A18FD">
        <w:trPr>
          <w:trHeight w:val="260"/>
        </w:trPr>
        <w:tc>
          <w:tcPr>
            <w:tcW w:w="2967" w:type="dxa"/>
            <w:tcBorders>
              <w:bottom w:val="nil"/>
            </w:tcBorders>
          </w:tcPr>
          <w:p w:rsidR="006A18FD" w:rsidRDefault="002D29FC">
            <w:pPr>
              <w:spacing w:before="1"/>
              <w:ind w:left="52"/>
              <w:rPr>
                <w:rFonts w:ascii="Calibri"/>
                <w:sz w:val="19"/>
              </w:rPr>
            </w:pPr>
            <w:r>
              <w:rPr>
                <w:rFonts w:ascii="Calibri"/>
                <w:sz w:val="19"/>
              </w:rPr>
              <w:t>B. Overheads</w:t>
            </w:r>
          </w:p>
        </w:tc>
        <w:tc>
          <w:tcPr>
            <w:tcW w:w="1702" w:type="dxa"/>
            <w:tcBorders>
              <w:bottom w:val="nil"/>
            </w:tcBorders>
          </w:tcPr>
          <w:p w:rsidR="006A18FD" w:rsidRDefault="006A18FD">
            <w:pPr>
              <w:rPr>
                <w:rFonts w:ascii="Times New Roman"/>
                <w:sz w:val="18"/>
              </w:rPr>
            </w:pPr>
          </w:p>
        </w:tc>
        <w:tc>
          <w:tcPr>
            <w:tcW w:w="1988" w:type="dxa"/>
            <w:tcBorders>
              <w:bottom w:val="nil"/>
            </w:tcBorders>
          </w:tcPr>
          <w:p w:rsidR="006A18FD" w:rsidRDefault="006A18FD">
            <w:pPr>
              <w:rPr>
                <w:rFonts w:ascii="Times New Roman"/>
                <w:sz w:val="18"/>
              </w:rPr>
            </w:pPr>
          </w:p>
        </w:tc>
        <w:tc>
          <w:tcPr>
            <w:tcW w:w="1700" w:type="dxa"/>
            <w:tcBorders>
              <w:bottom w:val="nil"/>
            </w:tcBorders>
          </w:tcPr>
          <w:p w:rsidR="006A18FD" w:rsidRDefault="006A18FD">
            <w:pPr>
              <w:rPr>
                <w:rFonts w:ascii="Times New Roman"/>
                <w:sz w:val="18"/>
              </w:rPr>
            </w:pPr>
          </w:p>
        </w:tc>
        <w:tc>
          <w:tcPr>
            <w:tcW w:w="1903" w:type="dxa"/>
            <w:tcBorders>
              <w:bottom w:val="nil"/>
            </w:tcBorders>
          </w:tcPr>
          <w:p w:rsidR="006A18FD" w:rsidRDefault="006A18FD">
            <w:pPr>
              <w:rPr>
                <w:rFonts w:ascii="Times New Roman"/>
                <w:sz w:val="18"/>
              </w:rPr>
            </w:pPr>
          </w:p>
        </w:tc>
      </w:tr>
      <w:tr w:rsidR="006A18FD">
        <w:trPr>
          <w:trHeight w:val="240"/>
        </w:trPr>
        <w:tc>
          <w:tcPr>
            <w:tcW w:w="2967" w:type="dxa"/>
            <w:tcBorders>
              <w:top w:val="nil"/>
              <w:bottom w:val="nil"/>
            </w:tcBorders>
          </w:tcPr>
          <w:p w:rsidR="006A18FD" w:rsidRDefault="002D29FC">
            <w:pPr>
              <w:spacing w:before="8" w:line="230" w:lineRule="exact"/>
              <w:ind w:left="52"/>
              <w:rPr>
                <w:rFonts w:ascii="Calibri"/>
                <w:sz w:val="19"/>
              </w:rPr>
            </w:pPr>
            <w:r>
              <w:rPr>
                <w:rFonts w:ascii="Calibri"/>
                <w:sz w:val="19"/>
              </w:rPr>
              <w:t>Staff overheads</w:t>
            </w:r>
          </w:p>
        </w:tc>
        <w:tc>
          <w:tcPr>
            <w:tcW w:w="1702" w:type="dxa"/>
            <w:tcBorders>
              <w:top w:val="nil"/>
              <w:bottom w:val="nil"/>
            </w:tcBorders>
          </w:tcPr>
          <w:p w:rsidR="006A18FD" w:rsidRDefault="002D29FC">
            <w:pPr>
              <w:spacing w:before="8" w:line="230" w:lineRule="exact"/>
              <w:ind w:left="54"/>
              <w:rPr>
                <w:rFonts w:ascii="Calibri" w:hAnsi="Calibri"/>
                <w:sz w:val="19"/>
              </w:rPr>
            </w:pPr>
            <w:r>
              <w:rPr>
                <w:rFonts w:ascii="Calibri" w:hAnsi="Calibri"/>
                <w:sz w:val="19"/>
              </w:rPr>
              <w:t>£8,161 per year</w:t>
            </w:r>
          </w:p>
        </w:tc>
        <w:tc>
          <w:tcPr>
            <w:tcW w:w="1988" w:type="dxa"/>
            <w:tcBorders>
              <w:top w:val="nil"/>
              <w:bottom w:val="nil"/>
            </w:tcBorders>
          </w:tcPr>
          <w:p w:rsidR="006A18FD" w:rsidRDefault="002D29FC">
            <w:pPr>
              <w:spacing w:before="8" w:line="230" w:lineRule="exact"/>
              <w:ind w:left="105"/>
              <w:rPr>
                <w:rFonts w:ascii="Calibri"/>
                <w:sz w:val="19"/>
              </w:rPr>
            </w:pPr>
            <w:r>
              <w:rPr>
                <w:rFonts w:ascii="Calibri"/>
                <w:sz w:val="19"/>
              </w:rPr>
              <w:t>See schema 10.2</w:t>
            </w:r>
          </w:p>
        </w:tc>
        <w:tc>
          <w:tcPr>
            <w:tcW w:w="1700" w:type="dxa"/>
            <w:tcBorders>
              <w:top w:val="nil"/>
              <w:bottom w:val="nil"/>
            </w:tcBorders>
          </w:tcPr>
          <w:p w:rsidR="006A18FD" w:rsidRDefault="002D29FC">
            <w:pPr>
              <w:spacing w:before="8" w:line="230" w:lineRule="exact"/>
              <w:ind w:left="105"/>
              <w:rPr>
                <w:rFonts w:ascii="Calibri" w:hAnsi="Calibri"/>
                <w:sz w:val="19"/>
              </w:rPr>
            </w:pPr>
            <w:r>
              <w:rPr>
                <w:rFonts w:ascii="Calibri" w:hAnsi="Calibri"/>
                <w:sz w:val="19"/>
              </w:rPr>
              <w:t>£34,252</w:t>
            </w:r>
          </w:p>
        </w:tc>
        <w:tc>
          <w:tcPr>
            <w:tcW w:w="1903" w:type="dxa"/>
            <w:tcBorders>
              <w:top w:val="nil"/>
              <w:bottom w:val="nil"/>
            </w:tcBorders>
          </w:tcPr>
          <w:p w:rsidR="006A18FD" w:rsidRDefault="002D29FC">
            <w:pPr>
              <w:spacing w:before="8" w:line="230" w:lineRule="exact"/>
              <w:ind w:left="105"/>
              <w:rPr>
                <w:rFonts w:ascii="Calibri"/>
                <w:sz w:val="19"/>
              </w:rPr>
            </w:pPr>
            <w:r>
              <w:rPr>
                <w:rFonts w:ascii="Calibri"/>
                <w:sz w:val="19"/>
              </w:rPr>
              <w:t>See schema 10.3</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6A18FD">
            <w:pPr>
              <w:rPr>
                <w:rFonts w:ascii="Times New Roman"/>
                <w:sz w:val="16"/>
              </w:rPr>
            </w:pP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2D29FC">
            <w:pPr>
              <w:spacing w:line="212" w:lineRule="exact"/>
              <w:ind w:left="105"/>
              <w:rPr>
                <w:rFonts w:ascii="Calibri"/>
                <w:sz w:val="19"/>
              </w:rPr>
            </w:pPr>
            <w:r>
              <w:rPr>
                <w:rFonts w:ascii="Calibri"/>
                <w:sz w:val="19"/>
              </w:rPr>
              <w:t>(excludes cost for</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6A18FD">
            <w:pPr>
              <w:rPr>
                <w:rFonts w:ascii="Times New Roman"/>
                <w:sz w:val="16"/>
              </w:rPr>
            </w:pP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2D29FC">
            <w:pPr>
              <w:spacing w:line="212" w:lineRule="exact"/>
              <w:ind w:left="105"/>
              <w:rPr>
                <w:rFonts w:ascii="Calibri"/>
                <w:sz w:val="19"/>
              </w:rPr>
            </w:pPr>
            <w:r>
              <w:rPr>
                <w:rFonts w:ascii="Calibri"/>
                <w:sz w:val="19"/>
              </w:rPr>
              <w:t>direct care staff)</w:t>
            </w:r>
          </w:p>
        </w:tc>
      </w:tr>
      <w:tr w:rsidR="006A18FD">
        <w:trPr>
          <w:trHeight w:val="200"/>
        </w:trPr>
        <w:tc>
          <w:tcPr>
            <w:tcW w:w="2967" w:type="dxa"/>
            <w:tcBorders>
              <w:top w:val="nil"/>
            </w:tcBorders>
          </w:tcPr>
          <w:p w:rsidR="006A18FD" w:rsidRDefault="002D29FC">
            <w:pPr>
              <w:spacing w:line="194" w:lineRule="exact"/>
              <w:ind w:left="52"/>
              <w:rPr>
                <w:rFonts w:ascii="Calibri"/>
                <w:sz w:val="19"/>
              </w:rPr>
            </w:pPr>
            <w:r>
              <w:rPr>
                <w:rFonts w:ascii="Calibri"/>
                <w:sz w:val="19"/>
              </w:rPr>
              <w:t>Non-staff</w:t>
            </w:r>
          </w:p>
        </w:tc>
        <w:tc>
          <w:tcPr>
            <w:tcW w:w="1702" w:type="dxa"/>
            <w:tcBorders>
              <w:top w:val="nil"/>
            </w:tcBorders>
          </w:tcPr>
          <w:p w:rsidR="006A18FD" w:rsidRDefault="002D29FC">
            <w:pPr>
              <w:spacing w:line="194" w:lineRule="exact"/>
              <w:ind w:left="54"/>
              <w:rPr>
                <w:rFonts w:ascii="Calibri" w:hAnsi="Calibri"/>
                <w:sz w:val="19"/>
              </w:rPr>
            </w:pPr>
            <w:r>
              <w:rPr>
                <w:rFonts w:ascii="Calibri" w:hAnsi="Calibri"/>
                <w:sz w:val="19"/>
              </w:rPr>
              <w:t>£12,363 per year</w:t>
            </w:r>
          </w:p>
        </w:tc>
        <w:tc>
          <w:tcPr>
            <w:tcW w:w="1988" w:type="dxa"/>
            <w:tcBorders>
              <w:top w:val="nil"/>
            </w:tcBorders>
          </w:tcPr>
          <w:p w:rsidR="006A18FD" w:rsidRDefault="002D29FC">
            <w:pPr>
              <w:spacing w:line="194" w:lineRule="exact"/>
              <w:ind w:left="105"/>
              <w:rPr>
                <w:rFonts w:ascii="Calibri"/>
                <w:sz w:val="19"/>
              </w:rPr>
            </w:pPr>
            <w:r>
              <w:rPr>
                <w:rFonts w:ascii="Calibri"/>
                <w:sz w:val="19"/>
              </w:rPr>
              <w:t>See schema 10.2</w:t>
            </w:r>
          </w:p>
        </w:tc>
        <w:tc>
          <w:tcPr>
            <w:tcW w:w="1700" w:type="dxa"/>
            <w:tcBorders>
              <w:top w:val="nil"/>
            </w:tcBorders>
          </w:tcPr>
          <w:p w:rsidR="006A18FD" w:rsidRDefault="002D29FC">
            <w:pPr>
              <w:spacing w:line="194" w:lineRule="exact"/>
              <w:ind w:left="105"/>
              <w:rPr>
                <w:rFonts w:ascii="Calibri" w:hAnsi="Calibri"/>
                <w:sz w:val="19"/>
              </w:rPr>
            </w:pPr>
            <w:r>
              <w:rPr>
                <w:rFonts w:ascii="Calibri" w:hAnsi="Calibri"/>
                <w:sz w:val="19"/>
              </w:rPr>
              <w:t>£44,669</w:t>
            </w:r>
          </w:p>
        </w:tc>
        <w:tc>
          <w:tcPr>
            <w:tcW w:w="1903" w:type="dxa"/>
            <w:tcBorders>
              <w:top w:val="nil"/>
            </w:tcBorders>
          </w:tcPr>
          <w:p w:rsidR="006A18FD" w:rsidRDefault="006A18FD">
            <w:pPr>
              <w:rPr>
                <w:rFonts w:ascii="Times New Roman"/>
                <w:sz w:val="14"/>
              </w:rPr>
            </w:pPr>
          </w:p>
        </w:tc>
      </w:tr>
      <w:tr w:rsidR="006A18FD">
        <w:trPr>
          <w:trHeight w:val="220"/>
        </w:trPr>
        <w:tc>
          <w:tcPr>
            <w:tcW w:w="2967" w:type="dxa"/>
          </w:tcPr>
          <w:p w:rsidR="006A18FD" w:rsidRDefault="002D29FC">
            <w:pPr>
              <w:spacing w:before="1" w:line="211" w:lineRule="exact"/>
              <w:ind w:left="52"/>
              <w:rPr>
                <w:rFonts w:ascii="Calibri"/>
                <w:sz w:val="19"/>
              </w:rPr>
            </w:pPr>
            <w:r>
              <w:rPr>
                <w:rFonts w:ascii="Calibri"/>
                <w:sz w:val="19"/>
              </w:rPr>
              <w:t>C. Qualifications</w:t>
            </w:r>
          </w:p>
        </w:tc>
        <w:tc>
          <w:tcPr>
            <w:tcW w:w="1702" w:type="dxa"/>
          </w:tcPr>
          <w:p w:rsidR="006A18FD" w:rsidRDefault="002D29FC">
            <w:pPr>
              <w:spacing w:before="1" w:line="211" w:lineRule="exact"/>
              <w:ind w:left="54"/>
              <w:rPr>
                <w:rFonts w:ascii="Calibri" w:hAnsi="Calibri"/>
                <w:sz w:val="19"/>
              </w:rPr>
            </w:pPr>
            <w:r>
              <w:rPr>
                <w:rFonts w:ascii="Calibri" w:hAnsi="Calibri"/>
                <w:sz w:val="19"/>
              </w:rPr>
              <w:t>£8,992 per year</w:t>
            </w:r>
          </w:p>
        </w:tc>
        <w:tc>
          <w:tcPr>
            <w:tcW w:w="1988" w:type="dxa"/>
          </w:tcPr>
          <w:p w:rsidR="006A18FD" w:rsidRDefault="002D29FC">
            <w:pPr>
              <w:spacing w:before="1" w:line="211" w:lineRule="exact"/>
              <w:ind w:left="105"/>
              <w:rPr>
                <w:rFonts w:ascii="Calibri"/>
                <w:sz w:val="19"/>
              </w:rPr>
            </w:pPr>
            <w:r>
              <w:rPr>
                <w:rFonts w:ascii="Calibri"/>
                <w:sz w:val="19"/>
              </w:rPr>
              <w:t>See schema 10.2</w:t>
            </w:r>
          </w:p>
        </w:tc>
        <w:tc>
          <w:tcPr>
            <w:tcW w:w="1700" w:type="dxa"/>
          </w:tcPr>
          <w:p w:rsidR="006A18FD" w:rsidRDefault="002D29FC">
            <w:pPr>
              <w:spacing w:before="1" w:line="211" w:lineRule="exact"/>
              <w:ind w:left="105"/>
              <w:rPr>
                <w:rFonts w:ascii="Calibri" w:hAnsi="Calibri"/>
                <w:sz w:val="19"/>
              </w:rPr>
            </w:pPr>
            <w:r>
              <w:rPr>
                <w:rFonts w:ascii="Calibri" w:hAnsi="Calibri"/>
                <w:sz w:val="19"/>
              </w:rPr>
              <w:t>£42,645</w:t>
            </w:r>
          </w:p>
        </w:tc>
        <w:tc>
          <w:tcPr>
            <w:tcW w:w="1903" w:type="dxa"/>
          </w:tcPr>
          <w:p w:rsidR="006A18FD" w:rsidRDefault="002D29FC">
            <w:pPr>
              <w:spacing w:before="1" w:line="211" w:lineRule="exact"/>
              <w:ind w:left="105"/>
              <w:rPr>
                <w:rFonts w:ascii="Calibri"/>
                <w:sz w:val="19"/>
              </w:rPr>
            </w:pPr>
            <w:r>
              <w:rPr>
                <w:rFonts w:ascii="Calibri"/>
                <w:sz w:val="19"/>
              </w:rPr>
              <w:t>See schema 10.3</w:t>
            </w:r>
          </w:p>
        </w:tc>
      </w:tr>
      <w:tr w:rsidR="006A18FD">
        <w:trPr>
          <w:trHeight w:val="220"/>
        </w:trPr>
        <w:tc>
          <w:tcPr>
            <w:tcW w:w="2967" w:type="dxa"/>
          </w:tcPr>
          <w:p w:rsidR="006A18FD" w:rsidRDefault="002D29FC">
            <w:pPr>
              <w:spacing w:before="1" w:line="211" w:lineRule="exact"/>
              <w:ind w:left="52"/>
              <w:rPr>
                <w:rFonts w:ascii="Calibri"/>
                <w:sz w:val="19"/>
              </w:rPr>
            </w:pPr>
            <w:r>
              <w:rPr>
                <w:rFonts w:ascii="Calibri"/>
                <w:sz w:val="19"/>
              </w:rPr>
              <w:t>D. Capital</w:t>
            </w:r>
          </w:p>
        </w:tc>
        <w:tc>
          <w:tcPr>
            <w:tcW w:w="1702" w:type="dxa"/>
          </w:tcPr>
          <w:p w:rsidR="006A18FD" w:rsidRDefault="002D29FC">
            <w:pPr>
              <w:spacing w:before="1" w:line="211" w:lineRule="exact"/>
              <w:ind w:left="54"/>
              <w:rPr>
                <w:rFonts w:ascii="Calibri" w:hAnsi="Calibri"/>
                <w:sz w:val="19"/>
              </w:rPr>
            </w:pPr>
            <w:r>
              <w:rPr>
                <w:rFonts w:ascii="Calibri" w:hAnsi="Calibri"/>
                <w:sz w:val="19"/>
              </w:rPr>
              <w:t>£3,814 per year</w:t>
            </w:r>
          </w:p>
        </w:tc>
        <w:tc>
          <w:tcPr>
            <w:tcW w:w="1988" w:type="dxa"/>
          </w:tcPr>
          <w:p w:rsidR="006A18FD" w:rsidRDefault="002D29FC">
            <w:pPr>
              <w:spacing w:before="1" w:line="211" w:lineRule="exact"/>
              <w:ind w:left="105"/>
              <w:rPr>
                <w:rFonts w:ascii="Calibri"/>
                <w:sz w:val="19"/>
              </w:rPr>
            </w:pPr>
            <w:r>
              <w:rPr>
                <w:rFonts w:ascii="Calibri"/>
                <w:sz w:val="19"/>
              </w:rPr>
              <w:t>See  schema 10.2</w:t>
            </w:r>
          </w:p>
        </w:tc>
        <w:tc>
          <w:tcPr>
            <w:tcW w:w="1700" w:type="dxa"/>
          </w:tcPr>
          <w:p w:rsidR="006A18FD" w:rsidRDefault="002D29FC">
            <w:pPr>
              <w:spacing w:before="1" w:line="211" w:lineRule="exact"/>
              <w:ind w:left="105"/>
              <w:rPr>
                <w:rFonts w:ascii="Calibri" w:hAnsi="Calibri"/>
                <w:sz w:val="19"/>
              </w:rPr>
            </w:pPr>
            <w:r>
              <w:rPr>
                <w:rFonts w:ascii="Calibri" w:hAnsi="Calibri"/>
                <w:sz w:val="19"/>
              </w:rPr>
              <w:t>£16,081</w:t>
            </w:r>
          </w:p>
        </w:tc>
        <w:tc>
          <w:tcPr>
            <w:tcW w:w="1903" w:type="dxa"/>
          </w:tcPr>
          <w:p w:rsidR="006A18FD" w:rsidRDefault="002D29FC">
            <w:pPr>
              <w:spacing w:before="1" w:line="211" w:lineRule="exact"/>
              <w:ind w:left="105"/>
              <w:rPr>
                <w:rFonts w:ascii="Calibri"/>
                <w:sz w:val="19"/>
              </w:rPr>
            </w:pPr>
            <w:r>
              <w:rPr>
                <w:rFonts w:ascii="Calibri"/>
                <w:sz w:val="19"/>
              </w:rPr>
              <w:t>See schema 10.3</w:t>
            </w:r>
          </w:p>
        </w:tc>
      </w:tr>
      <w:tr w:rsidR="006A18FD">
        <w:trPr>
          <w:trHeight w:val="240"/>
        </w:trPr>
        <w:tc>
          <w:tcPr>
            <w:tcW w:w="2967" w:type="dxa"/>
            <w:tcBorders>
              <w:bottom w:val="nil"/>
            </w:tcBorders>
          </w:tcPr>
          <w:p w:rsidR="006A18FD" w:rsidRDefault="002D29FC">
            <w:pPr>
              <w:spacing w:line="229" w:lineRule="exact"/>
              <w:ind w:left="52"/>
              <w:rPr>
                <w:rFonts w:ascii="Calibri"/>
                <w:sz w:val="19"/>
              </w:rPr>
            </w:pPr>
            <w:r>
              <w:rPr>
                <w:rFonts w:ascii="Calibri"/>
                <w:sz w:val="19"/>
              </w:rPr>
              <w:t>E. Other costs</w:t>
            </w:r>
          </w:p>
        </w:tc>
        <w:tc>
          <w:tcPr>
            <w:tcW w:w="1702" w:type="dxa"/>
            <w:tcBorders>
              <w:bottom w:val="nil"/>
            </w:tcBorders>
          </w:tcPr>
          <w:p w:rsidR="006A18FD" w:rsidRDefault="006A18FD">
            <w:pPr>
              <w:rPr>
                <w:rFonts w:ascii="Times New Roman"/>
                <w:sz w:val="18"/>
              </w:rPr>
            </w:pPr>
          </w:p>
        </w:tc>
        <w:tc>
          <w:tcPr>
            <w:tcW w:w="1988" w:type="dxa"/>
            <w:tcBorders>
              <w:bottom w:val="nil"/>
            </w:tcBorders>
          </w:tcPr>
          <w:p w:rsidR="006A18FD" w:rsidRDefault="002D29FC">
            <w:pPr>
              <w:spacing w:line="229" w:lineRule="exact"/>
              <w:ind w:left="105"/>
              <w:rPr>
                <w:rFonts w:ascii="Calibri"/>
                <w:sz w:val="12"/>
              </w:rPr>
            </w:pPr>
            <w:r>
              <w:rPr>
                <w:rFonts w:ascii="Calibri"/>
                <w:sz w:val="19"/>
              </w:rPr>
              <w:t>Taken from Table 25</w:t>
            </w:r>
            <w:r>
              <w:rPr>
                <w:rFonts w:ascii="Calibri"/>
                <w:position w:val="6"/>
                <w:sz w:val="12"/>
              </w:rPr>
              <w:t>2</w:t>
            </w:r>
          </w:p>
        </w:tc>
        <w:tc>
          <w:tcPr>
            <w:tcW w:w="1700" w:type="dxa"/>
            <w:tcBorders>
              <w:bottom w:val="nil"/>
            </w:tcBorders>
          </w:tcPr>
          <w:p w:rsidR="006A18FD" w:rsidRDefault="006A18FD">
            <w:pPr>
              <w:rPr>
                <w:rFonts w:ascii="Times New Roman"/>
                <w:sz w:val="18"/>
              </w:rPr>
            </w:pPr>
          </w:p>
        </w:tc>
        <w:tc>
          <w:tcPr>
            <w:tcW w:w="1903" w:type="dxa"/>
            <w:tcBorders>
              <w:bottom w:val="nil"/>
            </w:tcBorders>
          </w:tcPr>
          <w:p w:rsidR="006A18FD" w:rsidRDefault="002D29FC">
            <w:pPr>
              <w:spacing w:line="229" w:lineRule="exact"/>
              <w:ind w:left="105"/>
              <w:rPr>
                <w:rFonts w:ascii="Calibri"/>
                <w:sz w:val="12"/>
              </w:rPr>
            </w:pPr>
            <w:r>
              <w:rPr>
                <w:rFonts w:ascii="Calibri"/>
                <w:sz w:val="19"/>
              </w:rPr>
              <w:t>Taken from Table 25</w:t>
            </w:r>
            <w:r>
              <w:rPr>
                <w:rFonts w:ascii="Calibri"/>
                <w:position w:val="6"/>
                <w:sz w:val="12"/>
              </w:rPr>
              <w:t>2</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2D29FC">
            <w:pPr>
              <w:spacing w:line="213" w:lineRule="exact"/>
              <w:ind w:left="105"/>
              <w:rPr>
                <w:rFonts w:ascii="Calibri"/>
                <w:sz w:val="19"/>
              </w:rPr>
            </w:pPr>
            <w:r>
              <w:rPr>
                <w:rFonts w:ascii="Calibri"/>
                <w:sz w:val="19"/>
              </w:rPr>
              <w:t>and uprated using the</w:t>
            </w: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2D29FC">
            <w:pPr>
              <w:spacing w:line="213" w:lineRule="exact"/>
              <w:ind w:left="105"/>
              <w:rPr>
                <w:rFonts w:ascii="Calibri"/>
                <w:sz w:val="19"/>
              </w:rPr>
            </w:pPr>
            <w:r>
              <w:rPr>
                <w:rFonts w:ascii="Calibri"/>
                <w:sz w:val="19"/>
              </w:rPr>
              <w:t>and uprated using</w:t>
            </w:r>
          </w:p>
        </w:tc>
      </w:tr>
      <w:tr w:rsidR="006A18FD">
        <w:trPr>
          <w:trHeight w:val="220"/>
        </w:trPr>
        <w:tc>
          <w:tcPr>
            <w:tcW w:w="2967" w:type="dxa"/>
            <w:tcBorders>
              <w:top w:val="nil"/>
              <w:bottom w:val="nil"/>
            </w:tcBorders>
          </w:tcPr>
          <w:p w:rsidR="006A18FD" w:rsidRDefault="002D29FC">
            <w:pPr>
              <w:spacing w:line="212" w:lineRule="exact"/>
              <w:ind w:left="52"/>
              <w:rPr>
                <w:rFonts w:ascii="Calibri"/>
                <w:sz w:val="19"/>
              </w:rPr>
            </w:pPr>
            <w:r>
              <w:rPr>
                <w:rFonts w:ascii="Calibri"/>
                <w:sz w:val="19"/>
              </w:rPr>
              <w:t>Staff training</w:t>
            </w:r>
          </w:p>
        </w:tc>
        <w:tc>
          <w:tcPr>
            <w:tcW w:w="1702" w:type="dxa"/>
            <w:tcBorders>
              <w:top w:val="nil"/>
              <w:bottom w:val="nil"/>
            </w:tcBorders>
          </w:tcPr>
          <w:p w:rsidR="006A18FD" w:rsidRDefault="002D29FC">
            <w:pPr>
              <w:spacing w:line="212" w:lineRule="exact"/>
              <w:ind w:left="54"/>
              <w:rPr>
                <w:rFonts w:ascii="Calibri" w:hAnsi="Calibri"/>
                <w:sz w:val="19"/>
              </w:rPr>
            </w:pPr>
            <w:r>
              <w:rPr>
                <w:rFonts w:ascii="Calibri" w:hAnsi="Calibri"/>
                <w:sz w:val="19"/>
              </w:rPr>
              <w:t>£5,950 per year</w:t>
            </w:r>
          </w:p>
        </w:tc>
        <w:tc>
          <w:tcPr>
            <w:tcW w:w="1988" w:type="dxa"/>
            <w:tcBorders>
              <w:top w:val="nil"/>
              <w:bottom w:val="nil"/>
            </w:tcBorders>
          </w:tcPr>
          <w:p w:rsidR="006A18FD" w:rsidRDefault="002D29FC">
            <w:pPr>
              <w:spacing w:line="212" w:lineRule="exact"/>
              <w:ind w:left="105"/>
              <w:rPr>
                <w:rFonts w:ascii="Calibri"/>
                <w:sz w:val="19"/>
              </w:rPr>
            </w:pPr>
            <w:r>
              <w:rPr>
                <w:rFonts w:ascii="Calibri"/>
                <w:sz w:val="19"/>
              </w:rPr>
              <w:t>HS pay and prices</w:t>
            </w:r>
          </w:p>
        </w:tc>
        <w:tc>
          <w:tcPr>
            <w:tcW w:w="1700" w:type="dxa"/>
            <w:tcBorders>
              <w:top w:val="nil"/>
              <w:bottom w:val="nil"/>
            </w:tcBorders>
          </w:tcPr>
          <w:p w:rsidR="006A18FD" w:rsidRDefault="002D29FC">
            <w:pPr>
              <w:spacing w:line="212" w:lineRule="exact"/>
              <w:ind w:left="105"/>
              <w:rPr>
                <w:rFonts w:ascii="Calibri" w:hAnsi="Calibri"/>
                <w:sz w:val="19"/>
              </w:rPr>
            </w:pPr>
            <w:r>
              <w:rPr>
                <w:rFonts w:ascii="Calibri" w:hAnsi="Calibri"/>
                <w:sz w:val="19"/>
              </w:rPr>
              <w:t>£3,315</w:t>
            </w:r>
          </w:p>
        </w:tc>
        <w:tc>
          <w:tcPr>
            <w:tcW w:w="1903" w:type="dxa"/>
            <w:tcBorders>
              <w:top w:val="nil"/>
              <w:bottom w:val="nil"/>
            </w:tcBorders>
          </w:tcPr>
          <w:p w:rsidR="006A18FD" w:rsidRDefault="002D29FC">
            <w:pPr>
              <w:spacing w:line="212" w:lineRule="exact"/>
              <w:ind w:left="105"/>
              <w:rPr>
                <w:rFonts w:ascii="Calibri"/>
                <w:sz w:val="19"/>
              </w:rPr>
            </w:pPr>
            <w:r>
              <w:rPr>
                <w:rFonts w:ascii="Calibri"/>
                <w:sz w:val="19"/>
              </w:rPr>
              <w:t>the HS pay and prices</w:t>
            </w:r>
          </w:p>
        </w:tc>
      </w:tr>
      <w:tr w:rsidR="006A18FD">
        <w:trPr>
          <w:trHeight w:val="220"/>
        </w:trPr>
        <w:tc>
          <w:tcPr>
            <w:tcW w:w="2967" w:type="dxa"/>
            <w:tcBorders>
              <w:top w:val="nil"/>
              <w:bottom w:val="nil"/>
            </w:tcBorders>
          </w:tcPr>
          <w:p w:rsidR="006A18FD" w:rsidRDefault="006A18FD">
            <w:pPr>
              <w:rPr>
                <w:rFonts w:ascii="Times New Roman"/>
                <w:sz w:val="16"/>
              </w:rPr>
            </w:pPr>
          </w:p>
        </w:tc>
        <w:tc>
          <w:tcPr>
            <w:tcW w:w="1702" w:type="dxa"/>
            <w:tcBorders>
              <w:top w:val="nil"/>
              <w:bottom w:val="nil"/>
            </w:tcBorders>
          </w:tcPr>
          <w:p w:rsidR="006A18FD" w:rsidRDefault="006A18FD">
            <w:pPr>
              <w:rPr>
                <w:rFonts w:ascii="Times New Roman"/>
                <w:sz w:val="16"/>
              </w:rPr>
            </w:pPr>
          </w:p>
        </w:tc>
        <w:tc>
          <w:tcPr>
            <w:tcW w:w="1988" w:type="dxa"/>
            <w:tcBorders>
              <w:top w:val="nil"/>
              <w:bottom w:val="nil"/>
            </w:tcBorders>
          </w:tcPr>
          <w:p w:rsidR="006A18FD" w:rsidRDefault="002D29FC">
            <w:pPr>
              <w:spacing w:line="212" w:lineRule="exact"/>
              <w:ind w:left="105"/>
              <w:rPr>
                <w:rFonts w:ascii="Calibri"/>
                <w:sz w:val="19"/>
              </w:rPr>
            </w:pPr>
            <w:r>
              <w:rPr>
                <w:rFonts w:ascii="Calibri"/>
                <w:sz w:val="19"/>
              </w:rPr>
              <w:t>inflator</w:t>
            </w:r>
          </w:p>
        </w:tc>
        <w:tc>
          <w:tcPr>
            <w:tcW w:w="1700" w:type="dxa"/>
            <w:tcBorders>
              <w:top w:val="nil"/>
              <w:bottom w:val="nil"/>
            </w:tcBorders>
          </w:tcPr>
          <w:p w:rsidR="006A18FD" w:rsidRDefault="006A18FD">
            <w:pPr>
              <w:rPr>
                <w:rFonts w:ascii="Times New Roman"/>
                <w:sz w:val="16"/>
              </w:rPr>
            </w:pPr>
          </w:p>
        </w:tc>
        <w:tc>
          <w:tcPr>
            <w:tcW w:w="1903" w:type="dxa"/>
            <w:tcBorders>
              <w:top w:val="nil"/>
              <w:bottom w:val="nil"/>
            </w:tcBorders>
          </w:tcPr>
          <w:p w:rsidR="006A18FD" w:rsidRDefault="002D29FC">
            <w:pPr>
              <w:spacing w:line="212" w:lineRule="exact"/>
              <w:ind w:left="105"/>
              <w:rPr>
                <w:rFonts w:ascii="Calibri"/>
                <w:sz w:val="19"/>
              </w:rPr>
            </w:pPr>
            <w:r>
              <w:rPr>
                <w:rFonts w:ascii="Calibri"/>
                <w:sz w:val="19"/>
              </w:rPr>
              <w:t>inflator</w:t>
            </w:r>
          </w:p>
        </w:tc>
      </w:tr>
      <w:tr w:rsidR="006A18FD">
        <w:trPr>
          <w:trHeight w:val="200"/>
        </w:trPr>
        <w:tc>
          <w:tcPr>
            <w:tcW w:w="2967" w:type="dxa"/>
            <w:tcBorders>
              <w:top w:val="nil"/>
            </w:tcBorders>
          </w:tcPr>
          <w:p w:rsidR="006A18FD" w:rsidRDefault="002D29FC">
            <w:pPr>
              <w:spacing w:line="194" w:lineRule="exact"/>
              <w:ind w:left="52"/>
              <w:rPr>
                <w:rFonts w:ascii="Calibri"/>
                <w:sz w:val="19"/>
              </w:rPr>
            </w:pPr>
            <w:r>
              <w:rPr>
                <w:rFonts w:ascii="Calibri"/>
                <w:sz w:val="19"/>
              </w:rPr>
              <w:t>Computer decision support software</w:t>
            </w:r>
          </w:p>
        </w:tc>
        <w:tc>
          <w:tcPr>
            <w:tcW w:w="1702" w:type="dxa"/>
            <w:tcBorders>
              <w:top w:val="nil"/>
            </w:tcBorders>
          </w:tcPr>
          <w:p w:rsidR="006A18FD" w:rsidRDefault="002D29FC">
            <w:pPr>
              <w:spacing w:line="194" w:lineRule="exact"/>
              <w:ind w:left="54"/>
              <w:rPr>
                <w:rFonts w:ascii="Calibri" w:hAnsi="Calibri"/>
                <w:sz w:val="19"/>
              </w:rPr>
            </w:pPr>
            <w:r>
              <w:rPr>
                <w:rFonts w:ascii="Calibri" w:hAnsi="Calibri"/>
                <w:sz w:val="19"/>
              </w:rPr>
              <w:t>£8,242 per year</w:t>
            </w:r>
          </w:p>
        </w:tc>
        <w:tc>
          <w:tcPr>
            <w:tcW w:w="1988" w:type="dxa"/>
            <w:tcBorders>
              <w:top w:val="nil"/>
            </w:tcBorders>
          </w:tcPr>
          <w:p w:rsidR="006A18FD" w:rsidRDefault="006A18FD">
            <w:pPr>
              <w:rPr>
                <w:rFonts w:ascii="Times New Roman"/>
                <w:sz w:val="14"/>
              </w:rPr>
            </w:pPr>
          </w:p>
        </w:tc>
        <w:tc>
          <w:tcPr>
            <w:tcW w:w="1700" w:type="dxa"/>
            <w:tcBorders>
              <w:top w:val="nil"/>
            </w:tcBorders>
          </w:tcPr>
          <w:p w:rsidR="006A18FD" w:rsidRDefault="006A18FD">
            <w:pPr>
              <w:rPr>
                <w:rFonts w:ascii="Times New Roman"/>
                <w:sz w:val="14"/>
              </w:rPr>
            </w:pPr>
          </w:p>
        </w:tc>
        <w:tc>
          <w:tcPr>
            <w:tcW w:w="1903" w:type="dxa"/>
            <w:tcBorders>
              <w:top w:val="nil"/>
            </w:tcBorders>
          </w:tcPr>
          <w:p w:rsidR="006A18FD" w:rsidRDefault="006A18FD">
            <w:pPr>
              <w:rPr>
                <w:rFonts w:ascii="Times New Roman"/>
                <w:sz w:val="14"/>
              </w:rPr>
            </w:pPr>
          </w:p>
        </w:tc>
      </w:tr>
      <w:tr w:rsidR="006A18FD">
        <w:trPr>
          <w:trHeight w:val="680"/>
        </w:trPr>
        <w:tc>
          <w:tcPr>
            <w:tcW w:w="2967" w:type="dxa"/>
          </w:tcPr>
          <w:p w:rsidR="006A18FD" w:rsidRDefault="002D29FC">
            <w:pPr>
              <w:spacing w:before="1"/>
              <w:ind w:left="52"/>
              <w:rPr>
                <w:rFonts w:ascii="Calibri"/>
                <w:sz w:val="19"/>
              </w:rPr>
            </w:pPr>
            <w:r>
              <w:rPr>
                <w:rFonts w:ascii="Calibri"/>
                <w:sz w:val="19"/>
              </w:rPr>
              <w:t>Working time</w:t>
            </w:r>
          </w:p>
        </w:tc>
        <w:tc>
          <w:tcPr>
            <w:tcW w:w="1702" w:type="dxa"/>
          </w:tcPr>
          <w:p w:rsidR="006A18FD" w:rsidRDefault="002D29FC">
            <w:pPr>
              <w:spacing w:before="1" w:line="231" w:lineRule="exact"/>
              <w:ind w:left="54"/>
              <w:rPr>
                <w:rFonts w:ascii="Calibri"/>
                <w:sz w:val="19"/>
              </w:rPr>
            </w:pPr>
            <w:r>
              <w:rPr>
                <w:rFonts w:ascii="Calibri"/>
                <w:sz w:val="19"/>
              </w:rPr>
              <w:t>42 weeks per year</w:t>
            </w:r>
          </w:p>
          <w:p w:rsidR="006A18FD" w:rsidRDefault="002D29FC">
            <w:pPr>
              <w:spacing w:line="231" w:lineRule="exact"/>
              <w:ind w:left="54"/>
              <w:rPr>
                <w:rFonts w:ascii="Calibri"/>
                <w:sz w:val="19"/>
              </w:rPr>
            </w:pPr>
            <w:r>
              <w:rPr>
                <w:rFonts w:ascii="Calibri"/>
                <w:sz w:val="19"/>
              </w:rPr>
              <w:t>37.5 hours per week</w:t>
            </w:r>
          </w:p>
        </w:tc>
        <w:tc>
          <w:tcPr>
            <w:tcW w:w="1988" w:type="dxa"/>
          </w:tcPr>
          <w:p w:rsidR="006A18FD" w:rsidRDefault="002D29FC">
            <w:pPr>
              <w:spacing w:before="1"/>
              <w:ind w:left="105" w:right="187"/>
              <w:rPr>
                <w:rFonts w:ascii="Calibri"/>
                <w:sz w:val="19"/>
              </w:rPr>
            </w:pPr>
            <w:r>
              <w:rPr>
                <w:rFonts w:ascii="Calibri"/>
                <w:sz w:val="19"/>
              </w:rPr>
              <w:t>Based on 1,573 hours per year</w:t>
            </w:r>
          </w:p>
        </w:tc>
        <w:tc>
          <w:tcPr>
            <w:tcW w:w="1700" w:type="dxa"/>
          </w:tcPr>
          <w:p w:rsidR="006A18FD" w:rsidRDefault="002D29FC">
            <w:pPr>
              <w:spacing w:before="1" w:line="231" w:lineRule="exact"/>
              <w:ind w:left="105"/>
              <w:rPr>
                <w:rFonts w:ascii="Calibri"/>
                <w:sz w:val="19"/>
              </w:rPr>
            </w:pPr>
            <w:r>
              <w:rPr>
                <w:rFonts w:ascii="Calibri"/>
                <w:sz w:val="19"/>
              </w:rPr>
              <w:t>44 weeks per year</w:t>
            </w:r>
          </w:p>
          <w:p w:rsidR="006A18FD" w:rsidRDefault="002D29FC">
            <w:pPr>
              <w:spacing w:line="231" w:lineRule="exact"/>
              <w:ind w:left="105"/>
              <w:rPr>
                <w:rFonts w:ascii="Calibri"/>
                <w:sz w:val="19"/>
              </w:rPr>
            </w:pPr>
            <w:r>
              <w:rPr>
                <w:rFonts w:ascii="Calibri"/>
                <w:sz w:val="19"/>
              </w:rPr>
              <w:t>41.7 hours per</w:t>
            </w:r>
          </w:p>
          <w:p w:rsidR="006A18FD" w:rsidRDefault="002D29FC">
            <w:pPr>
              <w:spacing w:before="1" w:line="211" w:lineRule="exact"/>
              <w:ind w:left="105"/>
              <w:rPr>
                <w:rFonts w:ascii="Calibri"/>
                <w:sz w:val="19"/>
              </w:rPr>
            </w:pPr>
            <w:r>
              <w:rPr>
                <w:rFonts w:ascii="Calibri"/>
                <w:sz w:val="19"/>
              </w:rPr>
              <w:t>week</w:t>
            </w:r>
          </w:p>
        </w:tc>
        <w:tc>
          <w:tcPr>
            <w:tcW w:w="1903" w:type="dxa"/>
          </w:tcPr>
          <w:p w:rsidR="006A18FD" w:rsidRDefault="002D29FC">
            <w:pPr>
              <w:spacing w:before="1"/>
              <w:ind w:left="105" w:right="103"/>
              <w:rPr>
                <w:rFonts w:ascii="Calibri"/>
                <w:sz w:val="19"/>
              </w:rPr>
            </w:pPr>
            <w:r>
              <w:rPr>
                <w:rFonts w:ascii="Calibri"/>
                <w:sz w:val="19"/>
              </w:rPr>
              <w:t>Based on 1,791 hours per year</w:t>
            </w:r>
          </w:p>
        </w:tc>
      </w:tr>
      <w:tr w:rsidR="006A18FD">
        <w:trPr>
          <w:trHeight w:val="860"/>
        </w:trPr>
        <w:tc>
          <w:tcPr>
            <w:tcW w:w="2967" w:type="dxa"/>
          </w:tcPr>
          <w:p w:rsidR="006A18FD" w:rsidRDefault="002D29FC">
            <w:pPr>
              <w:spacing w:before="1" w:line="422" w:lineRule="auto"/>
              <w:ind w:left="52" w:right="276"/>
              <w:rPr>
                <w:rFonts w:ascii="Calibri"/>
                <w:sz w:val="19"/>
              </w:rPr>
            </w:pPr>
            <w:r>
              <w:rPr>
                <w:rFonts w:ascii="Calibri"/>
                <w:sz w:val="19"/>
              </w:rPr>
              <w:t>Ratio of direct to indirect time on: face-to-face contact</w:t>
            </w:r>
          </w:p>
        </w:tc>
        <w:tc>
          <w:tcPr>
            <w:tcW w:w="1702" w:type="dxa"/>
          </w:tcPr>
          <w:p w:rsidR="006A18FD" w:rsidRDefault="006A18FD">
            <w:pPr>
              <w:rPr>
                <w:rFonts w:ascii="Calibri"/>
                <w:sz w:val="18"/>
              </w:rPr>
            </w:pPr>
          </w:p>
          <w:p w:rsidR="006A18FD" w:rsidRDefault="006A18FD">
            <w:pPr>
              <w:spacing w:before="6"/>
              <w:rPr>
                <w:rFonts w:ascii="Calibri"/>
                <w:sz w:val="15"/>
              </w:rPr>
            </w:pPr>
          </w:p>
          <w:p w:rsidR="006A18FD" w:rsidRDefault="002D29FC">
            <w:pPr>
              <w:ind w:left="54"/>
              <w:rPr>
                <w:rFonts w:ascii="Calibri"/>
                <w:sz w:val="19"/>
              </w:rPr>
            </w:pPr>
            <w:r>
              <w:rPr>
                <w:rFonts w:ascii="Calibri"/>
                <w:sz w:val="19"/>
              </w:rPr>
              <w:t>1:0.30</w:t>
            </w:r>
          </w:p>
        </w:tc>
        <w:tc>
          <w:tcPr>
            <w:tcW w:w="1988" w:type="dxa"/>
          </w:tcPr>
          <w:p w:rsidR="006A18FD" w:rsidRDefault="006A18FD">
            <w:pPr>
              <w:rPr>
                <w:rFonts w:ascii="Calibri"/>
                <w:sz w:val="18"/>
              </w:rPr>
            </w:pPr>
          </w:p>
          <w:p w:rsidR="006A18FD" w:rsidRDefault="006A18FD">
            <w:pPr>
              <w:spacing w:before="6"/>
              <w:rPr>
                <w:rFonts w:ascii="Calibri"/>
                <w:sz w:val="15"/>
              </w:rPr>
            </w:pPr>
          </w:p>
          <w:p w:rsidR="006A18FD" w:rsidRDefault="002D29FC">
            <w:pPr>
              <w:ind w:left="105"/>
              <w:rPr>
                <w:rFonts w:ascii="Calibri"/>
                <w:sz w:val="19"/>
              </w:rPr>
            </w:pPr>
            <w:r>
              <w:rPr>
                <w:rFonts w:ascii="Calibri"/>
                <w:sz w:val="19"/>
              </w:rPr>
              <w:t>See schema 10.2</w:t>
            </w:r>
          </w:p>
        </w:tc>
        <w:tc>
          <w:tcPr>
            <w:tcW w:w="1700" w:type="dxa"/>
          </w:tcPr>
          <w:p w:rsidR="006A18FD" w:rsidRDefault="006A18FD">
            <w:pPr>
              <w:rPr>
                <w:rFonts w:ascii="Calibri"/>
                <w:sz w:val="18"/>
              </w:rPr>
            </w:pPr>
          </w:p>
          <w:p w:rsidR="006A18FD" w:rsidRDefault="006A18FD">
            <w:pPr>
              <w:spacing w:before="6"/>
              <w:rPr>
                <w:rFonts w:ascii="Calibri"/>
                <w:sz w:val="15"/>
              </w:rPr>
            </w:pPr>
          </w:p>
          <w:p w:rsidR="006A18FD" w:rsidRDefault="002D29FC">
            <w:pPr>
              <w:ind w:left="105"/>
              <w:rPr>
                <w:rFonts w:ascii="Calibri"/>
                <w:sz w:val="19"/>
              </w:rPr>
            </w:pPr>
            <w:r>
              <w:rPr>
                <w:rFonts w:ascii="Calibri"/>
                <w:sz w:val="19"/>
              </w:rPr>
              <w:t>1:0.61</w:t>
            </w:r>
          </w:p>
        </w:tc>
        <w:tc>
          <w:tcPr>
            <w:tcW w:w="1903" w:type="dxa"/>
          </w:tcPr>
          <w:p w:rsidR="006A18FD" w:rsidRDefault="006A18FD">
            <w:pPr>
              <w:rPr>
                <w:rFonts w:ascii="Calibri"/>
                <w:sz w:val="18"/>
              </w:rPr>
            </w:pPr>
          </w:p>
          <w:p w:rsidR="006A18FD" w:rsidRDefault="006A18FD">
            <w:pPr>
              <w:spacing w:before="6"/>
              <w:rPr>
                <w:rFonts w:ascii="Calibri"/>
                <w:sz w:val="15"/>
              </w:rPr>
            </w:pPr>
          </w:p>
          <w:p w:rsidR="006A18FD" w:rsidRDefault="002D29FC">
            <w:pPr>
              <w:ind w:left="105"/>
              <w:rPr>
                <w:rFonts w:ascii="Calibri"/>
                <w:sz w:val="19"/>
              </w:rPr>
            </w:pPr>
            <w:r>
              <w:rPr>
                <w:rFonts w:ascii="Calibri"/>
                <w:sz w:val="19"/>
              </w:rPr>
              <w:t>See schema 10.3</w:t>
            </w:r>
          </w:p>
        </w:tc>
      </w:tr>
      <w:tr w:rsidR="006A18FD">
        <w:trPr>
          <w:trHeight w:val="460"/>
        </w:trPr>
        <w:tc>
          <w:tcPr>
            <w:tcW w:w="2967" w:type="dxa"/>
          </w:tcPr>
          <w:p w:rsidR="006A18FD" w:rsidRDefault="002D29FC">
            <w:pPr>
              <w:spacing w:before="1" w:line="230" w:lineRule="atLeast"/>
              <w:ind w:left="52"/>
              <w:rPr>
                <w:rFonts w:ascii="Calibri"/>
                <w:sz w:val="19"/>
              </w:rPr>
            </w:pPr>
            <w:r>
              <w:rPr>
                <w:rFonts w:ascii="Calibri"/>
                <w:sz w:val="19"/>
              </w:rPr>
              <w:t>Average time per intervention (minutes)</w:t>
            </w:r>
          </w:p>
        </w:tc>
        <w:tc>
          <w:tcPr>
            <w:tcW w:w="1702" w:type="dxa"/>
          </w:tcPr>
          <w:p w:rsidR="006A18FD" w:rsidRDefault="002D29FC">
            <w:pPr>
              <w:spacing w:before="1"/>
              <w:ind w:left="54"/>
              <w:rPr>
                <w:rFonts w:ascii="Calibri"/>
                <w:sz w:val="19"/>
              </w:rPr>
            </w:pPr>
            <w:r>
              <w:rPr>
                <w:rFonts w:ascii="Calibri"/>
                <w:sz w:val="19"/>
              </w:rPr>
              <w:t>6.56 (SD 3.83)</w:t>
            </w:r>
          </w:p>
        </w:tc>
        <w:tc>
          <w:tcPr>
            <w:tcW w:w="1988" w:type="dxa"/>
          </w:tcPr>
          <w:p w:rsidR="006A18FD" w:rsidRDefault="002D29FC">
            <w:pPr>
              <w:spacing w:before="1"/>
              <w:ind w:left="105"/>
              <w:rPr>
                <w:rFonts w:ascii="Calibri"/>
                <w:sz w:val="12"/>
              </w:rPr>
            </w:pPr>
            <w:r>
              <w:rPr>
                <w:rFonts w:ascii="Calibri"/>
                <w:sz w:val="19"/>
              </w:rPr>
              <w:t>See Table 23</w:t>
            </w:r>
            <w:r>
              <w:rPr>
                <w:rFonts w:ascii="Calibri"/>
                <w:position w:val="6"/>
                <w:sz w:val="12"/>
              </w:rPr>
              <w:t>2</w:t>
            </w:r>
          </w:p>
        </w:tc>
        <w:tc>
          <w:tcPr>
            <w:tcW w:w="1700" w:type="dxa"/>
          </w:tcPr>
          <w:p w:rsidR="006A18FD" w:rsidRDefault="002D29FC">
            <w:pPr>
              <w:spacing w:before="1"/>
              <w:ind w:left="105"/>
              <w:rPr>
                <w:rFonts w:ascii="Calibri"/>
                <w:sz w:val="19"/>
              </w:rPr>
            </w:pPr>
            <w:r>
              <w:rPr>
                <w:rFonts w:ascii="Calibri"/>
                <w:sz w:val="19"/>
              </w:rPr>
              <w:t>4 (SD 2.83)</w:t>
            </w:r>
          </w:p>
        </w:tc>
        <w:tc>
          <w:tcPr>
            <w:tcW w:w="1903" w:type="dxa"/>
          </w:tcPr>
          <w:p w:rsidR="006A18FD" w:rsidRDefault="002D29FC">
            <w:pPr>
              <w:spacing w:before="1"/>
              <w:ind w:left="105"/>
              <w:rPr>
                <w:rFonts w:ascii="Calibri"/>
                <w:sz w:val="12"/>
              </w:rPr>
            </w:pPr>
            <w:r>
              <w:rPr>
                <w:rFonts w:ascii="Calibri"/>
                <w:sz w:val="19"/>
              </w:rPr>
              <w:t>See table 23</w:t>
            </w:r>
            <w:r>
              <w:rPr>
                <w:rFonts w:ascii="Calibri"/>
                <w:position w:val="6"/>
                <w:sz w:val="12"/>
              </w:rPr>
              <w:t>2</w:t>
            </w:r>
          </w:p>
        </w:tc>
      </w:tr>
      <w:tr w:rsidR="006A18FD">
        <w:trPr>
          <w:trHeight w:val="219"/>
        </w:trPr>
        <w:tc>
          <w:tcPr>
            <w:tcW w:w="10260" w:type="dxa"/>
            <w:gridSpan w:val="5"/>
          </w:tcPr>
          <w:p w:rsidR="006A18FD" w:rsidRDefault="002D29FC">
            <w:pPr>
              <w:spacing w:line="211" w:lineRule="exact"/>
              <w:ind w:left="52"/>
              <w:rPr>
                <w:rFonts w:ascii="Calibri"/>
                <w:b/>
                <w:sz w:val="19"/>
              </w:rPr>
            </w:pPr>
            <w:r>
              <w:rPr>
                <w:rFonts w:ascii="Calibri"/>
                <w:b/>
                <w:sz w:val="19"/>
              </w:rPr>
              <w:t>Unit costs available 2018/19</w:t>
            </w:r>
          </w:p>
        </w:tc>
      </w:tr>
      <w:tr w:rsidR="006A18FD">
        <w:trPr>
          <w:trHeight w:val="240"/>
        </w:trPr>
        <w:tc>
          <w:tcPr>
            <w:tcW w:w="2967" w:type="dxa"/>
            <w:tcBorders>
              <w:bottom w:val="nil"/>
            </w:tcBorders>
          </w:tcPr>
          <w:p w:rsidR="006A18FD" w:rsidRDefault="002D29FC">
            <w:pPr>
              <w:spacing w:before="1" w:line="224" w:lineRule="exact"/>
              <w:ind w:left="52"/>
              <w:rPr>
                <w:rFonts w:ascii="Calibri"/>
                <w:sz w:val="19"/>
              </w:rPr>
            </w:pPr>
            <w:r>
              <w:rPr>
                <w:rFonts w:ascii="Calibri"/>
                <w:sz w:val="19"/>
              </w:rPr>
              <w:t>Total annual costs excluding Other</w:t>
            </w:r>
          </w:p>
        </w:tc>
        <w:tc>
          <w:tcPr>
            <w:tcW w:w="1702" w:type="dxa"/>
            <w:tcBorders>
              <w:bottom w:val="nil"/>
            </w:tcBorders>
          </w:tcPr>
          <w:p w:rsidR="006A18FD" w:rsidRDefault="002D29FC">
            <w:pPr>
              <w:spacing w:before="1" w:line="224" w:lineRule="exact"/>
              <w:ind w:left="54"/>
              <w:rPr>
                <w:rFonts w:ascii="Calibri" w:hAnsi="Calibri"/>
                <w:sz w:val="19"/>
              </w:rPr>
            </w:pPr>
            <w:r>
              <w:rPr>
                <w:rFonts w:ascii="Calibri" w:hAnsi="Calibri"/>
                <w:sz w:val="19"/>
              </w:rPr>
              <w:t>£66,639 (£80,458)</w:t>
            </w:r>
          </w:p>
        </w:tc>
        <w:tc>
          <w:tcPr>
            <w:tcW w:w="1988" w:type="dxa"/>
            <w:vMerge w:val="restart"/>
          </w:tcPr>
          <w:p w:rsidR="006A18FD" w:rsidRDefault="006A18FD">
            <w:pPr>
              <w:rPr>
                <w:rFonts w:ascii="Times New Roman"/>
                <w:sz w:val="18"/>
              </w:rPr>
            </w:pPr>
          </w:p>
        </w:tc>
        <w:tc>
          <w:tcPr>
            <w:tcW w:w="1700" w:type="dxa"/>
            <w:tcBorders>
              <w:bottom w:val="nil"/>
            </w:tcBorders>
          </w:tcPr>
          <w:p w:rsidR="006A18FD" w:rsidRDefault="002D29FC">
            <w:pPr>
              <w:spacing w:before="1" w:line="224" w:lineRule="exact"/>
              <w:ind w:left="105"/>
              <w:rPr>
                <w:rFonts w:ascii="Calibri" w:hAnsi="Calibri"/>
                <w:sz w:val="19"/>
              </w:rPr>
            </w:pPr>
            <w:r>
              <w:rPr>
                <w:rFonts w:ascii="Calibri" w:hAnsi="Calibri"/>
                <w:sz w:val="19"/>
              </w:rPr>
              <w:t>£251,047</w:t>
            </w:r>
          </w:p>
        </w:tc>
        <w:tc>
          <w:tcPr>
            <w:tcW w:w="1903" w:type="dxa"/>
            <w:vMerge w:val="restart"/>
          </w:tcPr>
          <w:p w:rsidR="006A18FD" w:rsidRDefault="006A18FD">
            <w:pPr>
              <w:rPr>
                <w:rFonts w:ascii="Times New Roman"/>
                <w:sz w:val="18"/>
              </w:rPr>
            </w:pPr>
          </w:p>
        </w:tc>
      </w:tr>
      <w:tr w:rsidR="006A18FD">
        <w:trPr>
          <w:trHeight w:val="200"/>
        </w:trPr>
        <w:tc>
          <w:tcPr>
            <w:tcW w:w="2967" w:type="dxa"/>
            <w:tcBorders>
              <w:top w:val="nil"/>
            </w:tcBorders>
          </w:tcPr>
          <w:p w:rsidR="006A18FD" w:rsidRDefault="002D29FC">
            <w:pPr>
              <w:spacing w:line="188" w:lineRule="exact"/>
              <w:ind w:left="52"/>
              <w:rPr>
                <w:rFonts w:ascii="Calibri"/>
                <w:sz w:val="19"/>
              </w:rPr>
            </w:pPr>
            <w:r>
              <w:rPr>
                <w:rFonts w:ascii="Calibri"/>
                <w:sz w:val="19"/>
              </w:rPr>
              <w:t>costs (including other costs)</w:t>
            </w:r>
          </w:p>
        </w:tc>
        <w:tc>
          <w:tcPr>
            <w:tcW w:w="1702" w:type="dxa"/>
            <w:tcBorders>
              <w:top w:val="nil"/>
            </w:tcBorders>
          </w:tcPr>
          <w:p w:rsidR="006A18FD" w:rsidRDefault="006A18FD">
            <w:pPr>
              <w:rPr>
                <w:rFonts w:ascii="Times New Roman"/>
                <w:sz w:val="14"/>
              </w:rPr>
            </w:pPr>
          </w:p>
        </w:tc>
        <w:tc>
          <w:tcPr>
            <w:tcW w:w="1988" w:type="dxa"/>
            <w:vMerge/>
            <w:tcBorders>
              <w:top w:val="nil"/>
            </w:tcBorders>
          </w:tcPr>
          <w:p w:rsidR="006A18FD" w:rsidRDefault="006A18FD">
            <w:pPr>
              <w:rPr>
                <w:sz w:val="2"/>
                <w:szCs w:val="2"/>
              </w:rPr>
            </w:pPr>
          </w:p>
        </w:tc>
        <w:tc>
          <w:tcPr>
            <w:tcW w:w="1700" w:type="dxa"/>
            <w:tcBorders>
              <w:top w:val="nil"/>
            </w:tcBorders>
          </w:tcPr>
          <w:p w:rsidR="006A18FD" w:rsidRDefault="002D29FC">
            <w:pPr>
              <w:spacing w:line="188" w:lineRule="exact"/>
              <w:ind w:left="105"/>
              <w:rPr>
                <w:rFonts w:ascii="Calibri" w:hAnsi="Calibri"/>
                <w:sz w:val="19"/>
              </w:rPr>
            </w:pPr>
            <w:r>
              <w:rPr>
                <w:rFonts w:ascii="Calibri" w:hAnsi="Calibri"/>
                <w:sz w:val="19"/>
              </w:rPr>
              <w:t>(£254,362))</w:t>
            </w:r>
          </w:p>
        </w:tc>
        <w:tc>
          <w:tcPr>
            <w:tcW w:w="1903" w:type="dxa"/>
            <w:vMerge/>
            <w:tcBorders>
              <w:top w:val="nil"/>
            </w:tcBorders>
          </w:tcPr>
          <w:p w:rsidR="006A18FD" w:rsidRDefault="006A18FD">
            <w:pPr>
              <w:rPr>
                <w:sz w:val="2"/>
                <w:szCs w:val="2"/>
              </w:rPr>
            </w:pPr>
          </w:p>
        </w:tc>
      </w:tr>
      <w:tr w:rsidR="006A18FD">
        <w:trPr>
          <w:trHeight w:val="680"/>
        </w:trPr>
        <w:tc>
          <w:tcPr>
            <w:tcW w:w="2967" w:type="dxa"/>
          </w:tcPr>
          <w:p w:rsidR="006A18FD" w:rsidRDefault="002D29FC">
            <w:pPr>
              <w:spacing w:before="1"/>
              <w:ind w:left="52" w:right="39"/>
              <w:rPr>
                <w:rFonts w:ascii="Calibri"/>
                <w:sz w:val="19"/>
              </w:rPr>
            </w:pPr>
            <w:r>
              <w:rPr>
                <w:rFonts w:ascii="Calibri"/>
                <w:sz w:val="19"/>
              </w:rPr>
              <w:t>Cost per hour of face-to-face contact excluding Other costs (including set-</w:t>
            </w:r>
          </w:p>
          <w:p w:rsidR="006A18FD" w:rsidRDefault="002D29FC">
            <w:pPr>
              <w:spacing w:line="210" w:lineRule="exact"/>
              <w:ind w:left="52"/>
              <w:rPr>
                <w:rFonts w:ascii="Calibri"/>
                <w:sz w:val="19"/>
              </w:rPr>
            </w:pPr>
            <w:r>
              <w:rPr>
                <w:rFonts w:ascii="Calibri"/>
                <w:sz w:val="19"/>
              </w:rPr>
              <w:t>up costs)</w:t>
            </w:r>
          </w:p>
        </w:tc>
        <w:tc>
          <w:tcPr>
            <w:tcW w:w="1702" w:type="dxa"/>
          </w:tcPr>
          <w:p w:rsidR="006A18FD" w:rsidRDefault="002D29FC">
            <w:pPr>
              <w:spacing w:before="1"/>
              <w:ind w:left="54"/>
              <w:rPr>
                <w:rFonts w:ascii="Calibri" w:hAnsi="Calibri"/>
                <w:sz w:val="19"/>
              </w:rPr>
            </w:pPr>
            <w:r>
              <w:rPr>
                <w:rFonts w:ascii="Calibri" w:hAnsi="Calibri"/>
                <w:sz w:val="19"/>
              </w:rPr>
              <w:t>£55 (£72)</w:t>
            </w:r>
          </w:p>
        </w:tc>
        <w:tc>
          <w:tcPr>
            <w:tcW w:w="1988" w:type="dxa"/>
          </w:tcPr>
          <w:p w:rsidR="006A18FD" w:rsidRDefault="006A18FD">
            <w:pPr>
              <w:rPr>
                <w:rFonts w:ascii="Times New Roman"/>
                <w:sz w:val="18"/>
              </w:rPr>
            </w:pPr>
          </w:p>
        </w:tc>
        <w:tc>
          <w:tcPr>
            <w:tcW w:w="1700" w:type="dxa"/>
          </w:tcPr>
          <w:p w:rsidR="006A18FD" w:rsidRDefault="002D29FC">
            <w:pPr>
              <w:spacing w:before="1"/>
              <w:ind w:left="105"/>
              <w:rPr>
                <w:rFonts w:ascii="Calibri" w:hAnsi="Calibri"/>
                <w:sz w:val="19"/>
              </w:rPr>
            </w:pPr>
            <w:r>
              <w:rPr>
                <w:rFonts w:ascii="Calibri" w:hAnsi="Calibri"/>
                <w:sz w:val="19"/>
              </w:rPr>
              <w:t>£230 (£233)</w:t>
            </w:r>
          </w:p>
        </w:tc>
        <w:tc>
          <w:tcPr>
            <w:tcW w:w="1903" w:type="dxa"/>
          </w:tcPr>
          <w:p w:rsidR="006A18FD" w:rsidRDefault="006A18FD">
            <w:pPr>
              <w:rPr>
                <w:rFonts w:ascii="Times New Roman"/>
                <w:sz w:val="18"/>
              </w:rPr>
            </w:pPr>
          </w:p>
        </w:tc>
      </w:tr>
      <w:tr w:rsidR="006A18FD">
        <w:trPr>
          <w:trHeight w:val="460"/>
        </w:trPr>
        <w:tc>
          <w:tcPr>
            <w:tcW w:w="2967" w:type="dxa"/>
          </w:tcPr>
          <w:p w:rsidR="006A18FD" w:rsidRDefault="002D29FC">
            <w:pPr>
              <w:spacing w:before="1" w:line="230" w:lineRule="atLeast"/>
              <w:ind w:left="52" w:right="238"/>
              <w:rPr>
                <w:rFonts w:ascii="Calibri"/>
                <w:sz w:val="19"/>
              </w:rPr>
            </w:pPr>
            <w:r>
              <w:rPr>
                <w:rFonts w:ascii="Calibri"/>
                <w:sz w:val="19"/>
              </w:rPr>
              <w:t>Cost per intervention excluding Other costs (including other costs)</w:t>
            </w:r>
          </w:p>
        </w:tc>
        <w:tc>
          <w:tcPr>
            <w:tcW w:w="1702" w:type="dxa"/>
          </w:tcPr>
          <w:p w:rsidR="006A18FD" w:rsidRDefault="002D29FC">
            <w:pPr>
              <w:spacing w:before="1"/>
              <w:ind w:left="54"/>
              <w:rPr>
                <w:rFonts w:ascii="Calibri" w:hAnsi="Calibri"/>
                <w:sz w:val="19"/>
              </w:rPr>
            </w:pPr>
            <w:r>
              <w:rPr>
                <w:rFonts w:ascii="Calibri" w:hAnsi="Calibri"/>
                <w:sz w:val="19"/>
              </w:rPr>
              <w:t>£6.00 (£7.80)</w:t>
            </w:r>
          </w:p>
        </w:tc>
        <w:tc>
          <w:tcPr>
            <w:tcW w:w="1988" w:type="dxa"/>
          </w:tcPr>
          <w:p w:rsidR="006A18FD" w:rsidRDefault="006A18FD">
            <w:pPr>
              <w:rPr>
                <w:rFonts w:ascii="Times New Roman"/>
                <w:sz w:val="18"/>
              </w:rPr>
            </w:pPr>
          </w:p>
        </w:tc>
        <w:tc>
          <w:tcPr>
            <w:tcW w:w="1700" w:type="dxa"/>
          </w:tcPr>
          <w:p w:rsidR="006A18FD" w:rsidRDefault="002D29FC">
            <w:pPr>
              <w:spacing w:before="1"/>
              <w:ind w:left="105"/>
              <w:rPr>
                <w:rFonts w:ascii="Calibri" w:hAnsi="Calibri"/>
                <w:sz w:val="19"/>
              </w:rPr>
            </w:pPr>
            <w:r>
              <w:rPr>
                <w:rFonts w:ascii="Calibri" w:hAnsi="Calibri"/>
                <w:sz w:val="19"/>
              </w:rPr>
              <w:t>£15.32 (£15.52)</w:t>
            </w:r>
          </w:p>
        </w:tc>
        <w:tc>
          <w:tcPr>
            <w:tcW w:w="1903" w:type="dxa"/>
          </w:tcPr>
          <w:p w:rsidR="006A18FD" w:rsidRDefault="006A18FD">
            <w:pPr>
              <w:rPr>
                <w:rFonts w:ascii="Times New Roman"/>
                <w:sz w:val="18"/>
              </w:rPr>
            </w:pP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9"/>
        <w:rPr>
          <w:rFonts w:ascii="Calibri"/>
          <w:sz w:val="24"/>
        </w:rPr>
      </w:pPr>
    </w:p>
    <w:p w:rsidR="006A18FD" w:rsidRDefault="002D29FC">
      <w:pPr>
        <w:spacing w:before="1"/>
        <w:ind w:left="436" w:right="411" w:hanging="284"/>
        <w:rPr>
          <w:rFonts w:ascii="Calibri"/>
          <w:sz w:val="16"/>
        </w:rPr>
      </w:pPr>
      <w:r>
        <w:rPr>
          <w:rFonts w:ascii="Calibri"/>
          <w:position w:val="5"/>
          <w:sz w:val="10"/>
        </w:rPr>
        <w:t xml:space="preserve">1  </w:t>
      </w:r>
      <w:r>
        <w:rPr>
          <w:rFonts w:ascii="Calibri"/>
          <w:sz w:val="16"/>
        </w:rPr>
        <w:t xml:space="preserve">Campbell, J., Fletcher, E., Britten, N., Green, C., Holt, T., Lattimer, V., Richards, D., Richards, S. Salisbury, C., Calitri, R., Bowyer, V., Chaplin, K., Kandiyali, R., Murdoch, J., Roscoe, J., Varley, A., Warren, F., &amp; Taylor, R. (2014) Telephone triage for management of same-day consultation requests in general practice (the ESTEEM trial): a cluster-randomised controlled trial and cost-consequence analysis, </w:t>
      </w:r>
      <w:r>
        <w:rPr>
          <w:rFonts w:ascii="Calibri"/>
          <w:i/>
          <w:sz w:val="16"/>
        </w:rPr>
        <w:t>The Lancet,</w:t>
      </w:r>
      <w:r>
        <w:rPr>
          <w:rFonts w:ascii="Calibri"/>
          <w:sz w:val="16"/>
        </w:rPr>
        <w:t>. Doi: 10.1016/S0140-6736(14)61058-8 [accessed 4 November 2015]</w:t>
      </w:r>
    </w:p>
    <w:p w:rsidR="006A18FD" w:rsidRDefault="002D29FC">
      <w:pPr>
        <w:ind w:left="436" w:right="456" w:hanging="284"/>
        <w:jc w:val="both"/>
        <w:rPr>
          <w:rFonts w:ascii="Calibri"/>
          <w:sz w:val="16"/>
        </w:rPr>
      </w:pPr>
      <w:r>
        <w:rPr>
          <w:rFonts w:ascii="Calibri"/>
          <w:position w:val="5"/>
          <w:sz w:val="10"/>
        </w:rPr>
        <w:t xml:space="preserve">2 </w:t>
      </w:r>
      <w:r>
        <w:rPr>
          <w:rFonts w:ascii="Calibri"/>
          <w:sz w:val="16"/>
        </w:rPr>
        <w:t xml:space="preserve">Campbell, J., Fletcher, E., Britten, N., Green, C., Holt, V., Lattimer, V., Richards, D., Richards, S., Salisbury, C., Taylor, R., Calitri, R., Bowyer, V., Chaplin, K., Kandiyali, R., Murdoch, J., Price, L., Roscoe, J., Varley, A. &amp; Warren., F. (2015) The clinical effectiveness and cost-effectiveness of telephone triage for managing same-day consultation requests in general practice: a cluster randomised controlled trial comparing general practitioner-led management systems with usual care (the ESTEEN trial), </w:t>
      </w:r>
      <w:r>
        <w:rPr>
          <w:rFonts w:ascii="Calibri"/>
          <w:i/>
          <w:sz w:val="16"/>
        </w:rPr>
        <w:t xml:space="preserve">Health Technology Assessment, 19,13, </w:t>
      </w:r>
      <w:r>
        <w:rPr>
          <w:rFonts w:ascii="Calibri"/>
          <w:sz w:val="16"/>
        </w:rPr>
        <w:t>DOI 10.3310/hta 19130.</w:t>
      </w:r>
    </w:p>
    <w:p w:rsidR="006A18FD" w:rsidRDefault="006A18FD">
      <w:pPr>
        <w:jc w:val="both"/>
        <w:rPr>
          <w:rFonts w:ascii="Calibri"/>
          <w:sz w:val="16"/>
        </w:rPr>
        <w:sectPr w:rsidR="006A18FD">
          <w:pgSz w:w="11910" w:h="16840"/>
          <w:pgMar w:top="980" w:right="380" w:bottom="280" w:left="980" w:header="751"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1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14" name="Line 7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3F02F" id="Group 7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gx9i0H4CAAB/BQAA&#10;DgAAAAAAAAAAAAAAAAAuAgAAZHJzL2Uyb0RvYy54bWxQSwECLQAUAAYACAAAACEALXfkXNoAAAAE&#10;AQAADwAAAAAAAAAAAAAAAADYBAAAZHJzL2Rvd25yZXYueG1sUEsFBgAAAAAEAAQA8wAAAN8FAAAA&#10;AA==&#10;">
                <v:line id="Line 7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anchorlock/>
              </v:group>
            </w:pict>
          </mc:Fallback>
        </mc:AlternateContent>
      </w:r>
    </w:p>
    <w:p w:rsidR="006A18FD" w:rsidRDefault="002D29FC" w:rsidP="008E3FA8">
      <w:pPr>
        <w:pStyle w:val="Heading2"/>
        <w:numPr>
          <w:ilvl w:val="1"/>
          <w:numId w:val="37"/>
        </w:numPr>
        <w:ind w:left="993" w:hanging="993"/>
      </w:pPr>
      <w:r>
        <w:t>NHS dentist –</w:t>
      </w:r>
      <w:r>
        <w:rPr>
          <w:spacing w:val="-11"/>
        </w:rPr>
        <w:t xml:space="preserve"> </w:t>
      </w:r>
      <w:r>
        <w:t>Performer-Only</w:t>
      </w:r>
    </w:p>
    <w:p w:rsidR="006A18FD" w:rsidRDefault="002D29FC">
      <w:pPr>
        <w:spacing w:before="111"/>
        <w:ind w:left="140" w:right="364"/>
        <w:rPr>
          <w:rFonts w:ascii="Calibri"/>
          <w:sz w:val="18"/>
        </w:rPr>
      </w:pPr>
      <w:r>
        <w:rPr>
          <w:rFonts w:ascii="Calibri"/>
          <w:sz w:val="18"/>
        </w:rPr>
        <w:t xml:space="preserve">A Performer-Only dentist is a qualified dentist who works in a Providing-Performer practice (eg. a local dental practice). They are sometimes referred to as Associates. </w:t>
      </w:r>
      <w:r>
        <w:rPr>
          <w:rFonts w:ascii="Calibri"/>
          <w:position w:val="5"/>
          <w:sz w:val="12"/>
        </w:rPr>
        <w:t xml:space="preserve">1 </w:t>
      </w:r>
      <w:r>
        <w:rPr>
          <w:rFonts w:ascii="Calibri"/>
          <w:sz w:val="18"/>
        </w:rPr>
        <w:t xml:space="preserve">In 2015, a survey of dentists carried out by PSSRU in collaboration with the General Dental Council provided information to estimate practice staff overheads and equipment used by dentists working all or some of the time with NHS patients. In total, responses were received from 251 practices with some or all NHS activity. See article in </w:t>
      </w:r>
      <w:r>
        <w:rPr>
          <w:rFonts w:ascii="Calibri"/>
          <w:i/>
          <w:sz w:val="18"/>
        </w:rPr>
        <w:t xml:space="preserve">Units Costs of Health &amp; Social Care 2017 </w:t>
      </w:r>
      <w:r>
        <w:rPr>
          <w:rFonts w:ascii="Calibri"/>
          <w:sz w:val="18"/>
        </w:rPr>
        <w:t>for more information. The costs below apply only to Performer-Only dentists with registered NHS activity. Dentists who performed only private dentistry have been excluded (n=50). Values (except remuneration) have been uprated using the Health Services Inflator.</w:t>
      </w:r>
    </w:p>
    <w:p w:rsidR="006A18FD" w:rsidRDefault="006A18FD">
      <w:pPr>
        <w:spacing w:before="10"/>
        <w:rPr>
          <w:rFonts w:ascii="Calibri"/>
          <w:sz w:val="17"/>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2"/>
        <w:gridCol w:w="1700"/>
        <w:gridCol w:w="6061"/>
      </w:tblGrid>
      <w:tr w:rsidR="006A18FD" w:rsidTr="00E2663F">
        <w:trPr>
          <w:trHeight w:val="420"/>
          <w:tblHeader/>
        </w:trPr>
        <w:tc>
          <w:tcPr>
            <w:tcW w:w="2412" w:type="dxa"/>
          </w:tcPr>
          <w:p w:rsidR="006A18FD" w:rsidRDefault="002D29FC">
            <w:pPr>
              <w:spacing w:before="1"/>
              <w:ind w:left="103"/>
              <w:rPr>
                <w:rFonts w:ascii="Calibri"/>
                <w:b/>
                <w:sz w:val="18"/>
              </w:rPr>
            </w:pPr>
            <w:r>
              <w:rPr>
                <w:rFonts w:ascii="Calibri"/>
                <w:b/>
                <w:sz w:val="18"/>
              </w:rPr>
              <w:t>Costs and unit estimation</w:t>
            </w:r>
          </w:p>
        </w:tc>
        <w:tc>
          <w:tcPr>
            <w:tcW w:w="1700" w:type="dxa"/>
          </w:tcPr>
          <w:p w:rsidR="006A18FD" w:rsidRDefault="002D29FC">
            <w:pPr>
              <w:spacing w:before="1"/>
              <w:ind w:left="102"/>
              <w:rPr>
                <w:rFonts w:ascii="Calibri"/>
                <w:b/>
                <w:sz w:val="18"/>
              </w:rPr>
            </w:pPr>
            <w:r>
              <w:rPr>
                <w:rFonts w:ascii="Calibri"/>
                <w:b/>
                <w:sz w:val="18"/>
              </w:rPr>
              <w:t>2018/2019 value</w:t>
            </w:r>
          </w:p>
        </w:tc>
        <w:tc>
          <w:tcPr>
            <w:tcW w:w="6061" w:type="dxa"/>
          </w:tcPr>
          <w:p w:rsidR="006A18FD" w:rsidRDefault="002D29FC">
            <w:pPr>
              <w:spacing w:before="1"/>
              <w:ind w:left="103"/>
              <w:rPr>
                <w:rFonts w:ascii="Calibri"/>
                <w:b/>
                <w:sz w:val="18"/>
              </w:rPr>
            </w:pPr>
            <w:r>
              <w:rPr>
                <w:rFonts w:ascii="Calibri"/>
                <w:b/>
                <w:sz w:val="18"/>
              </w:rPr>
              <w:t>Notes</w:t>
            </w:r>
          </w:p>
        </w:tc>
      </w:tr>
      <w:tr w:rsidR="006A18FD">
        <w:trPr>
          <w:trHeight w:val="860"/>
        </w:trPr>
        <w:tc>
          <w:tcPr>
            <w:tcW w:w="2412" w:type="dxa"/>
          </w:tcPr>
          <w:p w:rsidR="006A18FD" w:rsidRDefault="002D29FC">
            <w:pPr>
              <w:spacing w:before="1"/>
              <w:ind w:left="103"/>
              <w:rPr>
                <w:rFonts w:ascii="Calibri"/>
                <w:sz w:val="18"/>
              </w:rPr>
            </w:pPr>
            <w:r>
              <w:rPr>
                <w:rFonts w:ascii="Calibri"/>
                <w:sz w:val="18"/>
              </w:rPr>
              <w:t>A. Net remuneration</w:t>
            </w:r>
          </w:p>
        </w:tc>
        <w:tc>
          <w:tcPr>
            <w:tcW w:w="1700" w:type="dxa"/>
          </w:tcPr>
          <w:p w:rsidR="006A18FD" w:rsidRDefault="002D29FC">
            <w:pPr>
              <w:spacing w:before="1"/>
              <w:ind w:left="102"/>
              <w:rPr>
                <w:rFonts w:ascii="Calibri" w:hAnsi="Calibri"/>
                <w:sz w:val="18"/>
              </w:rPr>
            </w:pPr>
            <w:r>
              <w:rPr>
                <w:rFonts w:ascii="Calibri" w:hAnsi="Calibri"/>
                <w:sz w:val="18"/>
              </w:rPr>
              <w:t>£59,700 per year</w:t>
            </w:r>
          </w:p>
        </w:tc>
        <w:tc>
          <w:tcPr>
            <w:tcW w:w="6061" w:type="dxa"/>
          </w:tcPr>
          <w:p w:rsidR="006A18FD" w:rsidRDefault="002D29FC">
            <w:pPr>
              <w:spacing w:before="1"/>
              <w:ind w:left="103" w:right="96"/>
              <w:rPr>
                <w:rFonts w:ascii="Calibri"/>
                <w:sz w:val="18"/>
              </w:rPr>
            </w:pPr>
            <w:r>
              <w:rPr>
                <w:rFonts w:ascii="Calibri"/>
                <w:sz w:val="18"/>
              </w:rPr>
              <w:t>This is the average taxable income (average gross earnings less average total expenses) for self-employed primary care Performer-Only dentists in 2017/2018.</w:t>
            </w:r>
            <w:r>
              <w:rPr>
                <w:rFonts w:ascii="Calibri"/>
                <w:position w:val="5"/>
                <w:sz w:val="12"/>
              </w:rPr>
              <w:t xml:space="preserve">2 </w:t>
            </w:r>
            <w:r>
              <w:rPr>
                <w:rFonts w:ascii="Calibri"/>
                <w:sz w:val="18"/>
              </w:rPr>
              <w:t>It has not been possible to identify an inflator to provide</w:t>
            </w:r>
          </w:p>
          <w:p w:rsidR="006A18FD" w:rsidRDefault="002D29FC">
            <w:pPr>
              <w:spacing w:line="198" w:lineRule="exact"/>
              <w:ind w:left="103"/>
              <w:rPr>
                <w:rFonts w:ascii="Calibri"/>
                <w:sz w:val="18"/>
              </w:rPr>
            </w:pPr>
            <w:r>
              <w:rPr>
                <w:rFonts w:ascii="Calibri"/>
                <w:sz w:val="18"/>
              </w:rPr>
              <w:t>estimated net remuneration for 2018/2019.</w:t>
            </w:r>
          </w:p>
        </w:tc>
      </w:tr>
      <w:tr w:rsidR="006A18FD">
        <w:trPr>
          <w:trHeight w:val="2840"/>
        </w:trPr>
        <w:tc>
          <w:tcPr>
            <w:tcW w:w="2412" w:type="dxa"/>
          </w:tcPr>
          <w:p w:rsidR="006A18FD" w:rsidRDefault="002D29FC">
            <w:pPr>
              <w:spacing w:before="1"/>
              <w:ind w:left="103" w:right="744"/>
              <w:rPr>
                <w:rFonts w:ascii="Calibri"/>
                <w:sz w:val="18"/>
              </w:rPr>
            </w:pPr>
            <w:r>
              <w:rPr>
                <w:rFonts w:ascii="Calibri"/>
                <w:sz w:val="18"/>
              </w:rPr>
              <w:t>B. Practice expenses: Direct care staff</w:t>
            </w:r>
          </w:p>
          <w:p w:rsidR="006A18FD" w:rsidRDefault="006A18FD">
            <w:pPr>
              <w:rPr>
                <w:rFonts w:ascii="Calibri"/>
                <w:sz w:val="18"/>
              </w:rPr>
            </w:pPr>
          </w:p>
          <w:p w:rsidR="006A18FD" w:rsidRDefault="006A18FD">
            <w:pPr>
              <w:rPr>
                <w:rFonts w:ascii="Calibri"/>
                <w:sz w:val="18"/>
              </w:rPr>
            </w:pPr>
          </w:p>
          <w:p w:rsidR="006A18FD" w:rsidRDefault="006A18FD">
            <w:pPr>
              <w:spacing w:before="11"/>
              <w:rPr>
                <w:rFonts w:ascii="Calibri"/>
                <w:sz w:val="17"/>
              </w:rPr>
            </w:pPr>
          </w:p>
          <w:p w:rsidR="006A18FD" w:rsidRDefault="002D29FC">
            <w:pPr>
              <w:ind w:left="103"/>
              <w:rPr>
                <w:rFonts w:ascii="Calibri"/>
                <w:sz w:val="18"/>
              </w:rPr>
            </w:pPr>
            <w:r>
              <w:rPr>
                <w:rFonts w:ascii="Calibri"/>
                <w:sz w:val="18"/>
              </w:rPr>
              <w:t>Office and general business</w:t>
            </w:r>
          </w:p>
          <w:p w:rsidR="006A18FD" w:rsidRDefault="006A18FD">
            <w:pPr>
              <w:rPr>
                <w:rFonts w:ascii="Calibri"/>
                <w:sz w:val="18"/>
              </w:rPr>
            </w:pPr>
          </w:p>
          <w:p w:rsidR="006A18FD" w:rsidRDefault="006A18FD">
            <w:pPr>
              <w:rPr>
                <w:rFonts w:ascii="Calibri"/>
                <w:sz w:val="18"/>
              </w:rPr>
            </w:pPr>
          </w:p>
          <w:p w:rsidR="006A18FD" w:rsidRDefault="006A18FD">
            <w:pPr>
              <w:spacing w:before="11"/>
              <w:rPr>
                <w:rFonts w:ascii="Calibri"/>
                <w:sz w:val="17"/>
              </w:rPr>
            </w:pPr>
          </w:p>
          <w:p w:rsidR="006A18FD" w:rsidRDefault="002D29FC">
            <w:pPr>
              <w:spacing w:line="219" w:lineRule="exact"/>
              <w:ind w:left="103"/>
              <w:rPr>
                <w:rFonts w:ascii="Calibri"/>
                <w:sz w:val="18"/>
              </w:rPr>
            </w:pPr>
            <w:r>
              <w:rPr>
                <w:rFonts w:ascii="Calibri"/>
                <w:sz w:val="18"/>
              </w:rPr>
              <w:t>Premises</w:t>
            </w:r>
          </w:p>
          <w:p w:rsidR="006A18FD" w:rsidRDefault="002D29FC">
            <w:pPr>
              <w:ind w:left="103" w:right="1256"/>
              <w:rPr>
                <w:rFonts w:ascii="Calibri"/>
                <w:sz w:val="18"/>
              </w:rPr>
            </w:pPr>
            <w:r>
              <w:rPr>
                <w:rFonts w:ascii="Calibri"/>
                <w:sz w:val="18"/>
              </w:rPr>
              <w:t>Car and travel Other</w:t>
            </w:r>
          </w:p>
        </w:tc>
        <w:tc>
          <w:tcPr>
            <w:tcW w:w="1700" w:type="dxa"/>
          </w:tcPr>
          <w:p w:rsidR="006A18FD" w:rsidRDefault="002D29FC">
            <w:pPr>
              <w:spacing w:before="1"/>
              <w:ind w:left="102"/>
              <w:rPr>
                <w:rFonts w:ascii="Calibri" w:hAnsi="Calibri"/>
                <w:sz w:val="18"/>
              </w:rPr>
            </w:pPr>
            <w:r>
              <w:rPr>
                <w:rFonts w:ascii="Calibri" w:hAnsi="Calibri"/>
                <w:sz w:val="18"/>
              </w:rPr>
              <w:t>£57,879 per year</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
              <w:ind w:left="102"/>
              <w:rPr>
                <w:rFonts w:ascii="Calibri" w:hAnsi="Calibri"/>
                <w:sz w:val="18"/>
              </w:rPr>
            </w:pPr>
            <w:r>
              <w:rPr>
                <w:rFonts w:ascii="Calibri" w:hAnsi="Calibri"/>
                <w:sz w:val="18"/>
              </w:rPr>
              <w:t>£5,053 per year</w:t>
            </w:r>
          </w:p>
          <w:p w:rsidR="006A18FD" w:rsidRDefault="006A18FD">
            <w:pPr>
              <w:rPr>
                <w:rFonts w:ascii="Calibri"/>
                <w:sz w:val="18"/>
              </w:rPr>
            </w:pPr>
          </w:p>
          <w:p w:rsidR="006A18FD" w:rsidRDefault="006A18FD">
            <w:pPr>
              <w:rPr>
                <w:rFonts w:ascii="Calibri"/>
                <w:sz w:val="18"/>
              </w:rPr>
            </w:pPr>
          </w:p>
          <w:p w:rsidR="006A18FD" w:rsidRDefault="006A18FD">
            <w:pPr>
              <w:spacing w:before="11"/>
              <w:rPr>
                <w:rFonts w:ascii="Calibri"/>
                <w:sz w:val="17"/>
              </w:rPr>
            </w:pPr>
          </w:p>
          <w:p w:rsidR="006A18FD" w:rsidRDefault="002D29FC">
            <w:pPr>
              <w:spacing w:line="219" w:lineRule="exact"/>
              <w:ind w:left="102"/>
              <w:rPr>
                <w:rFonts w:ascii="Calibri" w:hAnsi="Calibri"/>
                <w:sz w:val="18"/>
              </w:rPr>
            </w:pPr>
            <w:r>
              <w:rPr>
                <w:rFonts w:ascii="Calibri" w:hAnsi="Calibri"/>
                <w:sz w:val="18"/>
              </w:rPr>
              <w:t>£3,436 per year</w:t>
            </w:r>
          </w:p>
          <w:p w:rsidR="006A18FD" w:rsidRDefault="002D29FC">
            <w:pPr>
              <w:spacing w:line="219" w:lineRule="exact"/>
              <w:ind w:left="102"/>
              <w:rPr>
                <w:rFonts w:ascii="Calibri" w:hAnsi="Calibri"/>
                <w:sz w:val="18"/>
              </w:rPr>
            </w:pPr>
            <w:r>
              <w:rPr>
                <w:rFonts w:ascii="Calibri" w:hAnsi="Calibri"/>
                <w:sz w:val="18"/>
              </w:rPr>
              <w:t>£909 per year</w:t>
            </w:r>
          </w:p>
          <w:p w:rsidR="006A18FD" w:rsidRDefault="002D29FC">
            <w:pPr>
              <w:spacing w:before="2"/>
              <w:ind w:left="102"/>
              <w:rPr>
                <w:rFonts w:ascii="Calibri" w:hAnsi="Calibri"/>
                <w:sz w:val="18"/>
              </w:rPr>
            </w:pPr>
            <w:r>
              <w:rPr>
                <w:rFonts w:ascii="Calibri" w:hAnsi="Calibri"/>
                <w:sz w:val="18"/>
              </w:rPr>
              <w:t>£25,692 per year</w:t>
            </w:r>
          </w:p>
        </w:tc>
        <w:tc>
          <w:tcPr>
            <w:tcW w:w="6061" w:type="dxa"/>
          </w:tcPr>
          <w:p w:rsidR="006A18FD" w:rsidRDefault="002D29FC">
            <w:pPr>
              <w:spacing w:before="1"/>
              <w:ind w:left="103" w:right="96"/>
              <w:rPr>
                <w:rFonts w:ascii="Calibri"/>
                <w:sz w:val="18"/>
              </w:rPr>
            </w:pPr>
            <w:r>
              <w:rPr>
                <w:rFonts w:ascii="Calibri"/>
                <w:sz w:val="18"/>
              </w:rPr>
              <w:t xml:space="preserve">Employee expenses are taken from the </w:t>
            </w:r>
            <w:r>
              <w:rPr>
                <w:rFonts w:ascii="Calibri"/>
                <w:i/>
                <w:sz w:val="18"/>
              </w:rPr>
              <w:t xml:space="preserve">Dental Earnings and Expenses </w:t>
            </w:r>
            <w:r>
              <w:rPr>
                <w:rFonts w:ascii="Calibri"/>
                <w:sz w:val="18"/>
              </w:rPr>
              <w:t>report</w:t>
            </w:r>
            <w:r>
              <w:rPr>
                <w:rFonts w:ascii="Calibri"/>
                <w:position w:val="5"/>
                <w:sz w:val="12"/>
              </w:rPr>
              <w:t>2</w:t>
            </w:r>
            <w:r>
              <w:rPr>
                <w:rFonts w:ascii="Calibri"/>
                <w:sz w:val="18"/>
              </w:rPr>
              <w:t xml:space="preserve">. All office and general business, premises and other expenses including advertising promotion and entertainment are based on expenditure taken from the </w:t>
            </w:r>
            <w:r>
              <w:rPr>
                <w:rFonts w:ascii="Calibri"/>
                <w:i/>
                <w:sz w:val="18"/>
              </w:rPr>
              <w:t xml:space="preserve">Dental Earnings and Expenses </w:t>
            </w:r>
            <w:r>
              <w:rPr>
                <w:rFonts w:ascii="Calibri"/>
                <w:sz w:val="18"/>
              </w:rPr>
              <w:t>report</w:t>
            </w:r>
            <w:r>
              <w:rPr>
                <w:rFonts w:ascii="Calibri"/>
                <w:position w:val="5"/>
                <w:sz w:val="12"/>
              </w:rPr>
              <w:t>2</w:t>
            </w:r>
            <w:r>
              <w:rPr>
                <w:rFonts w:ascii="Calibri"/>
                <w:sz w:val="18"/>
              </w:rPr>
              <w:t>.</w:t>
            </w:r>
          </w:p>
          <w:p w:rsidR="006A18FD" w:rsidRDefault="006A18FD">
            <w:pPr>
              <w:spacing w:before="11"/>
              <w:rPr>
                <w:rFonts w:ascii="Calibri"/>
                <w:sz w:val="17"/>
              </w:rPr>
            </w:pPr>
          </w:p>
          <w:p w:rsidR="006A18FD" w:rsidRDefault="002D29FC">
            <w:pPr>
              <w:ind w:left="103" w:right="22"/>
              <w:rPr>
                <w:rFonts w:ascii="Calibri"/>
                <w:sz w:val="18"/>
              </w:rPr>
            </w:pPr>
            <w:r>
              <w:rPr>
                <w:rFonts w:ascii="Calibri"/>
                <w:sz w:val="18"/>
              </w:rPr>
              <w:t>All office and general business, premises and other expenses including advertising promotion and entertainment are based on expenditure taken from the Dental Earnings and Expenses report.2</w:t>
            </w:r>
          </w:p>
          <w:p w:rsidR="006A18FD" w:rsidRDefault="006A18FD">
            <w:pPr>
              <w:spacing w:before="11"/>
              <w:rPr>
                <w:rFonts w:ascii="Calibri"/>
                <w:sz w:val="17"/>
              </w:rPr>
            </w:pPr>
          </w:p>
          <w:p w:rsidR="006A18FD" w:rsidRDefault="002D29FC">
            <w:pPr>
              <w:ind w:left="103"/>
              <w:rPr>
                <w:rFonts w:ascii="Calibri"/>
                <w:sz w:val="18"/>
              </w:rPr>
            </w:pPr>
            <w:r>
              <w:rPr>
                <w:rFonts w:ascii="Calibri"/>
                <w:sz w:val="18"/>
              </w:rPr>
              <w:t>Includes insurance, repairs, maintenance, rent and utilities.</w:t>
            </w:r>
          </w:p>
          <w:p w:rsidR="006A18FD" w:rsidRDefault="006A18FD">
            <w:pPr>
              <w:spacing w:before="11"/>
              <w:rPr>
                <w:rFonts w:ascii="Calibri"/>
                <w:sz w:val="17"/>
              </w:rPr>
            </w:pPr>
          </w:p>
          <w:p w:rsidR="006A18FD" w:rsidRDefault="002D29FC">
            <w:pPr>
              <w:spacing w:line="220" w:lineRule="atLeast"/>
              <w:ind w:left="103"/>
              <w:rPr>
                <w:rFonts w:ascii="Calibri"/>
                <w:sz w:val="18"/>
              </w:rPr>
            </w:pPr>
            <w:r>
              <w:rPr>
                <w:rFonts w:ascii="Calibri"/>
                <w:sz w:val="18"/>
              </w:rPr>
              <w:t>Includes a variety of expenses, including laboratory costs, materials costs, advertising, promotion and entertainment costs.</w:t>
            </w:r>
          </w:p>
        </w:tc>
      </w:tr>
      <w:tr w:rsidR="006A18FD">
        <w:trPr>
          <w:trHeight w:val="419"/>
        </w:trPr>
        <w:tc>
          <w:tcPr>
            <w:tcW w:w="2412" w:type="dxa"/>
          </w:tcPr>
          <w:p w:rsidR="006A18FD" w:rsidRDefault="002D29FC">
            <w:pPr>
              <w:spacing w:line="218" w:lineRule="exact"/>
              <w:ind w:left="103"/>
              <w:rPr>
                <w:rFonts w:ascii="Calibri"/>
                <w:sz w:val="18"/>
              </w:rPr>
            </w:pPr>
            <w:r>
              <w:rPr>
                <w:rFonts w:ascii="Calibri"/>
                <w:sz w:val="18"/>
              </w:rPr>
              <w:t>C. Qualifications</w:t>
            </w:r>
          </w:p>
        </w:tc>
        <w:tc>
          <w:tcPr>
            <w:tcW w:w="1700" w:type="dxa"/>
          </w:tcPr>
          <w:p w:rsidR="006A18FD" w:rsidRDefault="002D29FC">
            <w:pPr>
              <w:spacing w:line="218" w:lineRule="exact"/>
              <w:ind w:left="102"/>
              <w:rPr>
                <w:rFonts w:ascii="Calibri"/>
                <w:sz w:val="18"/>
              </w:rPr>
            </w:pPr>
            <w:r>
              <w:rPr>
                <w:rFonts w:ascii="Calibri"/>
                <w:sz w:val="18"/>
              </w:rPr>
              <w:t>No costs available</w:t>
            </w:r>
          </w:p>
        </w:tc>
        <w:tc>
          <w:tcPr>
            <w:tcW w:w="6061" w:type="dxa"/>
            <w:tcBorders>
              <w:bottom w:val="single" w:sz="6" w:space="0" w:color="000000"/>
            </w:tcBorders>
          </w:tcPr>
          <w:p w:rsidR="006A18FD" w:rsidRDefault="002D29FC">
            <w:pPr>
              <w:spacing w:line="218" w:lineRule="exact"/>
              <w:ind w:left="103"/>
              <w:rPr>
                <w:rFonts w:ascii="Calibri"/>
                <w:sz w:val="18"/>
              </w:rPr>
            </w:pPr>
            <w:r>
              <w:rPr>
                <w:rFonts w:ascii="Calibri"/>
                <w:sz w:val="18"/>
              </w:rPr>
              <w:t xml:space="preserve">See </w:t>
            </w:r>
            <w:hyperlink r:id="rId357">
              <w:r>
                <w:rPr>
                  <w:rFonts w:ascii="Calibri"/>
                  <w:sz w:val="18"/>
                  <w:u w:val="single"/>
                </w:rPr>
                <w:t>http://www.gdc-uk.org/Dentalprofessionals/Education/Pages/Dentist-</w:t>
              </w:r>
            </w:hyperlink>
          </w:p>
          <w:p w:rsidR="006A18FD" w:rsidRDefault="00E60AD2">
            <w:pPr>
              <w:spacing w:before="1" w:line="197" w:lineRule="exact"/>
              <w:ind w:left="103"/>
              <w:rPr>
                <w:rFonts w:ascii="Calibri"/>
                <w:sz w:val="18"/>
              </w:rPr>
            </w:pPr>
            <w:hyperlink r:id="rId358">
              <w:r w:rsidR="002D29FC">
                <w:rPr>
                  <w:rFonts w:ascii="Calibri"/>
                  <w:sz w:val="18"/>
                </w:rPr>
                <w:t>qualifications.aspx.</w:t>
              </w:r>
            </w:hyperlink>
          </w:p>
        </w:tc>
      </w:tr>
      <w:tr w:rsidR="006A18FD">
        <w:trPr>
          <w:trHeight w:val="240"/>
        </w:trPr>
        <w:tc>
          <w:tcPr>
            <w:tcW w:w="2412" w:type="dxa"/>
          </w:tcPr>
          <w:p w:rsidR="006A18FD" w:rsidRDefault="002D29FC">
            <w:pPr>
              <w:spacing w:line="218" w:lineRule="exact"/>
              <w:ind w:left="103"/>
              <w:rPr>
                <w:rFonts w:ascii="Calibri"/>
                <w:sz w:val="18"/>
              </w:rPr>
            </w:pPr>
            <w:r>
              <w:rPr>
                <w:rFonts w:ascii="Calibri"/>
                <w:sz w:val="18"/>
              </w:rPr>
              <w:t>D. Ongoing training</w:t>
            </w:r>
          </w:p>
        </w:tc>
        <w:tc>
          <w:tcPr>
            <w:tcW w:w="1700" w:type="dxa"/>
          </w:tcPr>
          <w:p w:rsidR="006A18FD" w:rsidRDefault="002D29FC">
            <w:pPr>
              <w:spacing w:line="218" w:lineRule="exact"/>
              <w:ind w:left="102"/>
              <w:rPr>
                <w:rFonts w:ascii="Calibri"/>
                <w:sz w:val="18"/>
              </w:rPr>
            </w:pPr>
            <w:r>
              <w:rPr>
                <w:rFonts w:ascii="Calibri"/>
                <w:sz w:val="18"/>
              </w:rPr>
              <w:t>No costs available</w:t>
            </w:r>
          </w:p>
        </w:tc>
        <w:tc>
          <w:tcPr>
            <w:tcW w:w="6061" w:type="dxa"/>
            <w:tcBorders>
              <w:top w:val="single" w:sz="6" w:space="0" w:color="000000"/>
            </w:tcBorders>
          </w:tcPr>
          <w:p w:rsidR="006A18FD" w:rsidRDefault="002D29FC">
            <w:pPr>
              <w:spacing w:line="222" w:lineRule="exact"/>
              <w:ind w:left="103"/>
              <w:rPr>
                <w:rFonts w:ascii="Calibri"/>
                <w:sz w:val="20"/>
              </w:rPr>
            </w:pPr>
            <w:r>
              <w:rPr>
                <w:rFonts w:ascii="Calibri"/>
                <w:sz w:val="20"/>
                <w:u w:val="single"/>
              </w:rPr>
              <w:t xml:space="preserve">See </w:t>
            </w:r>
            <w:hyperlink r:id="rId359">
              <w:r>
                <w:rPr>
                  <w:rFonts w:ascii="Calibri"/>
                  <w:sz w:val="18"/>
                  <w:u w:val="single"/>
                </w:rPr>
                <w:t>https://www.gdc-uk.org/professionals/cpd</w:t>
              </w:r>
              <w:r>
                <w:rPr>
                  <w:rFonts w:ascii="Calibri"/>
                  <w:sz w:val="20"/>
                  <w:u w:val="single"/>
                </w:rPr>
                <w:t>.</w:t>
              </w:r>
            </w:hyperlink>
          </w:p>
        </w:tc>
      </w:tr>
      <w:tr w:rsidR="006A18FD">
        <w:trPr>
          <w:trHeight w:val="880"/>
        </w:trPr>
        <w:tc>
          <w:tcPr>
            <w:tcW w:w="2412" w:type="dxa"/>
          </w:tcPr>
          <w:p w:rsidR="006A18FD" w:rsidRDefault="002D29FC">
            <w:pPr>
              <w:spacing w:line="219" w:lineRule="exact"/>
              <w:ind w:left="103"/>
              <w:rPr>
                <w:rFonts w:ascii="Calibri"/>
                <w:sz w:val="18"/>
              </w:rPr>
            </w:pPr>
            <w:r>
              <w:rPr>
                <w:rFonts w:ascii="Calibri"/>
                <w:sz w:val="18"/>
              </w:rPr>
              <w:t>E. Capital costs</w:t>
            </w:r>
          </w:p>
        </w:tc>
        <w:tc>
          <w:tcPr>
            <w:tcW w:w="1700" w:type="dxa"/>
          </w:tcPr>
          <w:p w:rsidR="006A18FD" w:rsidRDefault="006A18FD">
            <w:pPr>
              <w:rPr>
                <w:rFonts w:ascii="Times New Roman"/>
                <w:sz w:val="16"/>
              </w:rPr>
            </w:pPr>
          </w:p>
        </w:tc>
        <w:tc>
          <w:tcPr>
            <w:tcW w:w="6061" w:type="dxa"/>
            <w:tcBorders>
              <w:bottom w:val="single" w:sz="6" w:space="0" w:color="000000"/>
            </w:tcBorders>
          </w:tcPr>
          <w:p w:rsidR="006A18FD" w:rsidRDefault="002D29FC">
            <w:pPr>
              <w:spacing w:line="219" w:lineRule="exact"/>
              <w:ind w:left="103"/>
              <w:rPr>
                <w:rFonts w:ascii="Calibri"/>
                <w:sz w:val="18"/>
              </w:rPr>
            </w:pPr>
            <w:r>
              <w:rPr>
                <w:rFonts w:ascii="Calibri"/>
                <w:sz w:val="18"/>
              </w:rPr>
              <w:t>Assumed to be included as rent (see above).</w:t>
            </w:r>
          </w:p>
          <w:p w:rsidR="006A18FD" w:rsidRDefault="002D29FC">
            <w:pPr>
              <w:spacing w:before="1"/>
              <w:ind w:left="103" w:right="440"/>
              <w:rPr>
                <w:rFonts w:ascii="Calibri"/>
                <w:sz w:val="18"/>
              </w:rPr>
            </w:pPr>
            <w:r>
              <w:rPr>
                <w:rFonts w:ascii="Calibri"/>
                <w:sz w:val="18"/>
              </w:rPr>
              <w:t>Based on the new-build and land requirements of a dentist surgery, but adjusted to reflect shared use of both treatment and non-treatment space,</w:t>
            </w:r>
          </w:p>
          <w:p w:rsidR="006A18FD" w:rsidRDefault="002D29FC">
            <w:pPr>
              <w:spacing w:line="219" w:lineRule="exact"/>
              <w:ind w:left="103"/>
              <w:rPr>
                <w:rFonts w:ascii="Calibri" w:hAnsi="Calibri"/>
                <w:sz w:val="10"/>
              </w:rPr>
            </w:pPr>
            <w:r>
              <w:rPr>
                <w:rFonts w:ascii="Calibri" w:hAnsi="Calibri"/>
                <w:sz w:val="18"/>
              </w:rPr>
              <w:t>annuitised capital costs would be £8,617 per annum</w:t>
            </w:r>
            <w:r>
              <w:rPr>
                <w:rFonts w:ascii="Calibri" w:hAnsi="Calibri"/>
                <w:sz w:val="20"/>
              </w:rPr>
              <w:t xml:space="preserve">. </w:t>
            </w:r>
            <w:r>
              <w:rPr>
                <w:rFonts w:ascii="Calibri" w:hAnsi="Calibri"/>
                <w:position w:val="7"/>
                <w:sz w:val="13"/>
              </w:rPr>
              <w:t>3</w:t>
            </w:r>
            <w:r>
              <w:rPr>
                <w:rFonts w:ascii="Calibri" w:hAnsi="Calibri"/>
                <w:position w:val="5"/>
                <w:sz w:val="10"/>
              </w:rPr>
              <w:t>4,</w:t>
            </w:r>
          </w:p>
        </w:tc>
      </w:tr>
      <w:tr w:rsidR="006A18FD">
        <w:trPr>
          <w:trHeight w:val="860"/>
        </w:trPr>
        <w:tc>
          <w:tcPr>
            <w:tcW w:w="2412" w:type="dxa"/>
          </w:tcPr>
          <w:p w:rsidR="006A18FD" w:rsidRDefault="002D29FC">
            <w:pPr>
              <w:spacing w:line="218" w:lineRule="exact"/>
              <w:ind w:left="103"/>
              <w:rPr>
                <w:rFonts w:ascii="Calibri"/>
                <w:sz w:val="18"/>
              </w:rPr>
            </w:pPr>
            <w:r>
              <w:rPr>
                <w:rFonts w:ascii="Calibri"/>
                <w:sz w:val="18"/>
              </w:rPr>
              <w:t>F.  Equipment costs</w:t>
            </w:r>
          </w:p>
        </w:tc>
        <w:tc>
          <w:tcPr>
            <w:tcW w:w="1700" w:type="dxa"/>
          </w:tcPr>
          <w:p w:rsidR="006A18FD" w:rsidRDefault="002D29FC">
            <w:pPr>
              <w:spacing w:line="218" w:lineRule="exact"/>
              <w:ind w:left="102"/>
              <w:rPr>
                <w:rFonts w:ascii="Calibri" w:hAnsi="Calibri"/>
                <w:sz w:val="18"/>
              </w:rPr>
            </w:pPr>
            <w:r>
              <w:rPr>
                <w:rFonts w:ascii="Calibri" w:hAnsi="Calibri"/>
                <w:sz w:val="18"/>
              </w:rPr>
              <w:t>£ 7,262 per year</w:t>
            </w:r>
          </w:p>
        </w:tc>
        <w:tc>
          <w:tcPr>
            <w:tcW w:w="6061" w:type="dxa"/>
            <w:tcBorders>
              <w:top w:val="single" w:sz="6" w:space="0" w:color="000000"/>
            </w:tcBorders>
          </w:tcPr>
          <w:p w:rsidR="006A18FD" w:rsidRDefault="002D29FC">
            <w:pPr>
              <w:ind w:left="103" w:right="142"/>
              <w:rPr>
                <w:rFonts w:ascii="Calibri" w:hAnsi="Calibri"/>
                <w:sz w:val="18"/>
              </w:rPr>
            </w:pPr>
            <w:r>
              <w:rPr>
                <w:rFonts w:ascii="Calibri" w:hAnsi="Calibri"/>
                <w:sz w:val="18"/>
              </w:rPr>
              <w:t>Total equipment costs (e.g. dentist chairs, cabinetry and all dental technology) per practice with all or some NHS activity was valued at £60,417 per FTE dentist. Costs have been annuitised over  ten years as this was the most</w:t>
            </w:r>
          </w:p>
          <w:p w:rsidR="006A18FD" w:rsidRDefault="002D29FC">
            <w:pPr>
              <w:spacing w:before="2" w:line="199" w:lineRule="exact"/>
              <w:ind w:left="103"/>
              <w:rPr>
                <w:rFonts w:ascii="Calibri"/>
                <w:sz w:val="18"/>
              </w:rPr>
            </w:pPr>
            <w:r>
              <w:rPr>
                <w:rFonts w:ascii="Calibri"/>
                <w:sz w:val="18"/>
              </w:rPr>
              <w:t>frequently-cited replacement time.</w:t>
            </w:r>
          </w:p>
        </w:tc>
      </w:tr>
      <w:tr w:rsidR="006A18FD">
        <w:trPr>
          <w:trHeight w:val="860"/>
        </w:trPr>
        <w:tc>
          <w:tcPr>
            <w:tcW w:w="2412" w:type="dxa"/>
          </w:tcPr>
          <w:p w:rsidR="006A18FD" w:rsidRDefault="002D29FC">
            <w:pPr>
              <w:spacing w:line="219" w:lineRule="exact"/>
              <w:ind w:left="103"/>
              <w:rPr>
                <w:rFonts w:ascii="Calibri"/>
                <w:sz w:val="18"/>
              </w:rPr>
            </w:pPr>
            <w:r>
              <w:rPr>
                <w:rFonts w:ascii="Calibri"/>
                <w:sz w:val="18"/>
              </w:rPr>
              <w:t>Working time</w:t>
            </w:r>
          </w:p>
        </w:tc>
        <w:tc>
          <w:tcPr>
            <w:tcW w:w="1700" w:type="dxa"/>
          </w:tcPr>
          <w:p w:rsidR="006A18FD" w:rsidRDefault="002D29FC">
            <w:pPr>
              <w:spacing w:line="219" w:lineRule="exact"/>
              <w:ind w:left="102"/>
              <w:rPr>
                <w:rFonts w:ascii="Calibri"/>
                <w:sz w:val="18"/>
              </w:rPr>
            </w:pPr>
            <w:r>
              <w:rPr>
                <w:rFonts w:ascii="Calibri"/>
                <w:sz w:val="18"/>
              </w:rPr>
              <w:t>42.9 weeks per year</w:t>
            </w:r>
          </w:p>
          <w:p w:rsidR="006A18FD" w:rsidRDefault="002D29FC">
            <w:pPr>
              <w:spacing w:before="1"/>
              <w:ind w:left="102" w:right="503"/>
              <w:rPr>
                <w:rFonts w:ascii="Calibri"/>
                <w:sz w:val="18"/>
              </w:rPr>
            </w:pPr>
            <w:r>
              <w:rPr>
                <w:rFonts w:ascii="Calibri"/>
                <w:sz w:val="18"/>
              </w:rPr>
              <w:t>35.7 hours per week.</w:t>
            </w:r>
          </w:p>
        </w:tc>
        <w:tc>
          <w:tcPr>
            <w:tcW w:w="6061" w:type="dxa"/>
          </w:tcPr>
          <w:p w:rsidR="006A18FD" w:rsidRDefault="002D29FC">
            <w:pPr>
              <w:ind w:left="103" w:right="211"/>
              <w:rPr>
                <w:rFonts w:ascii="Calibri"/>
                <w:sz w:val="18"/>
              </w:rPr>
            </w:pPr>
            <w:r>
              <w:rPr>
                <w:rFonts w:ascii="Calibri"/>
                <w:sz w:val="18"/>
              </w:rPr>
              <w:t>The average total number of weekly hours worked by Performer-Only dentists in 2017/2018 was 35.7.</w:t>
            </w:r>
            <w:r>
              <w:rPr>
                <w:rFonts w:ascii="Calibri"/>
                <w:position w:val="5"/>
                <w:sz w:val="12"/>
              </w:rPr>
              <w:t xml:space="preserve">5 </w:t>
            </w:r>
            <w:r>
              <w:rPr>
                <w:rFonts w:ascii="Calibri"/>
                <w:sz w:val="18"/>
              </w:rPr>
              <w:t>The average total number of weekly NHS hours worked was 25.9. On average, dentists took 5 days of sickness leave and 4.5</w:t>
            </w:r>
          </w:p>
          <w:p w:rsidR="006A18FD" w:rsidRDefault="002D29FC">
            <w:pPr>
              <w:spacing w:before="1" w:line="198" w:lineRule="exact"/>
              <w:ind w:left="103"/>
              <w:rPr>
                <w:rFonts w:ascii="Calibri"/>
                <w:sz w:val="12"/>
              </w:rPr>
            </w:pPr>
            <w:r>
              <w:rPr>
                <w:rFonts w:ascii="Calibri"/>
                <w:sz w:val="18"/>
              </w:rPr>
              <w:t>weeks annual leave. Unit costs are based on 1,535 hours.</w:t>
            </w:r>
            <w:r>
              <w:rPr>
                <w:rFonts w:ascii="Calibri"/>
                <w:position w:val="5"/>
                <w:sz w:val="12"/>
              </w:rPr>
              <w:t>5</w:t>
            </w:r>
          </w:p>
        </w:tc>
      </w:tr>
      <w:tr w:rsidR="006A18FD">
        <w:trPr>
          <w:trHeight w:val="660"/>
        </w:trPr>
        <w:tc>
          <w:tcPr>
            <w:tcW w:w="2412" w:type="dxa"/>
          </w:tcPr>
          <w:p w:rsidR="006A18FD" w:rsidRDefault="002D29FC">
            <w:pPr>
              <w:spacing w:before="1"/>
              <w:ind w:left="103" w:right="446"/>
              <w:rPr>
                <w:rFonts w:ascii="Calibri"/>
                <w:sz w:val="18"/>
              </w:rPr>
            </w:pPr>
            <w:r>
              <w:rPr>
                <w:rFonts w:ascii="Calibri"/>
                <w:sz w:val="18"/>
              </w:rPr>
              <w:t>Ratio of direct to indirect time:</w:t>
            </w:r>
          </w:p>
          <w:p w:rsidR="006A18FD" w:rsidRDefault="002D29FC">
            <w:pPr>
              <w:spacing w:before="1" w:line="200" w:lineRule="exact"/>
              <w:ind w:left="103"/>
              <w:rPr>
                <w:rFonts w:ascii="Calibri"/>
                <w:sz w:val="18"/>
              </w:rPr>
            </w:pPr>
            <w:r>
              <w:rPr>
                <w:rFonts w:ascii="Calibri"/>
                <w:sz w:val="18"/>
              </w:rPr>
              <w:t>Clinical time</w:t>
            </w:r>
          </w:p>
        </w:tc>
        <w:tc>
          <w:tcPr>
            <w:tcW w:w="1700" w:type="dxa"/>
          </w:tcPr>
          <w:p w:rsidR="006A18FD" w:rsidRDefault="002D29FC">
            <w:pPr>
              <w:spacing w:before="1"/>
              <w:ind w:left="102"/>
              <w:rPr>
                <w:rFonts w:ascii="Calibri"/>
                <w:sz w:val="18"/>
              </w:rPr>
            </w:pPr>
            <w:r>
              <w:rPr>
                <w:rFonts w:ascii="Calibri"/>
                <w:sz w:val="18"/>
              </w:rPr>
              <w:t>1:0.27</w:t>
            </w:r>
          </w:p>
        </w:tc>
        <w:tc>
          <w:tcPr>
            <w:tcW w:w="6061" w:type="dxa"/>
          </w:tcPr>
          <w:p w:rsidR="006A18FD" w:rsidRDefault="002D29FC">
            <w:pPr>
              <w:spacing w:before="1"/>
              <w:ind w:left="103" w:right="192"/>
              <w:rPr>
                <w:rFonts w:ascii="Calibri"/>
                <w:sz w:val="18"/>
              </w:rPr>
            </w:pPr>
            <w:r>
              <w:rPr>
                <w:rFonts w:ascii="Calibri"/>
                <w:sz w:val="18"/>
              </w:rPr>
              <w:t xml:space="preserve">Based on information taken from the </w:t>
            </w:r>
            <w:r>
              <w:rPr>
                <w:rFonts w:ascii="Calibri"/>
                <w:i/>
                <w:sz w:val="18"/>
              </w:rPr>
              <w:t xml:space="preserve">Dental working hours </w:t>
            </w:r>
            <w:r>
              <w:rPr>
                <w:rFonts w:ascii="Calibri"/>
                <w:sz w:val="18"/>
              </w:rPr>
              <w:t>survey, Performer- Only dentists spent 78.5 per cent of their working time on clinical activities.</w:t>
            </w:r>
          </w:p>
        </w:tc>
      </w:tr>
      <w:tr w:rsidR="006A18FD">
        <w:trPr>
          <w:trHeight w:val="220"/>
        </w:trPr>
        <w:tc>
          <w:tcPr>
            <w:tcW w:w="10173" w:type="dxa"/>
            <w:gridSpan w:val="3"/>
          </w:tcPr>
          <w:p w:rsidR="006A18FD" w:rsidRDefault="002D29FC">
            <w:pPr>
              <w:spacing w:before="1" w:line="199" w:lineRule="exact"/>
              <w:ind w:left="103"/>
              <w:rPr>
                <w:rFonts w:ascii="Calibri"/>
                <w:b/>
                <w:sz w:val="18"/>
              </w:rPr>
            </w:pPr>
            <w:r>
              <w:rPr>
                <w:rFonts w:ascii="Calibri"/>
                <w:b/>
                <w:sz w:val="18"/>
              </w:rPr>
              <w:t>Unit costs available 2018/2019</w:t>
            </w:r>
          </w:p>
        </w:tc>
      </w:tr>
      <w:tr w:rsidR="006A18FD">
        <w:trPr>
          <w:trHeight w:val="200"/>
        </w:trPr>
        <w:tc>
          <w:tcPr>
            <w:tcW w:w="10173" w:type="dxa"/>
            <w:gridSpan w:val="3"/>
          </w:tcPr>
          <w:p w:rsidR="006A18FD" w:rsidRDefault="002D29FC">
            <w:pPr>
              <w:spacing w:line="198" w:lineRule="exact"/>
              <w:ind w:left="103"/>
              <w:rPr>
                <w:rFonts w:ascii="Calibri" w:hAnsi="Calibri"/>
                <w:sz w:val="18"/>
              </w:rPr>
            </w:pPr>
            <w:r>
              <w:rPr>
                <w:rFonts w:ascii="Calibri" w:hAnsi="Calibri"/>
                <w:position w:val="2"/>
                <w:sz w:val="18"/>
              </w:rPr>
              <w:t>£104 per hour; £133 per hour of patient contact, £105 per hour (with 22 kgCO</w:t>
            </w:r>
            <w:r>
              <w:rPr>
                <w:rFonts w:ascii="Calibri" w:hAnsi="Calibri"/>
                <w:sz w:val="12"/>
              </w:rPr>
              <w:t>2</w:t>
            </w:r>
            <w:r>
              <w:rPr>
                <w:rFonts w:ascii="Calibri" w:hAnsi="Calibri"/>
                <w:position w:val="2"/>
                <w:sz w:val="18"/>
              </w:rPr>
              <w:t>e)</w:t>
            </w:r>
            <w:r>
              <w:rPr>
                <w:rFonts w:ascii="Calibri" w:hAnsi="Calibri"/>
                <w:position w:val="7"/>
                <w:sz w:val="12"/>
              </w:rPr>
              <w:t>6</w:t>
            </w:r>
            <w:r>
              <w:rPr>
                <w:rFonts w:ascii="Calibri" w:hAnsi="Calibri"/>
                <w:position w:val="2"/>
                <w:sz w:val="18"/>
              </w:rPr>
              <w:t>; £135 per hour of patient contact (with 28 kgCO</w:t>
            </w:r>
            <w:r>
              <w:rPr>
                <w:rFonts w:ascii="Calibri" w:hAnsi="Calibri"/>
                <w:sz w:val="12"/>
              </w:rPr>
              <w:t>2</w:t>
            </w:r>
            <w:r>
              <w:rPr>
                <w:rFonts w:ascii="Calibri" w:hAnsi="Calibri"/>
                <w:position w:val="2"/>
                <w:sz w:val="18"/>
              </w:rPr>
              <w:t>e).</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rPr>
      </w:pPr>
    </w:p>
    <w:p w:rsidR="006A18FD" w:rsidRDefault="00E60AD2">
      <w:pPr>
        <w:ind w:left="423" w:right="465" w:hanging="284"/>
        <w:rPr>
          <w:rFonts w:ascii="Calibri"/>
          <w:sz w:val="16"/>
        </w:rPr>
      </w:pPr>
      <w:r>
        <w:rPr>
          <w:noProof/>
          <w:lang w:val="en-GB" w:eastAsia="en-GB"/>
        </w:rPr>
        <mc:AlternateContent>
          <mc:Choice Requires="wps">
            <w:drawing>
              <wp:anchor distT="0" distB="0" distL="114300" distR="114300" simplePos="0" relativeHeight="251613184" behindDoc="1" locked="0" layoutInCell="1" allowOverlap="1">
                <wp:simplePos x="0" y="0"/>
                <wp:positionH relativeFrom="page">
                  <wp:posOffset>5745480</wp:posOffset>
                </wp:positionH>
                <wp:positionV relativeFrom="paragraph">
                  <wp:posOffset>-3194685</wp:posOffset>
                </wp:positionV>
                <wp:extent cx="15240" cy="0"/>
                <wp:effectExtent l="11430" t="5715" r="11430" b="13335"/>
                <wp:wrapNone/>
                <wp:docPr id="21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CA5B" id="Line 69"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4pt,-251.55pt" to="453.6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qk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" strokeweight=".36pt">
                <w10:wrap anchorx="page"/>
              </v:line>
            </w:pict>
          </mc:Fallback>
        </mc:AlternateContent>
      </w:r>
      <w:r w:rsidR="002D29FC">
        <w:rPr>
          <w:rFonts w:ascii="Calibri"/>
          <w:position w:val="5"/>
          <w:sz w:val="10"/>
        </w:rPr>
        <w:t xml:space="preserve">1 </w:t>
      </w:r>
      <w:r w:rsidR="002D29FC">
        <w:rPr>
          <w:rFonts w:ascii="Calibri"/>
          <w:sz w:val="16"/>
        </w:rPr>
        <w:t xml:space="preserve">NHS Digital (2019) </w:t>
      </w:r>
      <w:r w:rsidR="002D29FC">
        <w:rPr>
          <w:rFonts w:ascii="Calibri"/>
          <w:i/>
          <w:sz w:val="16"/>
        </w:rPr>
        <w:t xml:space="preserve">A guide to NHS dental publications, </w:t>
      </w:r>
      <w:r w:rsidR="002D29FC">
        <w:rPr>
          <w:rFonts w:ascii="Calibri"/>
          <w:sz w:val="16"/>
        </w:rPr>
        <w:t>NHS Digital, Leeds</w:t>
      </w:r>
      <w:r w:rsidR="002D29FC">
        <w:rPr>
          <w:rFonts w:ascii="Times New Roman"/>
          <w:sz w:val="16"/>
        </w:rPr>
        <w:t xml:space="preserve">. </w:t>
      </w:r>
      <w:r w:rsidR="002D29FC">
        <w:rPr>
          <w:rFonts w:ascii="Calibri"/>
          <w:sz w:val="16"/>
        </w:rPr>
        <w:t>https://files.digital.nhs.uk/AD/73DD0A/nhs-dent-stat-eng-18-19-anx4-gui.pdf [accessed 25 September 2019).</w:t>
      </w:r>
    </w:p>
    <w:p w:rsidR="006A18FD" w:rsidRDefault="00E60AD2">
      <w:pPr>
        <w:ind w:left="423" w:right="951" w:hanging="284"/>
        <w:rPr>
          <w:rFonts w:ascii="Calibri"/>
          <w:sz w:val="16"/>
        </w:rPr>
      </w:pPr>
      <w:r>
        <w:rPr>
          <w:noProof/>
          <w:lang w:val="en-GB" w:eastAsia="en-GB"/>
        </w:rPr>
        <mc:AlternateContent>
          <mc:Choice Requires="wps">
            <w:drawing>
              <wp:anchor distT="0" distB="0" distL="114300" distR="114300" simplePos="0" relativeHeight="251614208" behindDoc="1" locked="0" layoutInCell="1" allowOverlap="1">
                <wp:simplePos x="0" y="0"/>
                <wp:positionH relativeFrom="page">
                  <wp:posOffset>636905</wp:posOffset>
                </wp:positionH>
                <wp:positionV relativeFrom="paragraph">
                  <wp:posOffset>237490</wp:posOffset>
                </wp:positionV>
                <wp:extent cx="3564255" cy="0"/>
                <wp:effectExtent l="8255" t="8890" r="8890" b="10160"/>
                <wp:wrapNone/>
                <wp:docPr id="21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A953" id="Line 68"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18.7pt" to="33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plFQ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" strokeweight=".48pt">
                <w10:wrap anchorx="page"/>
              </v:line>
            </w:pict>
          </mc:Fallback>
        </mc:AlternateContent>
      </w:r>
      <w:r w:rsidR="002D29FC">
        <w:rPr>
          <w:rFonts w:ascii="Calibri"/>
          <w:position w:val="5"/>
          <w:sz w:val="10"/>
        </w:rPr>
        <w:t xml:space="preserve">2 </w:t>
      </w:r>
      <w:r w:rsidR="002D29FC">
        <w:rPr>
          <w:rFonts w:ascii="Calibri"/>
          <w:sz w:val="16"/>
        </w:rPr>
        <w:t xml:space="preserve">NHS Digital (2019) </w:t>
      </w:r>
      <w:r w:rsidR="002D29FC">
        <w:rPr>
          <w:rFonts w:ascii="Calibri"/>
          <w:i/>
          <w:sz w:val="16"/>
        </w:rPr>
        <w:t>Dental earnings and expenses estimates, England and Wales, Time Series</w:t>
      </w:r>
      <w:r w:rsidR="002D29FC">
        <w:rPr>
          <w:rFonts w:ascii="Calibri"/>
          <w:sz w:val="16"/>
        </w:rPr>
        <w:t xml:space="preserve">, NHS Digital, Leeds. </w:t>
      </w:r>
      <w:hyperlink r:id="rId360">
        <w:r w:rsidR="002D29FC">
          <w:rPr>
            <w:rFonts w:ascii="Calibri"/>
            <w:sz w:val="16"/>
            <w:u w:val="single"/>
          </w:rPr>
          <w:t>https://digital.nhs.uk/data-and-</w:t>
        </w:r>
      </w:hyperlink>
      <w:r w:rsidR="002D29FC">
        <w:rPr>
          <w:rFonts w:ascii="Calibri"/>
          <w:sz w:val="16"/>
        </w:rPr>
        <w:t xml:space="preserve"> </w:t>
      </w:r>
      <w:hyperlink r:id="rId361">
        <w:r w:rsidR="002D29FC">
          <w:rPr>
            <w:rFonts w:ascii="Calibri"/>
            <w:sz w:val="16"/>
          </w:rPr>
          <w:t xml:space="preserve">information/publications/statistical/dental-earnings-and-expenses-estimates/2017-18 </w:t>
        </w:r>
      </w:hyperlink>
      <w:r w:rsidR="002D29FC">
        <w:rPr>
          <w:rFonts w:ascii="Calibri"/>
          <w:sz w:val="16"/>
        </w:rPr>
        <w:t>[accessed 18 September 2019].</w:t>
      </w:r>
    </w:p>
    <w:p w:rsidR="006A18FD" w:rsidRDefault="002D29FC">
      <w:pPr>
        <w:ind w:left="423" w:right="1897" w:hanging="284"/>
        <w:rPr>
          <w:rFonts w:ascii="Calibri"/>
          <w:sz w:val="16"/>
        </w:rPr>
      </w:pPr>
      <w:r>
        <w:rPr>
          <w:rFonts w:ascii="Calibri"/>
          <w:position w:val="5"/>
          <w:sz w:val="10"/>
        </w:rPr>
        <w:t xml:space="preserve">3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62">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line="194" w:lineRule="exact"/>
        <w:ind w:left="140"/>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433" w:hanging="284"/>
        <w:rPr>
          <w:rFonts w:ascii="Calibri"/>
          <w:sz w:val="16"/>
        </w:rPr>
      </w:pPr>
      <w:r>
        <w:rPr>
          <w:rFonts w:ascii="Calibri"/>
          <w:position w:val="5"/>
          <w:sz w:val="10"/>
        </w:rPr>
        <w:t xml:space="preserve">5 </w:t>
      </w:r>
      <w:r>
        <w:rPr>
          <w:rFonts w:ascii="Calibri"/>
          <w:sz w:val="16"/>
        </w:rPr>
        <w:t xml:space="preserve">NHS Digital (2018) </w:t>
      </w:r>
      <w:r>
        <w:rPr>
          <w:rFonts w:ascii="Calibri"/>
          <w:i/>
          <w:sz w:val="16"/>
        </w:rPr>
        <w:t xml:space="preserve">Dental Working Hours: Working Patterns, Motivation and Morale 2016/17 and 2017/18, </w:t>
      </w:r>
      <w:r>
        <w:rPr>
          <w:rFonts w:ascii="Calibri"/>
          <w:sz w:val="16"/>
        </w:rPr>
        <w:t>NHS Digital, Leeds</w:t>
      </w:r>
      <w:r>
        <w:rPr>
          <w:rFonts w:ascii="Times New Roman"/>
          <w:sz w:val="16"/>
        </w:rPr>
        <w:t xml:space="preserve">. </w:t>
      </w:r>
      <w:hyperlink r:id="rId363">
        <w:r>
          <w:rPr>
            <w:rFonts w:ascii="Calibri"/>
            <w:sz w:val="16"/>
            <w:u w:val="single"/>
          </w:rPr>
          <w:t>https://files.digital.nhs.uk/D5/AB5837/Dental-Working-Hours-2016-17-and-2017-18-Working-Patterns-Motivation-and-Morale-Report.pdf</w:t>
        </w:r>
        <w:r>
          <w:rPr>
            <w:rFonts w:ascii="Calibri"/>
            <w:sz w:val="16"/>
          </w:rPr>
          <w:t xml:space="preserve"> </w:t>
        </w:r>
      </w:hyperlink>
      <w:r>
        <w:rPr>
          <w:rFonts w:ascii="Calibri"/>
          <w:sz w:val="16"/>
        </w:rPr>
        <w:t>[accessed 25 September 2018]. NB. no statistics for 2018-19 available at the time of producing this report.</w:t>
      </w:r>
    </w:p>
    <w:p w:rsidR="006A18FD" w:rsidRDefault="002D29FC">
      <w:pPr>
        <w:spacing w:line="194" w:lineRule="exact"/>
        <w:ind w:left="140"/>
        <w:rPr>
          <w:rFonts w:ascii="Calibri"/>
          <w:sz w:val="16"/>
        </w:rPr>
      </w:pPr>
      <w:r>
        <w:rPr>
          <w:rFonts w:ascii="Calibri"/>
          <w:position w:val="5"/>
          <w:sz w:val="10"/>
        </w:rPr>
        <w:t xml:space="preserve">6 </w:t>
      </w:r>
      <w:r>
        <w:rPr>
          <w:rFonts w:ascii="Calibri"/>
          <w:sz w:val="16"/>
        </w:rPr>
        <w:t>Costs provided by Richard Lomax, Sustainable Development Unit.</w:t>
      </w:r>
    </w:p>
    <w:p w:rsidR="006A18FD" w:rsidRDefault="006A18FD">
      <w:pPr>
        <w:spacing w:line="194" w:lineRule="exact"/>
        <w:rPr>
          <w:rFonts w:ascii="Calibri"/>
          <w:sz w:val="16"/>
        </w:rPr>
        <w:sectPr w:rsidR="006A18FD">
          <w:pgSz w:w="11910" w:h="16840"/>
          <w:pgMar w:top="980" w:right="800" w:bottom="280" w:left="580" w:header="751"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0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10" name="Line 6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7A230" id="Group 6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7gYOUX4CAAB/BQAA&#10;DgAAAAAAAAAAAAAAAAAuAgAAZHJzL2Uyb0RvYy54bWxQSwECLQAUAAYACAAAACEALXfkXNoAAAAE&#10;AQAADwAAAAAAAAAAAAAAAADYBAAAZHJzL2Rvd25yZXYueG1sUEsFBgAAAAAEAAQA8wAAAN8FAAAA&#10;AA==&#10;">
                <v:line id="Line 6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w10:anchorlock/>
              </v:group>
            </w:pict>
          </mc:Fallback>
        </mc:AlternateContent>
      </w:r>
    </w:p>
    <w:p w:rsidR="006A18FD" w:rsidRDefault="002D29FC" w:rsidP="008E3FA8">
      <w:pPr>
        <w:pStyle w:val="Heading2"/>
        <w:numPr>
          <w:ilvl w:val="1"/>
          <w:numId w:val="37"/>
        </w:numPr>
      </w:pPr>
      <w:r>
        <w:t>Dentist –</w:t>
      </w:r>
      <w:r>
        <w:rPr>
          <w:spacing w:val="-9"/>
        </w:rPr>
        <w:t xml:space="preserve"> </w:t>
      </w:r>
      <w:r>
        <w:t>Providing-Performer</w:t>
      </w:r>
    </w:p>
    <w:p w:rsidR="006A18FD" w:rsidRDefault="002D29FC">
      <w:pPr>
        <w:spacing w:before="111"/>
        <w:ind w:left="152" w:right="281"/>
        <w:rPr>
          <w:rFonts w:ascii="Calibri"/>
          <w:sz w:val="18"/>
        </w:rPr>
      </w:pPr>
      <w:r>
        <w:rPr>
          <w:rFonts w:ascii="Calibri"/>
          <w:sz w:val="18"/>
        </w:rPr>
        <w:t xml:space="preserve">The costs below relate to a Providing-Performer, which is a dentist who holds a health service contract and who also acts as a Performer, delivering dental services themselves. </w:t>
      </w:r>
      <w:r>
        <w:rPr>
          <w:rFonts w:ascii="Calibri"/>
          <w:position w:val="5"/>
          <w:sz w:val="12"/>
        </w:rPr>
        <w:t xml:space="preserve">1  </w:t>
      </w:r>
      <w:r>
        <w:rPr>
          <w:rFonts w:ascii="Calibri"/>
          <w:sz w:val="18"/>
        </w:rPr>
        <w:t xml:space="preserve">In 2015, a survey of dentists carried out by PSSRU in collaboration with the General Dental Council provided information to estimate practice staff overheads and equipment used by dentists working all or some of the time with NHS patients. In total, responses were received from 251 practices with some or all NHS activity. See article in </w:t>
      </w:r>
      <w:r>
        <w:rPr>
          <w:rFonts w:ascii="Calibri"/>
          <w:i/>
          <w:sz w:val="18"/>
        </w:rPr>
        <w:t xml:space="preserve">Unit Costs of Health &amp; Social Care 2017 </w:t>
      </w:r>
      <w:r>
        <w:rPr>
          <w:rFonts w:ascii="Calibri"/>
          <w:sz w:val="18"/>
        </w:rPr>
        <w:t>for more information. The costs below apply only to Performer-Only dentists with registered NHS activity. Dentists who performed only private dentistry have been excluded. Values (except remuneration) have been uprated using the Health Services Inflator.</w:t>
      </w:r>
    </w:p>
    <w:p w:rsidR="006A18FD" w:rsidRDefault="006A18FD">
      <w:pPr>
        <w:spacing w:before="10"/>
        <w:rPr>
          <w:rFonts w:ascii="Calibri"/>
          <w:sz w:val="1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1702"/>
        <w:gridCol w:w="6098"/>
      </w:tblGrid>
      <w:tr w:rsidR="006A18FD" w:rsidTr="00E2663F">
        <w:trPr>
          <w:trHeight w:val="340"/>
          <w:tblHeader/>
        </w:trPr>
        <w:tc>
          <w:tcPr>
            <w:tcW w:w="2376" w:type="dxa"/>
          </w:tcPr>
          <w:p w:rsidR="006A18FD" w:rsidRDefault="002D29FC">
            <w:pPr>
              <w:spacing w:before="1"/>
              <w:ind w:left="105"/>
              <w:rPr>
                <w:rFonts w:ascii="Calibri"/>
                <w:b/>
                <w:sz w:val="18"/>
              </w:rPr>
            </w:pPr>
            <w:r>
              <w:rPr>
                <w:rFonts w:ascii="Calibri"/>
                <w:b/>
                <w:sz w:val="18"/>
              </w:rPr>
              <w:t>Costs and unit estimation</w:t>
            </w:r>
          </w:p>
        </w:tc>
        <w:tc>
          <w:tcPr>
            <w:tcW w:w="1702" w:type="dxa"/>
          </w:tcPr>
          <w:p w:rsidR="006A18FD" w:rsidRDefault="002D29FC">
            <w:pPr>
              <w:spacing w:before="1"/>
              <w:ind w:left="105"/>
              <w:rPr>
                <w:rFonts w:ascii="Calibri"/>
                <w:b/>
                <w:sz w:val="18"/>
              </w:rPr>
            </w:pPr>
            <w:r>
              <w:rPr>
                <w:rFonts w:ascii="Calibri"/>
                <w:b/>
                <w:sz w:val="18"/>
              </w:rPr>
              <w:t>2018/2019 value</w:t>
            </w:r>
          </w:p>
        </w:tc>
        <w:tc>
          <w:tcPr>
            <w:tcW w:w="6097" w:type="dxa"/>
          </w:tcPr>
          <w:p w:rsidR="006A18FD" w:rsidRDefault="002D29FC">
            <w:pPr>
              <w:spacing w:before="1"/>
              <w:ind w:left="102"/>
              <w:rPr>
                <w:rFonts w:ascii="Calibri"/>
                <w:b/>
                <w:sz w:val="18"/>
              </w:rPr>
            </w:pPr>
            <w:r>
              <w:rPr>
                <w:rFonts w:ascii="Calibri"/>
                <w:b/>
                <w:sz w:val="18"/>
              </w:rPr>
              <w:t>Notes</w:t>
            </w:r>
          </w:p>
        </w:tc>
      </w:tr>
      <w:tr w:rsidR="006A18FD">
        <w:trPr>
          <w:trHeight w:val="640"/>
        </w:trPr>
        <w:tc>
          <w:tcPr>
            <w:tcW w:w="2376" w:type="dxa"/>
          </w:tcPr>
          <w:p w:rsidR="006A18FD" w:rsidRDefault="002D29FC">
            <w:pPr>
              <w:spacing w:before="1"/>
              <w:ind w:left="105"/>
              <w:rPr>
                <w:rFonts w:ascii="Calibri"/>
                <w:sz w:val="18"/>
              </w:rPr>
            </w:pPr>
            <w:r>
              <w:rPr>
                <w:rFonts w:ascii="Calibri"/>
                <w:sz w:val="18"/>
              </w:rPr>
              <w:t>A. Net remuneration</w:t>
            </w:r>
          </w:p>
        </w:tc>
        <w:tc>
          <w:tcPr>
            <w:tcW w:w="1702" w:type="dxa"/>
          </w:tcPr>
          <w:p w:rsidR="006A18FD" w:rsidRDefault="002D29FC">
            <w:pPr>
              <w:spacing w:before="1"/>
              <w:ind w:left="105"/>
              <w:rPr>
                <w:rFonts w:ascii="Calibri" w:hAnsi="Calibri"/>
                <w:sz w:val="18"/>
              </w:rPr>
            </w:pPr>
            <w:r>
              <w:rPr>
                <w:rFonts w:ascii="Calibri" w:hAnsi="Calibri"/>
                <w:sz w:val="18"/>
              </w:rPr>
              <w:t>£118,000 per year</w:t>
            </w:r>
          </w:p>
        </w:tc>
        <w:tc>
          <w:tcPr>
            <w:tcW w:w="6097" w:type="dxa"/>
          </w:tcPr>
          <w:p w:rsidR="006A18FD" w:rsidRDefault="002D29FC">
            <w:pPr>
              <w:spacing w:before="1"/>
              <w:ind w:left="102" w:right="188"/>
              <w:rPr>
                <w:rFonts w:ascii="Calibri"/>
                <w:sz w:val="18"/>
              </w:rPr>
            </w:pPr>
            <w:r>
              <w:rPr>
                <w:rFonts w:ascii="Calibri"/>
                <w:sz w:val="18"/>
              </w:rPr>
              <w:t xml:space="preserve">This is the average taxable income of self-employed primary care Providing- Performer dentists in 2017/2018. </w:t>
            </w:r>
            <w:r>
              <w:rPr>
                <w:rFonts w:ascii="Calibri"/>
                <w:position w:val="5"/>
                <w:sz w:val="12"/>
              </w:rPr>
              <w:t xml:space="preserve">2  </w:t>
            </w:r>
            <w:r>
              <w:rPr>
                <w:rFonts w:ascii="Calibri"/>
                <w:sz w:val="18"/>
              </w:rPr>
              <w:t>It has not been possible to agree an inflator</w:t>
            </w:r>
          </w:p>
          <w:p w:rsidR="006A18FD" w:rsidRDefault="002D29FC">
            <w:pPr>
              <w:spacing w:before="1" w:line="199" w:lineRule="exact"/>
              <w:ind w:left="102"/>
              <w:rPr>
                <w:rFonts w:ascii="Calibri"/>
                <w:sz w:val="18"/>
              </w:rPr>
            </w:pPr>
            <w:r>
              <w:rPr>
                <w:rFonts w:ascii="Calibri"/>
                <w:sz w:val="18"/>
              </w:rPr>
              <w:t>to provide estimated net remuneration for 2018/2019.</w:t>
            </w:r>
          </w:p>
        </w:tc>
      </w:tr>
      <w:tr w:rsidR="006A18FD">
        <w:trPr>
          <w:trHeight w:val="4380"/>
        </w:trPr>
        <w:tc>
          <w:tcPr>
            <w:tcW w:w="2376" w:type="dxa"/>
          </w:tcPr>
          <w:p w:rsidR="006A18FD" w:rsidRDefault="002D29FC">
            <w:pPr>
              <w:ind w:left="105" w:right="706"/>
              <w:rPr>
                <w:rFonts w:ascii="Calibri"/>
                <w:sz w:val="18"/>
              </w:rPr>
            </w:pPr>
            <w:r>
              <w:rPr>
                <w:rFonts w:ascii="Calibri"/>
                <w:sz w:val="18"/>
              </w:rPr>
              <w:t>B. Practice expenses: Employee expenses</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ind w:left="105" w:right="233"/>
              <w:rPr>
                <w:rFonts w:ascii="Calibri"/>
                <w:sz w:val="18"/>
              </w:rPr>
            </w:pPr>
            <w:r>
              <w:rPr>
                <w:rFonts w:ascii="Calibri"/>
                <w:sz w:val="18"/>
              </w:rPr>
              <w:t>Office and general business expenses</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12"/>
              <w:rPr>
                <w:rFonts w:ascii="Calibri"/>
                <w:sz w:val="17"/>
              </w:rPr>
            </w:pPr>
          </w:p>
          <w:p w:rsidR="006A18FD" w:rsidRDefault="002D29FC">
            <w:pPr>
              <w:spacing w:line="219" w:lineRule="exact"/>
              <w:ind w:left="105"/>
              <w:rPr>
                <w:rFonts w:ascii="Calibri"/>
                <w:sz w:val="18"/>
              </w:rPr>
            </w:pPr>
            <w:r>
              <w:rPr>
                <w:rFonts w:ascii="Calibri"/>
                <w:sz w:val="18"/>
              </w:rPr>
              <w:t>Premises</w:t>
            </w:r>
          </w:p>
          <w:p w:rsidR="006A18FD" w:rsidRDefault="002D29FC">
            <w:pPr>
              <w:ind w:left="105" w:right="1218"/>
              <w:rPr>
                <w:rFonts w:ascii="Calibri"/>
                <w:sz w:val="18"/>
              </w:rPr>
            </w:pPr>
            <w:r>
              <w:rPr>
                <w:rFonts w:ascii="Calibri"/>
                <w:sz w:val="18"/>
              </w:rPr>
              <w:t>Car and travel Other</w:t>
            </w:r>
          </w:p>
        </w:tc>
        <w:tc>
          <w:tcPr>
            <w:tcW w:w="1702" w:type="dxa"/>
          </w:tcPr>
          <w:p w:rsidR="006A18FD" w:rsidRDefault="006A18FD">
            <w:pPr>
              <w:spacing w:before="12"/>
              <w:rPr>
                <w:rFonts w:ascii="Calibri"/>
                <w:sz w:val="17"/>
              </w:rPr>
            </w:pPr>
          </w:p>
          <w:p w:rsidR="006A18FD" w:rsidRDefault="002D29FC">
            <w:pPr>
              <w:ind w:left="105"/>
              <w:rPr>
                <w:rFonts w:ascii="Calibri" w:hAnsi="Calibri"/>
                <w:sz w:val="18"/>
              </w:rPr>
            </w:pPr>
            <w:r>
              <w:rPr>
                <w:rFonts w:ascii="Calibri" w:hAnsi="Calibri"/>
                <w:sz w:val="18"/>
              </w:rPr>
              <w:t>£57,879 per year</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11"/>
              <w:rPr>
                <w:rFonts w:ascii="Calibri"/>
                <w:sz w:val="17"/>
              </w:rPr>
            </w:pPr>
          </w:p>
          <w:p w:rsidR="006A18FD" w:rsidRDefault="002D29FC">
            <w:pPr>
              <w:ind w:left="105"/>
              <w:rPr>
                <w:rFonts w:ascii="Calibri" w:hAnsi="Calibri"/>
                <w:sz w:val="18"/>
              </w:rPr>
            </w:pPr>
            <w:r>
              <w:rPr>
                <w:rFonts w:ascii="Calibri" w:hAnsi="Calibri"/>
                <w:sz w:val="18"/>
              </w:rPr>
              <w:t>£7,596 per year</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 w:line="219" w:lineRule="exact"/>
              <w:ind w:left="105"/>
              <w:rPr>
                <w:rFonts w:ascii="Calibri" w:hAnsi="Calibri"/>
                <w:sz w:val="18"/>
              </w:rPr>
            </w:pPr>
            <w:r>
              <w:rPr>
                <w:rFonts w:ascii="Calibri" w:hAnsi="Calibri"/>
                <w:sz w:val="18"/>
              </w:rPr>
              <w:t>£7,908 per year</w:t>
            </w:r>
          </w:p>
          <w:p w:rsidR="006A18FD" w:rsidRDefault="002D29FC">
            <w:pPr>
              <w:spacing w:line="219" w:lineRule="exact"/>
              <w:ind w:left="105"/>
              <w:rPr>
                <w:rFonts w:ascii="Calibri" w:hAnsi="Calibri"/>
                <w:sz w:val="18"/>
              </w:rPr>
            </w:pPr>
            <w:r>
              <w:rPr>
                <w:rFonts w:ascii="Calibri" w:hAnsi="Calibri"/>
                <w:sz w:val="18"/>
              </w:rPr>
              <w:t>£1,920 per year</w:t>
            </w:r>
          </w:p>
          <w:p w:rsidR="006A18FD" w:rsidRDefault="002D29FC">
            <w:pPr>
              <w:spacing w:before="1"/>
              <w:ind w:left="105"/>
              <w:rPr>
                <w:rFonts w:ascii="Calibri" w:hAnsi="Calibri"/>
                <w:sz w:val="18"/>
              </w:rPr>
            </w:pPr>
            <w:r>
              <w:rPr>
                <w:rFonts w:ascii="Calibri" w:hAnsi="Calibri"/>
                <w:sz w:val="18"/>
              </w:rPr>
              <w:t>£46,250 per year</w:t>
            </w:r>
          </w:p>
        </w:tc>
        <w:tc>
          <w:tcPr>
            <w:tcW w:w="6097" w:type="dxa"/>
          </w:tcPr>
          <w:p w:rsidR="006A18FD" w:rsidRDefault="006A18FD">
            <w:pPr>
              <w:spacing w:before="12"/>
              <w:rPr>
                <w:rFonts w:ascii="Calibri"/>
                <w:sz w:val="17"/>
              </w:rPr>
            </w:pPr>
          </w:p>
          <w:p w:rsidR="006A18FD" w:rsidRDefault="002D29FC">
            <w:pPr>
              <w:ind w:left="102" w:right="232"/>
              <w:rPr>
                <w:rFonts w:ascii="Calibri" w:hAnsi="Calibri"/>
                <w:sz w:val="18"/>
              </w:rPr>
            </w:pPr>
            <w:r>
              <w:rPr>
                <w:rFonts w:ascii="Calibri" w:hAnsi="Calibri"/>
                <w:sz w:val="18"/>
              </w:rPr>
              <w:t>As salary expenses for Performer-Only dentists are declared as an expense by Providing-Performer dentists,</w:t>
            </w:r>
            <w:r>
              <w:rPr>
                <w:rFonts w:ascii="Calibri" w:hAnsi="Calibri"/>
                <w:position w:val="5"/>
                <w:sz w:val="12"/>
              </w:rPr>
              <w:t xml:space="preserve">2 </w:t>
            </w:r>
            <w:r>
              <w:rPr>
                <w:rFonts w:ascii="Calibri" w:hAnsi="Calibri"/>
                <w:sz w:val="18"/>
              </w:rPr>
              <w:t>to avoid double-counting, employee expenses have been calculated using the PSSRU survey. This found that on average each FTE dentist (carrying out some or all NHS activity) employs 1.43 FTE of a dental nurse, 0.17 FTE of a hygienist/dental therapist, 0.23 FTE of a practice manager (AFC band 6) and 0.50 FTE of ‘other’ staff (AfC band 2, e.g. receptionist, dental technician, cleaner).</w:t>
            </w:r>
          </w:p>
          <w:p w:rsidR="006A18FD" w:rsidRDefault="006A18FD">
            <w:pPr>
              <w:spacing w:before="11"/>
              <w:rPr>
                <w:rFonts w:ascii="Calibri"/>
                <w:sz w:val="17"/>
              </w:rPr>
            </w:pPr>
          </w:p>
          <w:p w:rsidR="006A18FD" w:rsidRDefault="002D29FC">
            <w:pPr>
              <w:spacing w:before="1"/>
              <w:ind w:left="102" w:right="98"/>
              <w:rPr>
                <w:rFonts w:ascii="Calibri"/>
                <w:sz w:val="12"/>
              </w:rPr>
            </w:pPr>
            <w:r>
              <w:rPr>
                <w:rFonts w:ascii="Calibri"/>
                <w:sz w:val="18"/>
              </w:rPr>
              <w:t xml:space="preserve">All office and general business, premises and other expenses including advertising promotion and entertainment are based on expenditure taken from the </w:t>
            </w:r>
            <w:r>
              <w:rPr>
                <w:rFonts w:ascii="Calibri"/>
                <w:i/>
                <w:sz w:val="18"/>
              </w:rPr>
              <w:t xml:space="preserve">Dental Earnings and Expenses </w:t>
            </w:r>
            <w:r>
              <w:rPr>
                <w:rFonts w:ascii="Calibri"/>
                <w:sz w:val="18"/>
              </w:rPr>
              <w:t>report and uprated using the Health Services Inflator.</w:t>
            </w:r>
            <w:r>
              <w:rPr>
                <w:rFonts w:ascii="Calibri"/>
                <w:position w:val="5"/>
                <w:sz w:val="12"/>
              </w:rPr>
              <w:t>2</w:t>
            </w:r>
          </w:p>
          <w:p w:rsidR="006A18FD" w:rsidRDefault="006A18FD">
            <w:pPr>
              <w:rPr>
                <w:rFonts w:ascii="Calibri"/>
                <w:sz w:val="18"/>
              </w:rPr>
            </w:pPr>
          </w:p>
          <w:p w:rsidR="006A18FD" w:rsidRDefault="006A18FD">
            <w:pPr>
              <w:rPr>
                <w:rFonts w:ascii="Calibri"/>
                <w:sz w:val="18"/>
              </w:rPr>
            </w:pPr>
          </w:p>
          <w:p w:rsidR="006A18FD" w:rsidRDefault="002D29FC">
            <w:pPr>
              <w:spacing w:before="1"/>
              <w:ind w:left="102"/>
              <w:rPr>
                <w:rFonts w:ascii="Calibri"/>
                <w:sz w:val="18"/>
              </w:rPr>
            </w:pPr>
            <w:r>
              <w:rPr>
                <w:rFonts w:ascii="Calibri"/>
                <w:sz w:val="18"/>
              </w:rPr>
              <w:t>Includes insurance, repairs, maintenance, rent and utilities.</w:t>
            </w:r>
          </w:p>
          <w:p w:rsidR="006A18FD" w:rsidRDefault="006A18FD">
            <w:pPr>
              <w:spacing w:before="11"/>
              <w:rPr>
                <w:rFonts w:ascii="Calibri"/>
                <w:sz w:val="17"/>
              </w:rPr>
            </w:pPr>
          </w:p>
          <w:p w:rsidR="006A18FD" w:rsidRDefault="002D29FC">
            <w:pPr>
              <w:spacing w:before="1"/>
              <w:ind w:left="102" w:right="553"/>
              <w:rPr>
                <w:rFonts w:ascii="Calibri"/>
                <w:sz w:val="18"/>
              </w:rPr>
            </w:pPr>
            <w:r>
              <w:rPr>
                <w:rFonts w:ascii="Calibri"/>
                <w:sz w:val="18"/>
              </w:rPr>
              <w:t>Includes a variety of expenses, including laboratory costs, materials costs, advertising, promotion and entertainment costs, which have been divided</w:t>
            </w:r>
          </w:p>
          <w:p w:rsidR="006A18FD" w:rsidRDefault="002D29FC">
            <w:pPr>
              <w:spacing w:before="1" w:line="199" w:lineRule="exact"/>
              <w:ind w:left="102"/>
              <w:rPr>
                <w:rFonts w:ascii="Calibri"/>
                <w:sz w:val="12"/>
              </w:rPr>
            </w:pPr>
            <w:r>
              <w:rPr>
                <w:rFonts w:ascii="Calibri"/>
                <w:sz w:val="18"/>
              </w:rPr>
              <w:t>equally between the dental staff (dentists and nurses/hygienists).</w:t>
            </w:r>
            <w:r>
              <w:rPr>
                <w:rFonts w:ascii="Calibri"/>
                <w:position w:val="5"/>
                <w:sz w:val="12"/>
              </w:rPr>
              <w:t>2</w:t>
            </w:r>
          </w:p>
        </w:tc>
      </w:tr>
      <w:tr w:rsidR="006A18FD">
        <w:trPr>
          <w:trHeight w:val="420"/>
        </w:trPr>
        <w:tc>
          <w:tcPr>
            <w:tcW w:w="2376" w:type="dxa"/>
          </w:tcPr>
          <w:p w:rsidR="006A18FD" w:rsidRDefault="002D29FC">
            <w:pPr>
              <w:spacing w:before="1"/>
              <w:ind w:left="105"/>
              <w:rPr>
                <w:rFonts w:ascii="Calibri"/>
                <w:sz w:val="18"/>
              </w:rPr>
            </w:pPr>
            <w:r>
              <w:rPr>
                <w:rFonts w:ascii="Calibri"/>
                <w:sz w:val="18"/>
              </w:rPr>
              <w:t>C. Qualifications</w:t>
            </w:r>
          </w:p>
        </w:tc>
        <w:tc>
          <w:tcPr>
            <w:tcW w:w="1702" w:type="dxa"/>
          </w:tcPr>
          <w:p w:rsidR="006A18FD" w:rsidRDefault="002D29FC">
            <w:pPr>
              <w:spacing w:before="1"/>
              <w:ind w:left="105"/>
              <w:rPr>
                <w:rFonts w:ascii="Calibri"/>
                <w:sz w:val="18"/>
              </w:rPr>
            </w:pPr>
            <w:r>
              <w:rPr>
                <w:rFonts w:ascii="Calibri"/>
                <w:sz w:val="18"/>
              </w:rPr>
              <w:t>No costs available</w:t>
            </w:r>
          </w:p>
        </w:tc>
        <w:tc>
          <w:tcPr>
            <w:tcW w:w="6097" w:type="dxa"/>
            <w:tcBorders>
              <w:bottom w:val="single" w:sz="6" w:space="0" w:color="000000"/>
            </w:tcBorders>
          </w:tcPr>
          <w:p w:rsidR="006A18FD" w:rsidRDefault="002D29FC">
            <w:pPr>
              <w:spacing w:before="1" w:line="219" w:lineRule="exact"/>
              <w:ind w:left="102"/>
              <w:rPr>
                <w:rFonts w:ascii="Calibri"/>
                <w:sz w:val="18"/>
              </w:rPr>
            </w:pPr>
            <w:r>
              <w:rPr>
                <w:rFonts w:ascii="Calibri"/>
                <w:sz w:val="18"/>
              </w:rPr>
              <w:t xml:space="preserve">See </w:t>
            </w:r>
            <w:hyperlink r:id="rId364">
              <w:r>
                <w:rPr>
                  <w:rFonts w:ascii="Calibri"/>
                  <w:sz w:val="18"/>
                  <w:u w:val="single"/>
                </w:rPr>
                <w:t>http://www.gdc-uk.org/Dentalprofessionals/Education/Pages/Dentist-</w:t>
              </w:r>
            </w:hyperlink>
          </w:p>
          <w:p w:rsidR="006A18FD" w:rsidRDefault="00E60AD2">
            <w:pPr>
              <w:spacing w:line="196" w:lineRule="exact"/>
              <w:ind w:left="102"/>
              <w:rPr>
                <w:rFonts w:ascii="Calibri"/>
                <w:sz w:val="18"/>
              </w:rPr>
            </w:pPr>
            <w:hyperlink r:id="rId365">
              <w:r w:rsidR="002D29FC">
                <w:rPr>
                  <w:rFonts w:ascii="Calibri"/>
                  <w:sz w:val="18"/>
                </w:rPr>
                <w:t>qualifications.aspx.</w:t>
              </w:r>
            </w:hyperlink>
          </w:p>
        </w:tc>
      </w:tr>
      <w:tr w:rsidR="006A18FD">
        <w:trPr>
          <w:trHeight w:val="200"/>
        </w:trPr>
        <w:tc>
          <w:tcPr>
            <w:tcW w:w="2376" w:type="dxa"/>
          </w:tcPr>
          <w:p w:rsidR="006A18FD" w:rsidRDefault="002D29FC">
            <w:pPr>
              <w:spacing w:line="195" w:lineRule="exact"/>
              <w:ind w:left="105"/>
              <w:rPr>
                <w:rFonts w:ascii="Calibri"/>
                <w:sz w:val="18"/>
              </w:rPr>
            </w:pPr>
            <w:r>
              <w:rPr>
                <w:rFonts w:ascii="Calibri"/>
                <w:sz w:val="18"/>
              </w:rPr>
              <w:t>D. Ongoing training</w:t>
            </w:r>
          </w:p>
        </w:tc>
        <w:tc>
          <w:tcPr>
            <w:tcW w:w="1702" w:type="dxa"/>
          </w:tcPr>
          <w:p w:rsidR="006A18FD" w:rsidRDefault="002D29FC">
            <w:pPr>
              <w:spacing w:line="195" w:lineRule="exact"/>
              <w:ind w:left="105"/>
              <w:rPr>
                <w:rFonts w:ascii="Calibri"/>
                <w:sz w:val="18"/>
              </w:rPr>
            </w:pPr>
            <w:r>
              <w:rPr>
                <w:rFonts w:ascii="Calibri"/>
                <w:sz w:val="18"/>
              </w:rPr>
              <w:t>No costs available</w:t>
            </w:r>
          </w:p>
        </w:tc>
        <w:tc>
          <w:tcPr>
            <w:tcW w:w="6097" w:type="dxa"/>
            <w:tcBorders>
              <w:top w:val="single" w:sz="6" w:space="0" w:color="000000"/>
              <w:bottom w:val="thinThickMediumGap" w:sz="3" w:space="0" w:color="000000"/>
            </w:tcBorders>
          </w:tcPr>
          <w:p w:rsidR="006A18FD" w:rsidRDefault="002D29FC">
            <w:pPr>
              <w:spacing w:line="195" w:lineRule="exact"/>
              <w:ind w:left="102"/>
              <w:rPr>
                <w:rFonts w:ascii="Calibri"/>
                <w:sz w:val="18"/>
              </w:rPr>
            </w:pPr>
            <w:r>
              <w:rPr>
                <w:rFonts w:ascii="Calibri"/>
                <w:sz w:val="18"/>
              </w:rPr>
              <w:t xml:space="preserve">See </w:t>
            </w:r>
            <w:hyperlink r:id="rId366">
              <w:r>
                <w:rPr>
                  <w:rFonts w:ascii="Calibri"/>
                  <w:sz w:val="18"/>
                </w:rPr>
                <w:t>https://www.gdc-uk.org/professionals/cpd.</w:t>
              </w:r>
            </w:hyperlink>
          </w:p>
        </w:tc>
      </w:tr>
      <w:tr w:rsidR="006A18FD">
        <w:trPr>
          <w:trHeight w:val="860"/>
        </w:trPr>
        <w:tc>
          <w:tcPr>
            <w:tcW w:w="2376" w:type="dxa"/>
          </w:tcPr>
          <w:p w:rsidR="006A18FD" w:rsidRDefault="002D29FC">
            <w:pPr>
              <w:spacing w:line="218" w:lineRule="exact"/>
              <w:ind w:left="105"/>
              <w:rPr>
                <w:rFonts w:ascii="Calibri"/>
                <w:sz w:val="18"/>
              </w:rPr>
            </w:pPr>
            <w:r>
              <w:rPr>
                <w:rFonts w:ascii="Calibri"/>
                <w:sz w:val="18"/>
              </w:rPr>
              <w:t>E. Capital costs</w:t>
            </w:r>
          </w:p>
        </w:tc>
        <w:tc>
          <w:tcPr>
            <w:tcW w:w="1702" w:type="dxa"/>
          </w:tcPr>
          <w:p w:rsidR="006A18FD" w:rsidRDefault="006A18FD">
            <w:pPr>
              <w:rPr>
                <w:rFonts w:ascii="Times New Roman"/>
                <w:sz w:val="16"/>
              </w:rPr>
            </w:pPr>
          </w:p>
        </w:tc>
        <w:tc>
          <w:tcPr>
            <w:tcW w:w="6097" w:type="dxa"/>
            <w:tcBorders>
              <w:top w:val="thickThinMediumGap" w:sz="3" w:space="0" w:color="000000"/>
            </w:tcBorders>
          </w:tcPr>
          <w:p w:rsidR="006A18FD" w:rsidRDefault="002D29FC">
            <w:pPr>
              <w:spacing w:line="218" w:lineRule="exact"/>
              <w:ind w:left="102"/>
              <w:rPr>
                <w:rFonts w:ascii="Calibri"/>
                <w:sz w:val="18"/>
              </w:rPr>
            </w:pPr>
            <w:r>
              <w:rPr>
                <w:rFonts w:ascii="Calibri"/>
                <w:sz w:val="18"/>
              </w:rPr>
              <w:t>Assumed to be included as rent (see above).</w:t>
            </w:r>
          </w:p>
          <w:p w:rsidR="006A18FD" w:rsidRDefault="002D29FC">
            <w:pPr>
              <w:ind w:left="102" w:right="477"/>
              <w:rPr>
                <w:rFonts w:ascii="Calibri"/>
                <w:sz w:val="18"/>
              </w:rPr>
            </w:pPr>
            <w:r>
              <w:rPr>
                <w:rFonts w:ascii="Calibri"/>
                <w:sz w:val="18"/>
              </w:rPr>
              <w:t>Based on the new-build and land requirements of a dentist surgery, but adjusted to reflect shared use of both treatment and non-treatment space,</w:t>
            </w:r>
          </w:p>
          <w:p w:rsidR="006A18FD" w:rsidRDefault="002D29FC">
            <w:pPr>
              <w:spacing w:line="198" w:lineRule="exact"/>
              <w:ind w:left="102"/>
              <w:rPr>
                <w:rFonts w:ascii="Calibri" w:hAnsi="Calibri"/>
                <w:sz w:val="12"/>
              </w:rPr>
            </w:pPr>
            <w:r>
              <w:rPr>
                <w:rFonts w:ascii="Calibri" w:hAnsi="Calibri"/>
                <w:sz w:val="18"/>
              </w:rPr>
              <w:t>annuitised capital costs would be £8,617 per annum</w:t>
            </w:r>
            <w:r>
              <w:rPr>
                <w:rFonts w:ascii="Calibri" w:hAnsi="Calibri"/>
                <w:position w:val="5"/>
                <w:sz w:val="12"/>
              </w:rPr>
              <w:t>.3,4</w:t>
            </w:r>
          </w:p>
        </w:tc>
      </w:tr>
      <w:tr w:rsidR="006A18FD">
        <w:trPr>
          <w:trHeight w:val="880"/>
        </w:trPr>
        <w:tc>
          <w:tcPr>
            <w:tcW w:w="2376" w:type="dxa"/>
          </w:tcPr>
          <w:p w:rsidR="006A18FD" w:rsidRDefault="002D29FC">
            <w:pPr>
              <w:spacing w:before="1"/>
              <w:ind w:left="105"/>
              <w:rPr>
                <w:rFonts w:ascii="Calibri"/>
                <w:sz w:val="18"/>
              </w:rPr>
            </w:pPr>
            <w:r>
              <w:rPr>
                <w:rFonts w:ascii="Calibri"/>
                <w:sz w:val="18"/>
              </w:rPr>
              <w:t>F.  Equipment costs</w:t>
            </w:r>
          </w:p>
        </w:tc>
        <w:tc>
          <w:tcPr>
            <w:tcW w:w="1702" w:type="dxa"/>
          </w:tcPr>
          <w:p w:rsidR="006A18FD" w:rsidRDefault="002D29FC">
            <w:pPr>
              <w:spacing w:before="1"/>
              <w:ind w:left="105"/>
              <w:rPr>
                <w:rFonts w:ascii="Calibri" w:hAnsi="Calibri"/>
                <w:sz w:val="18"/>
              </w:rPr>
            </w:pPr>
            <w:r>
              <w:rPr>
                <w:rFonts w:ascii="Calibri" w:hAnsi="Calibri"/>
                <w:sz w:val="18"/>
              </w:rPr>
              <w:t>£7,262 per year</w:t>
            </w:r>
          </w:p>
        </w:tc>
        <w:tc>
          <w:tcPr>
            <w:tcW w:w="6097" w:type="dxa"/>
          </w:tcPr>
          <w:p w:rsidR="006A18FD" w:rsidRDefault="002D29FC">
            <w:pPr>
              <w:spacing w:before="1"/>
              <w:ind w:left="102" w:right="98"/>
              <w:rPr>
                <w:rFonts w:ascii="Calibri" w:hAnsi="Calibri"/>
                <w:sz w:val="18"/>
              </w:rPr>
            </w:pPr>
            <w:r>
              <w:rPr>
                <w:rFonts w:ascii="Calibri" w:hAnsi="Calibri"/>
                <w:sz w:val="18"/>
              </w:rPr>
              <w:t>Total equipment costs (e.g. dentist chairs, cabinetry and all dental technology) per practice with all or some NHS activity was valued at £60,417 per FTE dentist. Costs have been annuitised to reflect that ten years was the most frequently-</w:t>
            </w:r>
          </w:p>
          <w:p w:rsidR="006A18FD" w:rsidRDefault="002D29FC">
            <w:pPr>
              <w:spacing w:before="1" w:line="199" w:lineRule="exact"/>
              <w:ind w:left="102"/>
              <w:rPr>
                <w:rFonts w:ascii="Calibri"/>
                <w:sz w:val="18"/>
              </w:rPr>
            </w:pPr>
            <w:r>
              <w:rPr>
                <w:rFonts w:ascii="Calibri"/>
                <w:sz w:val="18"/>
              </w:rPr>
              <w:t>cited replacement time.</w:t>
            </w:r>
          </w:p>
        </w:tc>
      </w:tr>
      <w:tr w:rsidR="006A18FD">
        <w:trPr>
          <w:trHeight w:val="860"/>
        </w:trPr>
        <w:tc>
          <w:tcPr>
            <w:tcW w:w="2376" w:type="dxa"/>
          </w:tcPr>
          <w:p w:rsidR="006A18FD" w:rsidRDefault="002D29FC">
            <w:pPr>
              <w:spacing w:line="219" w:lineRule="exact"/>
              <w:ind w:left="105"/>
              <w:rPr>
                <w:rFonts w:ascii="Calibri"/>
                <w:sz w:val="18"/>
              </w:rPr>
            </w:pPr>
            <w:r>
              <w:rPr>
                <w:rFonts w:ascii="Calibri"/>
                <w:sz w:val="18"/>
              </w:rPr>
              <w:t>Working time</w:t>
            </w:r>
          </w:p>
        </w:tc>
        <w:tc>
          <w:tcPr>
            <w:tcW w:w="1702" w:type="dxa"/>
          </w:tcPr>
          <w:p w:rsidR="006A18FD" w:rsidRDefault="002D29FC">
            <w:pPr>
              <w:spacing w:line="219" w:lineRule="exact"/>
              <w:ind w:left="105"/>
              <w:rPr>
                <w:rFonts w:ascii="Calibri"/>
                <w:sz w:val="18"/>
              </w:rPr>
            </w:pPr>
            <w:r>
              <w:rPr>
                <w:rFonts w:ascii="Calibri"/>
                <w:sz w:val="18"/>
              </w:rPr>
              <w:t>43 weeks per year</w:t>
            </w:r>
          </w:p>
          <w:p w:rsidR="006A18FD" w:rsidRDefault="002D29FC">
            <w:pPr>
              <w:spacing w:before="1"/>
              <w:ind w:left="105" w:right="502"/>
              <w:rPr>
                <w:rFonts w:ascii="Calibri"/>
                <w:sz w:val="18"/>
              </w:rPr>
            </w:pPr>
            <w:r>
              <w:rPr>
                <w:rFonts w:ascii="Calibri"/>
                <w:sz w:val="18"/>
              </w:rPr>
              <w:t>41.3 hours per week.</w:t>
            </w:r>
          </w:p>
        </w:tc>
        <w:tc>
          <w:tcPr>
            <w:tcW w:w="6097" w:type="dxa"/>
          </w:tcPr>
          <w:p w:rsidR="006A18FD" w:rsidRDefault="002D29FC">
            <w:pPr>
              <w:ind w:left="102" w:right="188"/>
              <w:rPr>
                <w:rFonts w:ascii="Calibri"/>
                <w:sz w:val="18"/>
              </w:rPr>
            </w:pPr>
            <w:r>
              <w:rPr>
                <w:rFonts w:ascii="Calibri"/>
                <w:sz w:val="18"/>
              </w:rPr>
              <w:t>The average total number of weekly hours worked by Providing-Performer dentists in 2017/2018 was 41.3, with 25.5 hours devoted to NHS work. On average dentists took 4.9 days of sickness leave and 4.4 weeks annual leave.</w:t>
            </w:r>
          </w:p>
          <w:p w:rsidR="006A18FD" w:rsidRDefault="002D29FC">
            <w:pPr>
              <w:spacing w:before="2" w:line="199" w:lineRule="exact"/>
              <w:ind w:left="102"/>
              <w:rPr>
                <w:rFonts w:ascii="Calibri"/>
                <w:sz w:val="12"/>
              </w:rPr>
            </w:pPr>
            <w:r>
              <w:rPr>
                <w:rFonts w:ascii="Calibri"/>
                <w:sz w:val="18"/>
              </w:rPr>
              <w:t>Unit costs are based on 1,777 hours.</w:t>
            </w:r>
            <w:r>
              <w:rPr>
                <w:rFonts w:ascii="Calibri"/>
                <w:position w:val="5"/>
                <w:sz w:val="12"/>
              </w:rPr>
              <w:t>4</w:t>
            </w:r>
          </w:p>
        </w:tc>
      </w:tr>
      <w:tr w:rsidR="006A18FD">
        <w:trPr>
          <w:trHeight w:val="640"/>
        </w:trPr>
        <w:tc>
          <w:tcPr>
            <w:tcW w:w="2376" w:type="dxa"/>
          </w:tcPr>
          <w:p w:rsidR="006A18FD" w:rsidRDefault="002D29FC">
            <w:pPr>
              <w:spacing w:before="1"/>
              <w:ind w:left="105" w:right="233"/>
              <w:rPr>
                <w:rFonts w:ascii="Calibri"/>
                <w:sz w:val="18"/>
              </w:rPr>
            </w:pPr>
            <w:r>
              <w:rPr>
                <w:rFonts w:ascii="Calibri"/>
                <w:sz w:val="18"/>
              </w:rPr>
              <w:t>Ratio of direct to indirect time:</w:t>
            </w:r>
          </w:p>
          <w:p w:rsidR="006A18FD" w:rsidRDefault="002D29FC">
            <w:pPr>
              <w:spacing w:before="1" w:line="199" w:lineRule="exact"/>
              <w:ind w:left="105"/>
              <w:rPr>
                <w:rFonts w:ascii="Calibri"/>
                <w:sz w:val="18"/>
              </w:rPr>
            </w:pPr>
            <w:r>
              <w:rPr>
                <w:rFonts w:ascii="Calibri"/>
                <w:sz w:val="18"/>
              </w:rPr>
              <w:t>Clinical time</w:t>
            </w:r>
          </w:p>
        </w:tc>
        <w:tc>
          <w:tcPr>
            <w:tcW w:w="1702" w:type="dxa"/>
          </w:tcPr>
          <w:p w:rsidR="006A18FD" w:rsidRDefault="002D29FC">
            <w:pPr>
              <w:spacing w:before="1"/>
              <w:ind w:left="105"/>
              <w:rPr>
                <w:rFonts w:ascii="Calibri"/>
                <w:sz w:val="18"/>
              </w:rPr>
            </w:pPr>
            <w:r>
              <w:rPr>
                <w:rFonts w:ascii="Calibri"/>
                <w:sz w:val="18"/>
              </w:rPr>
              <w:t>1:0.41</w:t>
            </w:r>
          </w:p>
        </w:tc>
        <w:tc>
          <w:tcPr>
            <w:tcW w:w="6097" w:type="dxa"/>
          </w:tcPr>
          <w:p w:rsidR="006A18FD" w:rsidRDefault="002D29FC">
            <w:pPr>
              <w:spacing w:before="1"/>
              <w:ind w:left="102" w:right="256"/>
              <w:rPr>
                <w:rFonts w:ascii="Calibri"/>
                <w:sz w:val="18"/>
              </w:rPr>
            </w:pPr>
            <w:r>
              <w:rPr>
                <w:rFonts w:ascii="Calibri"/>
                <w:sz w:val="18"/>
              </w:rPr>
              <w:t xml:space="preserve">Based on information taken from the </w:t>
            </w:r>
            <w:r>
              <w:rPr>
                <w:rFonts w:ascii="Calibri"/>
                <w:i/>
                <w:sz w:val="18"/>
              </w:rPr>
              <w:t>Dental working hours survey</w:t>
            </w:r>
            <w:r>
              <w:rPr>
                <w:rFonts w:ascii="Calibri"/>
                <w:sz w:val="18"/>
              </w:rPr>
              <w:t>,</w:t>
            </w:r>
            <w:r>
              <w:rPr>
                <w:rFonts w:ascii="Calibri"/>
                <w:position w:val="5"/>
                <w:sz w:val="12"/>
              </w:rPr>
              <w:t xml:space="preserve">4 </w:t>
            </w:r>
            <w:r>
              <w:rPr>
                <w:rFonts w:ascii="Calibri"/>
                <w:sz w:val="18"/>
              </w:rPr>
              <w:t>Providing- Performer dentists spent 70.7 per cent of their working time on clinical</w:t>
            </w:r>
          </w:p>
          <w:p w:rsidR="006A18FD" w:rsidRDefault="002D29FC">
            <w:pPr>
              <w:spacing w:before="1" w:line="199" w:lineRule="exact"/>
              <w:ind w:left="102"/>
              <w:rPr>
                <w:rFonts w:ascii="Calibri"/>
                <w:sz w:val="18"/>
              </w:rPr>
            </w:pPr>
            <w:r>
              <w:rPr>
                <w:rFonts w:ascii="Calibri"/>
                <w:sz w:val="18"/>
              </w:rPr>
              <w:t>activities.</w:t>
            </w:r>
          </w:p>
        </w:tc>
      </w:tr>
      <w:tr w:rsidR="006A18FD">
        <w:trPr>
          <w:trHeight w:val="340"/>
        </w:trPr>
        <w:tc>
          <w:tcPr>
            <w:tcW w:w="10176" w:type="dxa"/>
            <w:gridSpan w:val="3"/>
          </w:tcPr>
          <w:p w:rsidR="006A18FD" w:rsidRDefault="002D29FC">
            <w:pPr>
              <w:spacing w:before="1"/>
              <w:ind w:left="105"/>
              <w:rPr>
                <w:rFonts w:ascii="Calibri"/>
                <w:b/>
                <w:sz w:val="18"/>
              </w:rPr>
            </w:pPr>
            <w:r>
              <w:rPr>
                <w:rFonts w:ascii="Calibri"/>
                <w:b/>
                <w:sz w:val="18"/>
              </w:rPr>
              <w:t>Unit costs available 2018/2019</w:t>
            </w:r>
          </w:p>
        </w:tc>
      </w:tr>
      <w:tr w:rsidR="006A18FD">
        <w:trPr>
          <w:trHeight w:val="200"/>
        </w:trPr>
        <w:tc>
          <w:tcPr>
            <w:tcW w:w="10176" w:type="dxa"/>
            <w:gridSpan w:val="3"/>
          </w:tcPr>
          <w:p w:rsidR="006A18FD" w:rsidRDefault="002D29FC">
            <w:pPr>
              <w:spacing w:line="198" w:lineRule="exact"/>
              <w:ind w:left="105"/>
              <w:rPr>
                <w:rFonts w:ascii="Calibri" w:hAnsi="Calibri"/>
                <w:sz w:val="12"/>
              </w:rPr>
            </w:pPr>
            <w:r>
              <w:rPr>
                <w:rFonts w:ascii="Calibri" w:hAnsi="Calibri"/>
                <w:position w:val="2"/>
                <w:sz w:val="18"/>
              </w:rPr>
              <w:t>£139 per hour; £197 per hour of patient contact; £141 per hour (with 29 kgCO</w:t>
            </w:r>
            <w:r>
              <w:rPr>
                <w:rFonts w:ascii="Calibri" w:hAnsi="Calibri"/>
                <w:sz w:val="12"/>
              </w:rPr>
              <w:t>2</w:t>
            </w:r>
            <w:r>
              <w:rPr>
                <w:rFonts w:ascii="Calibri" w:hAnsi="Calibri"/>
                <w:position w:val="2"/>
                <w:sz w:val="18"/>
              </w:rPr>
              <w:t>e)</w:t>
            </w:r>
            <w:r>
              <w:rPr>
                <w:rFonts w:ascii="Calibri" w:hAnsi="Calibri"/>
                <w:position w:val="7"/>
                <w:sz w:val="12"/>
              </w:rPr>
              <w:t>5</w:t>
            </w:r>
            <w:r>
              <w:rPr>
                <w:rFonts w:ascii="Calibri" w:hAnsi="Calibri"/>
                <w:position w:val="2"/>
                <w:sz w:val="18"/>
              </w:rPr>
              <w:t>; £200 per hour of patient contact (with 42 kgCO</w:t>
            </w:r>
            <w:r>
              <w:rPr>
                <w:rFonts w:ascii="Calibri" w:hAnsi="Calibri"/>
                <w:sz w:val="12"/>
              </w:rPr>
              <w:t>2</w:t>
            </w:r>
            <w:r>
              <w:rPr>
                <w:rFonts w:ascii="Calibri" w:hAnsi="Calibri"/>
                <w:position w:val="2"/>
                <w:sz w:val="18"/>
              </w:rPr>
              <w:t>e).</w:t>
            </w:r>
            <w:r>
              <w:rPr>
                <w:rFonts w:ascii="Calibri" w:hAnsi="Calibri"/>
                <w:position w:val="7"/>
                <w:sz w:val="12"/>
              </w:rPr>
              <w:t>5</w:t>
            </w:r>
          </w:p>
        </w:tc>
      </w:tr>
    </w:tbl>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6"/>
        <w:rPr>
          <w:rFonts w:ascii="Calibri"/>
          <w:sz w:val="19"/>
        </w:rPr>
      </w:pPr>
    </w:p>
    <w:p w:rsidR="006A18FD" w:rsidRDefault="002D29FC">
      <w:pPr>
        <w:ind w:left="436" w:right="281" w:hanging="284"/>
        <w:rPr>
          <w:rFonts w:ascii="Calibri"/>
          <w:sz w:val="16"/>
        </w:rPr>
      </w:pPr>
      <w:r>
        <w:rPr>
          <w:rFonts w:ascii="Calibri"/>
          <w:position w:val="5"/>
          <w:sz w:val="10"/>
        </w:rPr>
        <w:t xml:space="preserve">1 </w:t>
      </w:r>
      <w:r>
        <w:rPr>
          <w:rFonts w:ascii="Calibri"/>
          <w:sz w:val="16"/>
        </w:rPr>
        <w:t xml:space="preserve">NHS Digital (2019) </w:t>
      </w:r>
      <w:r>
        <w:rPr>
          <w:rFonts w:ascii="Calibri"/>
          <w:i/>
          <w:sz w:val="16"/>
        </w:rPr>
        <w:t xml:space="preserve">A guide to NHS dental publications, </w:t>
      </w:r>
      <w:r>
        <w:rPr>
          <w:rFonts w:ascii="Calibri"/>
          <w:sz w:val="16"/>
        </w:rPr>
        <w:t xml:space="preserve">NHS Digital, Leeds. </w:t>
      </w:r>
      <w:hyperlink r:id="rId367">
        <w:r>
          <w:rPr>
            <w:rFonts w:ascii="Calibri"/>
            <w:sz w:val="16"/>
            <w:u w:val="single"/>
          </w:rPr>
          <w:t>https://files.digital.nhs.uk/AD/73DD0A/nhs-dent-stat-eng-18-19-anx4-gui.pdf</w:t>
        </w:r>
      </w:hyperlink>
      <w:r>
        <w:rPr>
          <w:rFonts w:ascii="Calibri"/>
          <w:sz w:val="16"/>
        </w:rPr>
        <w:t xml:space="preserve"> [accessed 25 September 2019).</w:t>
      </w:r>
    </w:p>
    <w:p w:rsidR="006A18FD" w:rsidRDefault="002D29FC">
      <w:pPr>
        <w:ind w:left="436" w:right="858" w:hanging="284"/>
        <w:rPr>
          <w:rFonts w:ascii="Calibri"/>
          <w:sz w:val="16"/>
        </w:rPr>
      </w:pPr>
      <w:r>
        <w:rPr>
          <w:rFonts w:ascii="Calibri"/>
          <w:position w:val="5"/>
          <w:sz w:val="10"/>
        </w:rPr>
        <w:t xml:space="preserve">2 </w:t>
      </w:r>
      <w:r>
        <w:rPr>
          <w:rFonts w:ascii="Calibri"/>
          <w:sz w:val="16"/>
        </w:rPr>
        <w:t xml:space="preserve">NHS Digital (2019) </w:t>
      </w:r>
      <w:r>
        <w:rPr>
          <w:rFonts w:ascii="Calibri"/>
          <w:i/>
          <w:sz w:val="16"/>
        </w:rPr>
        <w:t>Dental earnings and expenses estimates, England and Wales, Time Series</w:t>
      </w:r>
      <w:r>
        <w:rPr>
          <w:rFonts w:ascii="Calibri"/>
          <w:sz w:val="16"/>
        </w:rPr>
        <w:t>, NHS Digital, Leeds. https://digital.nhs.uk/data-and- information/publications/statistical/dental-earnings-and-expenses-estimates/2017-18 [accessed 18 September 2019].</w:t>
      </w:r>
    </w:p>
    <w:p w:rsidR="006A18FD" w:rsidRDefault="002D29FC">
      <w:pPr>
        <w:spacing w:before="1" w:line="194" w:lineRule="exact"/>
        <w:ind w:left="152"/>
        <w:rPr>
          <w:rFonts w:ascii="Calibri"/>
          <w:sz w:val="16"/>
        </w:rPr>
      </w:pPr>
      <w:r>
        <w:rPr>
          <w:rFonts w:ascii="Calibri"/>
          <w:position w:val="5"/>
          <w:sz w:val="10"/>
        </w:rPr>
        <w:t xml:space="preserve">3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341" w:hanging="284"/>
        <w:rPr>
          <w:rFonts w:ascii="Calibri"/>
          <w:sz w:val="16"/>
        </w:rPr>
      </w:pPr>
      <w:r>
        <w:rPr>
          <w:rFonts w:ascii="Calibri"/>
          <w:position w:val="5"/>
          <w:sz w:val="10"/>
        </w:rPr>
        <w:t xml:space="preserve">4 </w:t>
      </w:r>
      <w:r>
        <w:rPr>
          <w:rFonts w:ascii="Calibri"/>
          <w:sz w:val="16"/>
        </w:rPr>
        <w:t xml:space="preserve">NHS Digital (2018) </w:t>
      </w:r>
      <w:r>
        <w:rPr>
          <w:rFonts w:ascii="Calibri"/>
          <w:i/>
          <w:sz w:val="16"/>
        </w:rPr>
        <w:t xml:space="preserve">Dental working hours: Working Patterns, Motivation and Morale 2016/17 and 2017/18, </w:t>
      </w:r>
      <w:r>
        <w:rPr>
          <w:rFonts w:ascii="Calibri"/>
          <w:sz w:val="16"/>
        </w:rPr>
        <w:t xml:space="preserve">NHS Digital, Leeds. </w:t>
      </w:r>
      <w:hyperlink r:id="rId368">
        <w:r>
          <w:rPr>
            <w:rFonts w:ascii="Calibri"/>
            <w:sz w:val="16"/>
            <w:u w:val="single"/>
          </w:rPr>
          <w:t>https://files.digital.nhs.uk/D5/AB5837/Dental-Working-Hours-2016-17-and-2017-18-Working-Patterns-Motivation-and-Morale-Report.pdf</w:t>
        </w:r>
        <w:r>
          <w:rPr>
            <w:rFonts w:ascii="Calibri"/>
            <w:sz w:val="16"/>
          </w:rPr>
          <w:t xml:space="preserve"> </w:t>
        </w:r>
      </w:hyperlink>
      <w:r>
        <w:rPr>
          <w:rFonts w:ascii="Calibri"/>
          <w:sz w:val="16"/>
        </w:rPr>
        <w:t>[accessed 25 September 2018]. NB. no statistics available for 2018-19 at the time of producing this report.</w:t>
      </w:r>
    </w:p>
    <w:p w:rsidR="006A18FD" w:rsidRDefault="002D29FC">
      <w:pPr>
        <w:spacing w:line="194" w:lineRule="exact"/>
        <w:ind w:left="152"/>
        <w:rPr>
          <w:rFonts w:ascii="Calibri"/>
          <w:sz w:val="16"/>
        </w:rPr>
      </w:pPr>
      <w:r>
        <w:rPr>
          <w:rFonts w:ascii="Calibri"/>
          <w:position w:val="5"/>
          <w:sz w:val="10"/>
        </w:rPr>
        <w:t xml:space="preserve">5 </w:t>
      </w:r>
      <w:r>
        <w:rPr>
          <w:rFonts w:ascii="Calibri"/>
          <w:sz w:val="16"/>
        </w:rPr>
        <w:t>Costs provided by Richard Lomax, Sustainable Development Unit.</w:t>
      </w:r>
    </w:p>
    <w:p w:rsidR="006A18FD" w:rsidRDefault="006A18FD">
      <w:pPr>
        <w:spacing w:line="194" w:lineRule="exact"/>
        <w:rPr>
          <w:rFonts w:ascii="Calibri"/>
          <w:sz w:val="16"/>
        </w:rPr>
        <w:sectPr w:rsidR="006A18FD">
          <w:pgSz w:w="11910" w:h="16840"/>
          <w:pgMar w:top="980" w:right="480" w:bottom="280" w:left="980" w:header="751"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0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08" name="Line 6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FB5A96" id="Group 6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FkYRkF/AgAAfwUA&#10;AA4AAAAAAAAAAAAAAAAALgIAAGRycy9lMm9Eb2MueG1sUEsBAi0AFAAGAAgAAAAhAC135FzaAAAA&#10;BAEAAA8AAAAAAAAAAAAAAAAA2QQAAGRycy9kb3ducmV2LnhtbFBLBQYAAAAABAAEAPMAAADgBQAA&#10;AAA=&#10;">
                <v:line id="Line 6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w10:anchorlock/>
              </v:group>
            </w:pict>
          </mc:Fallback>
        </mc:AlternateContent>
      </w:r>
    </w:p>
    <w:p w:rsidR="006A18FD" w:rsidRDefault="002D29FC" w:rsidP="008E3FA8">
      <w:pPr>
        <w:pStyle w:val="Heading2"/>
        <w:numPr>
          <w:ilvl w:val="1"/>
          <w:numId w:val="37"/>
        </w:numPr>
        <w:ind w:left="851" w:hanging="851"/>
      </w:pPr>
      <w:r>
        <w:t>NHS dental</w:t>
      </w:r>
      <w:r>
        <w:rPr>
          <w:spacing w:val="-9"/>
        </w:rPr>
        <w:t xml:space="preserve"> </w:t>
      </w:r>
      <w:r>
        <w:t>charges</w:t>
      </w:r>
    </w:p>
    <w:p w:rsidR="006A18FD" w:rsidRDefault="002D29FC">
      <w:pPr>
        <w:spacing w:before="174" w:line="276" w:lineRule="auto"/>
        <w:ind w:left="140"/>
        <w:rPr>
          <w:rFonts w:ascii="Calibri"/>
          <w:sz w:val="20"/>
        </w:rPr>
      </w:pPr>
      <w:r>
        <w:rPr>
          <w:rFonts w:ascii="Calibri"/>
          <w:sz w:val="20"/>
        </w:rPr>
        <w:t>Paying adults are charged according to the treatment band. The table below shows the NHS dental charges applicable to paying adults from 1 April 2019, by treatment band.</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419"/>
        <w:gridCol w:w="6236"/>
      </w:tblGrid>
      <w:tr w:rsidR="006A18FD" w:rsidTr="00E2663F">
        <w:trPr>
          <w:trHeight w:val="480"/>
          <w:tblHeader/>
        </w:trPr>
        <w:tc>
          <w:tcPr>
            <w:tcW w:w="1980" w:type="dxa"/>
          </w:tcPr>
          <w:p w:rsidR="006A18FD" w:rsidRDefault="002D29FC">
            <w:pPr>
              <w:spacing w:before="1"/>
              <w:ind w:left="103"/>
              <w:rPr>
                <w:rFonts w:ascii="Calibri"/>
                <w:b/>
                <w:sz w:val="20"/>
              </w:rPr>
            </w:pPr>
            <w:r>
              <w:rPr>
                <w:rFonts w:ascii="Calibri"/>
                <w:b/>
                <w:sz w:val="20"/>
              </w:rPr>
              <w:t>Treatment Band</w:t>
            </w:r>
          </w:p>
        </w:tc>
        <w:tc>
          <w:tcPr>
            <w:tcW w:w="1419" w:type="dxa"/>
          </w:tcPr>
          <w:p w:rsidR="006A18FD" w:rsidRDefault="002D29FC">
            <w:pPr>
              <w:spacing w:before="1" w:line="243" w:lineRule="exact"/>
              <w:ind w:left="103"/>
              <w:rPr>
                <w:rFonts w:ascii="Calibri"/>
                <w:b/>
                <w:sz w:val="20"/>
              </w:rPr>
            </w:pPr>
            <w:r>
              <w:rPr>
                <w:rFonts w:ascii="Calibri"/>
                <w:b/>
                <w:sz w:val="20"/>
              </w:rPr>
              <w:t>Charges from</w:t>
            </w:r>
          </w:p>
          <w:p w:rsidR="006A18FD" w:rsidRDefault="002D29FC">
            <w:pPr>
              <w:spacing w:line="222" w:lineRule="exact"/>
              <w:ind w:left="103"/>
              <w:rPr>
                <w:rFonts w:ascii="Calibri"/>
                <w:b/>
                <w:sz w:val="20"/>
              </w:rPr>
            </w:pPr>
            <w:r>
              <w:rPr>
                <w:rFonts w:ascii="Calibri"/>
                <w:b/>
                <w:sz w:val="20"/>
              </w:rPr>
              <w:t>1 April 2019</w:t>
            </w:r>
          </w:p>
        </w:tc>
        <w:tc>
          <w:tcPr>
            <w:tcW w:w="6236" w:type="dxa"/>
          </w:tcPr>
          <w:p w:rsidR="006A18FD" w:rsidRDefault="006A18FD">
            <w:pPr>
              <w:rPr>
                <w:rFonts w:ascii="Times New Roman"/>
                <w:sz w:val="20"/>
              </w:rPr>
            </w:pPr>
          </w:p>
        </w:tc>
      </w:tr>
      <w:tr w:rsidR="006A18FD">
        <w:trPr>
          <w:trHeight w:val="480"/>
        </w:trPr>
        <w:tc>
          <w:tcPr>
            <w:tcW w:w="1980" w:type="dxa"/>
          </w:tcPr>
          <w:p w:rsidR="006A18FD" w:rsidRDefault="002D29FC">
            <w:pPr>
              <w:spacing w:before="1" w:line="240" w:lineRule="atLeast"/>
              <w:ind w:left="103" w:right="383"/>
              <w:rPr>
                <w:rFonts w:ascii="Calibri"/>
                <w:sz w:val="20"/>
              </w:rPr>
            </w:pPr>
            <w:r>
              <w:rPr>
                <w:rFonts w:ascii="Calibri"/>
                <w:sz w:val="20"/>
              </w:rPr>
              <w:t>Emergency dental treatment</w:t>
            </w:r>
          </w:p>
        </w:tc>
        <w:tc>
          <w:tcPr>
            <w:tcW w:w="1419" w:type="dxa"/>
          </w:tcPr>
          <w:p w:rsidR="006A18FD" w:rsidRDefault="002D29FC">
            <w:pPr>
              <w:spacing w:before="1"/>
              <w:ind w:left="424"/>
              <w:rPr>
                <w:rFonts w:ascii="Calibri" w:hAnsi="Calibri"/>
                <w:sz w:val="20"/>
              </w:rPr>
            </w:pPr>
            <w:r>
              <w:rPr>
                <w:rFonts w:ascii="Calibri" w:hAnsi="Calibri"/>
                <w:sz w:val="20"/>
              </w:rPr>
              <w:t>£21.60</w:t>
            </w:r>
          </w:p>
        </w:tc>
        <w:tc>
          <w:tcPr>
            <w:tcW w:w="6236" w:type="dxa"/>
          </w:tcPr>
          <w:p w:rsidR="006A18FD" w:rsidRDefault="002D29FC">
            <w:pPr>
              <w:spacing w:before="1" w:line="240" w:lineRule="atLeast"/>
              <w:ind w:left="103"/>
              <w:rPr>
                <w:rFonts w:ascii="Calibri"/>
                <w:sz w:val="20"/>
              </w:rPr>
            </w:pPr>
            <w:r>
              <w:rPr>
                <w:rFonts w:ascii="Calibri"/>
                <w:sz w:val="20"/>
              </w:rPr>
              <w:t>This covers emergency care in a primary care NHS dental practice such as pain relief or a temporary filling.</w:t>
            </w:r>
          </w:p>
        </w:tc>
      </w:tr>
      <w:tr w:rsidR="006A18FD">
        <w:trPr>
          <w:trHeight w:val="719"/>
        </w:trPr>
        <w:tc>
          <w:tcPr>
            <w:tcW w:w="1980" w:type="dxa"/>
          </w:tcPr>
          <w:p w:rsidR="006A18FD" w:rsidRDefault="002D29FC">
            <w:pPr>
              <w:ind w:left="103"/>
              <w:rPr>
                <w:rFonts w:ascii="Calibri"/>
                <w:sz w:val="20"/>
              </w:rPr>
            </w:pPr>
            <w:r>
              <w:rPr>
                <w:rFonts w:ascii="Calibri"/>
                <w:sz w:val="20"/>
              </w:rPr>
              <w:t>Band 1</w:t>
            </w:r>
          </w:p>
        </w:tc>
        <w:tc>
          <w:tcPr>
            <w:tcW w:w="1419" w:type="dxa"/>
          </w:tcPr>
          <w:p w:rsidR="006A18FD" w:rsidRDefault="002D29FC">
            <w:pPr>
              <w:ind w:left="424"/>
              <w:rPr>
                <w:rFonts w:ascii="Calibri" w:hAnsi="Calibri"/>
                <w:sz w:val="20"/>
              </w:rPr>
            </w:pPr>
            <w:r>
              <w:rPr>
                <w:rFonts w:ascii="Calibri" w:hAnsi="Calibri"/>
                <w:sz w:val="20"/>
              </w:rPr>
              <w:t>£21.60</w:t>
            </w:r>
          </w:p>
        </w:tc>
        <w:tc>
          <w:tcPr>
            <w:tcW w:w="6236" w:type="dxa"/>
          </w:tcPr>
          <w:p w:rsidR="006A18FD" w:rsidRDefault="002D29FC">
            <w:pPr>
              <w:ind w:left="103"/>
              <w:rPr>
                <w:rFonts w:ascii="Calibri"/>
                <w:sz w:val="20"/>
              </w:rPr>
            </w:pPr>
            <w:r>
              <w:rPr>
                <w:rFonts w:ascii="Calibri"/>
                <w:sz w:val="20"/>
              </w:rPr>
              <w:t>Examination, diagnosis (including x-rays), advice on how to prevent future problems, a scale and polish if needed, and application of fluoride varnish</w:t>
            </w:r>
          </w:p>
          <w:p w:rsidR="006A18FD" w:rsidRDefault="002D29FC">
            <w:pPr>
              <w:spacing w:line="221" w:lineRule="exact"/>
              <w:ind w:left="103"/>
              <w:rPr>
                <w:rFonts w:ascii="Calibri"/>
                <w:sz w:val="20"/>
              </w:rPr>
            </w:pPr>
            <w:r>
              <w:rPr>
                <w:rFonts w:ascii="Calibri"/>
                <w:sz w:val="20"/>
              </w:rPr>
              <w:t>or fissure sealant.</w:t>
            </w:r>
          </w:p>
        </w:tc>
      </w:tr>
      <w:tr w:rsidR="006A18FD">
        <w:trPr>
          <w:trHeight w:val="480"/>
        </w:trPr>
        <w:tc>
          <w:tcPr>
            <w:tcW w:w="1980" w:type="dxa"/>
          </w:tcPr>
          <w:p w:rsidR="006A18FD" w:rsidRDefault="002D29FC">
            <w:pPr>
              <w:spacing w:before="1"/>
              <w:ind w:left="103"/>
              <w:rPr>
                <w:rFonts w:ascii="Calibri"/>
                <w:sz w:val="20"/>
              </w:rPr>
            </w:pPr>
            <w:r>
              <w:rPr>
                <w:rFonts w:ascii="Calibri"/>
                <w:sz w:val="20"/>
              </w:rPr>
              <w:t>Band 2</w:t>
            </w:r>
          </w:p>
        </w:tc>
        <w:tc>
          <w:tcPr>
            <w:tcW w:w="1419" w:type="dxa"/>
          </w:tcPr>
          <w:p w:rsidR="006A18FD" w:rsidRDefault="002D29FC">
            <w:pPr>
              <w:spacing w:before="1"/>
              <w:ind w:left="424"/>
              <w:rPr>
                <w:rFonts w:ascii="Calibri" w:hAnsi="Calibri"/>
                <w:sz w:val="20"/>
              </w:rPr>
            </w:pPr>
            <w:r>
              <w:rPr>
                <w:rFonts w:ascii="Calibri" w:hAnsi="Calibri"/>
                <w:sz w:val="20"/>
              </w:rPr>
              <w:t>£59.10</w:t>
            </w:r>
          </w:p>
        </w:tc>
        <w:tc>
          <w:tcPr>
            <w:tcW w:w="6236" w:type="dxa"/>
          </w:tcPr>
          <w:p w:rsidR="006A18FD" w:rsidRDefault="002D29FC">
            <w:pPr>
              <w:spacing w:before="1" w:line="240" w:lineRule="atLeast"/>
              <w:ind w:left="103"/>
              <w:rPr>
                <w:rFonts w:ascii="Calibri"/>
                <w:sz w:val="20"/>
              </w:rPr>
            </w:pPr>
            <w:r>
              <w:rPr>
                <w:rFonts w:ascii="Calibri"/>
                <w:sz w:val="20"/>
              </w:rPr>
              <w:t>This covers everything listed in Band 1 above, plus any further treatment such as fillings, root canal work or removal of teeth.</w:t>
            </w:r>
          </w:p>
        </w:tc>
      </w:tr>
      <w:tr w:rsidR="006A18FD">
        <w:trPr>
          <w:trHeight w:val="479"/>
        </w:trPr>
        <w:tc>
          <w:tcPr>
            <w:tcW w:w="1980" w:type="dxa"/>
          </w:tcPr>
          <w:p w:rsidR="006A18FD" w:rsidRDefault="002D29FC">
            <w:pPr>
              <w:ind w:left="103"/>
              <w:rPr>
                <w:rFonts w:ascii="Calibri"/>
                <w:sz w:val="20"/>
              </w:rPr>
            </w:pPr>
            <w:r>
              <w:rPr>
                <w:rFonts w:ascii="Calibri"/>
                <w:sz w:val="20"/>
              </w:rPr>
              <w:t>Band 3</w:t>
            </w:r>
          </w:p>
        </w:tc>
        <w:tc>
          <w:tcPr>
            <w:tcW w:w="1419" w:type="dxa"/>
          </w:tcPr>
          <w:p w:rsidR="006A18FD" w:rsidRDefault="002D29FC">
            <w:pPr>
              <w:ind w:left="374"/>
              <w:rPr>
                <w:rFonts w:ascii="Calibri" w:hAnsi="Calibri"/>
                <w:sz w:val="20"/>
              </w:rPr>
            </w:pPr>
            <w:r>
              <w:rPr>
                <w:rFonts w:ascii="Calibri" w:hAnsi="Calibri"/>
                <w:sz w:val="20"/>
              </w:rPr>
              <w:t>£256.50</w:t>
            </w:r>
          </w:p>
        </w:tc>
        <w:tc>
          <w:tcPr>
            <w:tcW w:w="6236" w:type="dxa"/>
          </w:tcPr>
          <w:p w:rsidR="006A18FD" w:rsidRDefault="002D29FC">
            <w:pPr>
              <w:spacing w:line="243" w:lineRule="exact"/>
              <w:ind w:left="103"/>
              <w:rPr>
                <w:rFonts w:ascii="Calibri"/>
                <w:sz w:val="20"/>
              </w:rPr>
            </w:pPr>
            <w:r>
              <w:rPr>
                <w:rFonts w:ascii="Calibri"/>
                <w:sz w:val="20"/>
              </w:rPr>
              <w:t>This covers everything listed in Bands 1 and 2 above, plus crowns,</w:t>
            </w:r>
          </w:p>
          <w:p w:rsidR="006A18FD" w:rsidRDefault="002D29FC">
            <w:pPr>
              <w:spacing w:line="225" w:lineRule="exact"/>
              <w:ind w:left="103"/>
              <w:rPr>
                <w:rFonts w:ascii="Calibri"/>
                <w:sz w:val="20"/>
              </w:rPr>
            </w:pPr>
            <w:r>
              <w:rPr>
                <w:rFonts w:ascii="Calibri"/>
                <w:sz w:val="20"/>
              </w:rPr>
              <w:t>dentures and bridges.</w:t>
            </w:r>
          </w:p>
        </w:tc>
      </w:tr>
    </w:tbl>
    <w:p w:rsidR="006A18FD" w:rsidRDefault="002D29FC">
      <w:pPr>
        <w:spacing w:before="121" w:line="276" w:lineRule="auto"/>
        <w:ind w:left="140" w:right="303"/>
        <w:rPr>
          <w:rFonts w:ascii="Calibri"/>
          <w:sz w:val="20"/>
        </w:rPr>
      </w:pPr>
      <w:r>
        <w:rPr>
          <w:rFonts w:ascii="Calibri"/>
          <w:sz w:val="20"/>
        </w:rPr>
        <w:t xml:space="preserve">See: </w:t>
      </w:r>
      <w:hyperlink r:id="rId369">
        <w:r>
          <w:rPr>
            <w:rFonts w:ascii="Calibri"/>
            <w:sz w:val="20"/>
            <w:u w:val="single"/>
          </w:rPr>
          <w:t>https://www.nhs.uk/using-the-nhs/nhs-services/dentists/understanding-nhs-dental-charges/</w:t>
        </w:r>
        <w:r>
          <w:rPr>
            <w:rFonts w:ascii="Calibri"/>
            <w:sz w:val="20"/>
          </w:rPr>
          <w:t xml:space="preserve"> </w:t>
        </w:r>
      </w:hyperlink>
      <w:r>
        <w:rPr>
          <w:rFonts w:ascii="Calibri"/>
          <w:sz w:val="20"/>
        </w:rPr>
        <w:t>for further information on NHS dental charges.</w:t>
      </w:r>
    </w:p>
    <w:p w:rsidR="006A18FD" w:rsidRDefault="006A18FD">
      <w:pPr>
        <w:spacing w:line="276" w:lineRule="auto"/>
        <w:rPr>
          <w:rFonts w:ascii="Calibri"/>
          <w:sz w:val="20"/>
        </w:rPr>
        <w:sectPr w:rsidR="006A18FD">
          <w:pgSz w:w="11910" w:h="16840"/>
          <w:pgMar w:top="980" w:right="980" w:bottom="280" w:left="580" w:header="751" w:footer="0" w:gutter="0"/>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8"/>
        <w:rPr>
          <w:rFonts w:ascii="Calibri"/>
          <w:sz w:val="19"/>
        </w:rPr>
      </w:pPr>
    </w:p>
    <w:p w:rsidR="006A18FD" w:rsidRDefault="002D29FC">
      <w:pPr>
        <w:spacing w:before="100"/>
        <w:ind w:left="112"/>
        <w:rPr>
          <w:rFonts w:ascii="Cambria"/>
          <w:b/>
          <w:sz w:val="48"/>
        </w:rPr>
      </w:pPr>
      <w:r>
        <w:rPr>
          <w:rFonts w:ascii="Cambria"/>
          <w:b/>
          <w:sz w:val="48"/>
        </w:rPr>
        <w:t>III. COMMUNITY-BASED SOCIAL CARE</w:t>
      </w:r>
    </w:p>
    <w:p w:rsidR="006A18FD" w:rsidRDefault="006A18FD">
      <w:pPr>
        <w:rPr>
          <w:rFonts w:ascii="Cambria"/>
          <w:sz w:val="48"/>
        </w:rPr>
        <w:sectPr w:rsidR="006A18FD">
          <w:headerReference w:type="default" r:id="rId370"/>
          <w:pgSz w:w="11910" w:h="16840"/>
          <w:pgMar w:top="1580" w:right="1680" w:bottom="280" w:left="10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371"/>
          <w:pgSz w:w="11910" w:h="16840"/>
          <w:pgMar w:top="1580" w:right="1680" w:bottom="280" w:left="1680" w:header="0" w:footer="0" w:gutter="0"/>
          <w:cols w:space="720"/>
        </w:sectPr>
      </w:pPr>
    </w:p>
    <w:p w:rsidR="006A18FD" w:rsidRDefault="006A18FD">
      <w:pPr>
        <w:rPr>
          <w:rFonts w:ascii="Times New Roman"/>
          <w:sz w:val="20"/>
        </w:rPr>
      </w:pPr>
    </w:p>
    <w:p w:rsidR="006A18FD" w:rsidRDefault="006A18FD">
      <w:pPr>
        <w:rPr>
          <w:rFonts w:ascii="Times New Roman"/>
          <w:sz w:val="20"/>
        </w:rPr>
      </w:pPr>
    </w:p>
    <w:p w:rsidR="006A18FD" w:rsidRDefault="006A18FD">
      <w:pPr>
        <w:rPr>
          <w:rFonts w:ascii="Times New Roman"/>
          <w:sz w:val="20"/>
        </w:rPr>
      </w:pPr>
    </w:p>
    <w:p w:rsidR="006A18FD" w:rsidRDefault="006A18FD">
      <w:pPr>
        <w:spacing w:before="7"/>
        <w:rPr>
          <w:rFonts w:ascii="Times New Roman"/>
          <w:sz w:val="17"/>
        </w:rPr>
      </w:pPr>
    </w:p>
    <w:p w:rsidR="006A18FD" w:rsidRDefault="002D29FC" w:rsidP="008E3FA8">
      <w:pPr>
        <w:pStyle w:val="Heading1"/>
        <w:numPr>
          <w:ilvl w:val="0"/>
          <w:numId w:val="9"/>
        </w:numPr>
      </w:pPr>
      <w:r>
        <w:t>Social care staff and</w:t>
      </w:r>
      <w:r>
        <w:rPr>
          <w:spacing w:val="-16"/>
        </w:rPr>
        <w:t xml:space="preserve"> </w:t>
      </w:r>
      <w:r>
        <w:t>services</w:t>
      </w:r>
    </w:p>
    <w:p w:rsidR="006A18FD" w:rsidRDefault="002D29FC" w:rsidP="008E3FA8">
      <w:pPr>
        <w:numPr>
          <w:ilvl w:val="1"/>
          <w:numId w:val="9"/>
        </w:numPr>
        <w:tabs>
          <w:tab w:val="left" w:pos="680"/>
        </w:tabs>
        <w:spacing w:before="303"/>
        <w:ind w:left="679" w:hanging="567"/>
        <w:rPr>
          <w:rFonts w:ascii="Calibri"/>
          <w:sz w:val="28"/>
        </w:rPr>
      </w:pPr>
      <w:r>
        <w:rPr>
          <w:rFonts w:ascii="Calibri"/>
          <w:sz w:val="28"/>
        </w:rPr>
        <w:t>Social worker (adult</w:t>
      </w:r>
      <w:r>
        <w:rPr>
          <w:rFonts w:ascii="Calibri"/>
          <w:spacing w:val="-13"/>
          <w:sz w:val="28"/>
        </w:rPr>
        <w:t xml:space="preserve"> </w:t>
      </w:r>
      <w:r>
        <w:rPr>
          <w:rFonts w:ascii="Calibri"/>
          <w:sz w:val="28"/>
        </w:rPr>
        <w:t>services)</w:t>
      </w:r>
    </w:p>
    <w:p w:rsidR="006A18FD" w:rsidRDefault="002D29FC" w:rsidP="008E3FA8">
      <w:pPr>
        <w:numPr>
          <w:ilvl w:val="1"/>
          <w:numId w:val="9"/>
        </w:numPr>
        <w:tabs>
          <w:tab w:val="left" w:pos="680"/>
        </w:tabs>
        <w:spacing w:before="171"/>
        <w:ind w:left="679" w:hanging="567"/>
        <w:rPr>
          <w:rFonts w:ascii="Calibri" w:hAnsi="Calibri"/>
          <w:sz w:val="28"/>
        </w:rPr>
      </w:pPr>
      <w:r>
        <w:rPr>
          <w:rFonts w:ascii="Calibri" w:hAnsi="Calibri"/>
          <w:sz w:val="28"/>
        </w:rPr>
        <w:t>Social worker (children’s</w:t>
      </w:r>
      <w:r>
        <w:rPr>
          <w:rFonts w:ascii="Calibri" w:hAnsi="Calibri"/>
          <w:spacing w:val="-14"/>
          <w:sz w:val="28"/>
        </w:rPr>
        <w:t xml:space="preserve"> </w:t>
      </w:r>
      <w:r>
        <w:rPr>
          <w:rFonts w:ascii="Calibri" w:hAnsi="Calibri"/>
          <w:sz w:val="28"/>
        </w:rPr>
        <w:t>services)</w:t>
      </w:r>
    </w:p>
    <w:p w:rsidR="006A18FD" w:rsidRDefault="002D29FC" w:rsidP="008E3FA8">
      <w:pPr>
        <w:numPr>
          <w:ilvl w:val="1"/>
          <w:numId w:val="9"/>
        </w:numPr>
        <w:tabs>
          <w:tab w:val="left" w:pos="680"/>
        </w:tabs>
        <w:spacing w:before="169"/>
        <w:ind w:left="679" w:hanging="567"/>
        <w:rPr>
          <w:rFonts w:ascii="Calibri"/>
          <w:sz w:val="28"/>
        </w:rPr>
      </w:pPr>
      <w:r>
        <w:rPr>
          <w:rFonts w:ascii="Calibri"/>
          <w:sz w:val="28"/>
        </w:rPr>
        <w:t>Social work</w:t>
      </w:r>
      <w:r>
        <w:rPr>
          <w:rFonts w:ascii="Calibri"/>
          <w:spacing w:val="-8"/>
          <w:sz w:val="28"/>
        </w:rPr>
        <w:t xml:space="preserve"> </w:t>
      </w:r>
      <w:r>
        <w:rPr>
          <w:rFonts w:ascii="Calibri"/>
          <w:sz w:val="28"/>
        </w:rPr>
        <w:t>assistant</w:t>
      </w:r>
    </w:p>
    <w:p w:rsidR="006A18FD" w:rsidRDefault="002D29FC" w:rsidP="008E3FA8">
      <w:pPr>
        <w:numPr>
          <w:ilvl w:val="1"/>
          <w:numId w:val="9"/>
        </w:numPr>
        <w:tabs>
          <w:tab w:val="left" w:pos="672"/>
        </w:tabs>
        <w:spacing w:before="172"/>
        <w:ind w:left="671" w:hanging="559"/>
        <w:rPr>
          <w:rFonts w:ascii="Calibri"/>
          <w:sz w:val="28"/>
        </w:rPr>
      </w:pPr>
      <w:r>
        <w:rPr>
          <w:rFonts w:ascii="Calibri"/>
          <w:sz w:val="28"/>
        </w:rPr>
        <w:t>Community occupational therapist (local</w:t>
      </w:r>
      <w:r>
        <w:rPr>
          <w:rFonts w:ascii="Calibri"/>
          <w:spacing w:val="-22"/>
          <w:sz w:val="28"/>
        </w:rPr>
        <w:t xml:space="preserve"> </w:t>
      </w:r>
      <w:r>
        <w:rPr>
          <w:rFonts w:ascii="Calibri"/>
          <w:sz w:val="28"/>
        </w:rPr>
        <w:t>authority)</w:t>
      </w:r>
    </w:p>
    <w:p w:rsidR="006A18FD" w:rsidRDefault="002D29FC" w:rsidP="008E3FA8">
      <w:pPr>
        <w:numPr>
          <w:ilvl w:val="1"/>
          <w:numId w:val="9"/>
        </w:numPr>
        <w:tabs>
          <w:tab w:val="left" w:pos="680"/>
        </w:tabs>
        <w:spacing w:before="171"/>
        <w:ind w:left="679" w:hanging="567"/>
        <w:rPr>
          <w:rFonts w:ascii="Calibri"/>
          <w:sz w:val="28"/>
        </w:rPr>
      </w:pPr>
      <w:r>
        <w:rPr>
          <w:rFonts w:ascii="Calibri"/>
          <w:sz w:val="28"/>
        </w:rPr>
        <w:t>Home care</w:t>
      </w:r>
      <w:r>
        <w:rPr>
          <w:rFonts w:ascii="Calibri"/>
          <w:spacing w:val="-4"/>
          <w:sz w:val="28"/>
        </w:rPr>
        <w:t xml:space="preserve"> </w:t>
      </w:r>
      <w:r>
        <w:rPr>
          <w:rFonts w:ascii="Calibri"/>
          <w:sz w:val="28"/>
        </w:rPr>
        <w:t>worker</w:t>
      </w:r>
    </w:p>
    <w:p w:rsidR="006A18FD" w:rsidRDefault="002D29FC" w:rsidP="008E3FA8">
      <w:pPr>
        <w:numPr>
          <w:ilvl w:val="1"/>
          <w:numId w:val="9"/>
        </w:numPr>
        <w:tabs>
          <w:tab w:val="left" w:pos="680"/>
        </w:tabs>
        <w:spacing w:before="171"/>
        <w:ind w:left="679" w:hanging="567"/>
        <w:rPr>
          <w:rFonts w:ascii="Calibri"/>
          <w:sz w:val="28"/>
        </w:rPr>
      </w:pPr>
      <w:r>
        <w:rPr>
          <w:rFonts w:ascii="Calibri"/>
          <w:sz w:val="28"/>
        </w:rPr>
        <w:t>Home care</w:t>
      </w:r>
      <w:r>
        <w:rPr>
          <w:rFonts w:ascii="Calibri"/>
          <w:spacing w:val="-11"/>
          <w:sz w:val="28"/>
        </w:rPr>
        <w:t xml:space="preserve"> </w:t>
      </w:r>
      <w:r>
        <w:rPr>
          <w:rFonts w:ascii="Calibri"/>
          <w:sz w:val="28"/>
        </w:rPr>
        <w:t>manager</w:t>
      </w:r>
    </w:p>
    <w:p w:rsidR="006A18FD" w:rsidRDefault="002D29FC" w:rsidP="008E3FA8">
      <w:pPr>
        <w:numPr>
          <w:ilvl w:val="1"/>
          <w:numId w:val="9"/>
        </w:numPr>
        <w:tabs>
          <w:tab w:val="left" w:pos="680"/>
        </w:tabs>
        <w:spacing w:before="169"/>
        <w:ind w:left="679" w:hanging="567"/>
        <w:rPr>
          <w:rFonts w:ascii="Calibri"/>
          <w:sz w:val="28"/>
        </w:rPr>
      </w:pPr>
      <w:r>
        <w:rPr>
          <w:rFonts w:ascii="Calibri"/>
          <w:sz w:val="28"/>
        </w:rPr>
        <w:t>Support and outreach</w:t>
      </w:r>
      <w:r>
        <w:rPr>
          <w:rFonts w:ascii="Calibri"/>
          <w:spacing w:val="-12"/>
          <w:sz w:val="28"/>
        </w:rPr>
        <w:t xml:space="preserve"> </w:t>
      </w:r>
      <w:r>
        <w:rPr>
          <w:rFonts w:ascii="Calibri"/>
          <w:sz w:val="28"/>
        </w:rPr>
        <w:t>worker</w:t>
      </w:r>
    </w:p>
    <w:p w:rsidR="006A18FD" w:rsidRDefault="002D29FC" w:rsidP="008E3FA8">
      <w:pPr>
        <w:numPr>
          <w:ilvl w:val="1"/>
          <w:numId w:val="9"/>
        </w:numPr>
        <w:tabs>
          <w:tab w:val="left" w:pos="672"/>
        </w:tabs>
        <w:spacing w:before="171"/>
        <w:ind w:left="671" w:hanging="559"/>
        <w:rPr>
          <w:rFonts w:ascii="Calibri"/>
          <w:sz w:val="28"/>
        </w:rPr>
      </w:pPr>
      <w:r>
        <w:rPr>
          <w:rFonts w:ascii="Calibri"/>
          <w:sz w:val="28"/>
        </w:rPr>
        <w:t>Peer</w:t>
      </w:r>
      <w:r>
        <w:rPr>
          <w:rFonts w:ascii="Calibri"/>
          <w:spacing w:val="-5"/>
          <w:sz w:val="28"/>
        </w:rPr>
        <w:t xml:space="preserve"> </w:t>
      </w:r>
      <w:r>
        <w:rPr>
          <w:rFonts w:ascii="Calibri"/>
          <w:sz w:val="28"/>
        </w:rPr>
        <w:t>intern</w:t>
      </w:r>
    </w:p>
    <w:p w:rsidR="006A18FD" w:rsidRDefault="002D29FC" w:rsidP="008E3FA8">
      <w:pPr>
        <w:numPr>
          <w:ilvl w:val="1"/>
          <w:numId w:val="9"/>
        </w:numPr>
        <w:tabs>
          <w:tab w:val="left" w:pos="672"/>
        </w:tabs>
        <w:spacing w:before="171"/>
        <w:ind w:left="671" w:hanging="559"/>
        <w:rPr>
          <w:rFonts w:ascii="Calibri"/>
          <w:sz w:val="28"/>
        </w:rPr>
      </w:pPr>
      <w:r>
        <w:rPr>
          <w:rFonts w:ascii="Calibri"/>
          <w:sz w:val="28"/>
        </w:rPr>
        <w:t>Time</w:t>
      </w:r>
      <w:r>
        <w:rPr>
          <w:rFonts w:ascii="Calibri"/>
          <w:spacing w:val="-6"/>
          <w:sz w:val="28"/>
        </w:rPr>
        <w:t xml:space="preserve"> </w:t>
      </w:r>
      <w:r>
        <w:rPr>
          <w:rFonts w:ascii="Calibri"/>
          <w:sz w:val="28"/>
        </w:rPr>
        <w:t>banks</w:t>
      </w:r>
    </w:p>
    <w:p w:rsidR="006A18FD" w:rsidRDefault="006A18FD">
      <w:pPr>
        <w:rPr>
          <w:rFonts w:ascii="Calibri"/>
          <w:sz w:val="28"/>
        </w:rPr>
        <w:sectPr w:rsidR="006A18FD">
          <w:headerReference w:type="default" r:id="rId372"/>
          <w:pgSz w:w="11910" w:h="16840"/>
          <w:pgMar w:top="1580" w:right="1680" w:bottom="280" w:left="1020" w:header="0"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0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06" name="Line 6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B59EBF" id="Group 6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wK8czfQIAAH8FAAAO&#10;AAAAAAAAAAAAAAAAAC4CAABkcnMvZTJvRG9jLnhtbFBLAQItABQABgAIAAAAIQAtd+Rc2gAAAAQB&#10;AAAPAAAAAAAAAAAAAAAAANcEAABkcnMvZG93bnJldi54bWxQSwUGAAAAAAQABADzAAAA3gUAAAAA&#10;">
                <v:line id="Line 6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anchorlock/>
              </v:group>
            </w:pict>
          </mc:Fallback>
        </mc:AlternateContent>
      </w:r>
    </w:p>
    <w:p w:rsidR="006A18FD" w:rsidRDefault="002D29FC" w:rsidP="00AF6861">
      <w:pPr>
        <w:pStyle w:val="Heading2"/>
      </w:pPr>
      <w:r>
        <w:t>11.1 Social worker (adult services)</w:t>
      </w:r>
    </w:p>
    <w:p w:rsidR="006A18FD" w:rsidRDefault="006A18FD">
      <w:pPr>
        <w:spacing w:before="5"/>
        <w:rPr>
          <w:rFonts w:ascii="Cambria"/>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81"/>
        <w:gridCol w:w="6131"/>
      </w:tblGrid>
      <w:tr w:rsidR="006A18FD" w:rsidTr="00E2663F">
        <w:trPr>
          <w:trHeight w:val="340"/>
          <w:tblHeader/>
        </w:trPr>
        <w:tc>
          <w:tcPr>
            <w:tcW w:w="2232" w:type="dxa"/>
          </w:tcPr>
          <w:p w:rsidR="006A18FD" w:rsidRDefault="002D29FC">
            <w:pPr>
              <w:spacing w:before="1"/>
              <w:ind w:left="52"/>
              <w:rPr>
                <w:rFonts w:ascii="Calibri"/>
                <w:b/>
                <w:sz w:val="18"/>
              </w:rPr>
            </w:pPr>
            <w:r>
              <w:rPr>
                <w:rFonts w:ascii="Calibri"/>
                <w:b/>
                <w:sz w:val="18"/>
              </w:rPr>
              <w:t>Costs and unit estimation</w:t>
            </w:r>
          </w:p>
        </w:tc>
        <w:tc>
          <w:tcPr>
            <w:tcW w:w="1681" w:type="dxa"/>
          </w:tcPr>
          <w:p w:rsidR="006A18FD" w:rsidRDefault="002D29FC">
            <w:pPr>
              <w:spacing w:before="1"/>
              <w:ind w:left="102"/>
              <w:rPr>
                <w:rFonts w:ascii="Calibri"/>
                <w:b/>
                <w:sz w:val="18"/>
              </w:rPr>
            </w:pPr>
            <w:r>
              <w:rPr>
                <w:rFonts w:ascii="Calibri"/>
                <w:b/>
                <w:sz w:val="18"/>
              </w:rPr>
              <w:t>2018/2019 value</w:t>
            </w:r>
          </w:p>
        </w:tc>
        <w:tc>
          <w:tcPr>
            <w:tcW w:w="6131" w:type="dxa"/>
          </w:tcPr>
          <w:p w:rsidR="006A18FD" w:rsidRDefault="002D29FC">
            <w:pPr>
              <w:spacing w:before="1"/>
              <w:ind w:left="102"/>
              <w:rPr>
                <w:rFonts w:ascii="Calibri"/>
                <w:b/>
                <w:sz w:val="18"/>
              </w:rPr>
            </w:pPr>
            <w:r>
              <w:rPr>
                <w:rFonts w:ascii="Calibri"/>
                <w:b/>
                <w:sz w:val="18"/>
              </w:rPr>
              <w:t>Notes</w:t>
            </w:r>
          </w:p>
        </w:tc>
      </w:tr>
      <w:tr w:rsidR="006A18FD">
        <w:trPr>
          <w:trHeight w:val="860"/>
        </w:trPr>
        <w:tc>
          <w:tcPr>
            <w:tcW w:w="2232" w:type="dxa"/>
          </w:tcPr>
          <w:p w:rsidR="006A18FD" w:rsidRDefault="002D29FC">
            <w:pPr>
              <w:spacing w:before="1"/>
              <w:ind w:left="52"/>
              <w:rPr>
                <w:rFonts w:ascii="Calibri"/>
                <w:sz w:val="18"/>
              </w:rPr>
            </w:pPr>
            <w:r>
              <w:rPr>
                <w:rFonts w:ascii="Calibri"/>
                <w:sz w:val="18"/>
              </w:rPr>
              <w:t>A. Salary</w:t>
            </w:r>
          </w:p>
        </w:tc>
        <w:tc>
          <w:tcPr>
            <w:tcW w:w="1681" w:type="dxa"/>
          </w:tcPr>
          <w:p w:rsidR="006A18FD" w:rsidRDefault="002D29FC">
            <w:pPr>
              <w:spacing w:before="1"/>
              <w:ind w:left="102"/>
              <w:rPr>
                <w:rFonts w:ascii="Calibri" w:hAnsi="Calibri"/>
                <w:sz w:val="18"/>
              </w:rPr>
            </w:pPr>
            <w:r>
              <w:rPr>
                <w:rFonts w:ascii="Calibri" w:hAnsi="Calibri"/>
                <w:sz w:val="18"/>
              </w:rPr>
              <w:t>£34,748 per year</w:t>
            </w:r>
          </w:p>
        </w:tc>
        <w:tc>
          <w:tcPr>
            <w:tcW w:w="6131" w:type="dxa"/>
          </w:tcPr>
          <w:p w:rsidR="006A18FD" w:rsidRDefault="002D29FC">
            <w:pPr>
              <w:spacing w:before="1"/>
              <w:ind w:left="102" w:right="243"/>
              <w:rPr>
                <w:rFonts w:ascii="Calibri"/>
                <w:sz w:val="18"/>
              </w:rPr>
            </w:pPr>
            <w:r>
              <w:rPr>
                <w:rFonts w:ascii="Calibri"/>
                <w:sz w:val="18"/>
              </w:rPr>
              <w:t>Information taken from the National Minimum Data Set for Social Care 2019</w:t>
            </w:r>
            <w:r>
              <w:rPr>
                <w:rFonts w:ascii="Calibri"/>
                <w:position w:val="5"/>
                <w:sz w:val="12"/>
              </w:rPr>
              <w:t xml:space="preserve">1 </w:t>
            </w:r>
            <w:r>
              <w:rPr>
                <w:rFonts w:ascii="Calibri"/>
                <w:sz w:val="18"/>
              </w:rPr>
              <w:t>showed that the mean basic salary, based on the weighted mean annual salary for a local authority and independent sector social worker working in adult</w:t>
            </w:r>
          </w:p>
          <w:p w:rsidR="006A18FD" w:rsidRDefault="002D29FC">
            <w:pPr>
              <w:spacing w:line="198" w:lineRule="exact"/>
              <w:ind w:left="102"/>
              <w:rPr>
                <w:rFonts w:ascii="Calibri" w:hAnsi="Calibri"/>
                <w:sz w:val="18"/>
              </w:rPr>
            </w:pPr>
            <w:r>
              <w:rPr>
                <w:rFonts w:ascii="Calibri" w:hAnsi="Calibri"/>
                <w:sz w:val="18"/>
              </w:rPr>
              <w:t>services was £34,748.</w:t>
            </w:r>
          </w:p>
        </w:tc>
      </w:tr>
      <w:tr w:rsidR="006A18FD">
        <w:trPr>
          <w:trHeight w:val="420"/>
        </w:trPr>
        <w:tc>
          <w:tcPr>
            <w:tcW w:w="2232" w:type="dxa"/>
          </w:tcPr>
          <w:p w:rsidR="006A18FD" w:rsidRDefault="002D29FC">
            <w:pPr>
              <w:spacing w:before="1"/>
              <w:ind w:left="52"/>
              <w:rPr>
                <w:rFonts w:ascii="Calibri"/>
                <w:sz w:val="18"/>
              </w:rPr>
            </w:pPr>
            <w:r>
              <w:rPr>
                <w:rFonts w:ascii="Calibri"/>
                <w:sz w:val="18"/>
              </w:rPr>
              <w:t>B. Salary oncosts</w:t>
            </w:r>
          </w:p>
        </w:tc>
        <w:tc>
          <w:tcPr>
            <w:tcW w:w="1681" w:type="dxa"/>
          </w:tcPr>
          <w:p w:rsidR="006A18FD" w:rsidRDefault="002D29FC">
            <w:pPr>
              <w:spacing w:before="1"/>
              <w:ind w:left="102"/>
              <w:rPr>
                <w:rFonts w:ascii="Calibri" w:hAnsi="Calibri"/>
                <w:sz w:val="18"/>
              </w:rPr>
            </w:pPr>
            <w:r>
              <w:rPr>
                <w:rFonts w:ascii="Calibri" w:hAnsi="Calibri"/>
                <w:sz w:val="18"/>
              </w:rPr>
              <w:t>£9,540 per year</w:t>
            </w:r>
          </w:p>
        </w:tc>
        <w:tc>
          <w:tcPr>
            <w:tcW w:w="6131" w:type="dxa"/>
          </w:tcPr>
          <w:p w:rsidR="006A18FD" w:rsidRDefault="002D29FC">
            <w:pPr>
              <w:spacing w:before="1" w:line="219" w:lineRule="exact"/>
              <w:ind w:left="102"/>
              <w:rPr>
                <w:rFonts w:ascii="Calibri" w:hAnsi="Calibri"/>
                <w:sz w:val="18"/>
              </w:rPr>
            </w:pPr>
            <w:r>
              <w:rPr>
                <w:rFonts w:ascii="Calibri" w:hAnsi="Calibri"/>
                <w:sz w:val="18"/>
              </w:rPr>
              <w:t>Employer’s national insurance contribution is included, plus 17 per cent of salary</w:t>
            </w:r>
          </w:p>
          <w:p w:rsidR="006A18FD" w:rsidRDefault="002D29FC">
            <w:pPr>
              <w:spacing w:line="199" w:lineRule="exact"/>
              <w:ind w:left="102"/>
              <w:rPr>
                <w:rFonts w:ascii="Calibri" w:hAnsi="Calibri"/>
                <w:sz w:val="12"/>
              </w:rPr>
            </w:pPr>
            <w:r>
              <w:rPr>
                <w:rFonts w:ascii="Calibri" w:hAnsi="Calibri"/>
                <w:sz w:val="18"/>
              </w:rPr>
              <w:t>for employer’s contribution to superannuation.</w:t>
            </w:r>
            <w:r>
              <w:rPr>
                <w:rFonts w:ascii="Calibri" w:hAnsi="Calibri"/>
                <w:position w:val="5"/>
                <w:sz w:val="12"/>
              </w:rPr>
              <w:t>2</w:t>
            </w:r>
          </w:p>
        </w:tc>
      </w:tr>
      <w:tr w:rsidR="006A18FD">
        <w:trPr>
          <w:trHeight w:val="640"/>
        </w:trPr>
        <w:tc>
          <w:tcPr>
            <w:tcW w:w="2232" w:type="dxa"/>
          </w:tcPr>
          <w:p w:rsidR="006A18FD" w:rsidRDefault="002D29FC">
            <w:pPr>
              <w:spacing w:before="1"/>
              <w:ind w:left="52"/>
              <w:rPr>
                <w:rFonts w:ascii="Calibri"/>
                <w:sz w:val="18"/>
              </w:rPr>
            </w:pPr>
            <w:r>
              <w:rPr>
                <w:rFonts w:ascii="Calibri"/>
                <w:sz w:val="18"/>
              </w:rPr>
              <w:t>C. Qualifications</w:t>
            </w:r>
          </w:p>
        </w:tc>
        <w:tc>
          <w:tcPr>
            <w:tcW w:w="1681" w:type="dxa"/>
          </w:tcPr>
          <w:p w:rsidR="006A18FD" w:rsidRDefault="002D29FC">
            <w:pPr>
              <w:spacing w:before="1"/>
              <w:ind w:left="102"/>
              <w:rPr>
                <w:rFonts w:ascii="Calibri" w:hAnsi="Calibri"/>
                <w:sz w:val="18"/>
              </w:rPr>
            </w:pPr>
            <w:r>
              <w:rPr>
                <w:rFonts w:ascii="Calibri" w:hAnsi="Calibri"/>
                <w:sz w:val="18"/>
              </w:rPr>
              <w:t>£9,469 per year</w:t>
            </w:r>
          </w:p>
        </w:tc>
        <w:tc>
          <w:tcPr>
            <w:tcW w:w="6131" w:type="dxa"/>
          </w:tcPr>
          <w:p w:rsidR="006A18FD" w:rsidRDefault="002D29FC">
            <w:pPr>
              <w:spacing w:before="1"/>
              <w:ind w:left="102" w:right="251"/>
              <w:rPr>
                <w:rFonts w:ascii="Calibri"/>
                <w:sz w:val="18"/>
              </w:rPr>
            </w:pPr>
            <w:r>
              <w:rPr>
                <w:rFonts w:ascii="Calibri"/>
                <w:sz w:val="18"/>
              </w:rPr>
              <w:t>Qualification costs have been calculated using the method described in Netten et al. (1998).</w:t>
            </w:r>
            <w:r>
              <w:rPr>
                <w:rFonts w:ascii="Calibri"/>
                <w:position w:val="5"/>
                <w:sz w:val="12"/>
              </w:rPr>
              <w:t xml:space="preserve">3 </w:t>
            </w:r>
            <w:r>
              <w:rPr>
                <w:rFonts w:ascii="Calibri"/>
                <w:sz w:val="18"/>
              </w:rPr>
              <w:t>Current cost information is drawn from research carried out by</w:t>
            </w:r>
          </w:p>
          <w:p w:rsidR="006A18FD" w:rsidRDefault="002D29FC">
            <w:pPr>
              <w:spacing w:line="198" w:lineRule="exact"/>
              <w:ind w:left="102"/>
              <w:rPr>
                <w:rFonts w:ascii="Calibri"/>
                <w:sz w:val="12"/>
              </w:rPr>
            </w:pPr>
            <w:r>
              <w:rPr>
                <w:rFonts w:ascii="Calibri"/>
                <w:sz w:val="18"/>
              </w:rPr>
              <w:t>Curtis et al. (2011).</w:t>
            </w:r>
            <w:r>
              <w:rPr>
                <w:rFonts w:ascii="Calibri"/>
                <w:position w:val="5"/>
                <w:sz w:val="12"/>
              </w:rPr>
              <w:t>4</w:t>
            </w:r>
          </w:p>
        </w:tc>
      </w:tr>
      <w:tr w:rsidR="006A18FD">
        <w:trPr>
          <w:trHeight w:val="880"/>
        </w:trPr>
        <w:tc>
          <w:tcPr>
            <w:tcW w:w="2232" w:type="dxa"/>
          </w:tcPr>
          <w:p w:rsidR="006A18FD" w:rsidRDefault="002D29FC">
            <w:pPr>
              <w:spacing w:before="1"/>
              <w:ind w:left="52"/>
              <w:rPr>
                <w:rFonts w:ascii="Calibri"/>
                <w:sz w:val="18"/>
              </w:rPr>
            </w:pPr>
            <w:r>
              <w:rPr>
                <w:rFonts w:ascii="Calibri"/>
                <w:sz w:val="18"/>
              </w:rPr>
              <w:t>D. Ongoing training</w:t>
            </w:r>
          </w:p>
        </w:tc>
        <w:tc>
          <w:tcPr>
            <w:tcW w:w="1681" w:type="dxa"/>
          </w:tcPr>
          <w:p w:rsidR="006A18FD" w:rsidRDefault="006A18FD">
            <w:pPr>
              <w:rPr>
                <w:rFonts w:ascii="Times New Roman"/>
                <w:sz w:val="16"/>
              </w:rPr>
            </w:pPr>
          </w:p>
        </w:tc>
        <w:tc>
          <w:tcPr>
            <w:tcW w:w="6131" w:type="dxa"/>
          </w:tcPr>
          <w:p w:rsidR="006A18FD" w:rsidRDefault="002D29FC">
            <w:pPr>
              <w:spacing w:before="1"/>
              <w:ind w:left="102" w:right="55"/>
              <w:rPr>
                <w:rFonts w:ascii="Calibri"/>
                <w:sz w:val="18"/>
              </w:rPr>
            </w:pPr>
            <w:r>
              <w:rPr>
                <w:rFonts w:ascii="Calibri"/>
                <w:sz w:val="18"/>
              </w:rPr>
              <w:t>The General Social Care Council sets out a requirement that all social workers, as a condition of their three-yearly renewal of registration, should engage in</w:t>
            </w:r>
          </w:p>
          <w:p w:rsidR="006A18FD" w:rsidRDefault="002D29FC">
            <w:pPr>
              <w:spacing w:line="218" w:lineRule="exact"/>
              <w:ind w:left="102"/>
              <w:rPr>
                <w:rFonts w:ascii="Calibri" w:hAnsi="Calibri"/>
                <w:sz w:val="18"/>
              </w:rPr>
            </w:pPr>
            <w:r>
              <w:rPr>
                <w:rFonts w:ascii="Calibri" w:hAnsi="Calibri"/>
                <w:sz w:val="18"/>
              </w:rPr>
              <w:t>development activity to meet a ‘post registration teaching and learning’</w:t>
            </w:r>
          </w:p>
          <w:p w:rsidR="006A18FD" w:rsidRDefault="002D29FC">
            <w:pPr>
              <w:spacing w:before="1" w:line="199" w:lineRule="exact"/>
              <w:ind w:left="102"/>
              <w:rPr>
                <w:rFonts w:ascii="Calibri"/>
                <w:sz w:val="18"/>
              </w:rPr>
            </w:pPr>
            <w:r>
              <w:rPr>
                <w:rFonts w:ascii="Calibri"/>
                <w:sz w:val="18"/>
              </w:rPr>
              <w:t>requirement of 15 days or 90 hours.</w:t>
            </w:r>
            <w:r>
              <w:rPr>
                <w:rFonts w:ascii="Calibri"/>
                <w:position w:val="5"/>
                <w:sz w:val="12"/>
              </w:rPr>
              <w:t xml:space="preserve">5 </w:t>
            </w:r>
            <w:r>
              <w:rPr>
                <w:rFonts w:ascii="Calibri"/>
                <w:sz w:val="18"/>
              </w:rPr>
              <w:t>No costs are available.</w:t>
            </w:r>
          </w:p>
        </w:tc>
      </w:tr>
      <w:tr w:rsidR="006A18FD">
        <w:trPr>
          <w:trHeight w:val="1680"/>
        </w:trPr>
        <w:tc>
          <w:tcPr>
            <w:tcW w:w="2232" w:type="dxa"/>
          </w:tcPr>
          <w:p w:rsidR="006A18FD" w:rsidRDefault="002D29FC">
            <w:pPr>
              <w:spacing w:line="309" w:lineRule="auto"/>
              <w:ind w:left="52" w:right="787"/>
              <w:rPr>
                <w:rFonts w:ascii="Calibri"/>
                <w:sz w:val="18"/>
              </w:rPr>
            </w:pPr>
            <w:r>
              <w:rPr>
                <w:rFonts w:ascii="Calibri"/>
                <w:sz w:val="18"/>
              </w:rPr>
              <w:t>E. Overheads Direct overheads</w:t>
            </w:r>
          </w:p>
          <w:p w:rsidR="006A18FD" w:rsidRDefault="006A18FD">
            <w:pPr>
              <w:rPr>
                <w:rFonts w:ascii="Cambria"/>
                <w:b/>
                <w:sz w:val="18"/>
              </w:rPr>
            </w:pPr>
          </w:p>
          <w:p w:rsidR="006A18FD" w:rsidRDefault="006A18FD">
            <w:pPr>
              <w:spacing w:before="9"/>
              <w:rPr>
                <w:rFonts w:ascii="Cambria"/>
                <w:b/>
                <w:sz w:val="20"/>
              </w:rPr>
            </w:pPr>
          </w:p>
          <w:p w:rsidR="006A18FD" w:rsidRDefault="002D29FC">
            <w:pPr>
              <w:ind w:left="52"/>
              <w:rPr>
                <w:rFonts w:ascii="Calibri"/>
                <w:sz w:val="18"/>
              </w:rPr>
            </w:pPr>
            <w:r>
              <w:rPr>
                <w:rFonts w:ascii="Calibri"/>
                <w:sz w:val="18"/>
              </w:rPr>
              <w:t>Indirect overheads</w:t>
            </w:r>
          </w:p>
        </w:tc>
        <w:tc>
          <w:tcPr>
            <w:tcW w:w="1681" w:type="dxa"/>
          </w:tcPr>
          <w:p w:rsidR="006A18FD" w:rsidRDefault="006A18FD">
            <w:pPr>
              <w:spacing w:before="1"/>
              <w:rPr>
                <w:rFonts w:ascii="Cambria"/>
                <w:b/>
                <w:sz w:val="24"/>
              </w:rPr>
            </w:pPr>
          </w:p>
          <w:p w:rsidR="006A18FD" w:rsidRDefault="002D29FC">
            <w:pPr>
              <w:ind w:left="102"/>
              <w:rPr>
                <w:rFonts w:ascii="Calibri" w:hAnsi="Calibri"/>
                <w:sz w:val="18"/>
              </w:rPr>
            </w:pPr>
            <w:r>
              <w:rPr>
                <w:rFonts w:ascii="Calibri" w:hAnsi="Calibri"/>
                <w:sz w:val="18"/>
              </w:rPr>
              <w:t>£12,843 per year</w:t>
            </w:r>
          </w:p>
          <w:p w:rsidR="006A18FD" w:rsidRDefault="006A18FD">
            <w:pPr>
              <w:rPr>
                <w:rFonts w:ascii="Cambria"/>
                <w:b/>
                <w:sz w:val="18"/>
              </w:rPr>
            </w:pPr>
          </w:p>
          <w:p w:rsidR="006A18FD" w:rsidRDefault="006A18FD">
            <w:pPr>
              <w:rPr>
                <w:rFonts w:ascii="Cambria"/>
                <w:b/>
                <w:sz w:val="26"/>
              </w:rPr>
            </w:pPr>
          </w:p>
          <w:p w:rsidR="006A18FD" w:rsidRDefault="002D29FC">
            <w:pPr>
              <w:spacing w:before="1"/>
              <w:ind w:left="102"/>
              <w:rPr>
                <w:rFonts w:ascii="Calibri" w:hAnsi="Calibri"/>
                <w:sz w:val="18"/>
              </w:rPr>
            </w:pPr>
            <w:r>
              <w:rPr>
                <w:rFonts w:ascii="Calibri" w:hAnsi="Calibri"/>
                <w:sz w:val="18"/>
              </w:rPr>
              <w:t>£7,086 per year</w:t>
            </w:r>
          </w:p>
        </w:tc>
        <w:tc>
          <w:tcPr>
            <w:tcW w:w="6131" w:type="dxa"/>
          </w:tcPr>
          <w:p w:rsidR="006A18FD" w:rsidRDefault="006A18FD">
            <w:pPr>
              <w:spacing w:before="1"/>
              <w:rPr>
                <w:rFonts w:ascii="Cambria"/>
                <w:b/>
                <w:sz w:val="24"/>
              </w:rPr>
            </w:pPr>
          </w:p>
          <w:p w:rsidR="006A18FD" w:rsidRDefault="002D29FC">
            <w:pPr>
              <w:ind w:left="102" w:right="152"/>
              <w:rPr>
                <w:rFonts w:ascii="Calibri"/>
                <w:sz w:val="18"/>
              </w:rPr>
            </w:pPr>
            <w:r>
              <w:rPr>
                <w:rFonts w:ascii="Calibri"/>
                <w:sz w:val="18"/>
              </w:rPr>
              <w:t>Direct overheads were 29 per cent of direct care salary costs. They include costs to the provider for administration and management, as well as for office, training and utilities such as water, gas and electricity.</w:t>
            </w:r>
          </w:p>
          <w:p w:rsidR="006A18FD" w:rsidRDefault="002D29FC">
            <w:pPr>
              <w:spacing w:before="77" w:line="220" w:lineRule="atLeast"/>
              <w:ind w:left="102"/>
              <w:rPr>
                <w:rFonts w:ascii="Calibri"/>
                <w:sz w:val="12"/>
              </w:rPr>
            </w:pPr>
            <w:r>
              <w:rPr>
                <w:rFonts w:ascii="Calibri"/>
                <w:sz w:val="18"/>
              </w:rPr>
              <w:t>Indirect overheads were 16 per cent of direct care salary costs. They include general management and support services such as finance and human resources departments.</w:t>
            </w:r>
            <w:r>
              <w:rPr>
                <w:rFonts w:ascii="Calibri"/>
                <w:position w:val="5"/>
                <w:sz w:val="12"/>
              </w:rPr>
              <w:t>6</w:t>
            </w:r>
          </w:p>
        </w:tc>
      </w:tr>
      <w:tr w:rsidR="006A18FD">
        <w:trPr>
          <w:trHeight w:val="859"/>
        </w:trPr>
        <w:tc>
          <w:tcPr>
            <w:tcW w:w="2232" w:type="dxa"/>
          </w:tcPr>
          <w:p w:rsidR="006A18FD" w:rsidRDefault="002D29FC">
            <w:pPr>
              <w:spacing w:line="218" w:lineRule="exact"/>
              <w:ind w:left="52"/>
              <w:rPr>
                <w:rFonts w:ascii="Calibri"/>
                <w:sz w:val="18"/>
              </w:rPr>
            </w:pPr>
            <w:r>
              <w:rPr>
                <w:rFonts w:ascii="Calibri"/>
                <w:sz w:val="18"/>
              </w:rPr>
              <w:t>F. Capital overheads</w:t>
            </w:r>
          </w:p>
        </w:tc>
        <w:tc>
          <w:tcPr>
            <w:tcW w:w="1681" w:type="dxa"/>
          </w:tcPr>
          <w:p w:rsidR="006A18FD" w:rsidRDefault="002D29FC">
            <w:pPr>
              <w:spacing w:line="218" w:lineRule="exact"/>
              <w:ind w:left="102"/>
              <w:rPr>
                <w:rFonts w:ascii="Calibri" w:hAnsi="Calibri"/>
                <w:sz w:val="18"/>
              </w:rPr>
            </w:pPr>
            <w:r>
              <w:rPr>
                <w:rFonts w:ascii="Calibri" w:hAnsi="Calibri"/>
                <w:sz w:val="18"/>
              </w:rPr>
              <w:t>£3,191 per year</w:t>
            </w:r>
          </w:p>
        </w:tc>
        <w:tc>
          <w:tcPr>
            <w:tcW w:w="6131" w:type="dxa"/>
          </w:tcPr>
          <w:p w:rsidR="006A18FD" w:rsidRDefault="002D29FC">
            <w:pPr>
              <w:ind w:left="102" w:right="161"/>
              <w:rPr>
                <w:rFonts w:ascii="Calibri"/>
                <w:sz w:val="18"/>
              </w:rPr>
            </w:pPr>
            <w:r>
              <w:rPr>
                <w:rFonts w:ascii="Calibri"/>
                <w:sz w:val="18"/>
              </w:rPr>
              <w:t>Based on the new-build and land requirements for a local authority office and shared facilities for waiting, interviews and clerical support.</w:t>
            </w:r>
            <w:r>
              <w:rPr>
                <w:rFonts w:ascii="Calibri"/>
                <w:position w:val="5"/>
                <w:sz w:val="12"/>
              </w:rPr>
              <w:t xml:space="preserve">7,8 </w:t>
            </w:r>
            <w:r>
              <w:rPr>
                <w:rFonts w:ascii="Calibri"/>
                <w:sz w:val="18"/>
              </w:rPr>
              <w:t>Capital costs have been annuitised over 60 years at a discount rate of 3.5 per cent, declining to 3</w:t>
            </w:r>
          </w:p>
          <w:p w:rsidR="006A18FD" w:rsidRDefault="002D29FC">
            <w:pPr>
              <w:spacing w:before="3" w:line="199" w:lineRule="exact"/>
              <w:ind w:left="102"/>
              <w:rPr>
                <w:rFonts w:ascii="Calibri"/>
                <w:sz w:val="18"/>
              </w:rPr>
            </w:pPr>
            <w:r>
              <w:rPr>
                <w:rFonts w:ascii="Calibri"/>
                <w:sz w:val="18"/>
              </w:rPr>
              <w:t>per cent after 30 years.</w:t>
            </w:r>
          </w:p>
        </w:tc>
      </w:tr>
      <w:tr w:rsidR="006A18FD">
        <w:trPr>
          <w:trHeight w:val="420"/>
        </w:trPr>
        <w:tc>
          <w:tcPr>
            <w:tcW w:w="2232" w:type="dxa"/>
          </w:tcPr>
          <w:p w:rsidR="006A18FD" w:rsidRDefault="002D29FC">
            <w:pPr>
              <w:spacing w:before="1"/>
              <w:ind w:left="52"/>
              <w:rPr>
                <w:rFonts w:ascii="Calibri"/>
                <w:sz w:val="18"/>
              </w:rPr>
            </w:pPr>
            <w:r>
              <w:rPr>
                <w:rFonts w:ascii="Calibri"/>
                <w:sz w:val="18"/>
              </w:rPr>
              <w:t>G. Travel</w:t>
            </w:r>
          </w:p>
        </w:tc>
        <w:tc>
          <w:tcPr>
            <w:tcW w:w="1681" w:type="dxa"/>
          </w:tcPr>
          <w:p w:rsidR="006A18FD" w:rsidRDefault="006A18FD">
            <w:pPr>
              <w:rPr>
                <w:rFonts w:ascii="Times New Roman"/>
                <w:sz w:val="16"/>
              </w:rPr>
            </w:pPr>
          </w:p>
        </w:tc>
        <w:tc>
          <w:tcPr>
            <w:tcW w:w="6131" w:type="dxa"/>
          </w:tcPr>
          <w:p w:rsidR="006A18FD" w:rsidRDefault="002D29FC">
            <w:pPr>
              <w:spacing w:before="1" w:line="219" w:lineRule="exact"/>
              <w:ind w:left="102"/>
              <w:rPr>
                <w:rFonts w:ascii="Calibri"/>
                <w:sz w:val="18"/>
              </w:rPr>
            </w:pPr>
            <w:r>
              <w:rPr>
                <w:rFonts w:ascii="Calibri"/>
                <w:sz w:val="18"/>
              </w:rPr>
              <w:t>No information available on average mileage covered per visit. For information</w:t>
            </w:r>
          </w:p>
          <w:p w:rsidR="006A18FD" w:rsidRDefault="002D29FC">
            <w:pPr>
              <w:spacing w:line="199" w:lineRule="exact"/>
              <w:ind w:left="102"/>
              <w:rPr>
                <w:rFonts w:ascii="Calibri"/>
                <w:sz w:val="12"/>
              </w:rPr>
            </w:pPr>
            <w:r>
              <w:rPr>
                <w:rFonts w:ascii="Calibri"/>
                <w:sz w:val="18"/>
              </w:rPr>
              <w:t xml:space="preserve">see </w:t>
            </w:r>
            <w:r>
              <w:rPr>
                <w:rFonts w:ascii="Calibri"/>
                <w:i/>
                <w:sz w:val="18"/>
              </w:rPr>
              <w:t>Green Book: national agreement on pay and conditions of service</w:t>
            </w:r>
            <w:r>
              <w:rPr>
                <w:rFonts w:ascii="Calibri"/>
                <w:sz w:val="18"/>
              </w:rPr>
              <w:t>.</w:t>
            </w:r>
            <w:r>
              <w:rPr>
                <w:rFonts w:ascii="Calibri"/>
                <w:position w:val="5"/>
                <w:sz w:val="12"/>
              </w:rPr>
              <w:t>9</w:t>
            </w:r>
          </w:p>
        </w:tc>
      </w:tr>
      <w:tr w:rsidR="006A18FD">
        <w:trPr>
          <w:trHeight w:val="880"/>
        </w:trPr>
        <w:tc>
          <w:tcPr>
            <w:tcW w:w="2232" w:type="dxa"/>
          </w:tcPr>
          <w:p w:rsidR="006A18FD" w:rsidRDefault="002D29FC">
            <w:pPr>
              <w:spacing w:before="1"/>
              <w:ind w:left="52"/>
              <w:rPr>
                <w:rFonts w:ascii="Calibri"/>
                <w:sz w:val="18"/>
              </w:rPr>
            </w:pPr>
            <w:r>
              <w:rPr>
                <w:rFonts w:ascii="Calibri"/>
                <w:sz w:val="18"/>
              </w:rPr>
              <w:t>Working time</w:t>
            </w:r>
          </w:p>
        </w:tc>
        <w:tc>
          <w:tcPr>
            <w:tcW w:w="1681" w:type="dxa"/>
          </w:tcPr>
          <w:p w:rsidR="006A18FD" w:rsidRDefault="002D29FC">
            <w:pPr>
              <w:spacing w:before="1"/>
              <w:ind w:left="102" w:right="441"/>
              <w:rPr>
                <w:rFonts w:ascii="Calibri"/>
                <w:sz w:val="18"/>
              </w:rPr>
            </w:pPr>
            <w:r>
              <w:rPr>
                <w:rFonts w:ascii="Calibri"/>
                <w:sz w:val="18"/>
              </w:rPr>
              <w:t>40.9 weeks per year</w:t>
            </w:r>
          </w:p>
          <w:p w:rsidR="006A18FD" w:rsidRDefault="002D29FC">
            <w:pPr>
              <w:spacing w:before="1"/>
              <w:ind w:left="102"/>
              <w:rPr>
                <w:rFonts w:ascii="Calibri"/>
                <w:sz w:val="18"/>
              </w:rPr>
            </w:pPr>
            <w:r>
              <w:rPr>
                <w:rFonts w:ascii="Calibri"/>
                <w:sz w:val="18"/>
              </w:rPr>
              <w:t>37 hours per week</w:t>
            </w:r>
          </w:p>
        </w:tc>
        <w:tc>
          <w:tcPr>
            <w:tcW w:w="6131" w:type="dxa"/>
          </w:tcPr>
          <w:p w:rsidR="006A18FD" w:rsidRDefault="002D29FC">
            <w:pPr>
              <w:spacing w:before="1"/>
              <w:ind w:left="102" w:right="147"/>
              <w:rPr>
                <w:rFonts w:ascii="Calibri"/>
                <w:sz w:val="18"/>
              </w:rPr>
            </w:pPr>
            <w:r>
              <w:rPr>
                <w:rFonts w:ascii="Calibri"/>
                <w:sz w:val="18"/>
              </w:rPr>
              <w:t>Includes 29 days annual leave and 8 statutory leave days.</w:t>
            </w:r>
            <w:r>
              <w:rPr>
                <w:rFonts w:ascii="Calibri"/>
                <w:position w:val="5"/>
                <w:sz w:val="12"/>
              </w:rPr>
              <w:t xml:space="preserve">9 </w:t>
            </w:r>
            <w:r>
              <w:rPr>
                <w:rFonts w:ascii="Calibri"/>
                <w:sz w:val="18"/>
              </w:rPr>
              <w:t>Ten days for study/training and 8.7 days sickness leave have been assumed, based on the median average sickness absence level in England for all authorities.</w:t>
            </w:r>
            <w:r>
              <w:rPr>
                <w:rFonts w:ascii="Calibri"/>
                <w:position w:val="5"/>
                <w:sz w:val="12"/>
              </w:rPr>
              <w:t xml:space="preserve">10 </w:t>
            </w:r>
            <w:r>
              <w:rPr>
                <w:rFonts w:ascii="Calibri"/>
                <w:sz w:val="18"/>
              </w:rPr>
              <w:t>Unit costs</w:t>
            </w:r>
          </w:p>
          <w:p w:rsidR="006A18FD" w:rsidRDefault="002D29FC">
            <w:pPr>
              <w:spacing w:before="1" w:line="199" w:lineRule="exact"/>
              <w:ind w:left="102"/>
              <w:rPr>
                <w:rFonts w:ascii="Calibri"/>
                <w:sz w:val="18"/>
              </w:rPr>
            </w:pPr>
            <w:r>
              <w:rPr>
                <w:rFonts w:ascii="Calibri"/>
                <w:sz w:val="18"/>
              </w:rPr>
              <w:t>are based on 1,513 hours per year.</w:t>
            </w:r>
          </w:p>
        </w:tc>
      </w:tr>
      <w:tr w:rsidR="006A18FD">
        <w:trPr>
          <w:trHeight w:val="880"/>
        </w:trPr>
        <w:tc>
          <w:tcPr>
            <w:tcW w:w="2232" w:type="dxa"/>
          </w:tcPr>
          <w:p w:rsidR="006A18FD" w:rsidRDefault="002D29FC">
            <w:pPr>
              <w:ind w:left="52"/>
              <w:rPr>
                <w:rFonts w:ascii="Calibri"/>
                <w:sz w:val="18"/>
              </w:rPr>
            </w:pPr>
            <w:r>
              <w:rPr>
                <w:rFonts w:ascii="Calibri"/>
                <w:sz w:val="18"/>
              </w:rPr>
              <w:t>Ratios of direct to indirect time on:</w:t>
            </w:r>
          </w:p>
          <w:p w:rsidR="006A18FD" w:rsidRDefault="002D29FC">
            <w:pPr>
              <w:spacing w:before="12"/>
              <w:ind w:left="52"/>
              <w:rPr>
                <w:rFonts w:ascii="Calibri"/>
                <w:sz w:val="18"/>
              </w:rPr>
            </w:pPr>
            <w:r>
              <w:rPr>
                <w:rFonts w:ascii="Calibri"/>
                <w:sz w:val="18"/>
              </w:rPr>
              <w:t>Client-related work</w:t>
            </w:r>
          </w:p>
        </w:tc>
        <w:tc>
          <w:tcPr>
            <w:tcW w:w="1681" w:type="dxa"/>
          </w:tcPr>
          <w:p w:rsidR="006A18FD" w:rsidRDefault="006A18FD">
            <w:pPr>
              <w:rPr>
                <w:rFonts w:ascii="Times New Roman"/>
                <w:sz w:val="16"/>
              </w:rPr>
            </w:pPr>
          </w:p>
        </w:tc>
        <w:tc>
          <w:tcPr>
            <w:tcW w:w="6131" w:type="dxa"/>
          </w:tcPr>
          <w:p w:rsidR="006A18FD" w:rsidRDefault="002D29FC">
            <w:pPr>
              <w:ind w:left="102" w:right="109"/>
              <w:rPr>
                <w:rFonts w:ascii="Calibri"/>
                <w:sz w:val="18"/>
              </w:rPr>
            </w:pPr>
            <w:r>
              <w:rPr>
                <w:rFonts w:ascii="Calibri"/>
                <w:sz w:val="18"/>
              </w:rPr>
              <w:t>No current information available on client-related activity. See previous editions of this publication for sources of information.</w:t>
            </w:r>
          </w:p>
        </w:tc>
      </w:tr>
      <w:tr w:rsidR="006A18FD">
        <w:trPr>
          <w:trHeight w:val="420"/>
        </w:trPr>
        <w:tc>
          <w:tcPr>
            <w:tcW w:w="2232" w:type="dxa"/>
          </w:tcPr>
          <w:p w:rsidR="006A18FD" w:rsidRDefault="002D29FC">
            <w:pPr>
              <w:spacing w:line="219" w:lineRule="exact"/>
              <w:ind w:left="52"/>
              <w:rPr>
                <w:rFonts w:ascii="Calibri"/>
                <w:sz w:val="18"/>
              </w:rPr>
            </w:pPr>
            <w:r>
              <w:rPr>
                <w:rFonts w:ascii="Calibri"/>
                <w:sz w:val="18"/>
              </w:rPr>
              <w:t>Duration of visit</w:t>
            </w:r>
          </w:p>
        </w:tc>
        <w:tc>
          <w:tcPr>
            <w:tcW w:w="1681" w:type="dxa"/>
          </w:tcPr>
          <w:p w:rsidR="006A18FD" w:rsidRDefault="006A18FD">
            <w:pPr>
              <w:rPr>
                <w:rFonts w:ascii="Times New Roman"/>
                <w:sz w:val="16"/>
              </w:rPr>
            </w:pPr>
          </w:p>
        </w:tc>
        <w:tc>
          <w:tcPr>
            <w:tcW w:w="6131" w:type="dxa"/>
          </w:tcPr>
          <w:p w:rsidR="006A18FD" w:rsidRDefault="002D29FC">
            <w:pPr>
              <w:spacing w:line="219" w:lineRule="exact"/>
              <w:ind w:left="102"/>
              <w:rPr>
                <w:rFonts w:ascii="Calibri"/>
                <w:sz w:val="18"/>
              </w:rPr>
            </w:pPr>
            <w:r>
              <w:rPr>
                <w:rFonts w:ascii="Calibri"/>
                <w:sz w:val="18"/>
              </w:rPr>
              <w:t>It is not possible to estimate a cost per visit as there is no information available</w:t>
            </w:r>
          </w:p>
          <w:p w:rsidR="006A18FD" w:rsidRDefault="002D29FC">
            <w:pPr>
              <w:spacing w:before="1" w:line="199" w:lineRule="exact"/>
              <w:ind w:left="102"/>
              <w:rPr>
                <w:rFonts w:ascii="Calibri"/>
                <w:sz w:val="18"/>
              </w:rPr>
            </w:pPr>
            <w:r>
              <w:rPr>
                <w:rFonts w:ascii="Calibri"/>
                <w:sz w:val="18"/>
              </w:rPr>
              <w:t>on the number or duration of visits.</w:t>
            </w:r>
          </w:p>
        </w:tc>
      </w:tr>
      <w:tr w:rsidR="006A18FD">
        <w:trPr>
          <w:trHeight w:val="420"/>
        </w:trPr>
        <w:tc>
          <w:tcPr>
            <w:tcW w:w="2232" w:type="dxa"/>
          </w:tcPr>
          <w:p w:rsidR="006A18FD" w:rsidRDefault="002D29FC">
            <w:pPr>
              <w:spacing w:before="1"/>
              <w:ind w:left="52"/>
              <w:rPr>
                <w:rFonts w:ascii="Calibri"/>
                <w:sz w:val="18"/>
              </w:rPr>
            </w:pPr>
            <w:r>
              <w:rPr>
                <w:rFonts w:ascii="Calibri"/>
                <w:sz w:val="18"/>
              </w:rPr>
              <w:t>London multiplier</w:t>
            </w:r>
          </w:p>
        </w:tc>
        <w:tc>
          <w:tcPr>
            <w:tcW w:w="1681" w:type="dxa"/>
          </w:tcPr>
          <w:p w:rsidR="006A18FD" w:rsidRDefault="002D29FC">
            <w:pPr>
              <w:spacing w:before="1"/>
              <w:ind w:left="102"/>
              <w:rPr>
                <w:rFonts w:ascii="Calibri"/>
                <w:sz w:val="18"/>
              </w:rPr>
            </w:pPr>
            <w:r>
              <w:rPr>
                <w:rFonts w:ascii="Calibri"/>
                <w:sz w:val="18"/>
              </w:rPr>
              <w:t>1.19 x A</w:t>
            </w:r>
          </w:p>
        </w:tc>
        <w:tc>
          <w:tcPr>
            <w:tcW w:w="6131" w:type="dxa"/>
          </w:tcPr>
          <w:p w:rsidR="006A18FD" w:rsidRDefault="002D29FC">
            <w:pPr>
              <w:spacing w:before="1" w:line="219" w:lineRule="exact"/>
              <w:ind w:left="102"/>
              <w:rPr>
                <w:rFonts w:ascii="Calibri"/>
                <w:sz w:val="18"/>
              </w:rPr>
            </w:pPr>
            <w:r>
              <w:rPr>
                <w:rFonts w:ascii="Calibri"/>
                <w:sz w:val="18"/>
              </w:rPr>
              <w:t>Allows for the higher costs associated with London compared to the national</w:t>
            </w:r>
          </w:p>
          <w:p w:rsidR="006A18FD" w:rsidRDefault="002D29FC">
            <w:pPr>
              <w:spacing w:line="199" w:lineRule="exact"/>
              <w:ind w:left="102"/>
              <w:rPr>
                <w:rFonts w:ascii="Calibri"/>
                <w:sz w:val="12"/>
              </w:rPr>
            </w:pPr>
            <w:r>
              <w:rPr>
                <w:rFonts w:ascii="Calibri"/>
                <w:sz w:val="18"/>
              </w:rPr>
              <w:t>average cost.</w:t>
            </w:r>
            <w:r>
              <w:rPr>
                <w:rFonts w:ascii="Calibri"/>
                <w:position w:val="5"/>
                <w:sz w:val="12"/>
              </w:rPr>
              <w:t>1,</w:t>
            </w:r>
          </w:p>
        </w:tc>
      </w:tr>
      <w:tr w:rsidR="006A18FD">
        <w:trPr>
          <w:trHeight w:val="420"/>
        </w:trPr>
        <w:tc>
          <w:tcPr>
            <w:tcW w:w="2232" w:type="dxa"/>
          </w:tcPr>
          <w:p w:rsidR="006A18FD" w:rsidRDefault="002D29FC">
            <w:pPr>
              <w:spacing w:before="1"/>
              <w:ind w:left="52"/>
              <w:rPr>
                <w:rFonts w:ascii="Calibri"/>
                <w:sz w:val="18"/>
              </w:rPr>
            </w:pPr>
            <w:r>
              <w:rPr>
                <w:rFonts w:ascii="Calibri"/>
                <w:sz w:val="18"/>
              </w:rPr>
              <w:t>Non-London multiplier</w:t>
            </w:r>
          </w:p>
        </w:tc>
        <w:tc>
          <w:tcPr>
            <w:tcW w:w="1681" w:type="dxa"/>
          </w:tcPr>
          <w:p w:rsidR="006A18FD" w:rsidRDefault="002D29FC">
            <w:pPr>
              <w:spacing w:before="1"/>
              <w:ind w:left="102"/>
              <w:rPr>
                <w:rFonts w:ascii="Calibri"/>
                <w:sz w:val="18"/>
              </w:rPr>
            </w:pPr>
            <w:r>
              <w:rPr>
                <w:rFonts w:ascii="Calibri"/>
                <w:sz w:val="18"/>
              </w:rPr>
              <w:t>0.96 x A</w:t>
            </w:r>
          </w:p>
        </w:tc>
        <w:tc>
          <w:tcPr>
            <w:tcW w:w="6131" w:type="dxa"/>
          </w:tcPr>
          <w:p w:rsidR="006A18FD" w:rsidRDefault="002D29FC">
            <w:pPr>
              <w:spacing w:before="1" w:line="219" w:lineRule="exact"/>
              <w:ind w:left="102"/>
              <w:rPr>
                <w:rFonts w:ascii="Calibri"/>
                <w:sz w:val="18"/>
              </w:rPr>
            </w:pPr>
            <w:r>
              <w:rPr>
                <w:rFonts w:ascii="Calibri"/>
                <w:sz w:val="18"/>
              </w:rPr>
              <w:t>Allows for the lower costs associated with working outside London compared to</w:t>
            </w:r>
          </w:p>
          <w:p w:rsidR="006A18FD" w:rsidRDefault="002D29FC">
            <w:pPr>
              <w:spacing w:line="199" w:lineRule="exact"/>
              <w:ind w:left="102"/>
              <w:rPr>
                <w:rFonts w:ascii="Calibri"/>
                <w:sz w:val="12"/>
              </w:rPr>
            </w:pPr>
            <w:r>
              <w:rPr>
                <w:rFonts w:ascii="Calibri"/>
                <w:sz w:val="18"/>
              </w:rPr>
              <w:t>the national average cost.</w:t>
            </w:r>
            <w:r>
              <w:rPr>
                <w:rFonts w:ascii="Calibri"/>
                <w:position w:val="5"/>
                <w:sz w:val="12"/>
              </w:rPr>
              <w:t>1</w:t>
            </w:r>
          </w:p>
        </w:tc>
      </w:tr>
      <w:tr w:rsidR="006A18FD">
        <w:trPr>
          <w:trHeight w:val="220"/>
        </w:trPr>
        <w:tc>
          <w:tcPr>
            <w:tcW w:w="10044" w:type="dxa"/>
            <w:gridSpan w:val="3"/>
          </w:tcPr>
          <w:p w:rsidR="006A18FD" w:rsidRDefault="002D29FC">
            <w:pPr>
              <w:spacing w:before="1" w:line="199" w:lineRule="exact"/>
              <w:ind w:left="52"/>
              <w:rPr>
                <w:rFonts w:ascii="Calibri"/>
                <w:b/>
                <w:sz w:val="18"/>
              </w:rPr>
            </w:pPr>
            <w:r>
              <w:rPr>
                <w:rFonts w:ascii="Calibri"/>
                <w:b/>
                <w:sz w:val="18"/>
              </w:rPr>
              <w:t>Unit costs available 2017/2018 (costs including qualifications given in brackets)</w:t>
            </w:r>
          </w:p>
        </w:tc>
      </w:tr>
      <w:tr w:rsidR="006A18FD">
        <w:trPr>
          <w:trHeight w:val="220"/>
        </w:trPr>
        <w:tc>
          <w:tcPr>
            <w:tcW w:w="10044" w:type="dxa"/>
            <w:gridSpan w:val="3"/>
          </w:tcPr>
          <w:p w:rsidR="006A18FD" w:rsidRDefault="002D29FC">
            <w:pPr>
              <w:spacing w:before="1" w:line="199" w:lineRule="exact"/>
              <w:ind w:left="52"/>
              <w:rPr>
                <w:rFonts w:ascii="Calibri" w:hAnsi="Calibri"/>
                <w:sz w:val="18"/>
              </w:rPr>
            </w:pPr>
            <w:r>
              <w:rPr>
                <w:rFonts w:ascii="Calibri" w:hAnsi="Calibri"/>
                <w:sz w:val="18"/>
              </w:rPr>
              <w:t>£45 (£51) per hour</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3"/>
        <w:rPr>
          <w:rFonts w:ascii="Cambria"/>
          <w:b/>
          <w:sz w:val="45"/>
        </w:rPr>
      </w:pPr>
    </w:p>
    <w:p w:rsidR="006A18FD" w:rsidRDefault="002D29FC">
      <w:pPr>
        <w:spacing w:before="1" w:line="171" w:lineRule="exact"/>
        <w:ind w:left="140"/>
        <w:rPr>
          <w:rFonts w:ascii="Calibri"/>
          <w:sz w:val="14"/>
        </w:rPr>
      </w:pPr>
      <w:r>
        <w:rPr>
          <w:rFonts w:ascii="Calibri"/>
          <w:position w:val="4"/>
          <w:sz w:val="9"/>
        </w:rPr>
        <w:t xml:space="preserve">1 </w:t>
      </w:r>
      <w:r>
        <w:rPr>
          <w:rFonts w:ascii="Calibri"/>
          <w:sz w:val="14"/>
        </w:rPr>
        <w:t xml:space="preserve">Skills for Care (2019) </w:t>
      </w:r>
      <w:r>
        <w:rPr>
          <w:rFonts w:ascii="Calibri"/>
          <w:i/>
          <w:sz w:val="14"/>
        </w:rPr>
        <w:t>National Minimum Dataset-Social Care online</w:t>
      </w:r>
      <w:r>
        <w:rPr>
          <w:rFonts w:ascii="Calibri"/>
          <w:sz w:val="14"/>
        </w:rPr>
        <w:t xml:space="preserve">, </w:t>
      </w:r>
      <w:hyperlink r:id="rId373">
        <w:r>
          <w:rPr>
            <w:rFonts w:ascii="Calibri"/>
            <w:sz w:val="14"/>
            <w:u w:val="single"/>
          </w:rPr>
          <w:t>https://www.nmds-sc-online.org.uk/</w:t>
        </w:r>
        <w:r>
          <w:rPr>
            <w:rFonts w:ascii="Calibri"/>
            <w:sz w:val="14"/>
          </w:rPr>
          <w:t xml:space="preserve"> </w:t>
        </w:r>
      </w:hyperlink>
      <w:r>
        <w:rPr>
          <w:rFonts w:ascii="Calibri"/>
          <w:sz w:val="14"/>
        </w:rPr>
        <w:t>[accessed 3 October 2019].</w:t>
      </w:r>
    </w:p>
    <w:p w:rsidR="006A18FD" w:rsidRDefault="002D29FC">
      <w:pPr>
        <w:ind w:left="423" w:right="462" w:hanging="284"/>
        <w:rPr>
          <w:rFonts w:ascii="Calibri"/>
          <w:sz w:val="14"/>
        </w:rPr>
      </w:pPr>
      <w:r>
        <w:rPr>
          <w:rFonts w:ascii="Calibri"/>
          <w:position w:val="4"/>
          <w:sz w:val="9"/>
        </w:rPr>
        <w:t xml:space="preserve">2 </w:t>
      </w:r>
      <w:r>
        <w:rPr>
          <w:rFonts w:ascii="Calibri"/>
          <w:sz w:val="14"/>
        </w:rPr>
        <w:t xml:space="preserve">Local Government Pension Scheme Advisory Board (2017) </w:t>
      </w:r>
      <w:r>
        <w:rPr>
          <w:rFonts w:ascii="Calibri"/>
          <w:i/>
          <w:sz w:val="14"/>
        </w:rPr>
        <w:t>Fund Valuations 2016</w:t>
      </w:r>
      <w:r>
        <w:rPr>
          <w:rFonts w:ascii="Calibri"/>
          <w:sz w:val="14"/>
        </w:rPr>
        <w:t xml:space="preserve">, LGPS Advisory Board, London. </w:t>
      </w:r>
      <w:hyperlink r:id="rId374">
        <w:r>
          <w:rPr>
            <w:rFonts w:ascii="Calibri"/>
            <w:sz w:val="14"/>
            <w:u w:val="single"/>
          </w:rPr>
          <w:t>http://lgpsboard.org/index.php/schemedata</w:t>
        </w:r>
        <w:r>
          <w:rPr>
            <w:rFonts w:ascii="Calibri"/>
            <w:sz w:val="14"/>
          </w:rPr>
          <w:t xml:space="preserve"> </w:t>
        </w:r>
      </w:hyperlink>
      <w:r>
        <w:rPr>
          <w:rFonts w:ascii="Calibri"/>
          <w:sz w:val="14"/>
        </w:rPr>
        <w:t>[accessed 12 November 2017].</w:t>
      </w:r>
    </w:p>
    <w:p w:rsidR="006A18FD" w:rsidRDefault="002D29FC">
      <w:pPr>
        <w:spacing w:before="2"/>
        <w:ind w:left="423" w:right="345" w:hanging="284"/>
        <w:rPr>
          <w:rFonts w:ascii="Calibri"/>
          <w:sz w:val="14"/>
        </w:rPr>
      </w:pPr>
      <w:r>
        <w:rPr>
          <w:rFonts w:ascii="Calibri"/>
          <w:position w:val="4"/>
          <w:sz w:val="9"/>
        </w:rPr>
        <w:t xml:space="preserve">3 </w:t>
      </w:r>
      <w:r>
        <w:rPr>
          <w:rFonts w:ascii="Calibri"/>
          <w:sz w:val="14"/>
        </w:rPr>
        <w:t xml:space="preserve">Netten, A., Knight, J., Dennett, J., Cooley, R. &amp; Slight, A. (1998) </w:t>
      </w:r>
      <w:r>
        <w:rPr>
          <w:rFonts w:ascii="Calibri"/>
          <w:i/>
          <w:sz w:val="14"/>
        </w:rPr>
        <w:t>Development of a ready reckoner for staff costs in the NHS, Vols 1 &amp; 2</w:t>
      </w:r>
      <w:r>
        <w:rPr>
          <w:rFonts w:ascii="Calibri"/>
          <w:sz w:val="14"/>
        </w:rPr>
        <w:t>, Personal Social Services Research Unit, University of Kent, Canterbury.</w:t>
      </w:r>
    </w:p>
    <w:p w:rsidR="006A18FD" w:rsidRDefault="002D29FC">
      <w:pPr>
        <w:ind w:left="423" w:right="2339" w:hanging="284"/>
        <w:rPr>
          <w:rFonts w:ascii="Calibri"/>
          <w:sz w:val="14"/>
        </w:rPr>
      </w:pPr>
      <w:r>
        <w:rPr>
          <w:rFonts w:ascii="Calibri"/>
          <w:position w:val="4"/>
          <w:sz w:val="9"/>
        </w:rPr>
        <w:t xml:space="preserve">4 </w:t>
      </w:r>
      <w:r>
        <w:rPr>
          <w:rFonts w:ascii="Calibri"/>
          <w:sz w:val="14"/>
        </w:rPr>
        <w:t xml:space="preserve">Curtis, L. Moriarty, J. &amp; Netten, A. (2011) The costs of qualifying a social worker, </w:t>
      </w:r>
      <w:r>
        <w:rPr>
          <w:rFonts w:ascii="Calibri"/>
          <w:i/>
          <w:sz w:val="14"/>
        </w:rPr>
        <w:t>British Journal of Social Work</w:t>
      </w:r>
      <w:r>
        <w:rPr>
          <w:rFonts w:ascii="Calibri"/>
          <w:sz w:val="14"/>
        </w:rPr>
        <w:t>, doi</w:t>
      </w:r>
      <w:r>
        <w:rPr>
          <w:rFonts w:ascii="Verdana"/>
          <w:color w:val="333300"/>
          <w:sz w:val="14"/>
        </w:rPr>
        <w:t>:</w:t>
      </w:r>
      <w:r>
        <w:rPr>
          <w:rFonts w:ascii="Calibri"/>
          <w:sz w:val="14"/>
        </w:rPr>
        <w:t xml:space="preserve">10.1093/bjsw/bcr113. </w:t>
      </w:r>
      <w:hyperlink r:id="rId375">
        <w:r>
          <w:rPr>
            <w:rFonts w:ascii="Calibri"/>
            <w:sz w:val="14"/>
            <w:u w:val="single"/>
          </w:rPr>
          <w:t>http://bjsw.oxfordjournals.org/content/early/2011/08/22/bjsw.bcr113.short?rss=1/</w:t>
        </w:r>
        <w:r>
          <w:rPr>
            <w:rFonts w:ascii="Calibri"/>
            <w:sz w:val="14"/>
          </w:rPr>
          <w:t xml:space="preserve"> </w:t>
        </w:r>
      </w:hyperlink>
      <w:r>
        <w:rPr>
          <w:rFonts w:ascii="Calibri"/>
          <w:sz w:val="14"/>
        </w:rPr>
        <w:t>[accessed 26 September 2013].</w:t>
      </w:r>
    </w:p>
    <w:p w:rsidR="006A18FD" w:rsidRDefault="00E60AD2">
      <w:pPr>
        <w:spacing w:before="2"/>
        <w:ind w:left="140"/>
        <w:rPr>
          <w:rFonts w:ascii="Calibri"/>
          <w:sz w:val="14"/>
        </w:rPr>
      </w:pPr>
      <w:r>
        <w:rPr>
          <w:noProof/>
          <w:lang w:val="en-GB" w:eastAsia="en-GB"/>
        </w:rPr>
        <mc:AlternateContent>
          <mc:Choice Requires="wps">
            <w:drawing>
              <wp:anchor distT="0" distB="0" distL="114300" distR="114300" simplePos="0" relativeHeight="251615232" behindDoc="1" locked="0" layoutInCell="1" allowOverlap="1">
                <wp:simplePos x="0" y="0"/>
                <wp:positionH relativeFrom="page">
                  <wp:posOffset>4297045</wp:posOffset>
                </wp:positionH>
                <wp:positionV relativeFrom="paragraph">
                  <wp:posOffset>99695</wp:posOffset>
                </wp:positionV>
                <wp:extent cx="1434465" cy="0"/>
                <wp:effectExtent l="10795" t="13970" r="12065" b="5080"/>
                <wp:wrapNone/>
                <wp:docPr id="2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CC985" id="Line 61"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35pt,7.85pt" to="451.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" strokeweight=".48pt">
                <w10:wrap anchorx="page"/>
              </v:line>
            </w:pict>
          </mc:Fallback>
        </mc:AlternateContent>
      </w:r>
      <w:r w:rsidR="002D29FC">
        <w:rPr>
          <w:rFonts w:ascii="Calibri"/>
          <w:position w:val="4"/>
          <w:sz w:val="9"/>
        </w:rPr>
        <w:t xml:space="preserve">5 </w:t>
      </w:r>
      <w:r w:rsidR="002D29FC">
        <w:rPr>
          <w:rFonts w:ascii="Calibri"/>
          <w:sz w:val="14"/>
        </w:rPr>
        <w:t xml:space="preserve">British Association of Social Workers (2011) </w:t>
      </w:r>
      <w:r w:rsidR="002D29FC">
        <w:rPr>
          <w:rFonts w:ascii="Calibri"/>
          <w:i/>
          <w:sz w:val="14"/>
        </w:rPr>
        <w:t>Social work careers</w:t>
      </w:r>
      <w:r w:rsidR="002D29FC">
        <w:rPr>
          <w:rFonts w:ascii="Calibri"/>
          <w:sz w:val="14"/>
        </w:rPr>
        <w:t xml:space="preserve">, The British Association of Social Workers. </w:t>
      </w:r>
      <w:hyperlink r:id="rId376">
        <w:r w:rsidR="002D29FC">
          <w:rPr>
            <w:rFonts w:ascii="Calibri"/>
            <w:sz w:val="14"/>
          </w:rPr>
          <w:t xml:space="preserve">www.basw.co.uk/social-work-careers/ </w:t>
        </w:r>
      </w:hyperlink>
      <w:r w:rsidR="002D29FC">
        <w:rPr>
          <w:rFonts w:ascii="Calibri"/>
          <w:sz w:val="14"/>
        </w:rPr>
        <w:t>[accessed 9 October 2013].</w:t>
      </w:r>
    </w:p>
    <w:p w:rsidR="006A18FD" w:rsidRDefault="002D29FC">
      <w:pPr>
        <w:ind w:left="423" w:right="625" w:hanging="284"/>
        <w:rPr>
          <w:rFonts w:ascii="Calibri"/>
          <w:sz w:val="14"/>
        </w:rPr>
      </w:pPr>
      <w:r>
        <w:rPr>
          <w:rFonts w:ascii="Calibri"/>
          <w:position w:val="4"/>
          <w:sz w:val="9"/>
        </w:rPr>
        <w:t xml:space="preserve">6 </w:t>
      </w:r>
      <w:r>
        <w:rPr>
          <w:rFonts w:ascii="Calibri"/>
          <w:sz w:val="14"/>
        </w:rPr>
        <w:t xml:space="preserve">Based on information taken from Selwyn, J. et al. (2009) </w:t>
      </w:r>
      <w:r>
        <w:rPr>
          <w:rFonts w:ascii="Calibri"/>
          <w:i/>
          <w:sz w:val="14"/>
        </w:rPr>
        <w:t>Adoption and the inter-agency fee</w:t>
      </w:r>
      <w:r>
        <w:rPr>
          <w:rFonts w:ascii="Calibri"/>
          <w:sz w:val="14"/>
        </w:rPr>
        <w:t xml:space="preserve">, University of Bristol, Bristol; and Glendinning, C. et al. (2010) </w:t>
      </w:r>
      <w:r>
        <w:rPr>
          <w:rFonts w:ascii="Calibri"/>
          <w:i/>
          <w:sz w:val="14"/>
        </w:rPr>
        <w:t>Home care re- ablement services: investigating the longer-term impacts</w:t>
      </w:r>
      <w:r>
        <w:rPr>
          <w:rFonts w:ascii="Calibri"/>
          <w:sz w:val="14"/>
        </w:rPr>
        <w:t>, Final Report, University of York, PSSRU Kent, Department of Health, London.</w:t>
      </w:r>
    </w:p>
    <w:p w:rsidR="006A18FD" w:rsidRDefault="002D29FC">
      <w:pPr>
        <w:spacing w:before="1" w:line="170" w:lineRule="exact"/>
        <w:ind w:left="140"/>
        <w:rPr>
          <w:rFonts w:ascii="Calibri"/>
          <w:sz w:val="14"/>
        </w:rPr>
      </w:pPr>
      <w:r>
        <w:rPr>
          <w:rFonts w:ascii="Calibri"/>
          <w:position w:val="4"/>
          <w:sz w:val="9"/>
        </w:rPr>
        <w:t xml:space="preserve">7 </w:t>
      </w:r>
      <w:r>
        <w:rPr>
          <w:rFonts w:ascii="Calibri"/>
          <w:sz w:val="14"/>
        </w:rPr>
        <w:t xml:space="preserve">Building Cost Information Service (2017) </w:t>
      </w:r>
      <w:r>
        <w:rPr>
          <w:rFonts w:ascii="Calibri"/>
          <w:i/>
          <w:sz w:val="14"/>
        </w:rPr>
        <w:t>Surveys of tender prices</w:t>
      </w:r>
      <w:r>
        <w:rPr>
          <w:rFonts w:ascii="Calibri"/>
          <w:sz w:val="14"/>
        </w:rPr>
        <w:t>, Royal Institute of Chartered Surveyors, London.</w:t>
      </w:r>
    </w:p>
    <w:p w:rsidR="006A18FD" w:rsidRDefault="002D29FC">
      <w:pPr>
        <w:ind w:left="423" w:right="526" w:hanging="284"/>
        <w:rPr>
          <w:rFonts w:ascii="Calibri"/>
          <w:sz w:val="14"/>
        </w:rPr>
      </w:pPr>
      <w:r>
        <w:rPr>
          <w:rFonts w:ascii="Calibri"/>
          <w:position w:val="4"/>
          <w:sz w:val="9"/>
        </w:rPr>
        <w:t xml:space="preserve">8 </w:t>
      </w:r>
      <w:r>
        <w:rPr>
          <w:rFonts w:ascii="Calibri"/>
          <w:sz w:val="14"/>
        </w:rPr>
        <w:t xml:space="preserve">Ministry of Housing, Communities &amp; Local Government (2018) </w:t>
      </w:r>
      <w:r>
        <w:rPr>
          <w:rFonts w:ascii="Calibri"/>
          <w:i/>
          <w:sz w:val="14"/>
        </w:rPr>
        <w:t>Land value estimates for policy appraisal 2017</w:t>
      </w:r>
      <w:r>
        <w:rPr>
          <w:rFonts w:ascii="Calibri"/>
          <w:sz w:val="14"/>
        </w:rPr>
        <w:t xml:space="preserve">, </w:t>
      </w:r>
      <w:hyperlink r:id="rId377">
        <w:r>
          <w:rPr>
            <w:rFonts w:ascii="Calibri"/>
            <w:sz w:val="14"/>
            <w:u w:val="single"/>
          </w:rPr>
          <w:t>https://www.gov.uk/government/publications/land-value-</w:t>
        </w:r>
      </w:hyperlink>
      <w:r>
        <w:rPr>
          <w:rFonts w:ascii="Calibri"/>
          <w:sz w:val="14"/>
        </w:rPr>
        <w:t xml:space="preserve"> </w:t>
      </w:r>
      <w:hyperlink r:id="rId378">
        <w:r>
          <w:rPr>
            <w:rFonts w:ascii="Calibri"/>
            <w:sz w:val="14"/>
            <w:u w:val="single"/>
          </w:rPr>
          <w:t xml:space="preserve">estimates-for-policy-appraisal-2017 </w:t>
        </w:r>
      </w:hyperlink>
      <w:r>
        <w:rPr>
          <w:rFonts w:ascii="Calibri"/>
          <w:sz w:val="14"/>
          <w:u w:val="single"/>
        </w:rPr>
        <w:t>[accessed 25 September 2018]</w:t>
      </w:r>
      <w:r>
        <w:rPr>
          <w:rFonts w:ascii="Calibri"/>
          <w:sz w:val="14"/>
        </w:rPr>
        <w:t>.</w:t>
      </w:r>
    </w:p>
    <w:p w:rsidR="006A18FD" w:rsidRDefault="002D29FC">
      <w:pPr>
        <w:ind w:left="423" w:right="1989" w:hanging="284"/>
        <w:rPr>
          <w:rFonts w:ascii="Calibri"/>
          <w:sz w:val="14"/>
        </w:rPr>
      </w:pPr>
      <w:r>
        <w:rPr>
          <w:rFonts w:ascii="Calibri"/>
          <w:position w:val="4"/>
          <w:sz w:val="9"/>
        </w:rPr>
        <w:t xml:space="preserve">9 </w:t>
      </w:r>
      <w:r>
        <w:rPr>
          <w:rFonts w:ascii="Calibri"/>
          <w:sz w:val="14"/>
        </w:rPr>
        <w:t xml:space="preserve">Local Government Employers (2019) </w:t>
      </w:r>
      <w:r>
        <w:rPr>
          <w:rFonts w:ascii="Calibri"/>
          <w:i/>
          <w:sz w:val="14"/>
        </w:rPr>
        <w:t>Green Book: National Agreement on pay and conditions of service</w:t>
      </w:r>
      <w:r>
        <w:rPr>
          <w:rFonts w:ascii="Calibri"/>
          <w:sz w:val="14"/>
        </w:rPr>
        <w:t>, Local Government Association, London. https://</w:t>
      </w:r>
      <w:hyperlink r:id="rId379">
        <w:r>
          <w:rPr>
            <w:rFonts w:ascii="Calibri"/>
            <w:sz w:val="14"/>
          </w:rPr>
          <w:t>www.gov.uk/government/publications/the-green-book-appraisal-and-evaluation-in-central-governent</w:t>
        </w:r>
      </w:hyperlink>
      <w:r>
        <w:rPr>
          <w:rFonts w:ascii="Calibri"/>
          <w:sz w:val="14"/>
          <w:u w:val="single"/>
        </w:rPr>
        <w:t xml:space="preserve"> [accessed 9 October 2019]</w:t>
      </w:r>
      <w:r>
        <w:rPr>
          <w:rFonts w:ascii="Calibri"/>
          <w:sz w:val="14"/>
        </w:rPr>
        <w:t>.</w:t>
      </w:r>
    </w:p>
    <w:p w:rsidR="006A18FD" w:rsidRDefault="002D29FC">
      <w:pPr>
        <w:ind w:left="423" w:right="278" w:hanging="284"/>
        <w:rPr>
          <w:rFonts w:ascii="Calibri"/>
          <w:sz w:val="14"/>
        </w:rPr>
      </w:pPr>
      <w:r>
        <w:rPr>
          <w:rFonts w:ascii="Calibri"/>
          <w:position w:val="4"/>
          <w:sz w:val="9"/>
        </w:rPr>
        <w:t>10</w:t>
      </w:r>
      <w:r>
        <w:rPr>
          <w:rFonts w:ascii="Calibri"/>
          <w:sz w:val="14"/>
        </w:rPr>
        <w:t xml:space="preserve">Local Government Association (2018) </w:t>
      </w:r>
      <w:r>
        <w:rPr>
          <w:rFonts w:ascii="Calibri"/>
          <w:i/>
          <w:sz w:val="14"/>
        </w:rPr>
        <w:t>Local government workforce survey 2016/17</w:t>
      </w:r>
      <w:r>
        <w:rPr>
          <w:rFonts w:ascii="Calibri"/>
          <w:sz w:val="14"/>
        </w:rPr>
        <w:t xml:space="preserve">, Local Government Association, London. </w:t>
      </w:r>
      <w:hyperlink r:id="rId380">
        <w:r>
          <w:rPr>
            <w:rFonts w:ascii="Calibri"/>
            <w:sz w:val="14"/>
            <w:u w:val="single"/>
          </w:rPr>
          <w:t>https://www.local.gov.uk/sites/default/files/documents/LG%20Workforce%20Survey%202016-17%20-%20report%20final%2020180718.pdf</w:t>
        </w:r>
        <w:r>
          <w:rPr>
            <w:rFonts w:ascii="Calibri"/>
            <w:sz w:val="14"/>
          </w:rPr>
          <w:t xml:space="preserve"> </w:t>
        </w:r>
      </w:hyperlink>
      <w:r>
        <w:rPr>
          <w:rFonts w:ascii="Calibri"/>
          <w:sz w:val="14"/>
        </w:rPr>
        <w:t>[accessed 20 October 2018].</w:t>
      </w:r>
    </w:p>
    <w:p w:rsidR="006A18FD" w:rsidRDefault="006A18FD">
      <w:pPr>
        <w:rPr>
          <w:rFonts w:ascii="Calibri"/>
          <w:sz w:val="14"/>
        </w:rPr>
        <w:sectPr w:rsidR="006A18FD">
          <w:headerReference w:type="even" r:id="rId381"/>
          <w:headerReference w:type="default" r:id="rId382"/>
          <w:pgSz w:w="11910" w:h="16840"/>
          <w:pgMar w:top="960" w:right="980" w:bottom="280" w:left="580" w:header="751" w:footer="0" w:gutter="0"/>
          <w:cols w:space="720"/>
        </w:sect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03" name="Line 60"/>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CF195E" id="Group 59"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V1/hWn4CAAB/BQAA&#10;DgAAAAAAAAAAAAAAAAAuAgAAZHJzL2Uyb0RvYy54bWxQSwECLQAUAAYACAAAACEALXfkXNoAAAAE&#10;AQAADwAAAAAAAAAAAAAAAADYBAAAZHJzL2Rvd25yZXYueG1sUEsFBgAAAAAEAAQA8wAAAN8FAAAA&#10;AA==&#10;">
                <v:line id="Line 60"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w10:anchorlock/>
              </v:group>
            </w:pict>
          </mc:Fallback>
        </mc:AlternateContent>
      </w:r>
    </w:p>
    <w:p w:rsidR="006A18FD" w:rsidRDefault="00AF6861" w:rsidP="00AF6861">
      <w:pPr>
        <w:pStyle w:val="Heading2"/>
      </w:pPr>
      <w:r>
        <w:t>11.2 Social worker (children’s services)</w:t>
      </w:r>
    </w:p>
    <w:p w:rsidR="006A18FD" w:rsidRDefault="006A18FD">
      <w:pPr>
        <w:spacing w:before="1" w:after="1"/>
        <w:rPr>
          <w:rFonts w:ascii="Calibri"/>
          <w:sz w:val="14"/>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1678"/>
        <w:gridCol w:w="6160"/>
      </w:tblGrid>
      <w:tr w:rsidR="006A18FD" w:rsidTr="00E2663F">
        <w:trPr>
          <w:trHeight w:val="340"/>
          <w:tblHeader/>
        </w:trPr>
        <w:tc>
          <w:tcPr>
            <w:tcW w:w="2206" w:type="dxa"/>
          </w:tcPr>
          <w:p w:rsidR="006A18FD" w:rsidRDefault="002D29FC">
            <w:pPr>
              <w:spacing w:before="1"/>
              <w:ind w:left="52"/>
              <w:rPr>
                <w:rFonts w:ascii="Calibri"/>
                <w:b/>
                <w:sz w:val="18"/>
              </w:rPr>
            </w:pPr>
            <w:r>
              <w:rPr>
                <w:rFonts w:ascii="Calibri"/>
                <w:b/>
                <w:sz w:val="18"/>
              </w:rPr>
              <w:t>Costs and unit estimation</w:t>
            </w:r>
          </w:p>
        </w:tc>
        <w:tc>
          <w:tcPr>
            <w:tcW w:w="1678" w:type="dxa"/>
          </w:tcPr>
          <w:p w:rsidR="006A18FD" w:rsidRDefault="002D29FC">
            <w:pPr>
              <w:spacing w:before="1"/>
              <w:ind w:left="52"/>
              <w:rPr>
                <w:rFonts w:ascii="Calibri"/>
                <w:b/>
                <w:sz w:val="18"/>
              </w:rPr>
            </w:pPr>
            <w:r>
              <w:rPr>
                <w:rFonts w:ascii="Calibri"/>
                <w:b/>
                <w:sz w:val="18"/>
              </w:rPr>
              <w:t>2018/2019 value</w:t>
            </w:r>
          </w:p>
        </w:tc>
        <w:tc>
          <w:tcPr>
            <w:tcW w:w="6159" w:type="dxa"/>
          </w:tcPr>
          <w:p w:rsidR="006A18FD" w:rsidRDefault="002D29FC">
            <w:pPr>
              <w:spacing w:before="1"/>
              <w:ind w:left="55"/>
              <w:rPr>
                <w:rFonts w:ascii="Calibri"/>
                <w:b/>
                <w:sz w:val="18"/>
              </w:rPr>
            </w:pPr>
            <w:r>
              <w:rPr>
                <w:rFonts w:ascii="Calibri"/>
                <w:b/>
                <w:sz w:val="18"/>
              </w:rPr>
              <w:t>Notes</w:t>
            </w:r>
          </w:p>
        </w:tc>
      </w:tr>
      <w:tr w:rsidR="006A18FD">
        <w:trPr>
          <w:trHeight w:val="860"/>
        </w:trPr>
        <w:tc>
          <w:tcPr>
            <w:tcW w:w="2206" w:type="dxa"/>
          </w:tcPr>
          <w:p w:rsidR="006A18FD" w:rsidRDefault="002D29FC">
            <w:pPr>
              <w:spacing w:before="1"/>
              <w:ind w:left="52"/>
              <w:rPr>
                <w:rFonts w:ascii="Calibri"/>
                <w:sz w:val="18"/>
              </w:rPr>
            </w:pPr>
            <w:r>
              <w:rPr>
                <w:rFonts w:ascii="Calibri"/>
                <w:sz w:val="18"/>
              </w:rPr>
              <w:t>A. Salary</w:t>
            </w:r>
          </w:p>
        </w:tc>
        <w:tc>
          <w:tcPr>
            <w:tcW w:w="1678" w:type="dxa"/>
          </w:tcPr>
          <w:p w:rsidR="006A18FD" w:rsidRDefault="002D29FC">
            <w:pPr>
              <w:spacing w:before="1"/>
              <w:ind w:left="52"/>
              <w:rPr>
                <w:rFonts w:ascii="Calibri" w:hAnsi="Calibri"/>
                <w:sz w:val="18"/>
              </w:rPr>
            </w:pPr>
            <w:r>
              <w:rPr>
                <w:rFonts w:ascii="Calibri" w:hAnsi="Calibri"/>
                <w:sz w:val="18"/>
              </w:rPr>
              <w:t>£34,748 per year</w:t>
            </w:r>
          </w:p>
        </w:tc>
        <w:tc>
          <w:tcPr>
            <w:tcW w:w="6159" w:type="dxa"/>
          </w:tcPr>
          <w:p w:rsidR="006A18FD" w:rsidRDefault="002D29FC">
            <w:pPr>
              <w:spacing w:before="1"/>
              <w:ind w:left="55" w:right="347"/>
              <w:jc w:val="both"/>
              <w:rPr>
                <w:rFonts w:ascii="Calibri"/>
                <w:sz w:val="18"/>
              </w:rPr>
            </w:pPr>
            <w:r>
              <w:rPr>
                <w:rFonts w:ascii="Calibri"/>
                <w:sz w:val="18"/>
              </w:rPr>
              <w:t>Information taken from the National Minimum Data Set for Social Care 2019</w:t>
            </w:r>
            <w:r>
              <w:rPr>
                <w:rFonts w:ascii="Calibri"/>
                <w:position w:val="5"/>
                <w:sz w:val="12"/>
              </w:rPr>
              <w:t xml:space="preserve">1 </w:t>
            </w:r>
            <w:r>
              <w:rPr>
                <w:rFonts w:ascii="Calibri"/>
                <w:sz w:val="18"/>
              </w:rPr>
              <w:t>showed that the mean basic salary for a social worker, based on the weighted mean annual salary for a local authority and independent sector social worker,</w:t>
            </w:r>
          </w:p>
          <w:p w:rsidR="006A18FD" w:rsidRDefault="002D29FC">
            <w:pPr>
              <w:spacing w:line="198" w:lineRule="exact"/>
              <w:ind w:left="55"/>
              <w:jc w:val="both"/>
              <w:rPr>
                <w:rFonts w:ascii="Calibri" w:hAnsi="Calibri"/>
                <w:sz w:val="18"/>
              </w:rPr>
            </w:pPr>
            <w:r>
              <w:rPr>
                <w:rFonts w:ascii="Calibri" w:hAnsi="Calibri"/>
                <w:sz w:val="18"/>
              </w:rPr>
              <w:t>working in children’s services was £34,748.</w:t>
            </w:r>
          </w:p>
        </w:tc>
      </w:tr>
      <w:tr w:rsidR="006A18FD">
        <w:trPr>
          <w:trHeight w:val="420"/>
        </w:trPr>
        <w:tc>
          <w:tcPr>
            <w:tcW w:w="2206" w:type="dxa"/>
          </w:tcPr>
          <w:p w:rsidR="006A18FD" w:rsidRDefault="002D29FC">
            <w:pPr>
              <w:spacing w:before="1"/>
              <w:ind w:left="52"/>
              <w:rPr>
                <w:rFonts w:ascii="Calibri"/>
                <w:sz w:val="18"/>
              </w:rPr>
            </w:pPr>
            <w:r>
              <w:rPr>
                <w:rFonts w:ascii="Calibri"/>
                <w:sz w:val="18"/>
              </w:rPr>
              <w:t>B. Salary oncosts</w:t>
            </w:r>
          </w:p>
        </w:tc>
        <w:tc>
          <w:tcPr>
            <w:tcW w:w="1678" w:type="dxa"/>
          </w:tcPr>
          <w:p w:rsidR="006A18FD" w:rsidRDefault="002D29FC">
            <w:pPr>
              <w:spacing w:before="1"/>
              <w:ind w:left="52"/>
              <w:rPr>
                <w:rFonts w:ascii="Calibri" w:hAnsi="Calibri"/>
                <w:sz w:val="18"/>
              </w:rPr>
            </w:pPr>
            <w:r>
              <w:rPr>
                <w:rFonts w:ascii="Calibri" w:hAnsi="Calibri"/>
                <w:sz w:val="18"/>
              </w:rPr>
              <w:t>£9,570 per year</w:t>
            </w:r>
          </w:p>
        </w:tc>
        <w:tc>
          <w:tcPr>
            <w:tcW w:w="6159" w:type="dxa"/>
          </w:tcPr>
          <w:p w:rsidR="006A18FD" w:rsidRDefault="002D29FC">
            <w:pPr>
              <w:spacing w:before="1" w:line="219" w:lineRule="exact"/>
              <w:ind w:left="55"/>
              <w:rPr>
                <w:rFonts w:ascii="Calibri" w:hAnsi="Calibri"/>
                <w:sz w:val="18"/>
              </w:rPr>
            </w:pPr>
            <w:r>
              <w:rPr>
                <w:rFonts w:ascii="Calibri" w:hAnsi="Calibri"/>
                <w:sz w:val="18"/>
              </w:rPr>
              <w:t>Employer’s national insurance contribution is included, plus 17 per cent of salary</w:t>
            </w:r>
          </w:p>
          <w:p w:rsidR="006A18FD" w:rsidRDefault="002D29FC">
            <w:pPr>
              <w:spacing w:line="199" w:lineRule="exact"/>
              <w:ind w:left="55"/>
              <w:rPr>
                <w:rFonts w:ascii="Calibri" w:hAnsi="Calibri"/>
                <w:sz w:val="12"/>
              </w:rPr>
            </w:pPr>
            <w:r>
              <w:rPr>
                <w:rFonts w:ascii="Calibri" w:hAnsi="Calibri"/>
                <w:sz w:val="18"/>
              </w:rPr>
              <w:t>for employer’s contribution to superannuation.</w:t>
            </w:r>
            <w:r>
              <w:rPr>
                <w:rFonts w:ascii="Calibri" w:hAnsi="Calibri"/>
                <w:position w:val="5"/>
                <w:sz w:val="12"/>
              </w:rPr>
              <w:t>2</w:t>
            </w:r>
          </w:p>
        </w:tc>
      </w:tr>
      <w:tr w:rsidR="006A18FD">
        <w:trPr>
          <w:trHeight w:val="640"/>
        </w:trPr>
        <w:tc>
          <w:tcPr>
            <w:tcW w:w="2206" w:type="dxa"/>
          </w:tcPr>
          <w:p w:rsidR="006A18FD" w:rsidRDefault="002D29FC">
            <w:pPr>
              <w:spacing w:before="1"/>
              <w:ind w:left="52"/>
              <w:rPr>
                <w:rFonts w:ascii="Calibri"/>
                <w:sz w:val="18"/>
              </w:rPr>
            </w:pPr>
            <w:r>
              <w:rPr>
                <w:rFonts w:ascii="Calibri"/>
                <w:sz w:val="18"/>
              </w:rPr>
              <w:t>C. Qualifications</w:t>
            </w:r>
          </w:p>
        </w:tc>
        <w:tc>
          <w:tcPr>
            <w:tcW w:w="1678" w:type="dxa"/>
          </w:tcPr>
          <w:p w:rsidR="006A18FD" w:rsidRDefault="002D29FC">
            <w:pPr>
              <w:spacing w:before="1"/>
              <w:ind w:left="52"/>
              <w:rPr>
                <w:rFonts w:ascii="Calibri" w:hAnsi="Calibri"/>
                <w:sz w:val="18"/>
              </w:rPr>
            </w:pPr>
            <w:r>
              <w:rPr>
                <w:rFonts w:ascii="Calibri" w:hAnsi="Calibri"/>
                <w:sz w:val="18"/>
              </w:rPr>
              <w:t>£9,469 per year</w:t>
            </w:r>
          </w:p>
        </w:tc>
        <w:tc>
          <w:tcPr>
            <w:tcW w:w="6159" w:type="dxa"/>
          </w:tcPr>
          <w:p w:rsidR="006A18FD" w:rsidRDefault="002D29FC">
            <w:pPr>
              <w:spacing w:before="1"/>
              <w:ind w:left="55" w:right="136"/>
              <w:rPr>
                <w:rFonts w:ascii="Calibri"/>
                <w:sz w:val="18"/>
              </w:rPr>
            </w:pPr>
            <w:r>
              <w:rPr>
                <w:rFonts w:ascii="Calibri"/>
                <w:sz w:val="18"/>
              </w:rPr>
              <w:t>Qualification costs have been calculated using the method described in Netten et al. (1998).</w:t>
            </w:r>
            <w:r>
              <w:rPr>
                <w:rFonts w:ascii="Calibri"/>
                <w:position w:val="5"/>
                <w:sz w:val="12"/>
              </w:rPr>
              <w:t xml:space="preserve">3 </w:t>
            </w:r>
            <w:r>
              <w:rPr>
                <w:rFonts w:ascii="Calibri"/>
                <w:sz w:val="18"/>
              </w:rPr>
              <w:t>Current cost information is drawn from research carried out by Curtis</w:t>
            </w:r>
          </w:p>
          <w:p w:rsidR="006A18FD" w:rsidRDefault="002D29FC">
            <w:pPr>
              <w:spacing w:line="198" w:lineRule="exact"/>
              <w:ind w:left="55"/>
              <w:rPr>
                <w:rFonts w:ascii="Calibri"/>
                <w:sz w:val="12"/>
              </w:rPr>
            </w:pPr>
            <w:r>
              <w:rPr>
                <w:rFonts w:ascii="Calibri"/>
                <w:sz w:val="18"/>
              </w:rPr>
              <w:t>et al. (2011).</w:t>
            </w:r>
            <w:r>
              <w:rPr>
                <w:rFonts w:ascii="Calibri"/>
                <w:position w:val="5"/>
                <w:sz w:val="12"/>
              </w:rPr>
              <w:t>4</w:t>
            </w:r>
          </w:p>
        </w:tc>
      </w:tr>
      <w:tr w:rsidR="006A18FD">
        <w:trPr>
          <w:trHeight w:val="880"/>
        </w:trPr>
        <w:tc>
          <w:tcPr>
            <w:tcW w:w="2206" w:type="dxa"/>
          </w:tcPr>
          <w:p w:rsidR="006A18FD" w:rsidRDefault="002D29FC">
            <w:pPr>
              <w:spacing w:before="1"/>
              <w:ind w:left="52"/>
              <w:rPr>
                <w:rFonts w:ascii="Calibri"/>
                <w:sz w:val="18"/>
              </w:rPr>
            </w:pPr>
            <w:r>
              <w:rPr>
                <w:rFonts w:ascii="Calibri"/>
                <w:sz w:val="18"/>
              </w:rPr>
              <w:t>D. Ongoing training</w:t>
            </w:r>
          </w:p>
        </w:tc>
        <w:tc>
          <w:tcPr>
            <w:tcW w:w="1678" w:type="dxa"/>
          </w:tcPr>
          <w:p w:rsidR="006A18FD" w:rsidRDefault="006A18FD">
            <w:pPr>
              <w:rPr>
                <w:rFonts w:ascii="Times New Roman"/>
                <w:sz w:val="16"/>
              </w:rPr>
            </w:pPr>
          </w:p>
        </w:tc>
        <w:tc>
          <w:tcPr>
            <w:tcW w:w="6159" w:type="dxa"/>
          </w:tcPr>
          <w:p w:rsidR="006A18FD" w:rsidRDefault="002D29FC">
            <w:pPr>
              <w:spacing w:before="1"/>
              <w:ind w:left="55"/>
              <w:rPr>
                <w:rFonts w:ascii="Calibri"/>
                <w:sz w:val="18"/>
              </w:rPr>
            </w:pPr>
            <w:r>
              <w:rPr>
                <w:rFonts w:ascii="Calibri"/>
                <w:sz w:val="18"/>
              </w:rPr>
              <w:t>The General Social Care Council sets out a requirement that all social workers, as a condition of their three-yearly renewal of registration, should engage in</w:t>
            </w:r>
          </w:p>
          <w:p w:rsidR="006A18FD" w:rsidRDefault="002D29FC">
            <w:pPr>
              <w:spacing w:line="218" w:lineRule="exact"/>
              <w:ind w:left="55"/>
              <w:rPr>
                <w:rFonts w:ascii="Calibri" w:hAnsi="Calibri"/>
                <w:sz w:val="18"/>
              </w:rPr>
            </w:pPr>
            <w:r>
              <w:rPr>
                <w:rFonts w:ascii="Calibri" w:hAnsi="Calibri"/>
                <w:sz w:val="18"/>
              </w:rPr>
              <w:t>development activity to meet a ‘post registration teaching and learning’</w:t>
            </w:r>
          </w:p>
          <w:p w:rsidR="006A18FD" w:rsidRDefault="002D29FC">
            <w:pPr>
              <w:spacing w:before="1" w:line="199" w:lineRule="exact"/>
              <w:ind w:left="55"/>
              <w:rPr>
                <w:rFonts w:ascii="Calibri"/>
                <w:sz w:val="18"/>
              </w:rPr>
            </w:pPr>
            <w:r>
              <w:rPr>
                <w:rFonts w:ascii="Calibri"/>
                <w:sz w:val="18"/>
              </w:rPr>
              <w:t>requirement of 15 days or 90 hours.</w:t>
            </w:r>
            <w:r>
              <w:rPr>
                <w:rFonts w:ascii="Calibri"/>
                <w:position w:val="5"/>
                <w:sz w:val="12"/>
              </w:rPr>
              <w:t xml:space="preserve">5 </w:t>
            </w:r>
            <w:r>
              <w:rPr>
                <w:rFonts w:ascii="Calibri"/>
                <w:sz w:val="18"/>
              </w:rPr>
              <w:t>No costs are available.</w:t>
            </w:r>
          </w:p>
        </w:tc>
      </w:tr>
      <w:tr w:rsidR="006A18FD">
        <w:trPr>
          <w:trHeight w:val="1740"/>
        </w:trPr>
        <w:tc>
          <w:tcPr>
            <w:tcW w:w="2206" w:type="dxa"/>
          </w:tcPr>
          <w:p w:rsidR="006A18FD" w:rsidRDefault="002D29FC">
            <w:pPr>
              <w:spacing w:line="482" w:lineRule="auto"/>
              <w:ind w:left="52" w:right="761"/>
              <w:rPr>
                <w:rFonts w:ascii="Calibri"/>
                <w:sz w:val="18"/>
              </w:rPr>
            </w:pPr>
            <w:r>
              <w:rPr>
                <w:rFonts w:ascii="Calibri"/>
                <w:sz w:val="18"/>
              </w:rPr>
              <w:t>E. Overheads Direct overheads</w:t>
            </w:r>
          </w:p>
          <w:p w:rsidR="006A18FD" w:rsidRDefault="006A18FD">
            <w:pPr>
              <w:spacing w:before="9"/>
              <w:rPr>
                <w:rFonts w:ascii="Calibri"/>
                <w:sz w:val="17"/>
              </w:rPr>
            </w:pPr>
          </w:p>
          <w:p w:rsidR="006A18FD" w:rsidRDefault="002D29FC">
            <w:pPr>
              <w:ind w:left="52"/>
              <w:rPr>
                <w:rFonts w:ascii="Calibri"/>
                <w:sz w:val="18"/>
              </w:rPr>
            </w:pPr>
            <w:r>
              <w:rPr>
                <w:rFonts w:ascii="Calibri"/>
                <w:sz w:val="18"/>
              </w:rPr>
              <w:t>Indirect overheads</w:t>
            </w:r>
          </w:p>
        </w:tc>
        <w:tc>
          <w:tcPr>
            <w:tcW w:w="1678" w:type="dxa"/>
          </w:tcPr>
          <w:p w:rsidR="006A18FD" w:rsidRDefault="006A18FD">
            <w:pPr>
              <w:rPr>
                <w:rFonts w:ascii="Calibri"/>
                <w:sz w:val="18"/>
              </w:rPr>
            </w:pPr>
          </w:p>
          <w:p w:rsidR="006A18FD" w:rsidRDefault="006A18FD">
            <w:pPr>
              <w:spacing w:before="1"/>
              <w:rPr>
                <w:rFonts w:ascii="Calibri"/>
                <w:sz w:val="18"/>
              </w:rPr>
            </w:pPr>
          </w:p>
          <w:p w:rsidR="006A18FD" w:rsidRDefault="002D29FC">
            <w:pPr>
              <w:ind w:left="52"/>
              <w:rPr>
                <w:rFonts w:ascii="Calibri" w:hAnsi="Calibri"/>
                <w:sz w:val="18"/>
              </w:rPr>
            </w:pPr>
            <w:r>
              <w:rPr>
                <w:rFonts w:ascii="Calibri" w:hAnsi="Calibri"/>
                <w:sz w:val="18"/>
              </w:rPr>
              <w:t>£12,843 per year</w:t>
            </w:r>
          </w:p>
          <w:p w:rsidR="006A18FD" w:rsidRDefault="006A18FD">
            <w:pPr>
              <w:rPr>
                <w:rFonts w:ascii="Calibri"/>
                <w:sz w:val="18"/>
              </w:rPr>
            </w:pPr>
          </w:p>
          <w:p w:rsidR="006A18FD" w:rsidRDefault="006A18FD">
            <w:pPr>
              <w:spacing w:before="10"/>
              <w:rPr>
                <w:rFonts w:ascii="Calibri"/>
                <w:sz w:val="17"/>
              </w:rPr>
            </w:pPr>
          </w:p>
          <w:p w:rsidR="006A18FD" w:rsidRDefault="002D29FC">
            <w:pPr>
              <w:ind w:left="52"/>
              <w:rPr>
                <w:rFonts w:ascii="Calibri" w:hAnsi="Calibri"/>
                <w:sz w:val="18"/>
              </w:rPr>
            </w:pPr>
            <w:r>
              <w:rPr>
                <w:rFonts w:ascii="Calibri" w:hAnsi="Calibri"/>
                <w:sz w:val="18"/>
              </w:rPr>
              <w:t>£7,086 per year</w:t>
            </w:r>
          </w:p>
        </w:tc>
        <w:tc>
          <w:tcPr>
            <w:tcW w:w="6159" w:type="dxa"/>
          </w:tcPr>
          <w:p w:rsidR="006A18FD" w:rsidRDefault="006A18FD">
            <w:pPr>
              <w:rPr>
                <w:rFonts w:ascii="Calibri"/>
                <w:sz w:val="18"/>
              </w:rPr>
            </w:pPr>
          </w:p>
          <w:p w:rsidR="006A18FD" w:rsidRDefault="006A18FD">
            <w:pPr>
              <w:spacing w:before="1"/>
              <w:rPr>
                <w:rFonts w:ascii="Calibri"/>
                <w:sz w:val="18"/>
              </w:rPr>
            </w:pPr>
          </w:p>
          <w:p w:rsidR="006A18FD" w:rsidRDefault="002D29FC">
            <w:pPr>
              <w:ind w:left="55" w:right="57"/>
              <w:rPr>
                <w:rFonts w:ascii="Calibri"/>
                <w:sz w:val="18"/>
              </w:rPr>
            </w:pPr>
            <w:r>
              <w:rPr>
                <w:rFonts w:ascii="Calibri"/>
                <w:sz w:val="18"/>
              </w:rPr>
              <w:t>Direct overheads were 29 per cent of direct care salary costs. They include costs</w:t>
            </w:r>
            <w:r>
              <w:rPr>
                <w:rFonts w:ascii="Calibri"/>
                <w:spacing w:val="-26"/>
                <w:sz w:val="18"/>
              </w:rPr>
              <w:t xml:space="preserve"> </w:t>
            </w:r>
            <w:r>
              <w:rPr>
                <w:rFonts w:ascii="Calibri"/>
                <w:sz w:val="18"/>
              </w:rPr>
              <w:t>to the provider for administration and management, as well as for office, training and utilities such as water, gas and</w:t>
            </w:r>
            <w:r>
              <w:rPr>
                <w:rFonts w:ascii="Calibri"/>
                <w:spacing w:val="-14"/>
                <w:sz w:val="18"/>
              </w:rPr>
              <w:t xml:space="preserve"> </w:t>
            </w:r>
            <w:r>
              <w:rPr>
                <w:rFonts w:ascii="Calibri"/>
                <w:sz w:val="18"/>
              </w:rPr>
              <w:t>electricity.</w:t>
            </w:r>
          </w:p>
          <w:p w:rsidR="006A18FD" w:rsidRDefault="002D29FC">
            <w:pPr>
              <w:ind w:left="55" w:right="136"/>
              <w:rPr>
                <w:rFonts w:ascii="Calibri"/>
                <w:sz w:val="18"/>
              </w:rPr>
            </w:pPr>
            <w:r>
              <w:rPr>
                <w:rFonts w:ascii="Calibri"/>
                <w:sz w:val="18"/>
              </w:rPr>
              <w:t>Indirect overheads were 16 per cent of direct care salary costs. They include general management and support services such as finance and human resources</w:t>
            </w:r>
          </w:p>
          <w:p w:rsidR="006A18FD" w:rsidRDefault="002D29FC">
            <w:pPr>
              <w:spacing w:before="2" w:line="198" w:lineRule="exact"/>
              <w:ind w:left="55"/>
              <w:rPr>
                <w:rFonts w:ascii="Calibri"/>
                <w:sz w:val="12"/>
              </w:rPr>
            </w:pPr>
            <w:r>
              <w:rPr>
                <w:rFonts w:ascii="Calibri"/>
                <w:sz w:val="18"/>
              </w:rPr>
              <w:t>departments.</w:t>
            </w:r>
            <w:r>
              <w:rPr>
                <w:rFonts w:ascii="Calibri"/>
                <w:position w:val="5"/>
                <w:sz w:val="12"/>
              </w:rPr>
              <w:t>6</w:t>
            </w:r>
          </w:p>
        </w:tc>
      </w:tr>
      <w:tr w:rsidR="006A18FD">
        <w:trPr>
          <w:trHeight w:val="880"/>
        </w:trPr>
        <w:tc>
          <w:tcPr>
            <w:tcW w:w="2206" w:type="dxa"/>
          </w:tcPr>
          <w:p w:rsidR="006A18FD" w:rsidRDefault="002D29FC">
            <w:pPr>
              <w:spacing w:before="1"/>
              <w:ind w:left="52"/>
              <w:rPr>
                <w:rFonts w:ascii="Calibri"/>
                <w:sz w:val="18"/>
              </w:rPr>
            </w:pPr>
            <w:r>
              <w:rPr>
                <w:rFonts w:ascii="Calibri"/>
                <w:sz w:val="18"/>
              </w:rPr>
              <w:t>F. Capital overheads</w:t>
            </w:r>
          </w:p>
        </w:tc>
        <w:tc>
          <w:tcPr>
            <w:tcW w:w="1678" w:type="dxa"/>
          </w:tcPr>
          <w:p w:rsidR="006A18FD" w:rsidRDefault="002D29FC">
            <w:pPr>
              <w:spacing w:before="1"/>
              <w:ind w:left="52"/>
              <w:rPr>
                <w:rFonts w:ascii="Calibri" w:hAnsi="Calibri"/>
                <w:sz w:val="18"/>
              </w:rPr>
            </w:pPr>
            <w:r>
              <w:rPr>
                <w:rFonts w:ascii="Calibri" w:hAnsi="Calibri"/>
                <w:sz w:val="18"/>
              </w:rPr>
              <w:t>£3,191 per year</w:t>
            </w:r>
          </w:p>
        </w:tc>
        <w:tc>
          <w:tcPr>
            <w:tcW w:w="6159" w:type="dxa"/>
          </w:tcPr>
          <w:p w:rsidR="006A18FD" w:rsidRDefault="002D29FC">
            <w:pPr>
              <w:spacing w:before="1"/>
              <w:ind w:left="55"/>
              <w:rPr>
                <w:rFonts w:ascii="Calibri"/>
                <w:sz w:val="18"/>
              </w:rPr>
            </w:pPr>
            <w:r>
              <w:rPr>
                <w:rFonts w:ascii="Calibri"/>
                <w:sz w:val="18"/>
              </w:rPr>
              <w:t>Based on the new-build and land requirements for a local authority office and shared facilities for waiting, interviews and clerical support.</w:t>
            </w:r>
            <w:r>
              <w:rPr>
                <w:rFonts w:ascii="Calibri"/>
                <w:position w:val="5"/>
                <w:sz w:val="12"/>
              </w:rPr>
              <w:t xml:space="preserve">7,8 </w:t>
            </w:r>
            <w:r>
              <w:rPr>
                <w:rFonts w:ascii="Calibri"/>
                <w:sz w:val="18"/>
              </w:rPr>
              <w:t>Capital costs have been annuitised over 60 years at a discount rate of 3.5 per cent, declining to 3 per</w:t>
            </w:r>
          </w:p>
          <w:p w:rsidR="006A18FD" w:rsidRDefault="002D29FC">
            <w:pPr>
              <w:spacing w:before="1" w:line="199" w:lineRule="exact"/>
              <w:ind w:left="55"/>
              <w:rPr>
                <w:rFonts w:ascii="Calibri"/>
                <w:sz w:val="18"/>
              </w:rPr>
            </w:pPr>
            <w:r>
              <w:rPr>
                <w:rFonts w:ascii="Calibri"/>
                <w:sz w:val="18"/>
              </w:rPr>
              <w:t>cent after 30 years.</w:t>
            </w:r>
          </w:p>
        </w:tc>
      </w:tr>
      <w:tr w:rsidR="006A18FD">
        <w:trPr>
          <w:trHeight w:val="480"/>
        </w:trPr>
        <w:tc>
          <w:tcPr>
            <w:tcW w:w="2206" w:type="dxa"/>
          </w:tcPr>
          <w:p w:rsidR="006A18FD" w:rsidRDefault="002D29FC">
            <w:pPr>
              <w:spacing w:line="219" w:lineRule="exact"/>
              <w:ind w:left="52"/>
              <w:rPr>
                <w:rFonts w:ascii="Calibri"/>
                <w:sz w:val="18"/>
              </w:rPr>
            </w:pPr>
            <w:r>
              <w:rPr>
                <w:rFonts w:ascii="Calibri"/>
                <w:sz w:val="18"/>
              </w:rPr>
              <w:t>G. Travel</w:t>
            </w:r>
          </w:p>
        </w:tc>
        <w:tc>
          <w:tcPr>
            <w:tcW w:w="1678" w:type="dxa"/>
          </w:tcPr>
          <w:p w:rsidR="006A18FD" w:rsidRDefault="006A18FD">
            <w:pPr>
              <w:rPr>
                <w:rFonts w:ascii="Times New Roman"/>
                <w:sz w:val="16"/>
              </w:rPr>
            </w:pPr>
          </w:p>
        </w:tc>
        <w:tc>
          <w:tcPr>
            <w:tcW w:w="6159" w:type="dxa"/>
          </w:tcPr>
          <w:p w:rsidR="006A18FD" w:rsidRDefault="002D29FC">
            <w:pPr>
              <w:ind w:left="55" w:right="136"/>
              <w:rPr>
                <w:rFonts w:ascii="Calibri"/>
                <w:sz w:val="12"/>
              </w:rPr>
            </w:pPr>
            <w:r>
              <w:rPr>
                <w:rFonts w:ascii="Calibri"/>
                <w:sz w:val="18"/>
              </w:rPr>
              <w:t xml:space="preserve">No information available on average mileage covered per visit. For information see </w:t>
            </w:r>
            <w:r>
              <w:rPr>
                <w:rFonts w:ascii="Calibri"/>
                <w:i/>
                <w:sz w:val="18"/>
              </w:rPr>
              <w:t>Green Book: national agreement on pay and conditions of service</w:t>
            </w:r>
            <w:r>
              <w:rPr>
                <w:rFonts w:ascii="Calibri"/>
                <w:sz w:val="18"/>
              </w:rPr>
              <w:t>.</w:t>
            </w:r>
            <w:r>
              <w:rPr>
                <w:rFonts w:ascii="Calibri"/>
                <w:position w:val="5"/>
                <w:sz w:val="12"/>
              </w:rPr>
              <w:t>9</w:t>
            </w:r>
          </w:p>
        </w:tc>
      </w:tr>
      <w:tr w:rsidR="006A18FD">
        <w:trPr>
          <w:trHeight w:val="660"/>
        </w:trPr>
        <w:tc>
          <w:tcPr>
            <w:tcW w:w="2206" w:type="dxa"/>
          </w:tcPr>
          <w:p w:rsidR="006A18FD" w:rsidRDefault="002D29FC">
            <w:pPr>
              <w:spacing w:before="1"/>
              <w:ind w:left="52"/>
              <w:rPr>
                <w:rFonts w:ascii="Calibri"/>
                <w:sz w:val="18"/>
              </w:rPr>
            </w:pPr>
            <w:r>
              <w:rPr>
                <w:rFonts w:ascii="Calibri"/>
                <w:sz w:val="18"/>
              </w:rPr>
              <w:t>Working time</w:t>
            </w:r>
          </w:p>
        </w:tc>
        <w:tc>
          <w:tcPr>
            <w:tcW w:w="1678" w:type="dxa"/>
          </w:tcPr>
          <w:p w:rsidR="006A18FD" w:rsidRDefault="002D29FC">
            <w:pPr>
              <w:spacing w:before="1"/>
              <w:ind w:left="52" w:right="128"/>
              <w:rPr>
                <w:rFonts w:ascii="Calibri"/>
                <w:sz w:val="18"/>
              </w:rPr>
            </w:pPr>
            <w:r>
              <w:rPr>
                <w:rFonts w:ascii="Calibri"/>
                <w:sz w:val="18"/>
              </w:rPr>
              <w:t>41.4 weeks per year 37 hours per week</w:t>
            </w:r>
          </w:p>
        </w:tc>
        <w:tc>
          <w:tcPr>
            <w:tcW w:w="6159" w:type="dxa"/>
          </w:tcPr>
          <w:p w:rsidR="006A18FD" w:rsidRDefault="002D29FC">
            <w:pPr>
              <w:spacing w:before="1" w:line="219" w:lineRule="exact"/>
              <w:ind w:left="55"/>
              <w:rPr>
                <w:rFonts w:ascii="Calibri"/>
                <w:sz w:val="18"/>
              </w:rPr>
            </w:pPr>
            <w:r>
              <w:rPr>
                <w:rFonts w:ascii="Calibri"/>
                <w:sz w:val="18"/>
              </w:rPr>
              <w:t>Includes 29 days annual leave and 8 statutory leave days. Ten days for</w:t>
            </w:r>
          </w:p>
          <w:p w:rsidR="006A18FD" w:rsidRDefault="002D29FC">
            <w:pPr>
              <w:spacing w:line="219" w:lineRule="exact"/>
              <w:ind w:left="55"/>
              <w:rPr>
                <w:rFonts w:ascii="Calibri" w:hAnsi="Calibri"/>
                <w:sz w:val="18"/>
              </w:rPr>
            </w:pPr>
            <w:r>
              <w:rPr>
                <w:rFonts w:ascii="Calibri" w:hAnsi="Calibri"/>
                <w:sz w:val="18"/>
              </w:rPr>
              <w:t>study/training and 6.3 days sickness based on the Children’s Social Work</w:t>
            </w:r>
          </w:p>
          <w:p w:rsidR="006A18FD" w:rsidRDefault="002D29FC">
            <w:pPr>
              <w:spacing w:before="1" w:line="199" w:lineRule="exact"/>
              <w:ind w:left="55"/>
              <w:rPr>
                <w:rFonts w:ascii="Calibri"/>
                <w:sz w:val="18"/>
              </w:rPr>
            </w:pPr>
            <w:r>
              <w:rPr>
                <w:rFonts w:ascii="Calibri"/>
                <w:sz w:val="18"/>
              </w:rPr>
              <w:t xml:space="preserve">workforce statistics for England. </w:t>
            </w:r>
            <w:r>
              <w:rPr>
                <w:rFonts w:ascii="Calibri"/>
                <w:position w:val="5"/>
                <w:sz w:val="12"/>
              </w:rPr>
              <w:t xml:space="preserve">10  </w:t>
            </w:r>
            <w:r>
              <w:rPr>
                <w:rFonts w:ascii="Calibri"/>
                <w:sz w:val="18"/>
              </w:rPr>
              <w:t>Unit costs are based on 1,530 hours per year.</w:t>
            </w:r>
          </w:p>
        </w:tc>
      </w:tr>
      <w:tr w:rsidR="006A18FD">
        <w:trPr>
          <w:trHeight w:val="1180"/>
        </w:trPr>
        <w:tc>
          <w:tcPr>
            <w:tcW w:w="2206" w:type="dxa"/>
          </w:tcPr>
          <w:p w:rsidR="006A18FD" w:rsidRDefault="006A18FD">
            <w:pPr>
              <w:spacing w:before="6"/>
              <w:rPr>
                <w:rFonts w:ascii="Calibri"/>
              </w:rPr>
            </w:pPr>
          </w:p>
          <w:p w:rsidR="006A18FD" w:rsidRDefault="002D29FC">
            <w:pPr>
              <w:ind w:left="52" w:right="220"/>
              <w:rPr>
                <w:rFonts w:ascii="Calibri"/>
                <w:sz w:val="18"/>
              </w:rPr>
            </w:pPr>
            <w:r>
              <w:rPr>
                <w:rFonts w:ascii="Calibri"/>
                <w:sz w:val="18"/>
              </w:rPr>
              <w:t>Ratios of direct to indirect time on:</w:t>
            </w:r>
          </w:p>
          <w:p w:rsidR="006A18FD" w:rsidRDefault="002D29FC">
            <w:pPr>
              <w:spacing w:before="25"/>
              <w:ind w:left="52"/>
              <w:rPr>
                <w:rFonts w:ascii="Calibri"/>
                <w:sz w:val="18"/>
              </w:rPr>
            </w:pPr>
            <w:r>
              <w:rPr>
                <w:rFonts w:ascii="Calibri"/>
                <w:sz w:val="18"/>
              </w:rPr>
              <w:t>Client-related work</w:t>
            </w:r>
          </w:p>
        </w:tc>
        <w:tc>
          <w:tcPr>
            <w:tcW w:w="1678" w:type="dxa"/>
          </w:tcPr>
          <w:p w:rsidR="006A18FD" w:rsidRDefault="006A18FD">
            <w:pPr>
              <w:rPr>
                <w:rFonts w:ascii="Times New Roman"/>
                <w:sz w:val="16"/>
              </w:rPr>
            </w:pPr>
          </w:p>
        </w:tc>
        <w:tc>
          <w:tcPr>
            <w:tcW w:w="6159" w:type="dxa"/>
          </w:tcPr>
          <w:p w:rsidR="006A18FD" w:rsidRDefault="006A18FD">
            <w:pPr>
              <w:spacing w:before="6"/>
              <w:rPr>
                <w:rFonts w:ascii="Calibri"/>
              </w:rPr>
            </w:pPr>
          </w:p>
          <w:p w:rsidR="006A18FD" w:rsidRDefault="002D29FC">
            <w:pPr>
              <w:ind w:left="55" w:right="136"/>
              <w:rPr>
                <w:rFonts w:ascii="Calibri"/>
                <w:sz w:val="18"/>
              </w:rPr>
            </w:pPr>
            <w:r>
              <w:rPr>
                <w:rFonts w:ascii="Calibri"/>
                <w:sz w:val="18"/>
              </w:rPr>
              <w:t>No current information available on client-related activity. See previous editions of this publication for sources of information.</w:t>
            </w:r>
          </w:p>
        </w:tc>
      </w:tr>
      <w:tr w:rsidR="006A18FD">
        <w:trPr>
          <w:trHeight w:val="440"/>
        </w:trPr>
        <w:tc>
          <w:tcPr>
            <w:tcW w:w="2206" w:type="dxa"/>
          </w:tcPr>
          <w:p w:rsidR="006A18FD" w:rsidRDefault="002D29FC">
            <w:pPr>
              <w:spacing w:before="1"/>
              <w:ind w:left="52"/>
              <w:rPr>
                <w:rFonts w:ascii="Calibri"/>
                <w:sz w:val="18"/>
              </w:rPr>
            </w:pPr>
            <w:r>
              <w:rPr>
                <w:rFonts w:ascii="Calibri"/>
                <w:sz w:val="18"/>
              </w:rPr>
              <w:t>London multiplier</w:t>
            </w:r>
          </w:p>
        </w:tc>
        <w:tc>
          <w:tcPr>
            <w:tcW w:w="1678" w:type="dxa"/>
          </w:tcPr>
          <w:p w:rsidR="006A18FD" w:rsidRDefault="002D29FC">
            <w:pPr>
              <w:spacing w:before="1"/>
              <w:ind w:left="52"/>
              <w:rPr>
                <w:rFonts w:ascii="Calibri"/>
                <w:sz w:val="18"/>
              </w:rPr>
            </w:pPr>
            <w:r>
              <w:rPr>
                <w:rFonts w:ascii="Calibri"/>
                <w:sz w:val="18"/>
              </w:rPr>
              <w:t>1.19 x A</w:t>
            </w:r>
          </w:p>
        </w:tc>
        <w:tc>
          <w:tcPr>
            <w:tcW w:w="6159" w:type="dxa"/>
          </w:tcPr>
          <w:p w:rsidR="006A18FD" w:rsidRDefault="002D29FC">
            <w:pPr>
              <w:spacing w:before="1" w:line="220" w:lineRule="atLeast"/>
              <w:ind w:left="55"/>
              <w:rPr>
                <w:rFonts w:ascii="Calibri"/>
                <w:sz w:val="12"/>
              </w:rPr>
            </w:pPr>
            <w:r>
              <w:rPr>
                <w:rFonts w:ascii="Calibri"/>
                <w:sz w:val="18"/>
              </w:rPr>
              <w:t>Allows for the higher costs associated with London compared to the national average cost.</w:t>
            </w:r>
            <w:r>
              <w:rPr>
                <w:rFonts w:ascii="Calibri"/>
                <w:position w:val="5"/>
                <w:sz w:val="12"/>
              </w:rPr>
              <w:t>1,</w:t>
            </w:r>
          </w:p>
        </w:tc>
      </w:tr>
      <w:tr w:rsidR="006A18FD">
        <w:trPr>
          <w:trHeight w:val="200"/>
        </w:trPr>
        <w:tc>
          <w:tcPr>
            <w:tcW w:w="2206" w:type="dxa"/>
          </w:tcPr>
          <w:p w:rsidR="006A18FD" w:rsidRDefault="002D29FC">
            <w:pPr>
              <w:spacing w:line="198" w:lineRule="exact"/>
              <w:ind w:left="52"/>
              <w:rPr>
                <w:rFonts w:ascii="Calibri"/>
                <w:sz w:val="18"/>
              </w:rPr>
            </w:pPr>
            <w:r>
              <w:rPr>
                <w:rFonts w:ascii="Calibri"/>
                <w:sz w:val="18"/>
              </w:rPr>
              <w:t>Non-London multiplier</w:t>
            </w:r>
          </w:p>
        </w:tc>
        <w:tc>
          <w:tcPr>
            <w:tcW w:w="1678" w:type="dxa"/>
          </w:tcPr>
          <w:p w:rsidR="006A18FD" w:rsidRDefault="006A18FD">
            <w:pPr>
              <w:rPr>
                <w:rFonts w:ascii="Times New Roman"/>
                <w:sz w:val="14"/>
              </w:rPr>
            </w:pPr>
          </w:p>
        </w:tc>
        <w:tc>
          <w:tcPr>
            <w:tcW w:w="6159" w:type="dxa"/>
          </w:tcPr>
          <w:p w:rsidR="006A18FD" w:rsidRDefault="006A18FD">
            <w:pPr>
              <w:rPr>
                <w:rFonts w:ascii="Times New Roman"/>
                <w:sz w:val="14"/>
              </w:rPr>
            </w:pPr>
          </w:p>
        </w:tc>
      </w:tr>
      <w:tr w:rsidR="006A18FD">
        <w:trPr>
          <w:trHeight w:val="220"/>
        </w:trPr>
        <w:tc>
          <w:tcPr>
            <w:tcW w:w="10044" w:type="dxa"/>
            <w:gridSpan w:val="3"/>
          </w:tcPr>
          <w:p w:rsidR="006A18FD" w:rsidRDefault="002D29FC">
            <w:pPr>
              <w:spacing w:before="1" w:line="199" w:lineRule="exact"/>
              <w:ind w:left="52"/>
              <w:rPr>
                <w:rFonts w:ascii="Calibri"/>
                <w:b/>
                <w:sz w:val="18"/>
              </w:rPr>
            </w:pPr>
            <w:r>
              <w:rPr>
                <w:rFonts w:ascii="Calibri"/>
                <w:b/>
                <w:sz w:val="18"/>
              </w:rPr>
              <w:t>Unit costs available 2018/2019 (costs including qualifications given in brackets)</w:t>
            </w:r>
          </w:p>
        </w:tc>
      </w:tr>
      <w:tr w:rsidR="006A18FD">
        <w:trPr>
          <w:trHeight w:val="220"/>
        </w:trPr>
        <w:tc>
          <w:tcPr>
            <w:tcW w:w="10044" w:type="dxa"/>
            <w:gridSpan w:val="3"/>
          </w:tcPr>
          <w:p w:rsidR="006A18FD" w:rsidRDefault="002D29FC">
            <w:pPr>
              <w:spacing w:before="1" w:line="199" w:lineRule="exact"/>
              <w:ind w:left="52"/>
              <w:rPr>
                <w:rFonts w:ascii="Calibri" w:hAnsi="Calibri"/>
                <w:sz w:val="18"/>
              </w:rPr>
            </w:pPr>
            <w:r>
              <w:rPr>
                <w:rFonts w:ascii="Calibri" w:hAnsi="Calibri"/>
                <w:sz w:val="18"/>
              </w:rPr>
              <w:t>£44 (£50) per hour</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3"/>
        <w:rPr>
          <w:rFonts w:ascii="Calibri"/>
          <w:sz w:val="28"/>
        </w:rPr>
      </w:pPr>
    </w:p>
    <w:p w:rsidR="006A18FD" w:rsidRDefault="002D29FC">
      <w:pPr>
        <w:spacing w:before="74" w:line="195" w:lineRule="exact"/>
        <w:ind w:left="152"/>
        <w:rPr>
          <w:rFonts w:ascii="Calibri"/>
          <w:sz w:val="16"/>
        </w:rPr>
      </w:pPr>
      <w:r>
        <w:rPr>
          <w:rFonts w:ascii="Calibri"/>
          <w:position w:val="5"/>
          <w:sz w:val="10"/>
        </w:rPr>
        <w:t xml:space="preserve">1 </w:t>
      </w:r>
      <w:r>
        <w:rPr>
          <w:rFonts w:ascii="Calibri"/>
          <w:sz w:val="16"/>
        </w:rPr>
        <w:t xml:space="preserve">Skills for Care (2019) </w:t>
      </w:r>
      <w:r>
        <w:rPr>
          <w:rFonts w:ascii="Calibri"/>
          <w:i/>
          <w:sz w:val="16"/>
        </w:rPr>
        <w:t>National Minimum Dataset-Social Care online</w:t>
      </w:r>
      <w:r>
        <w:rPr>
          <w:rFonts w:ascii="Calibri"/>
          <w:sz w:val="16"/>
        </w:rPr>
        <w:t xml:space="preserve">, </w:t>
      </w:r>
      <w:hyperlink r:id="rId383">
        <w:r>
          <w:rPr>
            <w:rFonts w:ascii="Calibri"/>
            <w:sz w:val="16"/>
            <w:u w:val="single"/>
          </w:rPr>
          <w:t>https://www.nmds-sc-online.org.uk/</w:t>
        </w:r>
        <w:r>
          <w:rPr>
            <w:rFonts w:ascii="Calibri"/>
            <w:sz w:val="16"/>
          </w:rPr>
          <w:t xml:space="preserve"> </w:t>
        </w:r>
      </w:hyperlink>
      <w:r>
        <w:rPr>
          <w:rFonts w:ascii="Calibri"/>
          <w:sz w:val="16"/>
        </w:rPr>
        <w:t>[accessed 3 October 2019].</w:t>
      </w:r>
    </w:p>
    <w:p w:rsidR="006A18FD" w:rsidRDefault="002D29FC">
      <w:pPr>
        <w:ind w:left="436" w:right="2865" w:hanging="284"/>
        <w:rPr>
          <w:rFonts w:ascii="Calibri"/>
          <w:sz w:val="16"/>
        </w:rPr>
      </w:pPr>
      <w:r>
        <w:rPr>
          <w:rFonts w:ascii="Calibri"/>
          <w:position w:val="5"/>
          <w:sz w:val="10"/>
        </w:rPr>
        <w:t xml:space="preserve">2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384">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ind w:left="436"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2" w:line="195" w:lineRule="exact"/>
        <w:ind w:left="152"/>
        <w:rPr>
          <w:rFonts w:ascii="Calibri"/>
          <w:sz w:val="16"/>
        </w:rPr>
      </w:pPr>
      <w:r>
        <w:rPr>
          <w:rFonts w:ascii="Calibri"/>
          <w:position w:val="5"/>
          <w:sz w:val="10"/>
        </w:rPr>
        <w:t xml:space="preserve">4 </w:t>
      </w:r>
      <w:r>
        <w:rPr>
          <w:rFonts w:ascii="Calibri"/>
          <w:sz w:val="16"/>
        </w:rPr>
        <w:t xml:space="preserve">Curtis, L. Moriarty, J. &amp; Netten, A. (2012) The costs of qualifying a social worker, </w:t>
      </w:r>
      <w:r>
        <w:rPr>
          <w:rFonts w:ascii="Calibri"/>
          <w:i/>
          <w:sz w:val="16"/>
        </w:rPr>
        <w:t>British Journal of Social Work</w:t>
      </w:r>
      <w:r>
        <w:rPr>
          <w:rFonts w:ascii="Calibri"/>
          <w:sz w:val="16"/>
        </w:rPr>
        <w:t>, 42, 4, 706-724.</w:t>
      </w:r>
    </w:p>
    <w:p w:rsidR="006A18FD" w:rsidRDefault="002D29FC">
      <w:pPr>
        <w:ind w:left="436" w:hanging="284"/>
        <w:rPr>
          <w:rFonts w:ascii="Calibri"/>
          <w:sz w:val="16"/>
        </w:rPr>
      </w:pPr>
      <w:r>
        <w:rPr>
          <w:rFonts w:ascii="Calibri"/>
          <w:position w:val="5"/>
          <w:sz w:val="10"/>
        </w:rPr>
        <w:t xml:space="preserve">5 </w:t>
      </w:r>
      <w:r>
        <w:rPr>
          <w:rFonts w:ascii="Calibri"/>
          <w:sz w:val="16"/>
        </w:rPr>
        <w:t xml:space="preserve">British Association of Social Workers (2011) Social Work Careers, The British Association of Social Workers </w:t>
      </w:r>
      <w:hyperlink r:id="rId385">
        <w:r>
          <w:rPr>
            <w:rFonts w:ascii="Calibri"/>
            <w:sz w:val="16"/>
            <w:u w:val="single"/>
          </w:rPr>
          <w:t>http://www.basw.co.uk/social-work-careers/</w:t>
        </w:r>
      </w:hyperlink>
      <w:r>
        <w:rPr>
          <w:rFonts w:ascii="Calibri"/>
          <w:sz w:val="16"/>
        </w:rPr>
        <w:t xml:space="preserve"> </w:t>
      </w:r>
      <w:r>
        <w:rPr>
          <w:rFonts w:ascii="Calibri"/>
          <w:sz w:val="16"/>
          <w:u w:val="single"/>
        </w:rPr>
        <w:t>[accessed 9 October 2013]</w:t>
      </w:r>
      <w:r>
        <w:rPr>
          <w:rFonts w:ascii="Calibri"/>
          <w:sz w:val="16"/>
        </w:rPr>
        <w:t>.</w:t>
      </w:r>
    </w:p>
    <w:p w:rsidR="006A18FD" w:rsidRDefault="002D29FC">
      <w:pPr>
        <w:spacing w:before="2" w:line="195" w:lineRule="exact"/>
        <w:ind w:left="152"/>
        <w:rPr>
          <w:rFonts w:ascii="Calibri"/>
          <w:sz w:val="16"/>
        </w:rPr>
      </w:pPr>
      <w:r>
        <w:rPr>
          <w:rFonts w:ascii="Calibri"/>
          <w:position w:val="5"/>
          <w:sz w:val="10"/>
        </w:rPr>
        <w:t xml:space="preserve">6 </w:t>
      </w:r>
      <w:r>
        <w:rPr>
          <w:rFonts w:ascii="Calibri"/>
          <w:sz w:val="16"/>
        </w:rPr>
        <w:t xml:space="preserve">Based on information taken from Selwyn, J. et al. (2009) </w:t>
      </w:r>
      <w:r>
        <w:rPr>
          <w:rFonts w:ascii="Calibri"/>
          <w:i/>
          <w:sz w:val="16"/>
        </w:rPr>
        <w:t>Adoption and the inter-agency fee</w:t>
      </w:r>
      <w:r>
        <w:rPr>
          <w:rFonts w:ascii="Calibri"/>
          <w:sz w:val="16"/>
        </w:rPr>
        <w:t>, University of Bristol, Bristol; and Glendinning, C. et al. (2010)</w:t>
      </w:r>
    </w:p>
    <w:p w:rsidR="006A18FD" w:rsidRDefault="002D29FC">
      <w:pPr>
        <w:spacing w:line="195" w:lineRule="exact"/>
        <w:ind w:left="436"/>
        <w:rPr>
          <w:rFonts w:ascii="Calibri"/>
          <w:sz w:val="16"/>
        </w:rPr>
      </w:pP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before="2" w:line="195" w:lineRule="exact"/>
        <w:ind w:left="152"/>
        <w:rPr>
          <w:rFonts w:ascii="Calibri"/>
          <w:sz w:val="16"/>
        </w:rPr>
      </w:pPr>
      <w:r>
        <w:rPr>
          <w:rFonts w:ascii="Calibri"/>
          <w:position w:val="5"/>
          <w:sz w:val="10"/>
        </w:rPr>
        <w:t xml:space="preserve">7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1704" w:hanging="284"/>
        <w:rPr>
          <w:rFonts w:ascii="Calibri"/>
          <w:sz w:val="16"/>
        </w:rPr>
      </w:pPr>
      <w:r>
        <w:rPr>
          <w:rFonts w:ascii="Calibri"/>
          <w:position w:val="5"/>
          <w:sz w:val="10"/>
        </w:rPr>
        <w:t xml:space="preserve">8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86">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before="2"/>
        <w:ind w:left="436" w:right="800" w:hanging="284"/>
        <w:rPr>
          <w:rFonts w:ascii="Calibri"/>
          <w:sz w:val="16"/>
        </w:rPr>
      </w:pPr>
      <w:r>
        <w:rPr>
          <w:rFonts w:ascii="Calibri"/>
          <w:position w:val="5"/>
          <w:sz w:val="10"/>
        </w:rPr>
        <w:t xml:space="preserve">9 </w:t>
      </w:r>
      <w:r>
        <w:rPr>
          <w:rFonts w:ascii="Calibri"/>
          <w:sz w:val="16"/>
        </w:rPr>
        <w:t xml:space="preserve">Local Government Employers (2019) </w:t>
      </w:r>
      <w:r>
        <w:rPr>
          <w:rFonts w:ascii="Calibri"/>
          <w:i/>
          <w:sz w:val="16"/>
        </w:rPr>
        <w:t>Green Book: National Agreement on pay and conditions of service</w:t>
      </w:r>
      <w:r>
        <w:rPr>
          <w:rFonts w:ascii="Calibri"/>
          <w:sz w:val="16"/>
        </w:rPr>
        <w:t xml:space="preserve">, Local Government Association, London. </w:t>
      </w:r>
      <w:hyperlink r:id="rId387">
        <w:r>
          <w:rPr>
            <w:rFonts w:ascii="Calibri"/>
            <w:sz w:val="16"/>
            <w:u w:val="single"/>
          </w:rPr>
          <w:t xml:space="preserve">https://www.gov.uk/government/publications/the-green-book-appraisal-and-evaluation-in-central-governent </w:t>
        </w:r>
      </w:hyperlink>
      <w:r>
        <w:rPr>
          <w:rFonts w:ascii="Calibri"/>
          <w:sz w:val="16"/>
          <w:u w:val="single"/>
        </w:rPr>
        <w:t>[accessed 9 October 2019].</w:t>
      </w:r>
    </w:p>
    <w:p w:rsidR="006A18FD" w:rsidRDefault="002D29FC">
      <w:pPr>
        <w:ind w:left="436" w:right="272" w:hanging="284"/>
        <w:rPr>
          <w:rFonts w:ascii="Calibri"/>
          <w:sz w:val="16"/>
        </w:rPr>
      </w:pPr>
      <w:r>
        <w:rPr>
          <w:rFonts w:ascii="Calibri"/>
          <w:position w:val="5"/>
          <w:sz w:val="10"/>
        </w:rPr>
        <w:t xml:space="preserve">10 </w:t>
      </w:r>
      <w:r>
        <w:rPr>
          <w:rFonts w:ascii="Calibri"/>
          <w:sz w:val="16"/>
        </w:rPr>
        <w:t xml:space="preserve">Department for Education (2019) Experimental statistics: Children and family social work workforce in England, year ending 30 September 2018. </w:t>
      </w:r>
      <w:hyperlink r:id="rId388">
        <w:r>
          <w:rPr>
            <w:rFonts w:ascii="Calibri"/>
            <w:sz w:val="16"/>
            <w:u w:val="single"/>
          </w:rPr>
          <w:t>https://assets.publishing.service.gov.uk/government/uploads/system/uploads/attachment_data/file/681546/SFR09-2018_Main_Text.pdf</w:t>
        </w:r>
        <w:r>
          <w:rPr>
            <w:rFonts w:ascii="Calibri"/>
            <w:sz w:val="16"/>
          </w:rPr>
          <w:t xml:space="preserve"> </w:t>
        </w:r>
      </w:hyperlink>
      <w:r>
        <w:rPr>
          <w:rFonts w:ascii="Calibri"/>
          <w:sz w:val="16"/>
        </w:rPr>
        <w:t>[accessed 10 September 2019].</w:t>
      </w:r>
    </w:p>
    <w:p w:rsidR="006A18FD" w:rsidRDefault="006A18FD">
      <w:pPr>
        <w:rPr>
          <w:rFonts w:ascii="Calibri"/>
          <w:sz w:val="16"/>
        </w:rPr>
        <w:sectPr w:rsidR="006A18FD">
          <w:pgSz w:w="11910" w:h="16840"/>
          <w:pgMar w:top="100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2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201" name="Line 58"/>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F249F" id="Group 57"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DNRAh4fQIAAH8FAAAO&#10;AAAAAAAAAAAAAAAAAC4CAABkcnMvZTJvRG9jLnhtbFBLAQItABQABgAIAAAAIQAtd+Rc2gAAAAQB&#10;AAAPAAAAAAAAAAAAAAAAANcEAABkcnMvZG93bnJldi54bWxQSwUGAAAAAAQABADzAAAA3gUAAAAA&#10;">
                <v:line id="Line 58"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w10:anchorlock/>
              </v:group>
            </w:pict>
          </mc:Fallback>
        </mc:AlternateContent>
      </w:r>
    </w:p>
    <w:p w:rsidR="006A18FD" w:rsidRDefault="00AF6861" w:rsidP="00AF6861">
      <w:pPr>
        <w:pStyle w:val="Heading2"/>
      </w:pPr>
      <w:r>
        <w:t xml:space="preserve">11.3 </w:t>
      </w:r>
      <w:r w:rsidR="002D29FC">
        <w:t>Social work</w:t>
      </w:r>
      <w:r w:rsidR="002D29FC">
        <w:rPr>
          <w:spacing w:val="-9"/>
        </w:rPr>
        <w:t xml:space="preserve"> </w:t>
      </w:r>
      <w:r w:rsidR="002D29FC">
        <w:t>assistant</w:t>
      </w:r>
    </w:p>
    <w:p w:rsidR="006A18FD" w:rsidRDefault="006A18FD">
      <w:pPr>
        <w:spacing w:before="5"/>
        <w:rPr>
          <w:rFonts w:ascii="Cambria"/>
          <w:b/>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1681"/>
        <w:gridCol w:w="6128"/>
      </w:tblGrid>
      <w:tr w:rsidR="006A18FD" w:rsidTr="00E2663F">
        <w:trPr>
          <w:trHeight w:val="360"/>
          <w:tblHeader/>
        </w:trPr>
        <w:tc>
          <w:tcPr>
            <w:tcW w:w="2235" w:type="dxa"/>
          </w:tcPr>
          <w:p w:rsidR="006A18FD" w:rsidRDefault="002D29FC">
            <w:pPr>
              <w:spacing w:before="1"/>
              <w:ind w:left="52"/>
              <w:rPr>
                <w:rFonts w:ascii="Calibri"/>
                <w:b/>
                <w:sz w:val="20"/>
              </w:rPr>
            </w:pPr>
            <w:r>
              <w:rPr>
                <w:rFonts w:ascii="Calibri"/>
                <w:b/>
                <w:sz w:val="20"/>
              </w:rPr>
              <w:t>Costs and unit estimation</w:t>
            </w:r>
          </w:p>
        </w:tc>
        <w:tc>
          <w:tcPr>
            <w:tcW w:w="1681" w:type="dxa"/>
          </w:tcPr>
          <w:p w:rsidR="006A18FD" w:rsidRDefault="002D29FC">
            <w:pPr>
              <w:spacing w:before="1"/>
              <w:ind w:left="52"/>
              <w:rPr>
                <w:rFonts w:ascii="Calibri"/>
                <w:b/>
                <w:sz w:val="20"/>
              </w:rPr>
            </w:pPr>
            <w:r>
              <w:rPr>
                <w:rFonts w:ascii="Calibri"/>
                <w:b/>
                <w:sz w:val="20"/>
              </w:rPr>
              <w:t>2018/2019 value</w:t>
            </w:r>
          </w:p>
        </w:tc>
        <w:tc>
          <w:tcPr>
            <w:tcW w:w="6128" w:type="dxa"/>
          </w:tcPr>
          <w:p w:rsidR="006A18FD" w:rsidRDefault="002D29FC">
            <w:pPr>
              <w:spacing w:before="1"/>
              <w:ind w:left="52"/>
              <w:rPr>
                <w:rFonts w:ascii="Calibri"/>
                <w:b/>
                <w:sz w:val="20"/>
              </w:rPr>
            </w:pPr>
            <w:r>
              <w:rPr>
                <w:rFonts w:ascii="Calibri"/>
                <w:b/>
                <w:sz w:val="20"/>
              </w:rPr>
              <w:t>Notes</w:t>
            </w:r>
          </w:p>
        </w:tc>
      </w:tr>
      <w:tr w:rsidR="006A18FD">
        <w:trPr>
          <w:trHeight w:val="960"/>
        </w:trPr>
        <w:tc>
          <w:tcPr>
            <w:tcW w:w="2235" w:type="dxa"/>
          </w:tcPr>
          <w:p w:rsidR="006A18FD" w:rsidRDefault="002D29FC">
            <w:pPr>
              <w:spacing w:before="1"/>
              <w:ind w:left="103"/>
              <w:rPr>
                <w:rFonts w:ascii="Calibri"/>
                <w:sz w:val="20"/>
              </w:rPr>
            </w:pPr>
            <w:r>
              <w:rPr>
                <w:rFonts w:ascii="Calibri"/>
                <w:sz w:val="20"/>
              </w:rPr>
              <w:t>A. Salary</w:t>
            </w:r>
          </w:p>
        </w:tc>
        <w:tc>
          <w:tcPr>
            <w:tcW w:w="1681" w:type="dxa"/>
          </w:tcPr>
          <w:p w:rsidR="006A18FD" w:rsidRDefault="002D29FC">
            <w:pPr>
              <w:spacing w:before="1"/>
              <w:ind w:left="102"/>
              <w:rPr>
                <w:rFonts w:ascii="Calibri" w:hAnsi="Calibri"/>
                <w:sz w:val="20"/>
              </w:rPr>
            </w:pPr>
            <w:r>
              <w:rPr>
                <w:rFonts w:ascii="Calibri" w:hAnsi="Calibri"/>
                <w:sz w:val="20"/>
              </w:rPr>
              <w:t>£25,238 per year</w:t>
            </w:r>
          </w:p>
        </w:tc>
        <w:tc>
          <w:tcPr>
            <w:tcW w:w="6128" w:type="dxa"/>
          </w:tcPr>
          <w:p w:rsidR="006A18FD" w:rsidRDefault="002D29FC">
            <w:pPr>
              <w:spacing w:before="4" w:line="237" w:lineRule="auto"/>
              <w:ind w:left="103" w:right="123"/>
              <w:rPr>
                <w:rFonts w:ascii="Calibri" w:hAnsi="Calibri"/>
                <w:sz w:val="20"/>
              </w:rPr>
            </w:pPr>
            <w:r>
              <w:rPr>
                <w:rFonts w:ascii="Calibri" w:hAnsi="Calibri"/>
                <w:sz w:val="20"/>
              </w:rPr>
              <w:t>The mean basic salary of a social work assistant was £22,715 in 2012/13</w:t>
            </w:r>
            <w:r>
              <w:rPr>
                <w:rFonts w:ascii="Calibri" w:hAnsi="Calibri"/>
                <w:position w:val="7"/>
                <w:sz w:val="13"/>
              </w:rPr>
              <w:t>1</w:t>
            </w:r>
            <w:r>
              <w:rPr>
                <w:rFonts w:ascii="Calibri" w:hAnsi="Calibri"/>
                <w:sz w:val="20"/>
              </w:rPr>
              <w:t>. As no new salary estimates are available, this has been inflated to reflect changes in pay for social workers as reported in this</w:t>
            </w:r>
          </w:p>
          <w:p w:rsidR="006A18FD" w:rsidRDefault="002D29FC">
            <w:pPr>
              <w:spacing w:before="1" w:line="223" w:lineRule="exact"/>
              <w:ind w:left="103"/>
              <w:rPr>
                <w:rFonts w:ascii="Calibri"/>
                <w:sz w:val="20"/>
              </w:rPr>
            </w:pPr>
            <w:r>
              <w:rPr>
                <w:rFonts w:ascii="Calibri"/>
                <w:sz w:val="20"/>
              </w:rPr>
              <w:t>volume.</w:t>
            </w:r>
          </w:p>
        </w:tc>
      </w:tr>
      <w:tr w:rsidR="006A18FD">
        <w:trPr>
          <w:trHeight w:val="480"/>
        </w:trPr>
        <w:tc>
          <w:tcPr>
            <w:tcW w:w="2235" w:type="dxa"/>
          </w:tcPr>
          <w:p w:rsidR="006A18FD" w:rsidRDefault="002D29FC">
            <w:pPr>
              <w:spacing w:before="1"/>
              <w:ind w:left="103"/>
              <w:rPr>
                <w:rFonts w:ascii="Calibri"/>
                <w:sz w:val="20"/>
              </w:rPr>
            </w:pPr>
            <w:r>
              <w:rPr>
                <w:rFonts w:ascii="Calibri"/>
                <w:sz w:val="20"/>
              </w:rPr>
              <w:t>B. Salary oncosts</w:t>
            </w:r>
          </w:p>
        </w:tc>
        <w:tc>
          <w:tcPr>
            <w:tcW w:w="1681" w:type="dxa"/>
          </w:tcPr>
          <w:p w:rsidR="006A18FD" w:rsidRDefault="002D29FC">
            <w:pPr>
              <w:spacing w:before="1"/>
              <w:ind w:left="102"/>
              <w:rPr>
                <w:rFonts w:ascii="Calibri" w:hAnsi="Calibri"/>
                <w:sz w:val="20"/>
              </w:rPr>
            </w:pPr>
            <w:r>
              <w:rPr>
                <w:rFonts w:ascii="Calibri" w:hAnsi="Calibri"/>
                <w:sz w:val="20"/>
              </w:rPr>
              <w:t>£6,611 per year</w:t>
            </w:r>
          </w:p>
        </w:tc>
        <w:tc>
          <w:tcPr>
            <w:tcW w:w="6128" w:type="dxa"/>
          </w:tcPr>
          <w:p w:rsidR="006A18FD" w:rsidRDefault="002D29FC">
            <w:pPr>
              <w:spacing w:before="1" w:line="243" w:lineRule="exact"/>
              <w:ind w:left="103"/>
              <w:rPr>
                <w:rFonts w:ascii="Calibri" w:hAnsi="Calibri"/>
                <w:sz w:val="20"/>
              </w:rPr>
            </w:pPr>
            <w:r>
              <w:rPr>
                <w:rFonts w:ascii="Calibri" w:hAnsi="Calibri"/>
                <w:sz w:val="20"/>
              </w:rPr>
              <w:t>Employer’s national insurance contribution is included, plus 17 per cent</w:t>
            </w:r>
          </w:p>
          <w:p w:rsidR="006A18FD" w:rsidRDefault="002D29FC">
            <w:pPr>
              <w:spacing w:line="225" w:lineRule="exact"/>
              <w:ind w:left="103"/>
              <w:rPr>
                <w:rFonts w:ascii="Calibri" w:hAnsi="Calibri"/>
                <w:sz w:val="13"/>
              </w:rPr>
            </w:pPr>
            <w:r>
              <w:rPr>
                <w:rFonts w:ascii="Calibri" w:hAnsi="Calibri"/>
                <w:sz w:val="20"/>
              </w:rPr>
              <w:t>of salary for employer’s contribution to superannuation.</w:t>
            </w:r>
            <w:r>
              <w:rPr>
                <w:rFonts w:ascii="Calibri" w:hAnsi="Calibri"/>
                <w:position w:val="7"/>
                <w:sz w:val="13"/>
              </w:rPr>
              <w:t>2</w:t>
            </w:r>
          </w:p>
        </w:tc>
      </w:tr>
      <w:tr w:rsidR="006A18FD">
        <w:trPr>
          <w:trHeight w:val="1940"/>
        </w:trPr>
        <w:tc>
          <w:tcPr>
            <w:tcW w:w="2235" w:type="dxa"/>
          </w:tcPr>
          <w:p w:rsidR="006A18FD" w:rsidRDefault="002D29FC">
            <w:pPr>
              <w:spacing w:before="1" w:line="480" w:lineRule="auto"/>
              <w:ind w:left="103" w:right="574"/>
              <w:rPr>
                <w:rFonts w:ascii="Calibri"/>
                <w:sz w:val="20"/>
              </w:rPr>
            </w:pPr>
            <w:r>
              <w:rPr>
                <w:rFonts w:ascii="Calibri"/>
                <w:sz w:val="20"/>
              </w:rPr>
              <w:t>C. Overheads Direct overheads</w:t>
            </w:r>
          </w:p>
          <w:p w:rsidR="006A18FD" w:rsidRDefault="006A18FD">
            <w:pPr>
              <w:spacing w:before="8"/>
              <w:rPr>
                <w:rFonts w:ascii="Cambria"/>
                <w:b/>
                <w:sz w:val="20"/>
              </w:rPr>
            </w:pPr>
          </w:p>
          <w:p w:rsidR="006A18FD" w:rsidRDefault="002D29FC">
            <w:pPr>
              <w:spacing w:before="1"/>
              <w:ind w:left="103"/>
              <w:rPr>
                <w:rFonts w:ascii="Calibri"/>
                <w:sz w:val="20"/>
              </w:rPr>
            </w:pPr>
            <w:r>
              <w:rPr>
                <w:rFonts w:ascii="Calibri"/>
                <w:sz w:val="20"/>
              </w:rPr>
              <w:t>Indirect overheads</w:t>
            </w:r>
          </w:p>
        </w:tc>
        <w:tc>
          <w:tcPr>
            <w:tcW w:w="1681" w:type="dxa"/>
          </w:tcPr>
          <w:p w:rsidR="006A18FD" w:rsidRDefault="006A18FD">
            <w:pPr>
              <w:rPr>
                <w:rFonts w:ascii="Cambria"/>
                <w:b/>
                <w:sz w:val="20"/>
              </w:rPr>
            </w:pPr>
          </w:p>
          <w:p w:rsidR="006A18FD" w:rsidRDefault="006A18FD">
            <w:pPr>
              <w:spacing w:before="7"/>
              <w:rPr>
                <w:rFonts w:ascii="Cambria"/>
                <w:b/>
                <w:sz w:val="21"/>
              </w:rPr>
            </w:pPr>
          </w:p>
          <w:p w:rsidR="006A18FD" w:rsidRDefault="002D29FC">
            <w:pPr>
              <w:spacing w:before="1"/>
              <w:ind w:left="102"/>
              <w:rPr>
                <w:rFonts w:ascii="Calibri" w:hAnsi="Calibri"/>
                <w:sz w:val="20"/>
              </w:rPr>
            </w:pPr>
            <w:r>
              <w:rPr>
                <w:rFonts w:ascii="Calibri" w:hAnsi="Calibri"/>
                <w:sz w:val="20"/>
              </w:rPr>
              <w:t>£9,236 per year</w:t>
            </w:r>
          </w:p>
          <w:p w:rsidR="006A18FD" w:rsidRDefault="006A18FD">
            <w:pPr>
              <w:rPr>
                <w:rFonts w:ascii="Cambria"/>
                <w:b/>
                <w:sz w:val="20"/>
              </w:rPr>
            </w:pPr>
          </w:p>
          <w:p w:rsidR="006A18FD" w:rsidRDefault="006A18FD">
            <w:pPr>
              <w:spacing w:before="7"/>
              <w:rPr>
                <w:rFonts w:ascii="Cambria"/>
                <w:b/>
                <w:sz w:val="21"/>
              </w:rPr>
            </w:pPr>
          </w:p>
          <w:p w:rsidR="006A18FD" w:rsidRDefault="002D29FC">
            <w:pPr>
              <w:ind w:left="102"/>
              <w:rPr>
                <w:rFonts w:ascii="Calibri" w:hAnsi="Calibri"/>
                <w:sz w:val="20"/>
              </w:rPr>
            </w:pPr>
            <w:r>
              <w:rPr>
                <w:rFonts w:ascii="Calibri" w:hAnsi="Calibri"/>
                <w:sz w:val="20"/>
              </w:rPr>
              <w:t>£5,096 per year</w:t>
            </w:r>
          </w:p>
        </w:tc>
        <w:tc>
          <w:tcPr>
            <w:tcW w:w="6128" w:type="dxa"/>
          </w:tcPr>
          <w:p w:rsidR="006A18FD" w:rsidRDefault="006A18FD">
            <w:pPr>
              <w:rPr>
                <w:rFonts w:ascii="Cambria"/>
                <w:b/>
                <w:sz w:val="20"/>
              </w:rPr>
            </w:pPr>
          </w:p>
          <w:p w:rsidR="006A18FD" w:rsidRDefault="006A18FD">
            <w:pPr>
              <w:spacing w:before="7"/>
              <w:rPr>
                <w:rFonts w:ascii="Cambria"/>
                <w:b/>
                <w:sz w:val="21"/>
              </w:rPr>
            </w:pPr>
          </w:p>
          <w:p w:rsidR="006A18FD" w:rsidRDefault="002D29FC">
            <w:pPr>
              <w:spacing w:before="1"/>
              <w:ind w:left="103" w:right="123"/>
              <w:rPr>
                <w:rFonts w:ascii="Calibri"/>
                <w:sz w:val="20"/>
              </w:rPr>
            </w:pPr>
            <w:r>
              <w:rPr>
                <w:rFonts w:ascii="Calibri"/>
                <w:sz w:val="20"/>
              </w:rPr>
              <w:t>Direct overheads were 29 per cent of direct care salary costs. They include costs to the provider for administration and management, as well as for office, training and utilities such as water, gas and electricity. Indirect overheads were 16 per cent of direct care salary costs. They include general management and support services such as finance and</w:t>
            </w:r>
          </w:p>
          <w:p w:rsidR="006A18FD" w:rsidRDefault="002D29FC">
            <w:pPr>
              <w:spacing w:line="224" w:lineRule="exact"/>
              <w:ind w:left="103"/>
              <w:rPr>
                <w:rFonts w:ascii="Calibri"/>
                <w:sz w:val="13"/>
              </w:rPr>
            </w:pPr>
            <w:r>
              <w:rPr>
                <w:rFonts w:ascii="Calibri"/>
                <w:sz w:val="20"/>
              </w:rPr>
              <w:t>human resource departments.</w:t>
            </w:r>
            <w:r>
              <w:rPr>
                <w:rFonts w:ascii="Calibri"/>
                <w:position w:val="7"/>
                <w:sz w:val="13"/>
              </w:rPr>
              <w:t>3</w:t>
            </w:r>
          </w:p>
        </w:tc>
      </w:tr>
      <w:tr w:rsidR="006A18FD">
        <w:trPr>
          <w:trHeight w:val="960"/>
        </w:trPr>
        <w:tc>
          <w:tcPr>
            <w:tcW w:w="2235" w:type="dxa"/>
          </w:tcPr>
          <w:p w:rsidR="006A18FD" w:rsidRDefault="002D29FC">
            <w:pPr>
              <w:spacing w:before="1"/>
              <w:ind w:left="103"/>
              <w:rPr>
                <w:rFonts w:ascii="Calibri"/>
                <w:sz w:val="20"/>
              </w:rPr>
            </w:pPr>
            <w:r>
              <w:rPr>
                <w:rFonts w:ascii="Calibri"/>
                <w:sz w:val="20"/>
              </w:rPr>
              <w:t>D. Capital overheads</w:t>
            </w:r>
          </w:p>
        </w:tc>
        <w:tc>
          <w:tcPr>
            <w:tcW w:w="1681" w:type="dxa"/>
          </w:tcPr>
          <w:p w:rsidR="006A18FD" w:rsidRDefault="002D29FC">
            <w:pPr>
              <w:spacing w:before="1"/>
              <w:ind w:left="102"/>
              <w:rPr>
                <w:rFonts w:ascii="Calibri" w:hAnsi="Calibri"/>
                <w:sz w:val="20"/>
              </w:rPr>
            </w:pPr>
            <w:r>
              <w:rPr>
                <w:rFonts w:ascii="Calibri" w:hAnsi="Calibri"/>
                <w:sz w:val="20"/>
              </w:rPr>
              <w:t>£3,191 per year</w:t>
            </w:r>
          </w:p>
        </w:tc>
        <w:tc>
          <w:tcPr>
            <w:tcW w:w="6128" w:type="dxa"/>
          </w:tcPr>
          <w:p w:rsidR="006A18FD" w:rsidRDefault="002D29FC">
            <w:pPr>
              <w:spacing w:before="4" w:line="237" w:lineRule="auto"/>
              <w:ind w:left="103" w:right="123"/>
              <w:rPr>
                <w:rFonts w:ascii="Calibri"/>
                <w:sz w:val="20"/>
              </w:rPr>
            </w:pPr>
            <w:r>
              <w:rPr>
                <w:rFonts w:ascii="Calibri"/>
                <w:sz w:val="20"/>
              </w:rPr>
              <w:t>Based on the new-build and land requirements for a local authority office and shared facilities for waiting, interviews and clerical support.</w:t>
            </w:r>
            <w:r>
              <w:rPr>
                <w:rFonts w:ascii="Calibri"/>
                <w:position w:val="7"/>
                <w:sz w:val="13"/>
              </w:rPr>
              <w:t xml:space="preserve">4,5 </w:t>
            </w:r>
            <w:r>
              <w:rPr>
                <w:rFonts w:ascii="Calibri"/>
                <w:sz w:val="20"/>
              </w:rPr>
              <w:t>Capital costs have been annuitised over 60 years at a discount rate of</w:t>
            </w:r>
          </w:p>
          <w:p w:rsidR="006A18FD" w:rsidRDefault="002D29FC">
            <w:pPr>
              <w:spacing w:before="1" w:line="223" w:lineRule="exact"/>
              <w:ind w:left="103"/>
              <w:rPr>
                <w:rFonts w:ascii="Calibri"/>
                <w:sz w:val="20"/>
              </w:rPr>
            </w:pPr>
            <w:r>
              <w:rPr>
                <w:rFonts w:ascii="Calibri"/>
                <w:sz w:val="20"/>
              </w:rPr>
              <w:t>3.5 per cent, declining to 3 per cent after 30 years.</w:t>
            </w:r>
          </w:p>
        </w:tc>
      </w:tr>
      <w:tr w:rsidR="006A18FD">
        <w:trPr>
          <w:trHeight w:val="720"/>
        </w:trPr>
        <w:tc>
          <w:tcPr>
            <w:tcW w:w="2235" w:type="dxa"/>
          </w:tcPr>
          <w:p w:rsidR="006A18FD" w:rsidRDefault="002D29FC">
            <w:pPr>
              <w:spacing w:before="1"/>
              <w:ind w:left="103"/>
              <w:rPr>
                <w:rFonts w:ascii="Calibri"/>
                <w:sz w:val="20"/>
              </w:rPr>
            </w:pPr>
            <w:r>
              <w:rPr>
                <w:rFonts w:ascii="Calibri"/>
                <w:sz w:val="20"/>
              </w:rPr>
              <w:t>E. Travel</w:t>
            </w:r>
          </w:p>
        </w:tc>
        <w:tc>
          <w:tcPr>
            <w:tcW w:w="1681" w:type="dxa"/>
          </w:tcPr>
          <w:p w:rsidR="006A18FD" w:rsidRDefault="006A18FD">
            <w:pPr>
              <w:rPr>
                <w:rFonts w:ascii="Times New Roman"/>
                <w:sz w:val="18"/>
              </w:rPr>
            </w:pPr>
          </w:p>
        </w:tc>
        <w:tc>
          <w:tcPr>
            <w:tcW w:w="6128" w:type="dxa"/>
          </w:tcPr>
          <w:p w:rsidR="006A18FD" w:rsidRDefault="002D29FC">
            <w:pPr>
              <w:spacing w:before="1"/>
              <w:ind w:left="103" w:right="193"/>
              <w:rPr>
                <w:rFonts w:ascii="Calibri"/>
                <w:i/>
                <w:sz w:val="20"/>
              </w:rPr>
            </w:pPr>
            <w:r>
              <w:rPr>
                <w:rFonts w:ascii="Calibri"/>
                <w:sz w:val="20"/>
              </w:rPr>
              <w:t xml:space="preserve">No information available on average mileage covered per visit. For information see </w:t>
            </w:r>
            <w:r>
              <w:rPr>
                <w:rFonts w:ascii="Calibri"/>
                <w:i/>
                <w:sz w:val="20"/>
              </w:rPr>
              <w:t>Green Book: national agreement on pay and conditions</w:t>
            </w:r>
          </w:p>
          <w:p w:rsidR="006A18FD" w:rsidRDefault="002D29FC">
            <w:pPr>
              <w:spacing w:line="224" w:lineRule="exact"/>
              <w:ind w:left="103"/>
              <w:rPr>
                <w:rFonts w:ascii="Calibri"/>
                <w:sz w:val="13"/>
              </w:rPr>
            </w:pPr>
            <w:r>
              <w:rPr>
                <w:rFonts w:ascii="Calibri"/>
                <w:i/>
                <w:sz w:val="20"/>
              </w:rPr>
              <w:t>of service</w:t>
            </w:r>
            <w:r>
              <w:rPr>
                <w:rFonts w:ascii="Calibri"/>
                <w:sz w:val="20"/>
              </w:rPr>
              <w:t>.</w:t>
            </w:r>
            <w:r>
              <w:rPr>
                <w:rFonts w:ascii="Calibri"/>
                <w:position w:val="7"/>
                <w:sz w:val="13"/>
              </w:rPr>
              <w:t>6</w:t>
            </w:r>
          </w:p>
        </w:tc>
      </w:tr>
      <w:tr w:rsidR="006A18FD">
        <w:trPr>
          <w:trHeight w:val="960"/>
        </w:trPr>
        <w:tc>
          <w:tcPr>
            <w:tcW w:w="2235" w:type="dxa"/>
          </w:tcPr>
          <w:p w:rsidR="006A18FD" w:rsidRDefault="002D29FC">
            <w:pPr>
              <w:spacing w:before="1"/>
              <w:ind w:left="103"/>
              <w:rPr>
                <w:rFonts w:ascii="Calibri"/>
                <w:sz w:val="20"/>
              </w:rPr>
            </w:pPr>
            <w:r>
              <w:rPr>
                <w:rFonts w:ascii="Calibri"/>
                <w:sz w:val="20"/>
              </w:rPr>
              <w:t>Working time</w:t>
            </w:r>
          </w:p>
        </w:tc>
        <w:tc>
          <w:tcPr>
            <w:tcW w:w="1681" w:type="dxa"/>
          </w:tcPr>
          <w:p w:rsidR="006A18FD" w:rsidRDefault="002D29FC">
            <w:pPr>
              <w:spacing w:before="1"/>
              <w:ind w:left="102" w:right="318"/>
              <w:rPr>
                <w:rFonts w:ascii="Calibri"/>
                <w:sz w:val="20"/>
              </w:rPr>
            </w:pPr>
            <w:r>
              <w:rPr>
                <w:rFonts w:ascii="Calibri"/>
                <w:sz w:val="20"/>
              </w:rPr>
              <w:t>40.9 weeks per year</w:t>
            </w:r>
          </w:p>
          <w:p w:rsidR="006A18FD" w:rsidRDefault="002D29FC">
            <w:pPr>
              <w:spacing w:line="242" w:lineRule="exact"/>
              <w:ind w:left="102"/>
              <w:rPr>
                <w:rFonts w:ascii="Calibri"/>
                <w:sz w:val="20"/>
              </w:rPr>
            </w:pPr>
            <w:r>
              <w:rPr>
                <w:rFonts w:ascii="Calibri"/>
                <w:sz w:val="20"/>
              </w:rPr>
              <w:t>37 hours per</w:t>
            </w:r>
          </w:p>
          <w:p w:rsidR="006A18FD" w:rsidRDefault="002D29FC">
            <w:pPr>
              <w:spacing w:before="1" w:line="223" w:lineRule="exact"/>
              <w:ind w:left="102"/>
              <w:rPr>
                <w:rFonts w:ascii="Calibri"/>
                <w:sz w:val="20"/>
              </w:rPr>
            </w:pPr>
            <w:r>
              <w:rPr>
                <w:rFonts w:ascii="Calibri"/>
                <w:sz w:val="20"/>
              </w:rPr>
              <w:t>week</w:t>
            </w:r>
          </w:p>
        </w:tc>
        <w:tc>
          <w:tcPr>
            <w:tcW w:w="6128" w:type="dxa"/>
          </w:tcPr>
          <w:p w:rsidR="006A18FD" w:rsidRDefault="002D29FC">
            <w:pPr>
              <w:spacing w:before="4" w:line="237" w:lineRule="auto"/>
              <w:ind w:left="103"/>
              <w:rPr>
                <w:rFonts w:ascii="Calibri"/>
                <w:sz w:val="13"/>
              </w:rPr>
            </w:pPr>
            <w:r>
              <w:rPr>
                <w:rFonts w:ascii="Calibri"/>
                <w:sz w:val="20"/>
              </w:rPr>
              <w:t>Includes 29 days annual leave and 8 statutory leave days. Ten days for study/training and 6.3 days sickness leave have been assumed, based on the median average sickness absence level in England for all authorities</w:t>
            </w:r>
            <w:r>
              <w:rPr>
                <w:rFonts w:ascii="Calibri"/>
                <w:position w:val="7"/>
                <w:sz w:val="13"/>
              </w:rPr>
              <w:t>7</w:t>
            </w:r>
          </w:p>
          <w:p w:rsidR="006A18FD" w:rsidRDefault="002D29FC">
            <w:pPr>
              <w:spacing w:before="1" w:line="223" w:lineRule="exact"/>
              <w:ind w:left="103"/>
              <w:rPr>
                <w:rFonts w:ascii="Calibri"/>
                <w:sz w:val="20"/>
              </w:rPr>
            </w:pPr>
            <w:r>
              <w:rPr>
                <w:rFonts w:ascii="Calibri"/>
                <w:sz w:val="20"/>
              </w:rPr>
              <w:t>Unit costs are based on 1,513 hours per year.</w:t>
            </w:r>
          </w:p>
        </w:tc>
      </w:tr>
      <w:tr w:rsidR="006A18FD">
        <w:trPr>
          <w:trHeight w:val="740"/>
        </w:trPr>
        <w:tc>
          <w:tcPr>
            <w:tcW w:w="2235" w:type="dxa"/>
          </w:tcPr>
          <w:p w:rsidR="006A18FD" w:rsidRDefault="002D29FC">
            <w:pPr>
              <w:spacing w:before="1"/>
              <w:ind w:left="103" w:right="574"/>
              <w:rPr>
                <w:rFonts w:ascii="Calibri"/>
                <w:sz w:val="20"/>
              </w:rPr>
            </w:pPr>
            <w:r>
              <w:rPr>
                <w:rFonts w:ascii="Calibri"/>
                <w:sz w:val="20"/>
              </w:rPr>
              <w:t>Ratios of direct to indirect time on:</w:t>
            </w:r>
          </w:p>
          <w:p w:rsidR="006A18FD" w:rsidRDefault="002D29FC">
            <w:pPr>
              <w:spacing w:before="9" w:line="223" w:lineRule="exact"/>
              <w:ind w:left="103"/>
              <w:rPr>
                <w:rFonts w:ascii="Calibri"/>
                <w:sz w:val="20"/>
              </w:rPr>
            </w:pPr>
            <w:r>
              <w:rPr>
                <w:rFonts w:ascii="Calibri"/>
                <w:sz w:val="20"/>
              </w:rPr>
              <w:t>Client-related work</w:t>
            </w:r>
          </w:p>
        </w:tc>
        <w:tc>
          <w:tcPr>
            <w:tcW w:w="1681" w:type="dxa"/>
          </w:tcPr>
          <w:p w:rsidR="006A18FD" w:rsidRDefault="006A18FD">
            <w:pPr>
              <w:rPr>
                <w:rFonts w:ascii="Times New Roman"/>
                <w:sz w:val="18"/>
              </w:rPr>
            </w:pPr>
          </w:p>
        </w:tc>
        <w:tc>
          <w:tcPr>
            <w:tcW w:w="6128" w:type="dxa"/>
          </w:tcPr>
          <w:p w:rsidR="006A18FD" w:rsidRDefault="002D29FC">
            <w:pPr>
              <w:spacing w:before="1"/>
              <w:ind w:left="103"/>
              <w:rPr>
                <w:rFonts w:ascii="Calibri"/>
                <w:sz w:val="20"/>
              </w:rPr>
            </w:pPr>
            <w:r>
              <w:rPr>
                <w:rFonts w:ascii="Calibri"/>
                <w:sz w:val="20"/>
              </w:rPr>
              <w:t>No current information is available about the proportion of social work assistant time spent on client-related outputs. See previous editions of</w:t>
            </w:r>
          </w:p>
          <w:p w:rsidR="006A18FD" w:rsidRDefault="002D29FC">
            <w:pPr>
              <w:spacing w:line="233" w:lineRule="exact"/>
              <w:ind w:left="103"/>
              <w:rPr>
                <w:rFonts w:ascii="Calibri"/>
                <w:sz w:val="20"/>
              </w:rPr>
            </w:pPr>
            <w:r>
              <w:rPr>
                <w:rFonts w:ascii="Calibri"/>
                <w:sz w:val="20"/>
              </w:rPr>
              <w:t>this volume for sources of information.</w:t>
            </w:r>
          </w:p>
        </w:tc>
      </w:tr>
      <w:tr w:rsidR="006A18FD">
        <w:trPr>
          <w:trHeight w:val="480"/>
        </w:trPr>
        <w:tc>
          <w:tcPr>
            <w:tcW w:w="2235" w:type="dxa"/>
          </w:tcPr>
          <w:p w:rsidR="006A18FD" w:rsidRDefault="002D29FC">
            <w:pPr>
              <w:spacing w:before="1"/>
              <w:ind w:left="103"/>
              <w:rPr>
                <w:rFonts w:ascii="Calibri"/>
                <w:sz w:val="20"/>
              </w:rPr>
            </w:pPr>
            <w:r>
              <w:rPr>
                <w:rFonts w:ascii="Calibri"/>
                <w:sz w:val="20"/>
              </w:rPr>
              <w:t>London multiplier</w:t>
            </w:r>
          </w:p>
        </w:tc>
        <w:tc>
          <w:tcPr>
            <w:tcW w:w="1681" w:type="dxa"/>
          </w:tcPr>
          <w:p w:rsidR="006A18FD" w:rsidRDefault="002D29FC">
            <w:pPr>
              <w:spacing w:before="1"/>
              <w:ind w:left="102"/>
              <w:rPr>
                <w:rFonts w:ascii="Calibri"/>
                <w:sz w:val="20"/>
              </w:rPr>
            </w:pPr>
            <w:r>
              <w:rPr>
                <w:rFonts w:ascii="Calibri"/>
                <w:sz w:val="20"/>
              </w:rPr>
              <w:t>1.16 x A</w:t>
            </w:r>
          </w:p>
        </w:tc>
        <w:tc>
          <w:tcPr>
            <w:tcW w:w="6128" w:type="dxa"/>
          </w:tcPr>
          <w:p w:rsidR="006A18FD" w:rsidRDefault="002D29FC">
            <w:pPr>
              <w:spacing w:before="1" w:line="242" w:lineRule="exact"/>
              <w:ind w:left="103"/>
              <w:rPr>
                <w:rFonts w:ascii="Calibri"/>
                <w:sz w:val="20"/>
              </w:rPr>
            </w:pPr>
            <w:r>
              <w:rPr>
                <w:rFonts w:ascii="Calibri"/>
                <w:sz w:val="20"/>
              </w:rPr>
              <w:t>Allows for the higher costs associated with London compared to the</w:t>
            </w:r>
          </w:p>
          <w:p w:rsidR="006A18FD" w:rsidRDefault="002D29FC">
            <w:pPr>
              <w:spacing w:line="224" w:lineRule="exact"/>
              <w:ind w:left="103"/>
              <w:rPr>
                <w:rFonts w:ascii="Calibri"/>
                <w:sz w:val="13"/>
              </w:rPr>
            </w:pPr>
            <w:r>
              <w:rPr>
                <w:rFonts w:ascii="Calibri"/>
                <w:sz w:val="20"/>
              </w:rPr>
              <w:t>national average cost.</w:t>
            </w:r>
            <w:r>
              <w:rPr>
                <w:rFonts w:ascii="Calibri"/>
                <w:position w:val="7"/>
                <w:sz w:val="13"/>
              </w:rPr>
              <w:t>1</w:t>
            </w:r>
          </w:p>
        </w:tc>
      </w:tr>
      <w:tr w:rsidR="006A18FD">
        <w:trPr>
          <w:trHeight w:val="480"/>
        </w:trPr>
        <w:tc>
          <w:tcPr>
            <w:tcW w:w="2235" w:type="dxa"/>
          </w:tcPr>
          <w:p w:rsidR="006A18FD" w:rsidRDefault="002D29FC">
            <w:pPr>
              <w:spacing w:before="1"/>
              <w:ind w:left="103"/>
              <w:rPr>
                <w:rFonts w:ascii="Calibri"/>
                <w:sz w:val="20"/>
              </w:rPr>
            </w:pPr>
            <w:r>
              <w:rPr>
                <w:rFonts w:ascii="Calibri"/>
                <w:sz w:val="20"/>
              </w:rPr>
              <w:t>Non-London multiplier</w:t>
            </w:r>
          </w:p>
        </w:tc>
        <w:tc>
          <w:tcPr>
            <w:tcW w:w="1681" w:type="dxa"/>
          </w:tcPr>
          <w:p w:rsidR="006A18FD" w:rsidRDefault="006A18FD">
            <w:pPr>
              <w:rPr>
                <w:rFonts w:ascii="Times New Roman"/>
                <w:sz w:val="18"/>
              </w:rPr>
            </w:pPr>
          </w:p>
        </w:tc>
        <w:tc>
          <w:tcPr>
            <w:tcW w:w="6128" w:type="dxa"/>
          </w:tcPr>
          <w:p w:rsidR="006A18FD" w:rsidRDefault="002D29FC">
            <w:pPr>
              <w:spacing w:before="1" w:line="240" w:lineRule="atLeast"/>
              <w:ind w:left="103" w:right="582"/>
              <w:rPr>
                <w:rFonts w:ascii="Calibri"/>
                <w:sz w:val="20"/>
              </w:rPr>
            </w:pPr>
            <w:r>
              <w:rPr>
                <w:rFonts w:ascii="Calibri"/>
                <w:sz w:val="20"/>
              </w:rPr>
              <w:t>Allows for the lower costs associated with working outside London compared to the national average cost.</w:t>
            </w:r>
          </w:p>
        </w:tc>
      </w:tr>
      <w:tr w:rsidR="006A18FD">
        <w:trPr>
          <w:trHeight w:val="239"/>
        </w:trPr>
        <w:tc>
          <w:tcPr>
            <w:tcW w:w="10044" w:type="dxa"/>
            <w:gridSpan w:val="3"/>
          </w:tcPr>
          <w:p w:rsidR="006A18FD" w:rsidRDefault="002D29FC">
            <w:pPr>
              <w:spacing w:line="223" w:lineRule="exact"/>
              <w:ind w:left="103"/>
              <w:rPr>
                <w:rFonts w:ascii="Calibri"/>
                <w:b/>
                <w:sz w:val="20"/>
              </w:rPr>
            </w:pPr>
            <w:r>
              <w:rPr>
                <w:rFonts w:ascii="Calibri"/>
                <w:b/>
                <w:sz w:val="20"/>
              </w:rPr>
              <w:t>Unit costs available 2018/2019</w:t>
            </w:r>
          </w:p>
        </w:tc>
      </w:tr>
      <w:tr w:rsidR="006A18FD">
        <w:trPr>
          <w:trHeight w:val="240"/>
        </w:trPr>
        <w:tc>
          <w:tcPr>
            <w:tcW w:w="10044" w:type="dxa"/>
            <w:gridSpan w:val="3"/>
          </w:tcPr>
          <w:p w:rsidR="006A18FD" w:rsidRDefault="002D29FC">
            <w:pPr>
              <w:spacing w:before="1" w:line="223" w:lineRule="exact"/>
              <w:ind w:left="103"/>
              <w:rPr>
                <w:rFonts w:ascii="Calibri" w:hAnsi="Calibri"/>
                <w:sz w:val="20"/>
              </w:rPr>
            </w:pPr>
            <w:r>
              <w:rPr>
                <w:rFonts w:ascii="Calibri" w:hAnsi="Calibri"/>
                <w:sz w:val="20"/>
              </w:rPr>
              <w:t>£33 per hour.</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11"/>
        <w:rPr>
          <w:rFonts w:ascii="Cambria"/>
          <w:b/>
          <w:sz w:val="40"/>
        </w:rPr>
      </w:pPr>
    </w:p>
    <w:p w:rsidR="006A18FD" w:rsidRDefault="002D29FC">
      <w:pPr>
        <w:spacing w:line="195" w:lineRule="exact"/>
        <w:ind w:left="140"/>
        <w:rPr>
          <w:rFonts w:ascii="Calibri"/>
          <w:sz w:val="16"/>
        </w:rPr>
      </w:pPr>
      <w:r>
        <w:rPr>
          <w:rFonts w:ascii="Calibri"/>
          <w:position w:val="5"/>
          <w:sz w:val="10"/>
        </w:rPr>
        <w:t xml:space="preserve">1 </w:t>
      </w:r>
      <w:r>
        <w:rPr>
          <w:rFonts w:ascii="Calibri"/>
          <w:sz w:val="16"/>
        </w:rPr>
        <w:t xml:space="preserve">Local Government Association Analysis and Research (2012) </w:t>
      </w:r>
      <w:r>
        <w:rPr>
          <w:rFonts w:ascii="Calibri"/>
          <w:i/>
          <w:sz w:val="16"/>
        </w:rPr>
        <w:t>Local Government Earnings Survey 2011/2012</w:t>
      </w:r>
      <w:r>
        <w:rPr>
          <w:rFonts w:ascii="Calibri"/>
          <w:sz w:val="16"/>
        </w:rPr>
        <w:t>, Local Government Association, London.</w:t>
      </w:r>
    </w:p>
    <w:p w:rsidR="006A18FD" w:rsidRDefault="002D29FC">
      <w:pPr>
        <w:ind w:left="423" w:right="2878" w:hanging="284"/>
        <w:rPr>
          <w:rFonts w:ascii="Calibri"/>
          <w:sz w:val="16"/>
        </w:rPr>
      </w:pPr>
      <w:r>
        <w:rPr>
          <w:rFonts w:ascii="Calibri"/>
          <w:position w:val="5"/>
          <w:sz w:val="10"/>
        </w:rPr>
        <w:t xml:space="preserve">2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389">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spacing w:before="2" w:line="195" w:lineRule="exact"/>
        <w:ind w:left="140"/>
        <w:rPr>
          <w:rFonts w:ascii="Calibri"/>
          <w:sz w:val="16"/>
        </w:rPr>
      </w:pPr>
      <w:r>
        <w:rPr>
          <w:rFonts w:ascii="Calibri"/>
          <w:position w:val="5"/>
          <w:sz w:val="10"/>
        </w:rPr>
        <w:t xml:space="preserve">3 </w:t>
      </w:r>
      <w:r>
        <w:rPr>
          <w:rFonts w:ascii="Calibri"/>
          <w:sz w:val="16"/>
        </w:rPr>
        <w:t xml:space="preserve">Based on information taken from Selwyn, J. et al. (2009) </w:t>
      </w:r>
      <w:r>
        <w:rPr>
          <w:rFonts w:ascii="Calibri"/>
          <w:i/>
          <w:sz w:val="16"/>
        </w:rPr>
        <w:t>Adoption and the inter-agency fee</w:t>
      </w:r>
      <w:r>
        <w:rPr>
          <w:rFonts w:ascii="Calibri"/>
          <w:sz w:val="16"/>
        </w:rPr>
        <w:t>, University of Bristol, Bristol; and Glendinning, C. et al. (2010)</w:t>
      </w:r>
    </w:p>
    <w:p w:rsidR="006A18FD" w:rsidRDefault="002D29FC">
      <w:pPr>
        <w:spacing w:line="195" w:lineRule="exact"/>
        <w:ind w:left="423"/>
        <w:rPr>
          <w:rFonts w:ascii="Calibri"/>
          <w:sz w:val="16"/>
        </w:rPr>
      </w:pP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before="2"/>
        <w:ind w:left="423" w:right="1717" w:hanging="284"/>
        <w:rPr>
          <w:rFonts w:ascii="Calibri"/>
          <w:sz w:val="16"/>
        </w:rPr>
      </w:pPr>
      <w:r>
        <w:rPr>
          <w:rFonts w:ascii="Calibri"/>
          <w:position w:val="5"/>
          <w:sz w:val="10"/>
        </w:rPr>
        <w:t xml:space="preserve">4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90">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spacing w:line="194" w:lineRule="exact"/>
        <w:ind w:left="140"/>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2"/>
        <w:ind w:left="423" w:right="812" w:hanging="284"/>
        <w:rPr>
          <w:rFonts w:ascii="Calibri"/>
          <w:sz w:val="16"/>
        </w:rPr>
      </w:pPr>
      <w:r>
        <w:rPr>
          <w:rFonts w:ascii="Calibri"/>
          <w:position w:val="5"/>
          <w:sz w:val="10"/>
        </w:rPr>
        <w:t xml:space="preserve">6 </w:t>
      </w:r>
      <w:r>
        <w:rPr>
          <w:rFonts w:ascii="Calibri"/>
          <w:sz w:val="16"/>
        </w:rPr>
        <w:t xml:space="preserve">Local Government Employers (2019) </w:t>
      </w:r>
      <w:r>
        <w:rPr>
          <w:rFonts w:ascii="Calibri"/>
          <w:i/>
          <w:sz w:val="16"/>
        </w:rPr>
        <w:t>Green Book: National Agreement on pay and conditions of service</w:t>
      </w:r>
      <w:r>
        <w:rPr>
          <w:rFonts w:ascii="Calibri"/>
          <w:sz w:val="16"/>
        </w:rPr>
        <w:t xml:space="preserve">, Local Government Association, London. </w:t>
      </w:r>
      <w:hyperlink r:id="rId391">
        <w:r>
          <w:rPr>
            <w:rFonts w:ascii="Calibri"/>
            <w:sz w:val="16"/>
            <w:u w:val="single"/>
          </w:rPr>
          <w:t xml:space="preserve">https://www.gov.uk/government/publications/the-green-book-appraisal-and-evaluation-in-central-government </w:t>
        </w:r>
      </w:hyperlink>
      <w:r>
        <w:rPr>
          <w:rFonts w:ascii="Calibri"/>
          <w:sz w:val="16"/>
          <w:u w:val="single"/>
        </w:rPr>
        <w:t>[accessed 9 October 2019]</w:t>
      </w:r>
      <w:r>
        <w:rPr>
          <w:rFonts w:ascii="Calibri"/>
          <w:sz w:val="16"/>
        </w:rPr>
        <w:t>.</w:t>
      </w:r>
    </w:p>
    <w:p w:rsidR="006A18FD" w:rsidRDefault="002D29FC">
      <w:pPr>
        <w:ind w:left="423" w:right="285" w:hanging="284"/>
        <w:rPr>
          <w:rFonts w:ascii="Calibri"/>
          <w:sz w:val="16"/>
        </w:rPr>
      </w:pPr>
      <w:r>
        <w:rPr>
          <w:rFonts w:ascii="Calibri"/>
          <w:position w:val="5"/>
          <w:sz w:val="10"/>
        </w:rPr>
        <w:t xml:space="preserve">7 </w:t>
      </w:r>
      <w:r>
        <w:rPr>
          <w:rFonts w:ascii="Calibri"/>
          <w:sz w:val="16"/>
        </w:rPr>
        <w:t xml:space="preserve">Department for Education (2019) Experimental statistics: Children and family social work workforce in England, year ending 30 September 2018. </w:t>
      </w:r>
      <w:hyperlink r:id="rId392">
        <w:r>
          <w:rPr>
            <w:rFonts w:ascii="Calibri"/>
            <w:sz w:val="16"/>
            <w:u w:val="single"/>
          </w:rPr>
          <w:t>https://assets.publishing.service.gov.uk/government/uploads/system/uploads/attachment_data/file/681546/SFR09-2018_Main_Text.pdf</w:t>
        </w:r>
        <w:r>
          <w:rPr>
            <w:rFonts w:ascii="Calibri"/>
            <w:sz w:val="16"/>
          </w:rPr>
          <w:t xml:space="preserve"> </w:t>
        </w:r>
      </w:hyperlink>
      <w:r>
        <w:rPr>
          <w:rFonts w:ascii="Calibri"/>
          <w:sz w:val="16"/>
        </w:rPr>
        <w:t>[accessed 10 September 2019].</w:t>
      </w:r>
    </w:p>
    <w:p w:rsidR="006A18FD" w:rsidRDefault="006A18FD">
      <w:pPr>
        <w:rPr>
          <w:rFonts w:ascii="Calibri"/>
          <w:sz w:val="16"/>
        </w:rPr>
        <w:sectPr w:rsidR="006A18FD">
          <w:headerReference w:type="even" r:id="rId393"/>
          <w:headerReference w:type="default" r:id="rId394"/>
          <w:pgSz w:w="11910" w:h="16840"/>
          <w:pgMar w:top="960" w:right="980" w:bottom="280" w:left="580" w:header="751" w:footer="0" w:gutter="0"/>
          <w:pgNumType w:start="132"/>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9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99" name="Line 56"/>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065B78" id="Group 55"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DFEHckfQIAAH8FAAAO&#10;AAAAAAAAAAAAAAAAAC4CAABkcnMvZTJvRG9jLnhtbFBLAQItABQABgAIAAAAIQAtd+Rc2gAAAAQB&#10;AAAPAAAAAAAAAAAAAAAAANcEAABkcnMvZG93bnJldi54bWxQSwUGAAAAAAQABADzAAAA3gUAAAAA&#10;">
                <v:line id="Line 56"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w10:anchorlock/>
              </v:group>
            </w:pict>
          </mc:Fallback>
        </mc:AlternateContent>
      </w:r>
    </w:p>
    <w:p w:rsidR="006A18FD" w:rsidRDefault="00AF6861" w:rsidP="00AF6861">
      <w:pPr>
        <w:pStyle w:val="Heading2"/>
      </w:pPr>
      <w:r>
        <w:t xml:space="preserve">11.4 </w:t>
      </w:r>
      <w:r w:rsidR="002D29FC">
        <w:t>Community occupational therapist (local</w:t>
      </w:r>
      <w:r w:rsidR="002D29FC">
        <w:rPr>
          <w:spacing w:val="-31"/>
        </w:rPr>
        <w:t xml:space="preserve"> </w:t>
      </w:r>
      <w:r w:rsidR="002D29FC">
        <w:t>authority)</w:t>
      </w:r>
    </w:p>
    <w:p w:rsidR="006A18FD" w:rsidRDefault="006A18FD">
      <w:pPr>
        <w:spacing w:before="5"/>
        <w:rPr>
          <w:rFonts w:ascii="Cambria"/>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237"/>
      </w:tblGrid>
      <w:tr w:rsidR="006A18FD" w:rsidTr="00E2663F">
        <w:trPr>
          <w:trHeight w:val="360"/>
          <w:tblHeader/>
        </w:trPr>
        <w:tc>
          <w:tcPr>
            <w:tcW w:w="2268" w:type="dxa"/>
          </w:tcPr>
          <w:p w:rsidR="006A18FD" w:rsidRDefault="002D29FC">
            <w:pPr>
              <w:spacing w:before="1"/>
              <w:ind w:left="52"/>
              <w:rPr>
                <w:rFonts w:ascii="Calibri"/>
                <w:b/>
                <w:sz w:val="20"/>
              </w:rPr>
            </w:pPr>
            <w:r>
              <w:rPr>
                <w:rFonts w:ascii="Calibri"/>
                <w:b/>
                <w:sz w:val="20"/>
              </w:rPr>
              <w:t>Costs and unit estimation</w:t>
            </w:r>
          </w:p>
        </w:tc>
        <w:tc>
          <w:tcPr>
            <w:tcW w:w="1702" w:type="dxa"/>
          </w:tcPr>
          <w:p w:rsidR="006A18FD" w:rsidRDefault="002D29FC">
            <w:pPr>
              <w:spacing w:before="1"/>
              <w:ind w:left="105"/>
              <w:rPr>
                <w:rFonts w:ascii="Calibri"/>
                <w:b/>
                <w:sz w:val="20"/>
              </w:rPr>
            </w:pPr>
            <w:r>
              <w:rPr>
                <w:rFonts w:ascii="Calibri"/>
                <w:b/>
                <w:sz w:val="20"/>
              </w:rPr>
              <w:t>2018/2019 value</w:t>
            </w:r>
          </w:p>
        </w:tc>
        <w:tc>
          <w:tcPr>
            <w:tcW w:w="6236" w:type="dxa"/>
          </w:tcPr>
          <w:p w:rsidR="006A18FD" w:rsidRDefault="002D29FC">
            <w:pPr>
              <w:spacing w:before="1"/>
              <w:ind w:left="103"/>
              <w:rPr>
                <w:rFonts w:ascii="Calibri"/>
                <w:b/>
                <w:sz w:val="20"/>
              </w:rPr>
            </w:pPr>
            <w:r>
              <w:rPr>
                <w:rFonts w:ascii="Calibri"/>
                <w:b/>
                <w:sz w:val="20"/>
              </w:rPr>
              <w:t>Notes</w:t>
            </w:r>
          </w:p>
        </w:tc>
      </w:tr>
      <w:tr w:rsidR="006A18FD">
        <w:trPr>
          <w:trHeight w:val="960"/>
        </w:trPr>
        <w:tc>
          <w:tcPr>
            <w:tcW w:w="2268" w:type="dxa"/>
          </w:tcPr>
          <w:p w:rsidR="006A18FD" w:rsidRDefault="002D29FC">
            <w:pPr>
              <w:spacing w:before="1"/>
              <w:ind w:left="52"/>
              <w:rPr>
                <w:rFonts w:ascii="Calibri"/>
                <w:sz w:val="20"/>
              </w:rPr>
            </w:pPr>
            <w:r>
              <w:rPr>
                <w:rFonts w:ascii="Calibri"/>
                <w:sz w:val="20"/>
              </w:rPr>
              <w:t>A. Wages/salary</w:t>
            </w:r>
          </w:p>
        </w:tc>
        <w:tc>
          <w:tcPr>
            <w:tcW w:w="1702" w:type="dxa"/>
          </w:tcPr>
          <w:p w:rsidR="006A18FD" w:rsidRDefault="002D29FC">
            <w:pPr>
              <w:spacing w:before="1"/>
              <w:ind w:left="105"/>
              <w:rPr>
                <w:rFonts w:ascii="Calibri" w:hAnsi="Calibri"/>
                <w:sz w:val="20"/>
              </w:rPr>
            </w:pPr>
            <w:r>
              <w:rPr>
                <w:rFonts w:ascii="Calibri" w:hAnsi="Calibri"/>
                <w:sz w:val="20"/>
              </w:rPr>
              <w:t>£34,436 per year</w:t>
            </w:r>
          </w:p>
        </w:tc>
        <w:tc>
          <w:tcPr>
            <w:tcW w:w="6236" w:type="dxa"/>
          </w:tcPr>
          <w:p w:rsidR="006A18FD" w:rsidRDefault="002D29FC">
            <w:pPr>
              <w:spacing w:before="4" w:line="237" w:lineRule="auto"/>
              <w:ind w:left="103" w:right="349"/>
              <w:jc w:val="both"/>
              <w:rPr>
                <w:rFonts w:ascii="Calibri"/>
                <w:sz w:val="20"/>
              </w:rPr>
            </w:pPr>
            <w:r>
              <w:rPr>
                <w:rFonts w:ascii="Calibri"/>
                <w:sz w:val="20"/>
              </w:rPr>
              <w:t>Information taken from the National Minimum Data Set for Social Care 2019</w:t>
            </w:r>
            <w:r>
              <w:rPr>
                <w:rFonts w:ascii="Calibri"/>
                <w:position w:val="7"/>
                <w:sz w:val="13"/>
              </w:rPr>
              <w:t xml:space="preserve">1 </w:t>
            </w:r>
            <w:r>
              <w:rPr>
                <w:rFonts w:ascii="Calibri"/>
                <w:sz w:val="20"/>
              </w:rPr>
              <w:t>showed that the mean basic salary for an occupational therapist, based on the weighted mean annual salary for a local authority and</w:t>
            </w:r>
          </w:p>
          <w:p w:rsidR="006A18FD" w:rsidRDefault="002D29FC">
            <w:pPr>
              <w:spacing w:before="1" w:line="223" w:lineRule="exact"/>
              <w:ind w:left="103"/>
              <w:jc w:val="both"/>
              <w:rPr>
                <w:rFonts w:ascii="Calibri" w:hAnsi="Calibri"/>
                <w:sz w:val="20"/>
              </w:rPr>
            </w:pPr>
            <w:r>
              <w:rPr>
                <w:rFonts w:ascii="Calibri" w:hAnsi="Calibri"/>
                <w:sz w:val="20"/>
              </w:rPr>
              <w:t>independent sector occupational therapist, was £34,436.</w:t>
            </w:r>
          </w:p>
        </w:tc>
      </w:tr>
      <w:tr w:rsidR="006A18FD">
        <w:trPr>
          <w:trHeight w:val="480"/>
        </w:trPr>
        <w:tc>
          <w:tcPr>
            <w:tcW w:w="2268" w:type="dxa"/>
          </w:tcPr>
          <w:p w:rsidR="006A18FD" w:rsidRDefault="002D29FC">
            <w:pPr>
              <w:spacing w:before="1"/>
              <w:ind w:left="52"/>
              <w:rPr>
                <w:rFonts w:ascii="Calibri"/>
                <w:sz w:val="20"/>
              </w:rPr>
            </w:pPr>
            <w:r>
              <w:rPr>
                <w:rFonts w:ascii="Calibri"/>
                <w:sz w:val="20"/>
              </w:rPr>
              <w:t>B. Salary oncosts</w:t>
            </w:r>
          </w:p>
        </w:tc>
        <w:tc>
          <w:tcPr>
            <w:tcW w:w="1702" w:type="dxa"/>
          </w:tcPr>
          <w:p w:rsidR="006A18FD" w:rsidRDefault="002D29FC">
            <w:pPr>
              <w:spacing w:before="1"/>
              <w:ind w:left="105"/>
              <w:rPr>
                <w:rFonts w:ascii="Calibri" w:hAnsi="Calibri"/>
                <w:sz w:val="20"/>
              </w:rPr>
            </w:pPr>
            <w:r>
              <w:rPr>
                <w:rFonts w:ascii="Calibri" w:hAnsi="Calibri"/>
                <w:sz w:val="20"/>
              </w:rPr>
              <w:t>£9,444 per year</w:t>
            </w:r>
          </w:p>
        </w:tc>
        <w:tc>
          <w:tcPr>
            <w:tcW w:w="6236" w:type="dxa"/>
          </w:tcPr>
          <w:p w:rsidR="006A18FD" w:rsidRDefault="002D29FC">
            <w:pPr>
              <w:spacing w:before="1" w:line="243" w:lineRule="exact"/>
              <w:ind w:left="103"/>
              <w:rPr>
                <w:rFonts w:ascii="Calibri" w:hAnsi="Calibri"/>
                <w:sz w:val="20"/>
              </w:rPr>
            </w:pPr>
            <w:r>
              <w:rPr>
                <w:rFonts w:ascii="Calibri" w:hAnsi="Calibri"/>
                <w:sz w:val="20"/>
              </w:rPr>
              <w:t>Employer’s national insurance contribution is included, plus 17 per cent</w:t>
            </w:r>
          </w:p>
          <w:p w:rsidR="006A18FD" w:rsidRDefault="002D29FC">
            <w:pPr>
              <w:spacing w:line="225" w:lineRule="exact"/>
              <w:ind w:left="103"/>
              <w:rPr>
                <w:rFonts w:ascii="Calibri" w:hAnsi="Calibri"/>
                <w:sz w:val="13"/>
              </w:rPr>
            </w:pPr>
            <w:r>
              <w:rPr>
                <w:rFonts w:ascii="Calibri" w:hAnsi="Calibri"/>
                <w:sz w:val="20"/>
              </w:rPr>
              <w:t>of salary for employer’s contribution to superannuation.</w:t>
            </w:r>
            <w:r>
              <w:rPr>
                <w:rFonts w:ascii="Calibri" w:hAnsi="Calibri"/>
                <w:position w:val="7"/>
                <w:sz w:val="13"/>
              </w:rPr>
              <w:t>2</w:t>
            </w:r>
          </w:p>
        </w:tc>
      </w:tr>
      <w:tr w:rsidR="006A18FD">
        <w:trPr>
          <w:trHeight w:val="700"/>
        </w:trPr>
        <w:tc>
          <w:tcPr>
            <w:tcW w:w="2268" w:type="dxa"/>
          </w:tcPr>
          <w:p w:rsidR="006A18FD" w:rsidRDefault="002D29FC">
            <w:pPr>
              <w:spacing w:before="1"/>
              <w:ind w:left="52"/>
              <w:rPr>
                <w:rFonts w:ascii="Calibri"/>
                <w:sz w:val="20"/>
              </w:rPr>
            </w:pPr>
            <w:r>
              <w:rPr>
                <w:rFonts w:ascii="Calibri"/>
                <w:sz w:val="20"/>
              </w:rPr>
              <w:t>C. Qualifications</w:t>
            </w:r>
          </w:p>
        </w:tc>
        <w:tc>
          <w:tcPr>
            <w:tcW w:w="1702" w:type="dxa"/>
          </w:tcPr>
          <w:p w:rsidR="006A18FD" w:rsidRDefault="002D29FC">
            <w:pPr>
              <w:spacing w:before="1"/>
              <w:ind w:left="105"/>
              <w:rPr>
                <w:rFonts w:ascii="Calibri" w:hAnsi="Calibri"/>
                <w:sz w:val="20"/>
              </w:rPr>
            </w:pPr>
            <w:r>
              <w:rPr>
                <w:rFonts w:ascii="Calibri" w:hAnsi="Calibri"/>
                <w:sz w:val="20"/>
              </w:rPr>
              <w:t>£5,454 per year</w:t>
            </w:r>
          </w:p>
        </w:tc>
        <w:tc>
          <w:tcPr>
            <w:tcW w:w="6236" w:type="dxa"/>
          </w:tcPr>
          <w:p w:rsidR="006A18FD" w:rsidRDefault="002D29FC">
            <w:pPr>
              <w:spacing w:before="1" w:line="242" w:lineRule="exact"/>
              <w:ind w:left="103"/>
              <w:rPr>
                <w:rFonts w:ascii="Calibri"/>
                <w:sz w:val="20"/>
              </w:rPr>
            </w:pPr>
            <w:r>
              <w:rPr>
                <w:rFonts w:ascii="Calibri"/>
                <w:sz w:val="20"/>
              </w:rPr>
              <w:t>Qualification costs have been calculated using the method described in</w:t>
            </w:r>
          </w:p>
          <w:p w:rsidR="006A18FD" w:rsidRDefault="002D29FC">
            <w:pPr>
              <w:spacing w:before="10" w:line="226" w:lineRule="exact"/>
              <w:ind w:left="103" w:right="182"/>
              <w:rPr>
                <w:rFonts w:ascii="Calibri"/>
                <w:sz w:val="18"/>
              </w:rPr>
            </w:pPr>
            <w:r>
              <w:rPr>
                <w:rFonts w:ascii="Calibri"/>
                <w:sz w:val="20"/>
              </w:rPr>
              <w:t>Netten et al. (1998).</w:t>
            </w:r>
            <w:r>
              <w:rPr>
                <w:rFonts w:ascii="Calibri"/>
                <w:position w:val="7"/>
                <w:sz w:val="13"/>
              </w:rPr>
              <w:t xml:space="preserve">3 </w:t>
            </w:r>
            <w:r>
              <w:rPr>
                <w:rFonts w:ascii="Calibri"/>
                <w:sz w:val="18"/>
              </w:rPr>
              <w:t>Current cost information has been gathered from various sources (see Schema 18).</w:t>
            </w:r>
          </w:p>
        </w:tc>
      </w:tr>
      <w:tr w:rsidR="006A18FD">
        <w:trPr>
          <w:trHeight w:val="1860"/>
        </w:trPr>
        <w:tc>
          <w:tcPr>
            <w:tcW w:w="2268" w:type="dxa"/>
          </w:tcPr>
          <w:p w:rsidR="006A18FD" w:rsidRDefault="002D29FC">
            <w:pPr>
              <w:spacing w:before="1" w:line="388" w:lineRule="auto"/>
              <w:ind w:left="52" w:right="642"/>
              <w:rPr>
                <w:rFonts w:ascii="Calibri"/>
                <w:sz w:val="20"/>
              </w:rPr>
            </w:pPr>
            <w:r>
              <w:rPr>
                <w:rFonts w:ascii="Calibri"/>
                <w:sz w:val="20"/>
              </w:rPr>
              <w:t>D. Overheads Direct overheads</w:t>
            </w:r>
          </w:p>
          <w:p w:rsidR="006A18FD" w:rsidRDefault="006A18FD">
            <w:pPr>
              <w:spacing w:before="8"/>
              <w:rPr>
                <w:rFonts w:ascii="Cambria"/>
                <w:b/>
                <w:sz w:val="28"/>
              </w:rPr>
            </w:pPr>
          </w:p>
          <w:p w:rsidR="006A18FD" w:rsidRDefault="002D29FC">
            <w:pPr>
              <w:ind w:left="52"/>
              <w:rPr>
                <w:rFonts w:ascii="Calibri"/>
                <w:sz w:val="20"/>
              </w:rPr>
            </w:pPr>
            <w:r>
              <w:rPr>
                <w:rFonts w:ascii="Calibri"/>
                <w:sz w:val="20"/>
              </w:rPr>
              <w:t>Indirect overheads</w:t>
            </w:r>
          </w:p>
        </w:tc>
        <w:tc>
          <w:tcPr>
            <w:tcW w:w="1702" w:type="dxa"/>
          </w:tcPr>
          <w:p w:rsidR="006A18FD" w:rsidRDefault="006A18FD">
            <w:pPr>
              <w:rPr>
                <w:rFonts w:ascii="Cambria"/>
                <w:b/>
                <w:sz w:val="20"/>
              </w:rPr>
            </w:pPr>
          </w:p>
          <w:p w:rsidR="006A18FD" w:rsidRDefault="002D29FC">
            <w:pPr>
              <w:spacing w:before="163"/>
              <w:ind w:left="105"/>
              <w:rPr>
                <w:rFonts w:ascii="Calibri" w:hAnsi="Calibri"/>
                <w:sz w:val="20"/>
              </w:rPr>
            </w:pPr>
            <w:r>
              <w:rPr>
                <w:rFonts w:ascii="Calibri" w:hAnsi="Calibri"/>
                <w:sz w:val="20"/>
              </w:rPr>
              <w:t>£12,725 per year</w:t>
            </w:r>
          </w:p>
          <w:p w:rsidR="006A18FD" w:rsidRDefault="006A18FD">
            <w:pPr>
              <w:rPr>
                <w:rFonts w:ascii="Cambria"/>
                <w:b/>
                <w:sz w:val="20"/>
              </w:rPr>
            </w:pPr>
          </w:p>
          <w:p w:rsidR="006A18FD" w:rsidRDefault="006A18FD">
            <w:pPr>
              <w:spacing w:before="7"/>
              <w:rPr>
                <w:rFonts w:ascii="Cambria"/>
                <w:b/>
                <w:sz w:val="21"/>
              </w:rPr>
            </w:pPr>
          </w:p>
          <w:p w:rsidR="006A18FD" w:rsidRDefault="002D29FC">
            <w:pPr>
              <w:spacing w:before="1"/>
              <w:ind w:left="105"/>
              <w:rPr>
                <w:rFonts w:ascii="Calibri" w:hAnsi="Calibri"/>
                <w:sz w:val="20"/>
              </w:rPr>
            </w:pPr>
            <w:r>
              <w:rPr>
                <w:rFonts w:ascii="Calibri" w:hAnsi="Calibri"/>
                <w:sz w:val="20"/>
              </w:rPr>
              <w:t>£7,021 per year</w:t>
            </w:r>
          </w:p>
        </w:tc>
        <w:tc>
          <w:tcPr>
            <w:tcW w:w="6236" w:type="dxa"/>
          </w:tcPr>
          <w:p w:rsidR="006A18FD" w:rsidRDefault="006A18FD">
            <w:pPr>
              <w:rPr>
                <w:rFonts w:ascii="Cambria"/>
                <w:b/>
                <w:sz w:val="20"/>
              </w:rPr>
            </w:pPr>
          </w:p>
          <w:p w:rsidR="006A18FD" w:rsidRDefault="002D29FC">
            <w:pPr>
              <w:spacing w:before="163"/>
              <w:ind w:left="103" w:right="138"/>
              <w:rPr>
                <w:rFonts w:ascii="Calibri"/>
                <w:sz w:val="20"/>
              </w:rPr>
            </w:pPr>
            <w:r>
              <w:rPr>
                <w:rFonts w:ascii="Calibri"/>
                <w:sz w:val="20"/>
              </w:rPr>
              <w:t>Direct overheads were 29 per cent of direct care salary costs. They include costs to the provider for administration and management, as well as for office, training and utilities such as water, gas and electricity.</w:t>
            </w:r>
            <w:r>
              <w:rPr>
                <w:rFonts w:ascii="Calibri"/>
                <w:position w:val="7"/>
                <w:sz w:val="13"/>
              </w:rPr>
              <w:t xml:space="preserve">5 </w:t>
            </w:r>
            <w:r>
              <w:rPr>
                <w:rFonts w:ascii="Calibri"/>
                <w:sz w:val="20"/>
              </w:rPr>
              <w:t>Indirect overheads were 16 per cent of direct care salary costs. They include general management and support services such as finance and</w:t>
            </w:r>
          </w:p>
          <w:p w:rsidR="006A18FD" w:rsidRDefault="002D29FC">
            <w:pPr>
              <w:spacing w:line="224" w:lineRule="exact"/>
              <w:ind w:left="103"/>
              <w:rPr>
                <w:rFonts w:ascii="Calibri"/>
                <w:sz w:val="13"/>
              </w:rPr>
            </w:pPr>
            <w:r>
              <w:rPr>
                <w:rFonts w:ascii="Calibri"/>
                <w:sz w:val="20"/>
              </w:rPr>
              <w:t>human resources departments.</w:t>
            </w:r>
            <w:r>
              <w:rPr>
                <w:rFonts w:ascii="Calibri"/>
                <w:position w:val="7"/>
                <w:sz w:val="13"/>
              </w:rPr>
              <w:t>4</w:t>
            </w:r>
          </w:p>
        </w:tc>
      </w:tr>
      <w:tr w:rsidR="006A18FD">
        <w:trPr>
          <w:trHeight w:val="960"/>
        </w:trPr>
        <w:tc>
          <w:tcPr>
            <w:tcW w:w="2268" w:type="dxa"/>
          </w:tcPr>
          <w:p w:rsidR="006A18FD" w:rsidRDefault="002D29FC">
            <w:pPr>
              <w:spacing w:before="1"/>
              <w:ind w:left="52"/>
              <w:rPr>
                <w:rFonts w:ascii="Calibri"/>
                <w:sz w:val="20"/>
              </w:rPr>
            </w:pPr>
            <w:r>
              <w:rPr>
                <w:rFonts w:ascii="Calibri"/>
                <w:sz w:val="20"/>
              </w:rPr>
              <w:t>E. Capital overheads</w:t>
            </w:r>
          </w:p>
        </w:tc>
        <w:tc>
          <w:tcPr>
            <w:tcW w:w="1702" w:type="dxa"/>
          </w:tcPr>
          <w:p w:rsidR="006A18FD" w:rsidRDefault="002D29FC">
            <w:pPr>
              <w:spacing w:before="1"/>
              <w:ind w:left="105"/>
              <w:rPr>
                <w:rFonts w:ascii="Calibri" w:hAnsi="Calibri"/>
                <w:sz w:val="20"/>
              </w:rPr>
            </w:pPr>
            <w:r>
              <w:rPr>
                <w:rFonts w:ascii="Calibri" w:hAnsi="Calibri"/>
                <w:sz w:val="20"/>
              </w:rPr>
              <w:t>£3,191 per year</w:t>
            </w:r>
          </w:p>
        </w:tc>
        <w:tc>
          <w:tcPr>
            <w:tcW w:w="6236" w:type="dxa"/>
          </w:tcPr>
          <w:p w:rsidR="006A18FD" w:rsidRDefault="002D29FC">
            <w:pPr>
              <w:spacing w:before="4" w:line="237" w:lineRule="auto"/>
              <w:ind w:left="103" w:right="161"/>
              <w:jc w:val="both"/>
              <w:rPr>
                <w:rFonts w:ascii="Calibri"/>
                <w:sz w:val="20"/>
              </w:rPr>
            </w:pPr>
            <w:r>
              <w:rPr>
                <w:rFonts w:ascii="Calibri"/>
                <w:sz w:val="20"/>
              </w:rPr>
              <w:t>Based on the new-build and land requirements for a local authority</w:t>
            </w:r>
            <w:r>
              <w:rPr>
                <w:rFonts w:ascii="Calibri"/>
                <w:spacing w:val="-24"/>
                <w:sz w:val="20"/>
              </w:rPr>
              <w:t xml:space="preserve"> </w:t>
            </w:r>
            <w:r>
              <w:rPr>
                <w:rFonts w:ascii="Calibri"/>
                <w:sz w:val="20"/>
              </w:rPr>
              <w:t>office and shared facilities for waiting, interviews and clerical support.</w:t>
            </w:r>
            <w:r>
              <w:rPr>
                <w:rFonts w:ascii="Calibri"/>
                <w:position w:val="7"/>
                <w:sz w:val="13"/>
              </w:rPr>
              <w:t xml:space="preserve">5,6 </w:t>
            </w:r>
            <w:r>
              <w:rPr>
                <w:rFonts w:ascii="Calibri"/>
                <w:sz w:val="20"/>
              </w:rPr>
              <w:t>Capital costs have been annuitised over 60 years at a discount rate of 3.5</w:t>
            </w:r>
            <w:r>
              <w:rPr>
                <w:rFonts w:ascii="Calibri"/>
                <w:spacing w:val="-28"/>
                <w:sz w:val="20"/>
              </w:rPr>
              <w:t xml:space="preserve"> </w:t>
            </w:r>
            <w:r>
              <w:rPr>
                <w:rFonts w:ascii="Calibri"/>
                <w:sz w:val="20"/>
              </w:rPr>
              <w:t>per</w:t>
            </w:r>
          </w:p>
          <w:p w:rsidR="006A18FD" w:rsidRDefault="002D29FC">
            <w:pPr>
              <w:spacing w:before="1" w:line="223" w:lineRule="exact"/>
              <w:ind w:left="103"/>
              <w:jc w:val="both"/>
              <w:rPr>
                <w:rFonts w:ascii="Calibri"/>
                <w:sz w:val="20"/>
              </w:rPr>
            </w:pPr>
            <w:r>
              <w:rPr>
                <w:rFonts w:ascii="Calibri"/>
                <w:sz w:val="20"/>
              </w:rPr>
              <w:t>cent, declining to 3 per cent after 30 years.</w:t>
            </w:r>
          </w:p>
        </w:tc>
      </w:tr>
      <w:tr w:rsidR="006A18FD">
        <w:trPr>
          <w:trHeight w:val="960"/>
        </w:trPr>
        <w:tc>
          <w:tcPr>
            <w:tcW w:w="2268" w:type="dxa"/>
          </w:tcPr>
          <w:p w:rsidR="006A18FD" w:rsidRDefault="002D29FC">
            <w:pPr>
              <w:spacing w:before="1"/>
              <w:ind w:left="52"/>
              <w:rPr>
                <w:rFonts w:ascii="Calibri"/>
                <w:sz w:val="20"/>
              </w:rPr>
            </w:pPr>
            <w:r>
              <w:rPr>
                <w:rFonts w:ascii="Calibri"/>
                <w:sz w:val="20"/>
              </w:rPr>
              <w:t>F. Working time</w:t>
            </w:r>
          </w:p>
        </w:tc>
        <w:tc>
          <w:tcPr>
            <w:tcW w:w="1702" w:type="dxa"/>
          </w:tcPr>
          <w:p w:rsidR="006A18FD" w:rsidRDefault="002D29FC">
            <w:pPr>
              <w:spacing w:before="1"/>
              <w:ind w:left="105" w:right="135"/>
              <w:rPr>
                <w:rFonts w:ascii="Calibri"/>
                <w:sz w:val="20"/>
              </w:rPr>
            </w:pPr>
            <w:r>
              <w:rPr>
                <w:rFonts w:ascii="Calibri"/>
                <w:sz w:val="20"/>
              </w:rPr>
              <w:t>40.9 weeks per year 37 hours per week</w:t>
            </w:r>
          </w:p>
        </w:tc>
        <w:tc>
          <w:tcPr>
            <w:tcW w:w="6236" w:type="dxa"/>
          </w:tcPr>
          <w:p w:rsidR="006A18FD" w:rsidRDefault="002D29FC">
            <w:pPr>
              <w:spacing w:before="4" w:line="237" w:lineRule="auto"/>
              <w:ind w:left="103"/>
              <w:rPr>
                <w:rFonts w:ascii="Calibri"/>
                <w:sz w:val="13"/>
              </w:rPr>
            </w:pPr>
            <w:r>
              <w:rPr>
                <w:rFonts w:ascii="Calibri"/>
                <w:sz w:val="20"/>
              </w:rPr>
              <w:t xml:space="preserve">Includes 29 days annual leave and 8 statutory leave days. Ten days for study/training and 8.7 days sickness leave have been assumed, based on the median average sickness absence level in England for all authorities. </w:t>
            </w:r>
            <w:r>
              <w:rPr>
                <w:rFonts w:ascii="Calibri"/>
                <w:position w:val="7"/>
                <w:sz w:val="13"/>
              </w:rPr>
              <w:t>7</w:t>
            </w:r>
          </w:p>
          <w:p w:rsidR="006A18FD" w:rsidRDefault="002D29FC">
            <w:pPr>
              <w:spacing w:before="1" w:line="223" w:lineRule="exact"/>
              <w:ind w:left="103"/>
              <w:rPr>
                <w:rFonts w:ascii="Calibri"/>
                <w:sz w:val="20"/>
              </w:rPr>
            </w:pPr>
            <w:r>
              <w:rPr>
                <w:rFonts w:ascii="Calibri"/>
                <w:sz w:val="20"/>
              </w:rPr>
              <w:t>Unit costs are based on 1,513 hours per year.</w:t>
            </w:r>
          </w:p>
        </w:tc>
      </w:tr>
      <w:tr w:rsidR="006A18FD">
        <w:trPr>
          <w:trHeight w:val="760"/>
        </w:trPr>
        <w:tc>
          <w:tcPr>
            <w:tcW w:w="2268" w:type="dxa"/>
          </w:tcPr>
          <w:p w:rsidR="006A18FD" w:rsidRDefault="002D29FC">
            <w:pPr>
              <w:spacing w:before="1"/>
              <w:ind w:left="52" w:right="149"/>
              <w:rPr>
                <w:rFonts w:ascii="Calibri"/>
                <w:sz w:val="20"/>
              </w:rPr>
            </w:pPr>
            <w:r>
              <w:rPr>
                <w:rFonts w:ascii="Calibri"/>
                <w:sz w:val="20"/>
              </w:rPr>
              <w:t>Ratio of direct to indirect time on:</w:t>
            </w:r>
          </w:p>
          <w:p w:rsidR="006A18FD" w:rsidRDefault="002D29FC">
            <w:pPr>
              <w:spacing w:before="7"/>
              <w:ind w:left="52"/>
              <w:rPr>
                <w:rFonts w:ascii="Calibri"/>
                <w:sz w:val="20"/>
              </w:rPr>
            </w:pPr>
            <w:r>
              <w:rPr>
                <w:rFonts w:ascii="Calibri"/>
                <w:sz w:val="20"/>
              </w:rPr>
              <w:t>Client-related work</w:t>
            </w:r>
          </w:p>
        </w:tc>
        <w:tc>
          <w:tcPr>
            <w:tcW w:w="1702" w:type="dxa"/>
          </w:tcPr>
          <w:p w:rsidR="006A18FD" w:rsidRDefault="006A18FD">
            <w:pPr>
              <w:rPr>
                <w:rFonts w:ascii="Times New Roman"/>
                <w:sz w:val="18"/>
              </w:rPr>
            </w:pPr>
          </w:p>
        </w:tc>
        <w:tc>
          <w:tcPr>
            <w:tcW w:w="6236" w:type="dxa"/>
          </w:tcPr>
          <w:p w:rsidR="006A18FD" w:rsidRDefault="002D29FC">
            <w:pPr>
              <w:spacing w:before="1"/>
              <w:ind w:left="103"/>
              <w:rPr>
                <w:rFonts w:ascii="Calibri"/>
                <w:sz w:val="20"/>
              </w:rPr>
            </w:pPr>
            <w:r>
              <w:rPr>
                <w:rFonts w:ascii="Calibri"/>
                <w:sz w:val="20"/>
              </w:rPr>
              <w:t>No current information is available on the proportion of time spent with clients. See previous editions of this volume for sources of information.</w:t>
            </w:r>
          </w:p>
        </w:tc>
      </w:tr>
      <w:tr w:rsidR="006A18FD">
        <w:trPr>
          <w:trHeight w:val="480"/>
        </w:trPr>
        <w:tc>
          <w:tcPr>
            <w:tcW w:w="2268" w:type="dxa"/>
          </w:tcPr>
          <w:p w:rsidR="006A18FD" w:rsidRDefault="002D29FC">
            <w:pPr>
              <w:spacing w:line="243" w:lineRule="exact"/>
              <w:ind w:left="52"/>
              <w:rPr>
                <w:rFonts w:ascii="Calibri"/>
                <w:sz w:val="20"/>
              </w:rPr>
            </w:pPr>
            <w:r>
              <w:rPr>
                <w:rFonts w:ascii="Calibri"/>
                <w:sz w:val="20"/>
              </w:rPr>
              <w:t>London multiplier</w:t>
            </w:r>
          </w:p>
        </w:tc>
        <w:tc>
          <w:tcPr>
            <w:tcW w:w="1702" w:type="dxa"/>
          </w:tcPr>
          <w:p w:rsidR="006A18FD" w:rsidRDefault="002D29FC">
            <w:pPr>
              <w:spacing w:line="243" w:lineRule="exact"/>
              <w:ind w:left="105"/>
              <w:rPr>
                <w:rFonts w:ascii="Calibri"/>
                <w:sz w:val="20"/>
              </w:rPr>
            </w:pPr>
            <w:r>
              <w:rPr>
                <w:rFonts w:ascii="Calibri"/>
                <w:sz w:val="20"/>
              </w:rPr>
              <w:t>1.09 x A</w:t>
            </w:r>
          </w:p>
        </w:tc>
        <w:tc>
          <w:tcPr>
            <w:tcW w:w="6236" w:type="dxa"/>
          </w:tcPr>
          <w:p w:rsidR="006A18FD" w:rsidRDefault="002D29FC">
            <w:pPr>
              <w:spacing w:line="242" w:lineRule="exact"/>
              <w:ind w:left="103"/>
              <w:rPr>
                <w:rFonts w:ascii="Calibri"/>
                <w:sz w:val="20"/>
              </w:rPr>
            </w:pPr>
            <w:r>
              <w:rPr>
                <w:rFonts w:ascii="Calibri"/>
                <w:sz w:val="20"/>
              </w:rPr>
              <w:t>Allows for the higher costs associated with London compared to the</w:t>
            </w:r>
          </w:p>
          <w:p w:rsidR="006A18FD" w:rsidRDefault="002D29FC">
            <w:pPr>
              <w:spacing w:line="225" w:lineRule="exact"/>
              <w:ind w:left="103"/>
              <w:rPr>
                <w:rFonts w:ascii="Calibri"/>
                <w:sz w:val="13"/>
              </w:rPr>
            </w:pPr>
            <w:r>
              <w:rPr>
                <w:rFonts w:ascii="Calibri"/>
                <w:sz w:val="20"/>
              </w:rPr>
              <w:t>national average cost.</w:t>
            </w:r>
            <w:r>
              <w:rPr>
                <w:rFonts w:ascii="Calibri"/>
                <w:position w:val="7"/>
                <w:sz w:val="13"/>
              </w:rPr>
              <w:t>1</w:t>
            </w:r>
          </w:p>
        </w:tc>
      </w:tr>
      <w:tr w:rsidR="006A18FD">
        <w:trPr>
          <w:trHeight w:val="240"/>
        </w:trPr>
        <w:tc>
          <w:tcPr>
            <w:tcW w:w="2268" w:type="dxa"/>
          </w:tcPr>
          <w:p w:rsidR="006A18FD" w:rsidRDefault="002D29FC">
            <w:pPr>
              <w:spacing w:before="1" w:line="223" w:lineRule="exact"/>
              <w:ind w:left="52"/>
              <w:rPr>
                <w:rFonts w:ascii="Calibri"/>
                <w:sz w:val="20"/>
              </w:rPr>
            </w:pPr>
            <w:r>
              <w:rPr>
                <w:rFonts w:ascii="Calibri"/>
                <w:sz w:val="20"/>
              </w:rPr>
              <w:t>Non-London multiplier</w:t>
            </w:r>
          </w:p>
        </w:tc>
        <w:tc>
          <w:tcPr>
            <w:tcW w:w="1702" w:type="dxa"/>
          </w:tcPr>
          <w:p w:rsidR="006A18FD" w:rsidRDefault="006A18FD">
            <w:pPr>
              <w:rPr>
                <w:rFonts w:ascii="Times New Roman"/>
                <w:sz w:val="16"/>
              </w:rPr>
            </w:pPr>
          </w:p>
        </w:tc>
        <w:tc>
          <w:tcPr>
            <w:tcW w:w="6236" w:type="dxa"/>
          </w:tcPr>
          <w:p w:rsidR="006A18FD" w:rsidRDefault="006A18FD">
            <w:pPr>
              <w:rPr>
                <w:rFonts w:ascii="Times New Roman"/>
                <w:sz w:val="16"/>
              </w:rPr>
            </w:pPr>
          </w:p>
        </w:tc>
      </w:tr>
      <w:tr w:rsidR="006A18FD">
        <w:trPr>
          <w:trHeight w:val="240"/>
        </w:trPr>
        <w:tc>
          <w:tcPr>
            <w:tcW w:w="10207" w:type="dxa"/>
            <w:gridSpan w:val="3"/>
          </w:tcPr>
          <w:p w:rsidR="006A18FD" w:rsidRDefault="002D29FC">
            <w:pPr>
              <w:spacing w:before="1" w:line="223" w:lineRule="exact"/>
              <w:ind w:left="52"/>
              <w:rPr>
                <w:rFonts w:ascii="Calibri"/>
                <w:b/>
                <w:sz w:val="20"/>
              </w:rPr>
            </w:pPr>
            <w:r>
              <w:rPr>
                <w:rFonts w:ascii="Calibri"/>
                <w:b/>
                <w:sz w:val="20"/>
              </w:rPr>
              <w:t>Unit costs available 2018/2019 (costs including training given in brackets)</w:t>
            </w:r>
          </w:p>
        </w:tc>
      </w:tr>
      <w:tr w:rsidR="006A18FD">
        <w:trPr>
          <w:trHeight w:val="240"/>
        </w:trPr>
        <w:tc>
          <w:tcPr>
            <w:tcW w:w="10207" w:type="dxa"/>
            <w:gridSpan w:val="3"/>
          </w:tcPr>
          <w:p w:rsidR="006A18FD" w:rsidRDefault="002D29FC">
            <w:pPr>
              <w:spacing w:before="1" w:line="223" w:lineRule="exact"/>
              <w:ind w:left="52"/>
              <w:rPr>
                <w:rFonts w:ascii="Calibri" w:hAnsi="Calibri"/>
                <w:sz w:val="20"/>
              </w:rPr>
            </w:pPr>
            <w:r>
              <w:rPr>
                <w:rFonts w:ascii="Calibri" w:hAnsi="Calibri"/>
                <w:sz w:val="20"/>
              </w:rPr>
              <w:t>£44 (£48) per hour.</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9"/>
        <w:rPr>
          <w:rFonts w:ascii="Cambria"/>
          <w:b/>
          <w:sz w:val="36"/>
        </w:rPr>
      </w:pPr>
    </w:p>
    <w:p w:rsidR="006A18FD" w:rsidRDefault="002D29FC">
      <w:pPr>
        <w:spacing w:line="195" w:lineRule="exact"/>
        <w:ind w:left="152"/>
        <w:rPr>
          <w:rFonts w:ascii="Calibri"/>
          <w:sz w:val="14"/>
        </w:rPr>
      </w:pPr>
      <w:r>
        <w:rPr>
          <w:rFonts w:ascii="Calibri"/>
          <w:position w:val="5"/>
          <w:sz w:val="10"/>
        </w:rPr>
        <w:t xml:space="preserve">1 </w:t>
      </w:r>
      <w:r>
        <w:rPr>
          <w:rFonts w:ascii="Calibri"/>
          <w:sz w:val="16"/>
        </w:rPr>
        <w:t xml:space="preserve">Skills for Care (2019) </w:t>
      </w:r>
      <w:r>
        <w:rPr>
          <w:rFonts w:ascii="Calibri"/>
          <w:i/>
          <w:sz w:val="16"/>
        </w:rPr>
        <w:t>National Minimum Dataset-Social Care online</w:t>
      </w:r>
      <w:r>
        <w:rPr>
          <w:rFonts w:ascii="Calibri"/>
          <w:sz w:val="16"/>
        </w:rPr>
        <w:t xml:space="preserve">, </w:t>
      </w:r>
      <w:hyperlink r:id="rId395">
        <w:r>
          <w:rPr>
            <w:rFonts w:ascii="Calibri"/>
            <w:sz w:val="16"/>
            <w:u w:val="single"/>
          </w:rPr>
          <w:t>https://www.nmds-sc-online.org.uk/</w:t>
        </w:r>
        <w:r>
          <w:rPr>
            <w:rFonts w:ascii="Calibri"/>
            <w:sz w:val="16"/>
          </w:rPr>
          <w:t xml:space="preserve"> </w:t>
        </w:r>
      </w:hyperlink>
      <w:r>
        <w:rPr>
          <w:rFonts w:ascii="Calibri"/>
          <w:sz w:val="16"/>
        </w:rPr>
        <w:t xml:space="preserve">[accessed 3 October </w:t>
      </w:r>
      <w:r>
        <w:rPr>
          <w:rFonts w:ascii="Calibri"/>
          <w:sz w:val="14"/>
        </w:rPr>
        <w:t>2019].</w:t>
      </w:r>
    </w:p>
    <w:p w:rsidR="006A18FD" w:rsidRDefault="002D29FC">
      <w:pPr>
        <w:ind w:left="436" w:right="3005" w:hanging="284"/>
        <w:rPr>
          <w:rFonts w:ascii="Calibri"/>
          <w:sz w:val="16"/>
        </w:rPr>
      </w:pPr>
      <w:r>
        <w:rPr>
          <w:rFonts w:ascii="Calibri"/>
          <w:position w:val="5"/>
          <w:sz w:val="10"/>
        </w:rPr>
        <w:t xml:space="preserve">2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396">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spacing w:before="2"/>
        <w:ind w:left="436" w:right="353"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 Vols 1 &amp; 2</w:t>
      </w:r>
      <w:r>
        <w:rPr>
          <w:rFonts w:ascii="Calibri"/>
          <w:sz w:val="16"/>
        </w:rPr>
        <w:t>, Personal Social Services Research Unit, University of Kent, Canterbury.</w:t>
      </w:r>
    </w:p>
    <w:p w:rsidR="006A18FD" w:rsidRDefault="002D29FC">
      <w:pPr>
        <w:spacing w:before="1"/>
        <w:ind w:left="436" w:right="283" w:hanging="284"/>
        <w:rPr>
          <w:rFonts w:ascii="Calibri"/>
          <w:sz w:val="16"/>
        </w:rPr>
      </w:pPr>
      <w:r>
        <w:rPr>
          <w:rFonts w:ascii="Calibri"/>
          <w:position w:val="5"/>
          <w:sz w:val="10"/>
        </w:rPr>
        <w:t xml:space="preserve">4 </w:t>
      </w:r>
      <w:r>
        <w:rPr>
          <w:rFonts w:ascii="Calibri"/>
          <w:sz w:val="16"/>
        </w:rPr>
        <w:t xml:space="preserve">Based on information taken from Selwyn et al. (2009) </w:t>
      </w:r>
      <w:r>
        <w:rPr>
          <w:rFonts w:ascii="Calibri"/>
          <w:i/>
          <w:sz w:val="16"/>
        </w:rPr>
        <w:t>Adoption and the inter-agency fee</w:t>
      </w:r>
      <w:r>
        <w:rPr>
          <w:rFonts w:ascii="Calibri"/>
          <w:sz w:val="16"/>
        </w:rPr>
        <w:t xml:space="preserve">, University of Bristol, Bristol; and Glendinning et al. (2010) </w:t>
      </w: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line="194" w:lineRule="exact"/>
        <w:ind w:left="152"/>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36" w:right="1844"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397">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ind w:left="436" w:right="904" w:hanging="284"/>
        <w:rPr>
          <w:rFonts w:ascii="Calibri"/>
          <w:sz w:val="16"/>
        </w:rPr>
      </w:pPr>
      <w:r>
        <w:rPr>
          <w:rFonts w:ascii="Calibri"/>
          <w:position w:val="5"/>
          <w:sz w:val="10"/>
        </w:rPr>
        <w:t xml:space="preserve">7 </w:t>
      </w:r>
      <w:r>
        <w:rPr>
          <w:rFonts w:ascii="Calibri"/>
          <w:sz w:val="16"/>
        </w:rPr>
        <w:t xml:space="preserve">Local Government Association (2018) </w:t>
      </w:r>
      <w:r>
        <w:rPr>
          <w:rFonts w:ascii="Calibri"/>
          <w:i/>
          <w:sz w:val="16"/>
        </w:rPr>
        <w:t>Local government workforce survey 2016/17</w:t>
      </w:r>
      <w:r>
        <w:rPr>
          <w:rFonts w:ascii="Calibri"/>
          <w:sz w:val="16"/>
        </w:rPr>
        <w:t xml:space="preserve">, Local Government Association, London. </w:t>
      </w:r>
      <w:hyperlink r:id="rId398">
        <w:r>
          <w:rPr>
            <w:rFonts w:ascii="Calibri"/>
            <w:sz w:val="16"/>
            <w:u w:val="single"/>
          </w:rPr>
          <w:t>https://www.local.gov.uk/sites/default/files/documents/LG%20Workforce%20Survey%202016-17%20-%20report%20final%2020180718.pdf</w:t>
        </w:r>
      </w:hyperlink>
      <w:r>
        <w:rPr>
          <w:rFonts w:ascii="Calibri"/>
          <w:sz w:val="16"/>
        </w:rPr>
        <w:t xml:space="preserve"> [accessed 20 October 2018].</w:t>
      </w:r>
    </w:p>
    <w:p w:rsidR="006A18FD" w:rsidRDefault="006A18FD">
      <w:pPr>
        <w:rPr>
          <w:rFonts w:ascii="Calibri"/>
          <w:sz w:val="16"/>
        </w:rPr>
        <w:sectPr w:rsidR="006A18FD">
          <w:pgSz w:w="11910" w:h="16840"/>
          <w:pgMar w:top="960" w:right="44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97" name="Line 54"/>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05C7F2" id="Group 53"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">
                <v:line id="Line 54"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w10:anchorlock/>
              </v:group>
            </w:pict>
          </mc:Fallback>
        </mc:AlternateContent>
      </w:r>
    </w:p>
    <w:p w:rsidR="006A18FD" w:rsidRDefault="00AF6861" w:rsidP="00AF6861">
      <w:pPr>
        <w:pStyle w:val="Heading2"/>
      </w:pPr>
      <w:r>
        <w:t xml:space="preserve">11.5 </w:t>
      </w:r>
      <w:r w:rsidR="002D29FC">
        <w:t>Home care</w:t>
      </w:r>
      <w:r w:rsidR="002D29FC">
        <w:rPr>
          <w:spacing w:val="-10"/>
        </w:rPr>
        <w:t xml:space="preserve"> </w:t>
      </w:r>
      <w:r w:rsidR="002D29FC">
        <w:t>worker</w:t>
      </w:r>
    </w:p>
    <w:p w:rsidR="006A18FD" w:rsidRDefault="002D29FC">
      <w:pPr>
        <w:spacing w:before="172" w:line="276" w:lineRule="auto"/>
        <w:ind w:left="140" w:right="206"/>
        <w:rPr>
          <w:rFonts w:ascii="Calibri" w:hAnsi="Calibri"/>
          <w:sz w:val="16"/>
        </w:rPr>
      </w:pPr>
      <w:r>
        <w:rPr>
          <w:rFonts w:ascii="Calibri" w:hAnsi="Calibri"/>
          <w:sz w:val="16"/>
        </w:rPr>
        <w:t>This table provides information on the costs of a home care worker. Salary information is taken from the National Minimum Dataset for Social Care (Skills for Care, 2019).</w:t>
      </w:r>
      <w:r>
        <w:rPr>
          <w:rFonts w:ascii="Calibri" w:hAnsi="Calibri"/>
          <w:position w:val="5"/>
          <w:sz w:val="10"/>
        </w:rPr>
        <w:t xml:space="preserve">1 </w:t>
      </w:r>
      <w:r>
        <w:rPr>
          <w:rFonts w:ascii="Calibri" w:hAnsi="Calibri"/>
          <w:sz w:val="16"/>
        </w:rPr>
        <w:t>The ASC-FR return currently provides two rates for home care: one for the hourly rate of in-house home care provision (£32.05); and one for the average hourly rate paid to external providers of home care services (£16.86).</w:t>
      </w:r>
      <w:r>
        <w:rPr>
          <w:rFonts w:ascii="Calibri" w:hAnsi="Calibri"/>
          <w:position w:val="5"/>
          <w:sz w:val="10"/>
        </w:rPr>
        <w:t xml:space="preserve">2  </w:t>
      </w:r>
      <w:r>
        <w:rPr>
          <w:rFonts w:ascii="Calibri" w:hAnsi="Calibri"/>
          <w:sz w:val="16"/>
        </w:rPr>
        <w:t xml:space="preserve">NHS Digital do not analyse the rate by primary support reason or age group. See the UKHCA Costing Model designed to assist any provider in the calculation of a fair price for social care services </w:t>
      </w:r>
      <w:hyperlink r:id="rId399">
        <w:r>
          <w:rPr>
            <w:rFonts w:ascii="Calibri" w:hAnsi="Calibri"/>
            <w:sz w:val="16"/>
            <w:u w:val="single"/>
          </w:rPr>
          <w:t>https://www.ukhca.co.uk/CostingModel/default.aspx</w:t>
        </w:r>
        <w:r>
          <w:rPr>
            <w:rFonts w:ascii="Calibri" w:hAnsi="Calibri"/>
            <w:sz w:val="16"/>
          </w:rPr>
          <w:t xml:space="preserve"> </w:t>
        </w:r>
      </w:hyperlink>
      <w:r>
        <w:rPr>
          <w:rFonts w:ascii="Calibri" w:hAnsi="Calibri"/>
          <w:sz w:val="16"/>
        </w:rPr>
        <w:t xml:space="preserve">and </w:t>
      </w:r>
      <w:hyperlink r:id="rId400">
        <w:r>
          <w:rPr>
            <w:rFonts w:ascii="Calibri" w:hAnsi="Calibri"/>
            <w:sz w:val="16"/>
            <w:u w:val="single"/>
          </w:rPr>
          <w:t>https://www.gov.uk/government/publications/care-homes-market-study-summary-of-final-</w:t>
        </w:r>
      </w:hyperlink>
      <w:r>
        <w:rPr>
          <w:rFonts w:ascii="Calibri" w:hAnsi="Calibri"/>
          <w:sz w:val="16"/>
        </w:rPr>
        <w:t xml:space="preserve"> </w:t>
      </w:r>
      <w:hyperlink r:id="rId401">
        <w:r>
          <w:rPr>
            <w:rFonts w:ascii="Calibri" w:hAnsi="Calibri"/>
            <w:sz w:val="16"/>
            <w:u w:val="single"/>
          </w:rPr>
          <w:t>report/care-homes-market-study-summary-of-final-report</w:t>
        </w:r>
        <w:r>
          <w:rPr>
            <w:rFonts w:ascii="Calibri" w:hAnsi="Calibri"/>
            <w:sz w:val="16"/>
          </w:rPr>
          <w:t xml:space="preserve"> </w:t>
        </w:r>
      </w:hyperlink>
      <w:r>
        <w:rPr>
          <w:rFonts w:ascii="Calibri" w:hAnsi="Calibri"/>
          <w:sz w:val="16"/>
        </w:rPr>
        <w:t xml:space="preserve">for the most recent care homes market study. The latest UK domiciliary care market report is available on </w:t>
      </w:r>
      <w:hyperlink r:id="rId402">
        <w:r>
          <w:rPr>
            <w:rFonts w:ascii="Calibri" w:hAnsi="Calibri"/>
            <w:sz w:val="16"/>
            <w:u w:val="single"/>
          </w:rPr>
          <w:t>https://store.mintel.com/uk-domiciliary-care-market-report</w:t>
        </w:r>
        <w:r>
          <w:rPr>
            <w:rFonts w:ascii="Calibri" w:hAnsi="Calibri"/>
            <w:sz w:val="16"/>
          </w:rPr>
          <w:t>.</w:t>
        </w:r>
      </w:hyperlink>
    </w:p>
    <w:p w:rsidR="006A18FD" w:rsidRDefault="006A18FD">
      <w:pPr>
        <w:spacing w:before="7"/>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1767"/>
        <w:gridCol w:w="6064"/>
      </w:tblGrid>
      <w:tr w:rsidR="006A18FD" w:rsidTr="00CA19E0">
        <w:trPr>
          <w:trHeight w:val="300"/>
          <w:tblHeader/>
        </w:trPr>
        <w:tc>
          <w:tcPr>
            <w:tcW w:w="2213" w:type="dxa"/>
          </w:tcPr>
          <w:p w:rsidR="006A18FD" w:rsidRDefault="002D29FC">
            <w:pPr>
              <w:spacing w:line="194" w:lineRule="exact"/>
              <w:ind w:left="52"/>
              <w:rPr>
                <w:rFonts w:ascii="Calibri"/>
                <w:b/>
                <w:sz w:val="16"/>
              </w:rPr>
            </w:pPr>
            <w:r>
              <w:rPr>
                <w:rFonts w:ascii="Calibri"/>
                <w:b/>
                <w:sz w:val="16"/>
              </w:rPr>
              <w:t>Costs and unit estimation</w:t>
            </w:r>
          </w:p>
        </w:tc>
        <w:tc>
          <w:tcPr>
            <w:tcW w:w="1767" w:type="dxa"/>
          </w:tcPr>
          <w:p w:rsidR="006A18FD" w:rsidRDefault="002D29FC">
            <w:pPr>
              <w:spacing w:line="194" w:lineRule="exact"/>
              <w:ind w:left="52"/>
              <w:rPr>
                <w:rFonts w:ascii="Calibri"/>
                <w:b/>
                <w:sz w:val="16"/>
              </w:rPr>
            </w:pPr>
            <w:r>
              <w:rPr>
                <w:rFonts w:ascii="Calibri"/>
                <w:b/>
                <w:sz w:val="16"/>
              </w:rPr>
              <w:t>2018/2019 value</w:t>
            </w:r>
          </w:p>
        </w:tc>
        <w:tc>
          <w:tcPr>
            <w:tcW w:w="6063" w:type="dxa"/>
          </w:tcPr>
          <w:p w:rsidR="006A18FD" w:rsidRDefault="002D29FC">
            <w:pPr>
              <w:spacing w:line="194" w:lineRule="exact"/>
              <w:ind w:left="52"/>
              <w:rPr>
                <w:rFonts w:ascii="Calibri"/>
                <w:b/>
                <w:sz w:val="16"/>
              </w:rPr>
            </w:pPr>
            <w:r>
              <w:rPr>
                <w:rFonts w:ascii="Calibri"/>
                <w:b/>
                <w:sz w:val="16"/>
              </w:rPr>
              <w:t>Notes</w:t>
            </w:r>
          </w:p>
        </w:tc>
      </w:tr>
      <w:tr w:rsidR="006A18FD">
        <w:trPr>
          <w:trHeight w:val="580"/>
        </w:trPr>
        <w:tc>
          <w:tcPr>
            <w:tcW w:w="2213" w:type="dxa"/>
          </w:tcPr>
          <w:p w:rsidR="006A18FD" w:rsidRDefault="002D29FC">
            <w:pPr>
              <w:spacing w:line="194" w:lineRule="exact"/>
              <w:ind w:left="103"/>
              <w:rPr>
                <w:rFonts w:ascii="Calibri"/>
                <w:sz w:val="16"/>
              </w:rPr>
            </w:pPr>
            <w:r>
              <w:rPr>
                <w:rFonts w:ascii="Calibri"/>
                <w:sz w:val="16"/>
              </w:rPr>
              <w:t>A. Wages/salary</w:t>
            </w:r>
          </w:p>
        </w:tc>
        <w:tc>
          <w:tcPr>
            <w:tcW w:w="1767" w:type="dxa"/>
          </w:tcPr>
          <w:p w:rsidR="006A18FD" w:rsidRDefault="002D29FC">
            <w:pPr>
              <w:spacing w:line="194" w:lineRule="exact"/>
              <w:ind w:left="103"/>
              <w:rPr>
                <w:rFonts w:ascii="Calibri" w:hAnsi="Calibri"/>
                <w:sz w:val="16"/>
              </w:rPr>
            </w:pPr>
            <w:r>
              <w:rPr>
                <w:rFonts w:ascii="Calibri" w:hAnsi="Calibri"/>
                <w:sz w:val="16"/>
              </w:rPr>
              <w:t>£16,334 per year</w:t>
            </w:r>
          </w:p>
        </w:tc>
        <w:tc>
          <w:tcPr>
            <w:tcW w:w="6063" w:type="dxa"/>
          </w:tcPr>
          <w:p w:rsidR="006A18FD" w:rsidRDefault="002D29FC">
            <w:pPr>
              <w:ind w:left="102" w:right="175"/>
              <w:rPr>
                <w:rFonts w:ascii="Calibri" w:hAnsi="Calibri"/>
                <w:sz w:val="16"/>
              </w:rPr>
            </w:pPr>
            <w:r>
              <w:rPr>
                <w:rFonts w:ascii="Calibri" w:hAnsi="Calibri"/>
                <w:sz w:val="16"/>
              </w:rPr>
              <w:t>Based on the weighted mean annual salary for a local authority and independent sector care worker for 2018/2019. The weighted mean hourly pay rate was £8.20. A senior care</w:t>
            </w:r>
          </w:p>
          <w:p w:rsidR="006A18FD" w:rsidRDefault="002D29FC">
            <w:pPr>
              <w:spacing w:before="3" w:line="175" w:lineRule="exact"/>
              <w:ind w:left="102"/>
              <w:rPr>
                <w:rFonts w:ascii="Calibri" w:hAnsi="Calibri"/>
                <w:sz w:val="10"/>
              </w:rPr>
            </w:pPr>
            <w:r>
              <w:rPr>
                <w:rFonts w:ascii="Calibri" w:hAnsi="Calibri"/>
                <w:sz w:val="16"/>
              </w:rPr>
              <w:t>worker would earn £17,781 per year (£9.00 gross hourly salary).</w:t>
            </w:r>
            <w:r>
              <w:rPr>
                <w:rFonts w:ascii="Calibri" w:hAnsi="Calibri"/>
                <w:position w:val="5"/>
                <w:sz w:val="10"/>
              </w:rPr>
              <w:t>1</w:t>
            </w:r>
          </w:p>
        </w:tc>
      </w:tr>
      <w:tr w:rsidR="006A18FD">
        <w:trPr>
          <w:trHeight w:val="380"/>
        </w:trPr>
        <w:tc>
          <w:tcPr>
            <w:tcW w:w="2213" w:type="dxa"/>
          </w:tcPr>
          <w:p w:rsidR="006A18FD" w:rsidRDefault="002D29FC">
            <w:pPr>
              <w:spacing w:line="194" w:lineRule="exact"/>
              <w:ind w:left="103"/>
              <w:rPr>
                <w:rFonts w:ascii="Calibri"/>
                <w:sz w:val="16"/>
              </w:rPr>
            </w:pPr>
            <w:r>
              <w:rPr>
                <w:rFonts w:ascii="Calibri"/>
                <w:sz w:val="16"/>
              </w:rPr>
              <w:t>B. Salary oncosts</w:t>
            </w:r>
          </w:p>
        </w:tc>
        <w:tc>
          <w:tcPr>
            <w:tcW w:w="1767" w:type="dxa"/>
          </w:tcPr>
          <w:p w:rsidR="006A18FD" w:rsidRDefault="002D29FC">
            <w:pPr>
              <w:spacing w:line="194" w:lineRule="exact"/>
              <w:ind w:left="103"/>
              <w:rPr>
                <w:rFonts w:ascii="Calibri" w:hAnsi="Calibri"/>
                <w:sz w:val="16"/>
              </w:rPr>
            </w:pPr>
            <w:r>
              <w:rPr>
                <w:rFonts w:ascii="Calibri" w:hAnsi="Calibri"/>
                <w:sz w:val="16"/>
              </w:rPr>
              <w:t>£3,868 per year</w:t>
            </w:r>
          </w:p>
        </w:tc>
        <w:tc>
          <w:tcPr>
            <w:tcW w:w="6063" w:type="dxa"/>
          </w:tcPr>
          <w:p w:rsidR="006A18FD" w:rsidRDefault="002D29FC">
            <w:pPr>
              <w:spacing w:line="194" w:lineRule="exact"/>
              <w:ind w:left="102"/>
              <w:rPr>
                <w:rFonts w:ascii="Calibri" w:hAnsi="Calibri"/>
                <w:sz w:val="16"/>
              </w:rPr>
            </w:pPr>
            <w:r>
              <w:rPr>
                <w:rFonts w:ascii="Calibri" w:hAnsi="Calibri"/>
                <w:sz w:val="16"/>
              </w:rPr>
              <w:t>Employer’s national insurance contribution is included, plus 17 per cent of salary for</w:t>
            </w:r>
          </w:p>
          <w:p w:rsidR="006A18FD" w:rsidRDefault="002D29FC">
            <w:pPr>
              <w:spacing w:before="1" w:line="175" w:lineRule="exact"/>
              <w:ind w:left="102"/>
              <w:rPr>
                <w:rFonts w:ascii="Calibri" w:hAnsi="Calibri"/>
                <w:sz w:val="10"/>
              </w:rPr>
            </w:pPr>
            <w:r>
              <w:rPr>
                <w:rFonts w:ascii="Calibri" w:hAnsi="Calibri"/>
                <w:sz w:val="16"/>
              </w:rPr>
              <w:t>employer’s contribution to superannuation.</w:t>
            </w:r>
            <w:r>
              <w:rPr>
                <w:rFonts w:ascii="Calibri" w:hAnsi="Calibri"/>
                <w:position w:val="5"/>
                <w:sz w:val="10"/>
              </w:rPr>
              <w:t>3</w:t>
            </w:r>
          </w:p>
        </w:tc>
      </w:tr>
      <w:tr w:rsidR="006A18FD">
        <w:trPr>
          <w:trHeight w:val="1300"/>
        </w:trPr>
        <w:tc>
          <w:tcPr>
            <w:tcW w:w="2213" w:type="dxa"/>
          </w:tcPr>
          <w:p w:rsidR="006A18FD" w:rsidRDefault="002D29FC">
            <w:pPr>
              <w:spacing w:line="244" w:lineRule="auto"/>
              <w:ind w:left="103" w:right="865"/>
              <w:rPr>
                <w:rFonts w:ascii="Calibri"/>
                <w:sz w:val="16"/>
              </w:rPr>
            </w:pPr>
            <w:r>
              <w:rPr>
                <w:rFonts w:ascii="Calibri"/>
                <w:sz w:val="16"/>
              </w:rPr>
              <w:t>C. Overheads Direct overheads</w:t>
            </w:r>
          </w:p>
          <w:p w:rsidR="006A18FD" w:rsidRDefault="006A18FD">
            <w:pPr>
              <w:rPr>
                <w:rFonts w:ascii="Calibri"/>
                <w:sz w:val="16"/>
              </w:rPr>
            </w:pPr>
          </w:p>
          <w:p w:rsidR="006A18FD" w:rsidRDefault="006A18FD">
            <w:pPr>
              <w:spacing w:before="11"/>
              <w:rPr>
                <w:rFonts w:ascii="Calibri"/>
                <w:sz w:val="18"/>
              </w:rPr>
            </w:pPr>
          </w:p>
          <w:p w:rsidR="006A18FD" w:rsidRDefault="002D29FC">
            <w:pPr>
              <w:ind w:left="103"/>
              <w:rPr>
                <w:rFonts w:ascii="Calibri"/>
                <w:sz w:val="16"/>
              </w:rPr>
            </w:pPr>
            <w:r>
              <w:rPr>
                <w:rFonts w:ascii="Calibri"/>
                <w:sz w:val="16"/>
              </w:rPr>
              <w:t>Indirect overheads</w:t>
            </w:r>
          </w:p>
        </w:tc>
        <w:tc>
          <w:tcPr>
            <w:tcW w:w="1767" w:type="dxa"/>
          </w:tcPr>
          <w:p w:rsidR="006A18FD" w:rsidRDefault="006A18FD">
            <w:pPr>
              <w:spacing w:before="2"/>
              <w:rPr>
                <w:rFonts w:ascii="Calibri"/>
                <w:sz w:val="16"/>
              </w:rPr>
            </w:pPr>
          </w:p>
          <w:p w:rsidR="006A18FD" w:rsidRDefault="002D29FC">
            <w:pPr>
              <w:ind w:left="103"/>
              <w:rPr>
                <w:rFonts w:ascii="Calibri" w:hAnsi="Calibri"/>
                <w:sz w:val="16"/>
              </w:rPr>
            </w:pPr>
            <w:r>
              <w:rPr>
                <w:rFonts w:ascii="Calibri" w:hAnsi="Calibri"/>
                <w:sz w:val="16"/>
              </w:rPr>
              <w:t>£5,859 per year</w:t>
            </w:r>
          </w:p>
          <w:p w:rsidR="006A18FD" w:rsidRDefault="006A18FD">
            <w:pPr>
              <w:rPr>
                <w:rFonts w:ascii="Calibri"/>
                <w:sz w:val="16"/>
              </w:rPr>
            </w:pPr>
          </w:p>
          <w:p w:rsidR="006A18FD" w:rsidRDefault="006A18FD">
            <w:pPr>
              <w:spacing w:before="1"/>
              <w:rPr>
                <w:rFonts w:ascii="Calibri"/>
                <w:sz w:val="19"/>
              </w:rPr>
            </w:pPr>
          </w:p>
          <w:p w:rsidR="006A18FD" w:rsidRDefault="002D29FC">
            <w:pPr>
              <w:ind w:left="103"/>
              <w:rPr>
                <w:rFonts w:ascii="Calibri" w:hAnsi="Calibri"/>
                <w:sz w:val="16"/>
              </w:rPr>
            </w:pPr>
            <w:r>
              <w:rPr>
                <w:rFonts w:ascii="Calibri" w:hAnsi="Calibri"/>
                <w:sz w:val="16"/>
              </w:rPr>
              <w:t>£3,232 per hour</w:t>
            </w:r>
          </w:p>
        </w:tc>
        <w:tc>
          <w:tcPr>
            <w:tcW w:w="6063" w:type="dxa"/>
          </w:tcPr>
          <w:p w:rsidR="006A18FD" w:rsidRDefault="006A18FD">
            <w:pPr>
              <w:spacing w:before="2"/>
              <w:rPr>
                <w:rFonts w:ascii="Calibri"/>
                <w:sz w:val="16"/>
              </w:rPr>
            </w:pPr>
          </w:p>
          <w:p w:rsidR="006A18FD" w:rsidRDefault="002D29FC">
            <w:pPr>
              <w:ind w:left="102" w:right="306"/>
              <w:jc w:val="both"/>
              <w:rPr>
                <w:rFonts w:ascii="Calibri"/>
                <w:sz w:val="10"/>
              </w:rPr>
            </w:pPr>
            <w:r>
              <w:rPr>
                <w:rFonts w:ascii="Calibri"/>
                <w:sz w:val="16"/>
              </w:rPr>
              <w:t>Direct overheads were 29 per cent of direct care salary costs. They include costs to the provider</w:t>
            </w:r>
            <w:r>
              <w:rPr>
                <w:rFonts w:ascii="Calibri"/>
                <w:spacing w:val="-2"/>
                <w:sz w:val="16"/>
              </w:rPr>
              <w:t xml:space="preserve"> </w:t>
            </w:r>
            <w:r>
              <w:rPr>
                <w:rFonts w:ascii="Calibri"/>
                <w:sz w:val="16"/>
              </w:rPr>
              <w:t>for</w:t>
            </w:r>
            <w:r>
              <w:rPr>
                <w:rFonts w:ascii="Calibri"/>
                <w:spacing w:val="-4"/>
                <w:sz w:val="16"/>
              </w:rPr>
              <w:t xml:space="preserve"> </w:t>
            </w:r>
            <w:r>
              <w:rPr>
                <w:rFonts w:ascii="Calibri"/>
                <w:sz w:val="16"/>
              </w:rPr>
              <w:t>administration</w:t>
            </w:r>
            <w:r>
              <w:rPr>
                <w:rFonts w:ascii="Calibri"/>
                <w:spacing w:val="-2"/>
                <w:sz w:val="16"/>
              </w:rPr>
              <w:t xml:space="preserve"> </w:t>
            </w:r>
            <w:r>
              <w:rPr>
                <w:rFonts w:ascii="Calibri"/>
                <w:sz w:val="16"/>
              </w:rPr>
              <w:t>and</w:t>
            </w:r>
            <w:r>
              <w:rPr>
                <w:rFonts w:ascii="Calibri"/>
                <w:spacing w:val="-4"/>
                <w:sz w:val="16"/>
              </w:rPr>
              <w:t xml:space="preserve"> </w:t>
            </w:r>
            <w:r>
              <w:rPr>
                <w:rFonts w:ascii="Calibri"/>
                <w:sz w:val="16"/>
              </w:rPr>
              <w:t>management,</w:t>
            </w:r>
            <w:r>
              <w:rPr>
                <w:rFonts w:ascii="Calibri"/>
                <w:spacing w:val="-3"/>
                <w:sz w:val="16"/>
              </w:rPr>
              <w:t xml:space="preserve"> </w:t>
            </w:r>
            <w:r>
              <w:rPr>
                <w:rFonts w:ascii="Calibri"/>
                <w:sz w:val="16"/>
              </w:rPr>
              <w:t>as</w:t>
            </w:r>
            <w:r>
              <w:rPr>
                <w:rFonts w:ascii="Calibri"/>
                <w:spacing w:val="-4"/>
                <w:sz w:val="16"/>
              </w:rPr>
              <w:t xml:space="preserve"> </w:t>
            </w:r>
            <w:r>
              <w:rPr>
                <w:rFonts w:ascii="Calibri"/>
                <w:sz w:val="16"/>
              </w:rPr>
              <w:t>well</w:t>
            </w:r>
            <w:r>
              <w:rPr>
                <w:rFonts w:ascii="Calibri"/>
                <w:spacing w:val="-4"/>
                <w:sz w:val="16"/>
              </w:rPr>
              <w:t xml:space="preserve"> </w:t>
            </w:r>
            <w:r>
              <w:rPr>
                <w:rFonts w:ascii="Calibri"/>
                <w:sz w:val="16"/>
              </w:rPr>
              <w:t>as</w:t>
            </w:r>
            <w:r>
              <w:rPr>
                <w:rFonts w:ascii="Calibri"/>
                <w:spacing w:val="-4"/>
                <w:sz w:val="16"/>
              </w:rPr>
              <w:t xml:space="preserve"> </w:t>
            </w:r>
            <w:r>
              <w:rPr>
                <w:rFonts w:ascii="Calibri"/>
                <w:sz w:val="16"/>
              </w:rPr>
              <w:t>for</w:t>
            </w:r>
            <w:r>
              <w:rPr>
                <w:rFonts w:ascii="Calibri"/>
                <w:spacing w:val="-4"/>
                <w:sz w:val="16"/>
              </w:rPr>
              <w:t xml:space="preserve"> </w:t>
            </w:r>
            <w:r>
              <w:rPr>
                <w:rFonts w:ascii="Calibri"/>
                <w:sz w:val="16"/>
              </w:rPr>
              <w:t>office,</w:t>
            </w:r>
            <w:r>
              <w:rPr>
                <w:rFonts w:ascii="Calibri"/>
                <w:spacing w:val="-3"/>
                <w:sz w:val="16"/>
              </w:rPr>
              <w:t xml:space="preserve"> </w:t>
            </w:r>
            <w:r>
              <w:rPr>
                <w:rFonts w:ascii="Calibri"/>
                <w:sz w:val="16"/>
              </w:rPr>
              <w:t>training</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utilities such as water, gas and</w:t>
            </w:r>
            <w:r>
              <w:rPr>
                <w:rFonts w:ascii="Calibri"/>
                <w:spacing w:val="-10"/>
                <w:sz w:val="16"/>
              </w:rPr>
              <w:t xml:space="preserve"> </w:t>
            </w:r>
            <w:r>
              <w:rPr>
                <w:rFonts w:ascii="Calibri"/>
                <w:sz w:val="16"/>
              </w:rPr>
              <w:t>electricity.</w:t>
            </w:r>
            <w:r>
              <w:rPr>
                <w:rFonts w:ascii="Calibri"/>
                <w:position w:val="5"/>
                <w:sz w:val="10"/>
              </w:rPr>
              <w:t>4</w:t>
            </w:r>
          </w:p>
          <w:p w:rsidR="006A18FD" w:rsidRDefault="002D29FC">
            <w:pPr>
              <w:spacing w:before="37"/>
              <w:ind w:left="102" w:right="333"/>
              <w:jc w:val="both"/>
              <w:rPr>
                <w:rFonts w:ascii="Calibri"/>
                <w:sz w:val="10"/>
              </w:rPr>
            </w:pPr>
            <w:r>
              <w:rPr>
                <w:rFonts w:ascii="Calibri"/>
                <w:sz w:val="16"/>
              </w:rPr>
              <w:t>Indirect overheads were 16 per cent of direct care salary costs. They include general management and support services such as finance and human resource departments.</w:t>
            </w:r>
            <w:r>
              <w:rPr>
                <w:rFonts w:ascii="Calibri"/>
                <w:position w:val="5"/>
                <w:sz w:val="10"/>
              </w:rPr>
              <w:t>4</w:t>
            </w:r>
          </w:p>
        </w:tc>
      </w:tr>
      <w:tr w:rsidR="006A18FD">
        <w:trPr>
          <w:trHeight w:val="380"/>
        </w:trPr>
        <w:tc>
          <w:tcPr>
            <w:tcW w:w="2213" w:type="dxa"/>
          </w:tcPr>
          <w:p w:rsidR="006A18FD" w:rsidRDefault="002D29FC">
            <w:pPr>
              <w:spacing w:line="194" w:lineRule="exact"/>
              <w:ind w:left="103"/>
              <w:rPr>
                <w:rFonts w:ascii="Calibri"/>
                <w:sz w:val="16"/>
              </w:rPr>
            </w:pPr>
            <w:r>
              <w:rPr>
                <w:rFonts w:ascii="Calibri"/>
                <w:sz w:val="16"/>
              </w:rPr>
              <w:t>D. Travel</w:t>
            </w:r>
          </w:p>
        </w:tc>
        <w:tc>
          <w:tcPr>
            <w:tcW w:w="1767" w:type="dxa"/>
          </w:tcPr>
          <w:p w:rsidR="006A18FD" w:rsidRDefault="006A18FD">
            <w:pPr>
              <w:rPr>
                <w:rFonts w:ascii="Times New Roman"/>
                <w:sz w:val="16"/>
              </w:rPr>
            </w:pPr>
          </w:p>
        </w:tc>
        <w:tc>
          <w:tcPr>
            <w:tcW w:w="6063" w:type="dxa"/>
          </w:tcPr>
          <w:p w:rsidR="006A18FD" w:rsidRDefault="002D29FC">
            <w:pPr>
              <w:spacing w:line="194" w:lineRule="exact"/>
              <w:ind w:left="102"/>
              <w:rPr>
                <w:rFonts w:ascii="Calibri"/>
                <w:i/>
                <w:sz w:val="16"/>
              </w:rPr>
            </w:pPr>
            <w:r>
              <w:rPr>
                <w:rFonts w:ascii="Calibri"/>
                <w:sz w:val="16"/>
              </w:rPr>
              <w:t xml:space="preserve">No information available on average mileage covered per visit. For information see </w:t>
            </w:r>
            <w:r>
              <w:rPr>
                <w:rFonts w:ascii="Calibri"/>
                <w:i/>
                <w:sz w:val="16"/>
              </w:rPr>
              <w:t>Green</w:t>
            </w:r>
          </w:p>
          <w:p w:rsidR="006A18FD" w:rsidRDefault="002D29FC">
            <w:pPr>
              <w:spacing w:line="177" w:lineRule="exact"/>
              <w:ind w:left="102"/>
              <w:rPr>
                <w:rFonts w:ascii="Calibri"/>
                <w:sz w:val="10"/>
              </w:rPr>
            </w:pPr>
            <w:r>
              <w:rPr>
                <w:rFonts w:ascii="Calibri"/>
                <w:i/>
                <w:sz w:val="16"/>
              </w:rPr>
              <w:t>Book: national agreement on pay and conditions of service</w:t>
            </w:r>
            <w:r>
              <w:rPr>
                <w:rFonts w:ascii="Calibri"/>
                <w:sz w:val="16"/>
              </w:rPr>
              <w:t>.</w:t>
            </w:r>
            <w:r>
              <w:rPr>
                <w:rFonts w:ascii="Calibri"/>
                <w:position w:val="5"/>
                <w:sz w:val="10"/>
              </w:rPr>
              <w:t>5</w:t>
            </w:r>
          </w:p>
        </w:tc>
      </w:tr>
      <w:tr w:rsidR="006A18FD">
        <w:trPr>
          <w:trHeight w:val="760"/>
        </w:trPr>
        <w:tc>
          <w:tcPr>
            <w:tcW w:w="2213" w:type="dxa"/>
          </w:tcPr>
          <w:p w:rsidR="006A18FD" w:rsidRDefault="002D29FC">
            <w:pPr>
              <w:spacing w:line="194" w:lineRule="exact"/>
              <w:ind w:left="103"/>
              <w:rPr>
                <w:rFonts w:ascii="Calibri"/>
                <w:sz w:val="16"/>
              </w:rPr>
            </w:pPr>
            <w:r>
              <w:rPr>
                <w:rFonts w:ascii="Calibri"/>
                <w:sz w:val="16"/>
              </w:rPr>
              <w:t>Working time</w:t>
            </w:r>
          </w:p>
        </w:tc>
        <w:tc>
          <w:tcPr>
            <w:tcW w:w="1767" w:type="dxa"/>
          </w:tcPr>
          <w:p w:rsidR="006A18FD" w:rsidRDefault="002D29FC">
            <w:pPr>
              <w:ind w:left="103" w:right="329"/>
              <w:rPr>
                <w:rFonts w:ascii="Calibri"/>
                <w:sz w:val="16"/>
              </w:rPr>
            </w:pPr>
            <w:r>
              <w:rPr>
                <w:rFonts w:ascii="Calibri"/>
                <w:sz w:val="16"/>
              </w:rPr>
              <w:t>41.9 weeks per year 37 hours per week</w:t>
            </w:r>
          </w:p>
        </w:tc>
        <w:tc>
          <w:tcPr>
            <w:tcW w:w="6063" w:type="dxa"/>
          </w:tcPr>
          <w:p w:rsidR="006A18FD" w:rsidRDefault="002D29FC">
            <w:pPr>
              <w:spacing w:line="194" w:lineRule="exact"/>
              <w:ind w:left="102"/>
              <w:rPr>
                <w:rFonts w:ascii="Calibri"/>
                <w:sz w:val="16"/>
              </w:rPr>
            </w:pPr>
            <w:r>
              <w:rPr>
                <w:rFonts w:ascii="Calibri"/>
                <w:sz w:val="16"/>
              </w:rPr>
              <w:t>Includes 29 days annual leave and 8 statutory leave days. Five days for study/training and</w:t>
            </w:r>
          </w:p>
          <w:p w:rsidR="006A18FD" w:rsidRDefault="002D29FC">
            <w:pPr>
              <w:ind w:left="102" w:right="416"/>
              <w:rPr>
                <w:rFonts w:ascii="Calibri"/>
                <w:sz w:val="16"/>
              </w:rPr>
            </w:pPr>
            <w:r>
              <w:rPr>
                <w:rFonts w:ascii="Calibri"/>
                <w:sz w:val="16"/>
              </w:rPr>
              <w:t>8.7 days sickness leave have been assumed, based on the median average sickness absence level in England for all authorities.</w:t>
            </w:r>
            <w:r>
              <w:rPr>
                <w:rFonts w:ascii="Calibri"/>
                <w:position w:val="5"/>
                <w:sz w:val="10"/>
              </w:rPr>
              <w:t xml:space="preserve">6,7 </w:t>
            </w:r>
            <w:r>
              <w:rPr>
                <w:rFonts w:ascii="Calibri"/>
                <w:sz w:val="16"/>
              </w:rPr>
              <w:t>Unit costs are based on 1,551 hours per</w:t>
            </w:r>
          </w:p>
          <w:p w:rsidR="006A18FD" w:rsidRDefault="002D29FC">
            <w:pPr>
              <w:spacing w:line="174" w:lineRule="exact"/>
              <w:ind w:left="102"/>
              <w:rPr>
                <w:rFonts w:ascii="Calibri"/>
                <w:sz w:val="16"/>
              </w:rPr>
            </w:pPr>
            <w:r>
              <w:rPr>
                <w:rFonts w:ascii="Calibri"/>
                <w:sz w:val="16"/>
              </w:rPr>
              <w:t>year.</w:t>
            </w:r>
          </w:p>
        </w:tc>
      </w:tr>
      <w:tr w:rsidR="006A18FD">
        <w:trPr>
          <w:trHeight w:val="880"/>
        </w:trPr>
        <w:tc>
          <w:tcPr>
            <w:tcW w:w="2213" w:type="dxa"/>
          </w:tcPr>
          <w:p w:rsidR="006A18FD" w:rsidRDefault="002D29FC">
            <w:pPr>
              <w:spacing w:before="1"/>
              <w:ind w:left="103" w:right="233"/>
              <w:rPr>
                <w:rFonts w:ascii="Calibri"/>
                <w:sz w:val="16"/>
              </w:rPr>
            </w:pPr>
            <w:r>
              <w:rPr>
                <w:rFonts w:ascii="Calibri"/>
                <w:sz w:val="16"/>
              </w:rPr>
              <w:t>Ratios of direct to indirect time on:</w:t>
            </w:r>
          </w:p>
          <w:p w:rsidR="006A18FD" w:rsidRDefault="002D29FC">
            <w:pPr>
              <w:spacing w:before="61"/>
              <w:ind w:left="103"/>
              <w:rPr>
                <w:rFonts w:ascii="Calibri"/>
                <w:sz w:val="16"/>
              </w:rPr>
            </w:pPr>
            <w:r>
              <w:rPr>
                <w:rFonts w:ascii="Calibri"/>
                <w:sz w:val="16"/>
              </w:rPr>
              <w:t>Face-to-face contact</w:t>
            </w:r>
          </w:p>
        </w:tc>
        <w:tc>
          <w:tcPr>
            <w:tcW w:w="1767" w:type="dxa"/>
          </w:tcPr>
          <w:p w:rsidR="006A18FD" w:rsidRDefault="006A18FD">
            <w:pPr>
              <w:rPr>
                <w:rFonts w:ascii="Calibri"/>
                <w:sz w:val="16"/>
              </w:rPr>
            </w:pPr>
          </w:p>
          <w:p w:rsidR="006A18FD" w:rsidRDefault="006A18FD">
            <w:pPr>
              <w:rPr>
                <w:rFonts w:ascii="Calibri"/>
                <w:sz w:val="21"/>
              </w:rPr>
            </w:pPr>
          </w:p>
          <w:p w:rsidR="006A18FD" w:rsidRDefault="002D29FC">
            <w:pPr>
              <w:ind w:left="103"/>
              <w:rPr>
                <w:rFonts w:ascii="Calibri"/>
                <w:sz w:val="16"/>
              </w:rPr>
            </w:pPr>
            <w:r>
              <w:rPr>
                <w:rFonts w:ascii="Calibri"/>
                <w:sz w:val="16"/>
              </w:rPr>
              <w:t>1:0.25</w:t>
            </w:r>
          </w:p>
        </w:tc>
        <w:tc>
          <w:tcPr>
            <w:tcW w:w="6063" w:type="dxa"/>
          </w:tcPr>
          <w:p w:rsidR="006A18FD" w:rsidRDefault="002D29FC">
            <w:pPr>
              <w:spacing w:before="1"/>
              <w:ind w:left="102" w:right="71"/>
              <w:rPr>
                <w:rFonts w:ascii="Calibri" w:hAnsi="Calibri"/>
                <w:sz w:val="16"/>
              </w:rPr>
            </w:pPr>
            <w:r>
              <w:rPr>
                <w:rFonts w:ascii="Calibri" w:hAnsi="Calibri"/>
                <w:sz w:val="16"/>
              </w:rPr>
              <w:t>No current information available on the proportion of time spent with clients. It is likely, however, that if 19 per cent of a home care worker’s time is spent travelling (see duration of visit below),</w:t>
            </w:r>
            <w:r>
              <w:rPr>
                <w:rFonts w:ascii="Calibri" w:hAnsi="Calibri"/>
                <w:position w:val="5"/>
                <w:sz w:val="10"/>
              </w:rPr>
              <w:t xml:space="preserve">6 </w:t>
            </w:r>
            <w:r>
              <w:rPr>
                <w:rFonts w:ascii="Calibri" w:hAnsi="Calibri"/>
                <w:sz w:val="16"/>
              </w:rPr>
              <w:t>the proportion of total time spent with clients is approximately 80 per cent.</w:t>
            </w:r>
          </w:p>
        </w:tc>
      </w:tr>
      <w:tr w:rsidR="006A18FD">
        <w:trPr>
          <w:trHeight w:val="580"/>
        </w:trPr>
        <w:tc>
          <w:tcPr>
            <w:tcW w:w="2213" w:type="dxa"/>
          </w:tcPr>
          <w:p w:rsidR="006A18FD" w:rsidRDefault="002D29FC">
            <w:pPr>
              <w:spacing w:before="1"/>
              <w:ind w:left="103"/>
              <w:rPr>
                <w:rFonts w:ascii="Calibri"/>
                <w:sz w:val="16"/>
              </w:rPr>
            </w:pPr>
            <w:r>
              <w:rPr>
                <w:rFonts w:ascii="Calibri"/>
                <w:sz w:val="16"/>
              </w:rPr>
              <w:t>Duration of visit</w:t>
            </w:r>
          </w:p>
        </w:tc>
        <w:tc>
          <w:tcPr>
            <w:tcW w:w="1767" w:type="dxa"/>
          </w:tcPr>
          <w:p w:rsidR="006A18FD" w:rsidRDefault="006A18FD">
            <w:pPr>
              <w:rPr>
                <w:rFonts w:ascii="Times New Roman"/>
                <w:sz w:val="16"/>
              </w:rPr>
            </w:pPr>
          </w:p>
        </w:tc>
        <w:tc>
          <w:tcPr>
            <w:tcW w:w="6063" w:type="dxa"/>
          </w:tcPr>
          <w:p w:rsidR="006A18FD" w:rsidRDefault="002D29FC">
            <w:pPr>
              <w:spacing w:before="1"/>
              <w:ind w:left="102" w:right="71"/>
              <w:rPr>
                <w:rFonts w:ascii="Calibri"/>
                <w:sz w:val="16"/>
              </w:rPr>
            </w:pPr>
            <w:r>
              <w:rPr>
                <w:rFonts w:ascii="Calibri"/>
                <w:sz w:val="16"/>
              </w:rPr>
              <w:t>Sixty-three per cent of local authority commissioned home care visits lasted 16-30 minutes. Ten per cent of visits lasted under 15 minutes, and 16 per cent were longer than</w:t>
            </w:r>
          </w:p>
          <w:p w:rsidR="006A18FD" w:rsidRDefault="002D29FC">
            <w:pPr>
              <w:spacing w:line="177" w:lineRule="exact"/>
              <w:ind w:left="102"/>
              <w:rPr>
                <w:rFonts w:ascii="Calibri"/>
                <w:sz w:val="10"/>
              </w:rPr>
            </w:pPr>
            <w:r>
              <w:rPr>
                <w:rFonts w:ascii="Calibri"/>
                <w:sz w:val="16"/>
              </w:rPr>
              <w:t>46 minutes.</w:t>
            </w:r>
            <w:r>
              <w:rPr>
                <w:rFonts w:ascii="Calibri"/>
                <w:position w:val="5"/>
                <w:sz w:val="10"/>
              </w:rPr>
              <w:t>7</w:t>
            </w:r>
          </w:p>
        </w:tc>
      </w:tr>
      <w:tr w:rsidR="006A18FD">
        <w:trPr>
          <w:trHeight w:val="760"/>
        </w:trPr>
        <w:tc>
          <w:tcPr>
            <w:tcW w:w="2213" w:type="dxa"/>
          </w:tcPr>
          <w:p w:rsidR="006A18FD" w:rsidRDefault="002D29FC">
            <w:pPr>
              <w:spacing w:line="194" w:lineRule="exact"/>
              <w:ind w:left="103"/>
              <w:rPr>
                <w:rFonts w:ascii="Calibri"/>
                <w:sz w:val="16"/>
              </w:rPr>
            </w:pPr>
            <w:r>
              <w:rPr>
                <w:rFonts w:ascii="Calibri"/>
                <w:sz w:val="16"/>
              </w:rPr>
              <w:t>Service use</w:t>
            </w:r>
          </w:p>
        </w:tc>
        <w:tc>
          <w:tcPr>
            <w:tcW w:w="1767" w:type="dxa"/>
          </w:tcPr>
          <w:p w:rsidR="006A18FD" w:rsidRDefault="002D29FC">
            <w:pPr>
              <w:ind w:left="103" w:right="179"/>
              <w:rPr>
                <w:rFonts w:ascii="Calibri"/>
                <w:sz w:val="16"/>
              </w:rPr>
            </w:pPr>
            <w:r>
              <w:rPr>
                <w:rFonts w:ascii="Calibri"/>
                <w:sz w:val="16"/>
              </w:rPr>
              <w:t>7 hours per week (364 hours per year)</w:t>
            </w:r>
          </w:p>
        </w:tc>
        <w:tc>
          <w:tcPr>
            <w:tcW w:w="6063" w:type="dxa"/>
          </w:tcPr>
          <w:p w:rsidR="006A18FD" w:rsidRDefault="002D29FC">
            <w:pPr>
              <w:ind w:left="102" w:right="213"/>
              <w:rPr>
                <w:rFonts w:ascii="Calibri"/>
                <w:sz w:val="16"/>
              </w:rPr>
            </w:pPr>
            <w:r>
              <w:rPr>
                <w:rFonts w:ascii="Calibri"/>
                <w:sz w:val="16"/>
              </w:rPr>
              <w:t>In England, 673,000 people used domiciliary care in 2014/15, and 249 million hours of domiciliary care were delivered. On average, individual service users received 370 hours of home care in 2014/2015 (7.1 hours per week). The average local authority-</w:t>
            </w:r>
          </w:p>
          <w:p w:rsidR="006A18FD" w:rsidRDefault="002D29FC">
            <w:pPr>
              <w:spacing w:before="1" w:line="174" w:lineRule="exact"/>
              <w:ind w:left="102"/>
              <w:rPr>
                <w:rFonts w:ascii="Calibri"/>
                <w:sz w:val="10"/>
              </w:rPr>
            </w:pPr>
            <w:r>
              <w:rPr>
                <w:rFonts w:ascii="Calibri"/>
                <w:sz w:val="16"/>
              </w:rPr>
              <w:t>commissioned home care per person per week was 12.8 hours.</w:t>
            </w:r>
            <w:r>
              <w:rPr>
                <w:rFonts w:ascii="Calibri"/>
                <w:position w:val="5"/>
                <w:sz w:val="10"/>
              </w:rPr>
              <w:t>7</w:t>
            </w:r>
          </w:p>
        </w:tc>
      </w:tr>
      <w:tr w:rsidR="006A18FD">
        <w:trPr>
          <w:trHeight w:val="1560"/>
        </w:trPr>
        <w:tc>
          <w:tcPr>
            <w:tcW w:w="2213" w:type="dxa"/>
          </w:tcPr>
          <w:p w:rsidR="006A18FD" w:rsidRDefault="002D29FC">
            <w:pPr>
              <w:spacing w:before="1"/>
              <w:ind w:left="103" w:right="233"/>
              <w:rPr>
                <w:rFonts w:ascii="Calibri"/>
                <w:sz w:val="10"/>
              </w:rPr>
            </w:pPr>
            <w:r>
              <w:rPr>
                <w:rFonts w:ascii="Calibri"/>
                <w:sz w:val="16"/>
              </w:rPr>
              <w:t>Price multipliers for unsocial hours</w:t>
            </w:r>
            <w:r>
              <w:rPr>
                <w:rFonts w:ascii="Calibri"/>
                <w:position w:val="5"/>
                <w:sz w:val="10"/>
              </w:rPr>
              <w:t>3</w:t>
            </w:r>
          </w:p>
        </w:tc>
        <w:tc>
          <w:tcPr>
            <w:tcW w:w="1767" w:type="dxa"/>
          </w:tcPr>
          <w:p w:rsidR="006A18FD" w:rsidRDefault="002D29FC">
            <w:pPr>
              <w:spacing w:before="1"/>
              <w:ind w:left="103"/>
              <w:rPr>
                <w:rFonts w:ascii="Calibri"/>
                <w:sz w:val="16"/>
              </w:rPr>
            </w:pPr>
            <w:r>
              <w:rPr>
                <w:rFonts w:ascii="Calibri"/>
                <w:sz w:val="16"/>
              </w:rPr>
              <w:t>1.00</w:t>
            </w:r>
          </w:p>
          <w:p w:rsidR="006A18FD" w:rsidRDefault="002D29FC">
            <w:pPr>
              <w:spacing w:before="32"/>
              <w:ind w:left="103"/>
              <w:rPr>
                <w:rFonts w:ascii="Calibri"/>
                <w:sz w:val="16"/>
              </w:rPr>
            </w:pPr>
            <w:r>
              <w:rPr>
                <w:rFonts w:ascii="Calibri"/>
                <w:sz w:val="16"/>
              </w:rPr>
              <w:t>1.086</w:t>
            </w:r>
          </w:p>
          <w:p w:rsidR="006A18FD" w:rsidRDefault="002D29FC">
            <w:pPr>
              <w:spacing w:before="32"/>
              <w:ind w:left="103"/>
              <w:rPr>
                <w:rFonts w:ascii="Calibri"/>
                <w:sz w:val="16"/>
              </w:rPr>
            </w:pPr>
            <w:r>
              <w:rPr>
                <w:rFonts w:ascii="Calibri"/>
                <w:sz w:val="16"/>
              </w:rPr>
              <w:t>1.035</w:t>
            </w:r>
          </w:p>
          <w:p w:rsidR="006A18FD" w:rsidRDefault="002D29FC">
            <w:pPr>
              <w:spacing w:before="35"/>
              <w:ind w:left="103"/>
              <w:rPr>
                <w:rFonts w:ascii="Calibri"/>
                <w:sz w:val="16"/>
              </w:rPr>
            </w:pPr>
            <w:r>
              <w:rPr>
                <w:rFonts w:ascii="Calibri"/>
                <w:sz w:val="16"/>
              </w:rPr>
              <w:t>1.093</w:t>
            </w:r>
          </w:p>
          <w:p w:rsidR="006A18FD" w:rsidRDefault="002D29FC">
            <w:pPr>
              <w:spacing w:before="8"/>
              <w:ind w:left="103"/>
              <w:rPr>
                <w:rFonts w:ascii="Calibri"/>
                <w:sz w:val="16"/>
              </w:rPr>
            </w:pPr>
            <w:r>
              <w:rPr>
                <w:rFonts w:ascii="Calibri"/>
                <w:sz w:val="16"/>
              </w:rPr>
              <w:t>1.036</w:t>
            </w:r>
          </w:p>
          <w:p w:rsidR="006A18FD" w:rsidRDefault="002D29FC">
            <w:pPr>
              <w:spacing w:before="34"/>
              <w:ind w:left="103"/>
              <w:rPr>
                <w:rFonts w:ascii="Calibri"/>
                <w:sz w:val="16"/>
              </w:rPr>
            </w:pPr>
            <w:r>
              <w:rPr>
                <w:rFonts w:ascii="Calibri"/>
                <w:sz w:val="16"/>
              </w:rPr>
              <w:t>1.031</w:t>
            </w:r>
          </w:p>
          <w:p w:rsidR="006A18FD" w:rsidRDefault="002D29FC">
            <w:pPr>
              <w:spacing w:before="32"/>
              <w:ind w:left="103"/>
              <w:rPr>
                <w:rFonts w:ascii="Calibri"/>
                <w:sz w:val="16"/>
              </w:rPr>
            </w:pPr>
            <w:r>
              <w:rPr>
                <w:rFonts w:ascii="Calibri"/>
                <w:sz w:val="16"/>
              </w:rPr>
              <w:t>1.039</w:t>
            </w:r>
          </w:p>
        </w:tc>
        <w:tc>
          <w:tcPr>
            <w:tcW w:w="6063" w:type="dxa"/>
          </w:tcPr>
          <w:p w:rsidR="006A18FD" w:rsidRDefault="002D29FC">
            <w:pPr>
              <w:spacing w:before="1" w:line="280" w:lineRule="auto"/>
              <w:ind w:left="102" w:right="4723"/>
              <w:rPr>
                <w:rFonts w:ascii="Calibri"/>
                <w:sz w:val="16"/>
              </w:rPr>
            </w:pPr>
            <w:r>
              <w:rPr>
                <w:rFonts w:ascii="Calibri"/>
                <w:sz w:val="16"/>
              </w:rPr>
              <w:t>Day-time weekly Day-time weekend</w:t>
            </w:r>
          </w:p>
          <w:p w:rsidR="006A18FD" w:rsidRDefault="002D29FC">
            <w:pPr>
              <w:spacing w:line="283" w:lineRule="auto"/>
              <w:ind w:left="102" w:right="1794"/>
              <w:rPr>
                <w:rFonts w:ascii="Calibri"/>
                <w:sz w:val="16"/>
              </w:rPr>
            </w:pPr>
            <w:r>
              <w:rPr>
                <w:rFonts w:ascii="Calibri"/>
                <w:sz w:val="16"/>
              </w:rPr>
              <w:t>Night-time weekday for an independent sector home care hour Night-time weekend  provided for private purchasers</w:t>
            </w:r>
          </w:p>
          <w:p w:rsidR="006A18FD" w:rsidRDefault="002D29FC">
            <w:pPr>
              <w:spacing w:line="169" w:lineRule="exact"/>
              <w:ind w:left="102"/>
              <w:rPr>
                <w:rFonts w:ascii="Calibri"/>
                <w:sz w:val="16"/>
              </w:rPr>
            </w:pPr>
            <w:r>
              <w:rPr>
                <w:rFonts w:ascii="Calibri"/>
                <w:sz w:val="16"/>
              </w:rPr>
              <w:t>Day-time weekend</w:t>
            </w:r>
          </w:p>
          <w:p w:rsidR="006A18FD" w:rsidRDefault="002D29FC">
            <w:pPr>
              <w:spacing w:before="10" w:line="220" w:lineRule="atLeast"/>
              <w:ind w:left="102" w:right="1793"/>
              <w:rPr>
                <w:rFonts w:ascii="Calibri"/>
                <w:sz w:val="16"/>
              </w:rPr>
            </w:pPr>
            <w:r>
              <w:rPr>
                <w:rFonts w:ascii="Calibri"/>
                <w:sz w:val="16"/>
              </w:rPr>
              <w:t>Night-time weekday for an independent sector home care hour Night-time weekend  provided for social services</w:t>
            </w:r>
          </w:p>
        </w:tc>
      </w:tr>
      <w:tr w:rsidR="006A18FD">
        <w:trPr>
          <w:trHeight w:val="180"/>
        </w:trPr>
        <w:tc>
          <w:tcPr>
            <w:tcW w:w="10044" w:type="dxa"/>
            <w:gridSpan w:val="3"/>
          </w:tcPr>
          <w:p w:rsidR="006A18FD" w:rsidRDefault="002D29FC">
            <w:pPr>
              <w:spacing w:before="1" w:line="175" w:lineRule="exact"/>
              <w:ind w:left="103"/>
              <w:rPr>
                <w:rFonts w:ascii="Calibri"/>
                <w:b/>
                <w:sz w:val="16"/>
              </w:rPr>
            </w:pPr>
            <w:r>
              <w:rPr>
                <w:rFonts w:ascii="Calibri"/>
                <w:b/>
                <w:sz w:val="16"/>
              </w:rPr>
              <w:t>Unit costs available 2018/2019</w:t>
            </w:r>
          </w:p>
        </w:tc>
      </w:tr>
      <w:tr w:rsidR="006A18FD">
        <w:trPr>
          <w:trHeight w:val="1160"/>
        </w:trPr>
        <w:tc>
          <w:tcPr>
            <w:tcW w:w="10044" w:type="dxa"/>
            <w:gridSpan w:val="3"/>
          </w:tcPr>
          <w:p w:rsidR="006A18FD" w:rsidRDefault="002D29FC">
            <w:pPr>
              <w:spacing w:line="194" w:lineRule="exact"/>
              <w:ind w:left="103"/>
              <w:rPr>
                <w:rFonts w:ascii="Calibri"/>
                <w:sz w:val="16"/>
              </w:rPr>
            </w:pPr>
            <w:r>
              <w:rPr>
                <w:rFonts w:ascii="Calibri"/>
                <w:sz w:val="16"/>
              </w:rPr>
              <w:t>Based on the price multipliers for independent sector home care provided for private purchasers:</w:t>
            </w:r>
          </w:p>
          <w:p w:rsidR="006A18FD" w:rsidRDefault="002D29FC">
            <w:pPr>
              <w:spacing w:before="2" w:line="195" w:lineRule="exact"/>
              <w:ind w:left="103"/>
              <w:rPr>
                <w:rFonts w:ascii="Calibri" w:hAnsi="Calibri"/>
                <w:sz w:val="16"/>
              </w:rPr>
            </w:pPr>
            <w:r>
              <w:rPr>
                <w:rFonts w:ascii="Calibri" w:hAnsi="Calibri"/>
                <w:sz w:val="16"/>
              </w:rPr>
              <w:t>£23 per weekday hour (£24 per day-time weekend, £23 per night-time weekday, £25 per night-time weekend).</w:t>
            </w:r>
          </w:p>
          <w:p w:rsidR="006A18FD" w:rsidRDefault="002D29FC">
            <w:pPr>
              <w:ind w:left="103" w:right="1818"/>
              <w:rPr>
                <w:rFonts w:ascii="Calibri" w:hAnsi="Calibri"/>
                <w:sz w:val="16"/>
              </w:rPr>
            </w:pPr>
            <w:r>
              <w:rPr>
                <w:rFonts w:ascii="Calibri" w:hAnsi="Calibri"/>
                <w:sz w:val="16"/>
              </w:rPr>
              <w:t>Face-to-face: £28 per hour weekday (£31 per day-time weekend, £29 per night-time weekday, £31 per night-time weekend). Based on the price multipliers for independent sector home care provided for social services:</w:t>
            </w:r>
          </w:p>
          <w:p w:rsidR="006A18FD" w:rsidRDefault="002D29FC">
            <w:pPr>
              <w:spacing w:before="2" w:line="195" w:lineRule="exact"/>
              <w:ind w:left="103"/>
              <w:rPr>
                <w:rFonts w:ascii="Calibri" w:hAnsi="Calibri"/>
                <w:sz w:val="16"/>
              </w:rPr>
            </w:pPr>
            <w:r>
              <w:rPr>
                <w:rFonts w:ascii="Calibri" w:hAnsi="Calibri"/>
                <w:sz w:val="16"/>
              </w:rPr>
              <w:t>£23 per weekday hour (£23 per day-time weekend, £23 per night-time weekday, £23 per night-time weekend).</w:t>
            </w:r>
          </w:p>
          <w:p w:rsidR="006A18FD" w:rsidRDefault="002D29FC">
            <w:pPr>
              <w:spacing w:line="177" w:lineRule="exact"/>
              <w:ind w:left="103"/>
              <w:rPr>
                <w:rFonts w:ascii="Calibri" w:hAnsi="Calibri"/>
                <w:sz w:val="16"/>
              </w:rPr>
            </w:pPr>
            <w:r>
              <w:rPr>
                <w:rFonts w:ascii="Calibri" w:hAnsi="Calibri"/>
                <w:sz w:val="16"/>
              </w:rPr>
              <w:t>Face-to-face: £28 per hour weekday (£29 per day-time weekend, £29 per night-time weekday, £29 per night-time weekend).</w:t>
            </w:r>
          </w:p>
        </w:tc>
      </w:tr>
    </w:tbl>
    <w:p w:rsidR="006A18FD" w:rsidRDefault="006A18FD">
      <w:pPr>
        <w:rPr>
          <w:rFonts w:ascii="Calibri"/>
          <w:sz w:val="16"/>
        </w:rPr>
      </w:pPr>
    </w:p>
    <w:p w:rsidR="006A18FD" w:rsidRDefault="006A18FD">
      <w:pPr>
        <w:rPr>
          <w:rFonts w:ascii="Calibri"/>
          <w:sz w:val="16"/>
        </w:rPr>
      </w:pPr>
    </w:p>
    <w:p w:rsidR="006A18FD" w:rsidRDefault="006A18FD">
      <w:pPr>
        <w:rPr>
          <w:rFonts w:ascii="Calibri"/>
          <w:sz w:val="16"/>
        </w:rPr>
      </w:pPr>
    </w:p>
    <w:p w:rsidR="006A18FD" w:rsidRDefault="006A18FD">
      <w:pPr>
        <w:rPr>
          <w:rFonts w:ascii="Calibri"/>
          <w:sz w:val="16"/>
        </w:rPr>
      </w:pPr>
    </w:p>
    <w:p w:rsidR="006A18FD" w:rsidRDefault="006A18FD">
      <w:pPr>
        <w:rPr>
          <w:rFonts w:ascii="Calibri"/>
          <w:sz w:val="16"/>
        </w:rPr>
      </w:pPr>
    </w:p>
    <w:p w:rsidR="006A18FD" w:rsidRDefault="006A18FD">
      <w:pPr>
        <w:spacing w:before="4"/>
        <w:rPr>
          <w:rFonts w:ascii="Calibri"/>
          <w:sz w:val="21"/>
        </w:rPr>
      </w:pPr>
    </w:p>
    <w:p w:rsidR="006A18FD" w:rsidRDefault="002D29FC">
      <w:pPr>
        <w:ind w:left="140"/>
        <w:rPr>
          <w:rFonts w:ascii="Calibri"/>
          <w:sz w:val="16"/>
        </w:rPr>
      </w:pPr>
      <w:r>
        <w:rPr>
          <w:rFonts w:ascii="Calibri"/>
          <w:position w:val="5"/>
          <w:sz w:val="10"/>
        </w:rPr>
        <w:t xml:space="preserve">1 </w:t>
      </w:r>
      <w:r>
        <w:rPr>
          <w:rFonts w:ascii="Calibri"/>
          <w:sz w:val="16"/>
        </w:rPr>
        <w:t xml:space="preserve">Skills for Care (2019) National Minimum Dataset-Social Care online, </w:t>
      </w:r>
      <w:hyperlink r:id="rId403">
        <w:r>
          <w:rPr>
            <w:rFonts w:ascii="Calibri"/>
            <w:sz w:val="16"/>
            <w:u w:val="single"/>
          </w:rPr>
          <w:t>https://www.nmds-sc-online.org.uk/</w:t>
        </w:r>
        <w:r>
          <w:rPr>
            <w:rFonts w:ascii="Calibri"/>
            <w:sz w:val="16"/>
          </w:rPr>
          <w:t xml:space="preserve"> </w:t>
        </w:r>
      </w:hyperlink>
      <w:r>
        <w:rPr>
          <w:rFonts w:ascii="Calibri"/>
          <w:sz w:val="16"/>
        </w:rPr>
        <w:t>[accessed 3 October 2019].</w:t>
      </w:r>
    </w:p>
    <w:p w:rsidR="006A18FD" w:rsidRDefault="002D29FC">
      <w:pPr>
        <w:spacing w:before="1"/>
        <w:ind w:left="423" w:right="538" w:hanging="284"/>
        <w:rPr>
          <w:rFonts w:ascii="Calibri"/>
          <w:sz w:val="16"/>
        </w:rPr>
      </w:pPr>
      <w:r>
        <w:rPr>
          <w:rFonts w:ascii="Calibri"/>
          <w:position w:val="5"/>
          <w:sz w:val="10"/>
        </w:rPr>
        <w:t xml:space="preserve">2 </w:t>
      </w:r>
      <w:r>
        <w:rPr>
          <w:rFonts w:ascii="Calibri"/>
          <w:sz w:val="16"/>
        </w:rPr>
        <w:t xml:space="preserve">Calculated using NHS Digital (2019) </w:t>
      </w:r>
      <w:r>
        <w:rPr>
          <w:rFonts w:ascii="Calibri"/>
          <w:i/>
          <w:sz w:val="16"/>
        </w:rPr>
        <w:t>Adult Social Care Finance Return (ASC-FR) (reference data table T49)</w:t>
      </w:r>
      <w:r>
        <w:rPr>
          <w:rFonts w:ascii="Calibri"/>
          <w:sz w:val="16"/>
        </w:rPr>
        <w:t xml:space="preserve">, NHS Digital 2017/18, </w:t>
      </w:r>
      <w:hyperlink r:id="rId404">
        <w:r>
          <w:rPr>
            <w:rFonts w:ascii="Calibri"/>
            <w:sz w:val="16"/>
            <w:u w:val="single"/>
          </w:rPr>
          <w:t>https://digital.nhs.uk/data-and-information/publications/statistical/adult-social-care-activity-and-finance-report/2018-19</w:t>
        </w:r>
        <w:r>
          <w:rPr>
            <w:rFonts w:ascii="Calibri"/>
            <w:sz w:val="16"/>
          </w:rPr>
          <w:t xml:space="preserve"> </w:t>
        </w:r>
      </w:hyperlink>
      <w:r>
        <w:rPr>
          <w:rFonts w:ascii="Calibri"/>
          <w:sz w:val="16"/>
        </w:rPr>
        <w:t>[accessed 30 October, 2019].</w:t>
      </w:r>
    </w:p>
    <w:p w:rsidR="006A18FD" w:rsidRDefault="002D29FC">
      <w:pPr>
        <w:spacing w:before="1"/>
        <w:ind w:left="423" w:right="2878" w:hanging="284"/>
        <w:rPr>
          <w:rFonts w:ascii="Calibri"/>
          <w:sz w:val="16"/>
        </w:rPr>
      </w:pPr>
      <w:r>
        <w:rPr>
          <w:rFonts w:ascii="Calibri"/>
          <w:position w:val="5"/>
          <w:sz w:val="10"/>
        </w:rPr>
        <w:t xml:space="preserve">3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405">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spacing w:before="1" w:line="195" w:lineRule="exact"/>
        <w:ind w:left="140"/>
        <w:rPr>
          <w:rFonts w:ascii="Calibri"/>
          <w:sz w:val="16"/>
        </w:rPr>
      </w:pPr>
      <w:r>
        <w:rPr>
          <w:rFonts w:ascii="Calibri"/>
          <w:position w:val="5"/>
          <w:sz w:val="10"/>
        </w:rPr>
        <w:t xml:space="preserve">4 </w:t>
      </w:r>
      <w:r>
        <w:rPr>
          <w:rFonts w:ascii="Calibri"/>
          <w:sz w:val="16"/>
        </w:rPr>
        <w:t xml:space="preserve">Based on information taken from Selwyn, J. et al. (2009) </w:t>
      </w:r>
      <w:r>
        <w:rPr>
          <w:rFonts w:ascii="Calibri"/>
          <w:i/>
          <w:sz w:val="16"/>
        </w:rPr>
        <w:t>Adoption and the inter-agency fee</w:t>
      </w:r>
      <w:r>
        <w:rPr>
          <w:rFonts w:ascii="Calibri"/>
          <w:sz w:val="16"/>
        </w:rPr>
        <w:t>, University of Bristol, Bristol; and Glendinning, C. et al. (2010)</w:t>
      </w:r>
    </w:p>
    <w:p w:rsidR="006A18FD" w:rsidRDefault="002D29FC">
      <w:pPr>
        <w:spacing w:line="194" w:lineRule="exact"/>
        <w:ind w:left="423"/>
        <w:rPr>
          <w:rFonts w:ascii="Calibri"/>
          <w:sz w:val="16"/>
        </w:rPr>
      </w:pP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E60AD2">
      <w:pPr>
        <w:ind w:left="423" w:right="811" w:hanging="284"/>
        <w:rPr>
          <w:rFonts w:ascii="Calibri"/>
          <w:sz w:val="16"/>
        </w:rPr>
      </w:pPr>
      <w:r>
        <w:rPr>
          <w:noProof/>
          <w:lang w:val="en-GB" w:eastAsia="en-GB"/>
        </w:rPr>
        <mc:AlternateContent>
          <mc:Choice Requires="wps">
            <w:drawing>
              <wp:anchor distT="0" distB="0" distL="114300" distR="114300" simplePos="0" relativeHeight="251616256" behindDoc="1" locked="0" layoutInCell="1" allowOverlap="1">
                <wp:simplePos x="0" y="0"/>
                <wp:positionH relativeFrom="page">
                  <wp:posOffset>6395720</wp:posOffset>
                </wp:positionH>
                <wp:positionV relativeFrom="paragraph">
                  <wp:posOffset>111760</wp:posOffset>
                </wp:positionV>
                <wp:extent cx="26035" cy="0"/>
                <wp:effectExtent l="13970" t="6985" r="7620" b="12065"/>
                <wp:wrapNone/>
                <wp:docPr id="19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E2669" id="Line 52"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3.6pt,8.8pt" to="505.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C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" strokeweight=".48pt">
                <w10:wrap anchorx="page"/>
              </v:line>
            </w:pict>
          </mc:Fallback>
        </mc:AlternateContent>
      </w:r>
      <w:r w:rsidR="002D29FC">
        <w:rPr>
          <w:rFonts w:ascii="Calibri"/>
          <w:position w:val="5"/>
          <w:sz w:val="10"/>
        </w:rPr>
        <w:t xml:space="preserve">5 </w:t>
      </w:r>
      <w:r w:rsidR="002D29FC">
        <w:rPr>
          <w:rFonts w:ascii="Calibri"/>
          <w:sz w:val="16"/>
        </w:rPr>
        <w:t xml:space="preserve">Local Government Employers (2019) </w:t>
      </w:r>
      <w:r w:rsidR="002D29FC">
        <w:rPr>
          <w:rFonts w:ascii="Calibri"/>
          <w:i/>
          <w:sz w:val="16"/>
        </w:rPr>
        <w:t>Green Book: National Agreement on pay and conditions of service</w:t>
      </w:r>
      <w:r w:rsidR="002D29FC">
        <w:rPr>
          <w:rFonts w:ascii="Calibri"/>
          <w:sz w:val="16"/>
        </w:rPr>
        <w:t xml:space="preserve">, Local Government Association, London. </w:t>
      </w:r>
      <w:r w:rsidR="002D29FC">
        <w:rPr>
          <w:rFonts w:ascii="Calibri"/>
          <w:sz w:val="16"/>
          <w:u w:val="single"/>
        </w:rPr>
        <w:t>https://</w:t>
      </w:r>
      <w:hyperlink r:id="rId406">
        <w:r w:rsidR="002D29FC">
          <w:rPr>
            <w:rFonts w:ascii="Calibri"/>
            <w:sz w:val="16"/>
            <w:u w:val="single"/>
          </w:rPr>
          <w:t xml:space="preserve">www.gov.uk/government/publications/the-green-book-appraisal-and-evaluation-in-central-governentf </w:t>
        </w:r>
      </w:hyperlink>
      <w:r w:rsidR="002D29FC">
        <w:rPr>
          <w:rFonts w:ascii="Calibri"/>
          <w:sz w:val="16"/>
          <w:u w:val="single"/>
        </w:rPr>
        <w:t>[accessed 9 October 2019]</w:t>
      </w:r>
      <w:r w:rsidR="002D29FC">
        <w:rPr>
          <w:rFonts w:ascii="Calibri"/>
          <w:sz w:val="16"/>
        </w:rPr>
        <w:t>.</w:t>
      </w:r>
    </w:p>
    <w:p w:rsidR="006A18FD" w:rsidRDefault="002D29FC">
      <w:pPr>
        <w:ind w:left="423" w:right="195" w:hanging="284"/>
        <w:rPr>
          <w:rFonts w:ascii="Calibri"/>
          <w:sz w:val="16"/>
        </w:rPr>
      </w:pPr>
      <w:r>
        <w:rPr>
          <w:rFonts w:ascii="Calibri"/>
          <w:position w:val="5"/>
          <w:sz w:val="10"/>
        </w:rPr>
        <w:t xml:space="preserve">6 </w:t>
      </w:r>
      <w:r>
        <w:rPr>
          <w:rFonts w:ascii="Calibri"/>
          <w:sz w:val="16"/>
        </w:rPr>
        <w:t xml:space="preserve">United Kingdom Home Care Association (UKHCA) (2015) </w:t>
      </w:r>
      <w:r>
        <w:rPr>
          <w:rFonts w:ascii="Calibri"/>
          <w:i/>
          <w:sz w:val="16"/>
        </w:rPr>
        <w:t>A Minimum Price for HomeCare</w:t>
      </w:r>
      <w:r>
        <w:rPr>
          <w:rFonts w:ascii="Calibri"/>
          <w:sz w:val="16"/>
        </w:rPr>
        <w:t xml:space="preserve">. </w:t>
      </w:r>
      <w:hyperlink r:id="rId407">
        <w:r>
          <w:rPr>
            <w:rFonts w:ascii="Calibri"/>
            <w:sz w:val="16"/>
            <w:u w:val="single"/>
          </w:rPr>
          <w:t>http://www.ukhca.co.uk/pdfs/AMPFHC_150719.pdf</w:t>
        </w:r>
        <w:r>
          <w:rPr>
            <w:rFonts w:ascii="Calibri"/>
            <w:sz w:val="16"/>
          </w:rPr>
          <w:t xml:space="preserve"> </w:t>
        </w:r>
      </w:hyperlink>
      <w:r>
        <w:rPr>
          <w:rFonts w:ascii="Calibri"/>
          <w:sz w:val="16"/>
        </w:rPr>
        <w:t>[accessed 20 October 2016].</w:t>
      </w:r>
    </w:p>
    <w:p w:rsidR="006A18FD" w:rsidRDefault="002D29FC">
      <w:pPr>
        <w:spacing w:before="2"/>
        <w:ind w:left="423" w:right="664" w:hanging="284"/>
        <w:rPr>
          <w:rFonts w:ascii="Calibri"/>
          <w:sz w:val="16"/>
        </w:rPr>
      </w:pPr>
      <w:r>
        <w:rPr>
          <w:rFonts w:ascii="Calibri"/>
          <w:position w:val="5"/>
          <w:sz w:val="10"/>
        </w:rPr>
        <w:t xml:space="preserve">7 </w:t>
      </w:r>
      <w:r>
        <w:rPr>
          <w:rFonts w:ascii="Calibri"/>
          <w:sz w:val="16"/>
        </w:rPr>
        <w:t xml:space="preserve">United Kingdom Home Care Association (UKHCA) (2016) </w:t>
      </w:r>
      <w:r>
        <w:rPr>
          <w:rFonts w:ascii="Calibri"/>
          <w:i/>
          <w:sz w:val="16"/>
        </w:rPr>
        <w:t>An overview of the domiciliary care sector in the United Kingdom</w:t>
      </w:r>
      <w:r>
        <w:rPr>
          <w:rFonts w:ascii="Calibri"/>
          <w:sz w:val="16"/>
        </w:rPr>
        <w:t xml:space="preserve">, Home Care Association Limited, London. </w:t>
      </w:r>
      <w:hyperlink r:id="rId408">
        <w:r>
          <w:rPr>
            <w:rFonts w:ascii="Calibri"/>
            <w:sz w:val="16"/>
            <w:u w:val="single"/>
          </w:rPr>
          <w:t>http://www.ukhca.co.uk/pdfs/MarketOverviewV352016FINAL.pdf</w:t>
        </w:r>
        <w:r>
          <w:rPr>
            <w:rFonts w:ascii="Calibri"/>
            <w:sz w:val="16"/>
          </w:rPr>
          <w:t xml:space="preserve"> </w:t>
        </w:r>
      </w:hyperlink>
      <w:r>
        <w:rPr>
          <w:rFonts w:ascii="Calibri"/>
          <w:sz w:val="16"/>
        </w:rPr>
        <w:t>[accessed 20 October 2016].</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9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94" name="Line 5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6C1C79" id="Group 5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ylhGpfQIAAH8FAAAO&#10;AAAAAAAAAAAAAAAAAC4CAABkcnMvZTJvRG9jLnhtbFBLAQItABQABgAIAAAAIQAtd+Rc2gAAAAQB&#10;AAAPAAAAAAAAAAAAAAAAANcEAABkcnMvZG93bnJldi54bWxQSwUGAAAAAAQABADzAAAA3gUAAAAA&#10;">
                <v:line id="Line 5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w10:anchorlock/>
              </v:group>
            </w:pict>
          </mc:Fallback>
        </mc:AlternateContent>
      </w:r>
    </w:p>
    <w:p w:rsidR="006A18FD" w:rsidRDefault="00AF6861" w:rsidP="00AF6861">
      <w:pPr>
        <w:pStyle w:val="Heading2"/>
      </w:pPr>
      <w:r>
        <w:t xml:space="preserve">11.6 </w:t>
      </w:r>
      <w:r w:rsidR="002D29FC">
        <w:t>Home care</w:t>
      </w:r>
      <w:r w:rsidR="002D29FC">
        <w:rPr>
          <w:spacing w:val="-8"/>
        </w:rPr>
        <w:t xml:space="preserve"> </w:t>
      </w:r>
      <w:r w:rsidR="002D29FC">
        <w:t>manager</w:t>
      </w:r>
    </w:p>
    <w:p w:rsidR="006A18FD" w:rsidRDefault="002D29FC">
      <w:pPr>
        <w:spacing w:before="169" w:line="276" w:lineRule="auto"/>
        <w:ind w:left="152" w:right="625"/>
        <w:rPr>
          <w:rFonts w:ascii="Calibri"/>
          <w:sz w:val="20"/>
        </w:rPr>
      </w:pPr>
      <w:r>
        <w:rPr>
          <w:rFonts w:ascii="Calibri"/>
          <w:sz w:val="20"/>
        </w:rPr>
        <w:t xml:space="preserve">Salary information in this table is taken from the National Minimum Dataset for Social Care (NMDS-SC) </w:t>
      </w:r>
      <w:r>
        <w:rPr>
          <w:rFonts w:ascii="Calibri"/>
          <w:position w:val="7"/>
          <w:sz w:val="13"/>
        </w:rPr>
        <w:t xml:space="preserve">1 </w:t>
      </w:r>
      <w:r>
        <w:rPr>
          <w:rFonts w:ascii="Calibri"/>
          <w:sz w:val="20"/>
        </w:rPr>
        <w:t>and has been based on the salary of a registered manager.</w:t>
      </w:r>
    </w:p>
    <w:p w:rsidR="006A18FD" w:rsidRDefault="006A18FD">
      <w:pPr>
        <w:spacing w:before="8"/>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685"/>
        <w:gridCol w:w="6117"/>
      </w:tblGrid>
      <w:tr w:rsidR="006A18FD" w:rsidTr="00CA19E0">
        <w:trPr>
          <w:trHeight w:val="360"/>
          <w:tblHeader/>
        </w:trPr>
        <w:tc>
          <w:tcPr>
            <w:tcW w:w="2242" w:type="dxa"/>
          </w:tcPr>
          <w:p w:rsidR="006A18FD" w:rsidRDefault="002D29FC">
            <w:pPr>
              <w:spacing w:before="1"/>
              <w:ind w:left="52"/>
              <w:rPr>
                <w:rFonts w:ascii="Calibri"/>
                <w:b/>
                <w:sz w:val="20"/>
              </w:rPr>
            </w:pPr>
            <w:r>
              <w:rPr>
                <w:rFonts w:ascii="Calibri"/>
                <w:b/>
                <w:sz w:val="20"/>
              </w:rPr>
              <w:t>Costs and unit estimation</w:t>
            </w:r>
          </w:p>
        </w:tc>
        <w:tc>
          <w:tcPr>
            <w:tcW w:w="1685" w:type="dxa"/>
          </w:tcPr>
          <w:p w:rsidR="006A18FD" w:rsidRDefault="002D29FC">
            <w:pPr>
              <w:spacing w:before="1"/>
              <w:ind w:left="102"/>
              <w:rPr>
                <w:rFonts w:ascii="Calibri"/>
                <w:b/>
                <w:sz w:val="20"/>
              </w:rPr>
            </w:pPr>
            <w:r>
              <w:rPr>
                <w:rFonts w:ascii="Calibri"/>
                <w:b/>
                <w:sz w:val="20"/>
              </w:rPr>
              <w:t>2018/2019 value</w:t>
            </w:r>
          </w:p>
        </w:tc>
        <w:tc>
          <w:tcPr>
            <w:tcW w:w="6116" w:type="dxa"/>
          </w:tcPr>
          <w:p w:rsidR="006A18FD" w:rsidRDefault="002D29FC">
            <w:pPr>
              <w:spacing w:before="1"/>
              <w:ind w:left="102"/>
              <w:rPr>
                <w:rFonts w:ascii="Calibri"/>
                <w:b/>
                <w:sz w:val="20"/>
              </w:rPr>
            </w:pPr>
            <w:r>
              <w:rPr>
                <w:rFonts w:ascii="Calibri"/>
                <w:b/>
                <w:sz w:val="20"/>
              </w:rPr>
              <w:t>Notes</w:t>
            </w:r>
          </w:p>
        </w:tc>
      </w:tr>
      <w:tr w:rsidR="006A18FD">
        <w:trPr>
          <w:trHeight w:val="720"/>
        </w:trPr>
        <w:tc>
          <w:tcPr>
            <w:tcW w:w="2242" w:type="dxa"/>
          </w:tcPr>
          <w:p w:rsidR="006A18FD" w:rsidRDefault="002D29FC">
            <w:pPr>
              <w:spacing w:before="1"/>
              <w:ind w:left="52"/>
              <w:rPr>
                <w:rFonts w:ascii="Calibri"/>
                <w:sz w:val="20"/>
              </w:rPr>
            </w:pPr>
            <w:r>
              <w:rPr>
                <w:rFonts w:ascii="Calibri"/>
                <w:sz w:val="20"/>
              </w:rPr>
              <w:t>A. Wages/salary</w:t>
            </w:r>
          </w:p>
        </w:tc>
        <w:tc>
          <w:tcPr>
            <w:tcW w:w="1685" w:type="dxa"/>
          </w:tcPr>
          <w:p w:rsidR="006A18FD" w:rsidRDefault="002D29FC">
            <w:pPr>
              <w:spacing w:before="1"/>
              <w:ind w:left="102"/>
              <w:rPr>
                <w:rFonts w:ascii="Calibri" w:hAnsi="Calibri"/>
                <w:sz w:val="20"/>
              </w:rPr>
            </w:pPr>
            <w:r>
              <w:rPr>
                <w:rFonts w:ascii="Calibri" w:hAnsi="Calibri"/>
                <w:sz w:val="20"/>
              </w:rPr>
              <w:t>£30,891 per year</w:t>
            </w:r>
          </w:p>
        </w:tc>
        <w:tc>
          <w:tcPr>
            <w:tcW w:w="6116" w:type="dxa"/>
          </w:tcPr>
          <w:p w:rsidR="006A18FD" w:rsidRDefault="002D29FC">
            <w:pPr>
              <w:spacing w:before="1"/>
              <w:ind w:left="102"/>
              <w:rPr>
                <w:rFonts w:ascii="Calibri"/>
                <w:sz w:val="20"/>
              </w:rPr>
            </w:pPr>
            <w:r>
              <w:rPr>
                <w:rFonts w:ascii="Calibri"/>
                <w:sz w:val="20"/>
              </w:rPr>
              <w:t>Based on the weighted mean annual salary for a local authority and independent sector registered manager for 2018/2019. The weighted</w:t>
            </w:r>
          </w:p>
          <w:p w:rsidR="006A18FD" w:rsidRDefault="002D29FC">
            <w:pPr>
              <w:spacing w:line="221" w:lineRule="exact"/>
              <w:ind w:left="102"/>
              <w:rPr>
                <w:rFonts w:ascii="Calibri" w:hAnsi="Calibri"/>
                <w:sz w:val="13"/>
              </w:rPr>
            </w:pPr>
            <w:r>
              <w:rPr>
                <w:rFonts w:ascii="Calibri" w:hAnsi="Calibri"/>
                <w:sz w:val="20"/>
              </w:rPr>
              <w:t>mean hourly pay rate was £15.</w:t>
            </w:r>
            <w:r>
              <w:rPr>
                <w:rFonts w:ascii="Calibri" w:hAnsi="Calibri"/>
                <w:position w:val="7"/>
                <w:sz w:val="13"/>
              </w:rPr>
              <w:t>1</w:t>
            </w:r>
          </w:p>
        </w:tc>
      </w:tr>
      <w:tr w:rsidR="006A18FD">
        <w:trPr>
          <w:trHeight w:val="480"/>
        </w:trPr>
        <w:tc>
          <w:tcPr>
            <w:tcW w:w="2242" w:type="dxa"/>
          </w:tcPr>
          <w:p w:rsidR="006A18FD" w:rsidRDefault="002D29FC">
            <w:pPr>
              <w:spacing w:before="1"/>
              <w:ind w:left="52"/>
              <w:rPr>
                <w:rFonts w:ascii="Calibri"/>
                <w:sz w:val="20"/>
              </w:rPr>
            </w:pPr>
            <w:r>
              <w:rPr>
                <w:rFonts w:ascii="Calibri"/>
                <w:sz w:val="20"/>
              </w:rPr>
              <w:t>B. Salary oncosts</w:t>
            </w:r>
          </w:p>
        </w:tc>
        <w:tc>
          <w:tcPr>
            <w:tcW w:w="1685" w:type="dxa"/>
          </w:tcPr>
          <w:p w:rsidR="006A18FD" w:rsidRDefault="002D29FC">
            <w:pPr>
              <w:spacing w:before="1"/>
              <w:ind w:left="102"/>
              <w:rPr>
                <w:rFonts w:ascii="Calibri" w:hAnsi="Calibri"/>
                <w:sz w:val="20"/>
              </w:rPr>
            </w:pPr>
            <w:r>
              <w:rPr>
                <w:rFonts w:ascii="Calibri" w:hAnsi="Calibri"/>
                <w:sz w:val="20"/>
              </w:rPr>
              <w:t>£8,352 per year</w:t>
            </w:r>
          </w:p>
        </w:tc>
        <w:tc>
          <w:tcPr>
            <w:tcW w:w="6116" w:type="dxa"/>
          </w:tcPr>
          <w:p w:rsidR="006A18FD" w:rsidRDefault="002D29FC">
            <w:pPr>
              <w:spacing w:before="1" w:line="243" w:lineRule="exact"/>
              <w:ind w:left="102"/>
              <w:rPr>
                <w:rFonts w:ascii="Calibri" w:hAnsi="Calibri"/>
                <w:sz w:val="20"/>
              </w:rPr>
            </w:pPr>
            <w:r>
              <w:rPr>
                <w:rFonts w:ascii="Calibri" w:hAnsi="Calibri"/>
                <w:sz w:val="20"/>
              </w:rPr>
              <w:t>Employer’s national insurance contribution is included, plus 17 per cent</w:t>
            </w:r>
          </w:p>
          <w:p w:rsidR="006A18FD" w:rsidRDefault="002D29FC">
            <w:pPr>
              <w:spacing w:line="225" w:lineRule="exact"/>
              <w:ind w:left="102"/>
              <w:rPr>
                <w:rFonts w:ascii="Calibri" w:hAnsi="Calibri"/>
                <w:sz w:val="13"/>
              </w:rPr>
            </w:pPr>
            <w:r>
              <w:rPr>
                <w:rFonts w:ascii="Calibri" w:hAnsi="Calibri"/>
                <w:sz w:val="20"/>
              </w:rPr>
              <w:t>of salary for employer’s contribution to superannuation.</w:t>
            </w:r>
            <w:r>
              <w:rPr>
                <w:rFonts w:ascii="Calibri" w:hAnsi="Calibri"/>
                <w:position w:val="7"/>
                <w:sz w:val="13"/>
              </w:rPr>
              <w:t>2</w:t>
            </w:r>
          </w:p>
        </w:tc>
      </w:tr>
      <w:tr w:rsidR="006A18FD">
        <w:trPr>
          <w:trHeight w:val="240"/>
        </w:trPr>
        <w:tc>
          <w:tcPr>
            <w:tcW w:w="2242" w:type="dxa"/>
          </w:tcPr>
          <w:p w:rsidR="006A18FD" w:rsidRDefault="002D29FC">
            <w:pPr>
              <w:spacing w:before="1" w:line="223" w:lineRule="exact"/>
              <w:ind w:left="52"/>
              <w:rPr>
                <w:rFonts w:ascii="Calibri"/>
                <w:sz w:val="20"/>
              </w:rPr>
            </w:pPr>
            <w:r>
              <w:rPr>
                <w:rFonts w:ascii="Calibri"/>
                <w:sz w:val="20"/>
              </w:rPr>
              <w:t>C. Qualifications</w:t>
            </w:r>
          </w:p>
        </w:tc>
        <w:tc>
          <w:tcPr>
            <w:tcW w:w="1685" w:type="dxa"/>
          </w:tcPr>
          <w:p w:rsidR="006A18FD" w:rsidRDefault="006A18FD">
            <w:pPr>
              <w:rPr>
                <w:rFonts w:ascii="Times New Roman"/>
                <w:sz w:val="16"/>
              </w:rPr>
            </w:pPr>
          </w:p>
        </w:tc>
        <w:tc>
          <w:tcPr>
            <w:tcW w:w="6116" w:type="dxa"/>
          </w:tcPr>
          <w:p w:rsidR="006A18FD" w:rsidRDefault="002D29FC">
            <w:pPr>
              <w:spacing w:before="1" w:line="223" w:lineRule="exact"/>
              <w:ind w:left="102"/>
              <w:rPr>
                <w:rFonts w:ascii="Calibri"/>
                <w:sz w:val="20"/>
              </w:rPr>
            </w:pPr>
            <w:r>
              <w:rPr>
                <w:rFonts w:ascii="Calibri"/>
                <w:sz w:val="20"/>
              </w:rPr>
              <w:t>No information available.</w:t>
            </w:r>
          </w:p>
        </w:tc>
      </w:tr>
      <w:tr w:rsidR="006A18FD">
        <w:trPr>
          <w:trHeight w:val="1760"/>
        </w:trPr>
        <w:tc>
          <w:tcPr>
            <w:tcW w:w="2242" w:type="dxa"/>
          </w:tcPr>
          <w:p w:rsidR="006A18FD" w:rsidRDefault="002D29FC">
            <w:pPr>
              <w:spacing w:before="1"/>
              <w:ind w:left="52" w:right="1012"/>
              <w:rPr>
                <w:rFonts w:ascii="Calibri"/>
                <w:sz w:val="20"/>
              </w:rPr>
            </w:pPr>
            <w:r>
              <w:rPr>
                <w:rFonts w:ascii="Calibri"/>
                <w:sz w:val="20"/>
              </w:rPr>
              <w:t>D. Overheads: Direct</w:t>
            </w:r>
          </w:p>
          <w:p w:rsidR="006A18FD" w:rsidRDefault="006A18FD">
            <w:pPr>
              <w:rPr>
                <w:rFonts w:ascii="Calibri"/>
                <w:sz w:val="20"/>
              </w:rPr>
            </w:pPr>
          </w:p>
          <w:p w:rsidR="006A18FD" w:rsidRDefault="006A18FD">
            <w:pPr>
              <w:spacing w:before="1"/>
              <w:rPr>
                <w:rFonts w:ascii="Calibri"/>
                <w:sz w:val="25"/>
              </w:rPr>
            </w:pPr>
          </w:p>
          <w:p w:rsidR="006A18FD" w:rsidRDefault="002D29FC">
            <w:pPr>
              <w:ind w:left="52"/>
              <w:rPr>
                <w:rFonts w:ascii="Calibri"/>
                <w:sz w:val="20"/>
              </w:rPr>
            </w:pPr>
            <w:r>
              <w:rPr>
                <w:rFonts w:ascii="Calibri"/>
                <w:sz w:val="20"/>
              </w:rPr>
              <w:t>Indirect</w:t>
            </w:r>
          </w:p>
        </w:tc>
        <w:tc>
          <w:tcPr>
            <w:tcW w:w="1685" w:type="dxa"/>
          </w:tcPr>
          <w:p w:rsidR="006A18FD" w:rsidRDefault="006A18FD">
            <w:pPr>
              <w:spacing w:before="11"/>
              <w:rPr>
                <w:rFonts w:ascii="Calibri"/>
                <w:sz w:val="19"/>
              </w:rPr>
            </w:pPr>
          </w:p>
          <w:p w:rsidR="006A18FD" w:rsidRDefault="002D29FC">
            <w:pPr>
              <w:spacing w:before="1"/>
              <w:ind w:left="102"/>
              <w:rPr>
                <w:rFonts w:ascii="Calibri" w:hAnsi="Calibri"/>
                <w:sz w:val="20"/>
              </w:rPr>
            </w:pPr>
            <w:r>
              <w:rPr>
                <w:rFonts w:ascii="Calibri" w:hAnsi="Calibri"/>
                <w:sz w:val="20"/>
              </w:rPr>
              <w:t>£11,381 per year</w:t>
            </w:r>
          </w:p>
          <w:p w:rsidR="006A18FD" w:rsidRDefault="006A18FD">
            <w:pPr>
              <w:rPr>
                <w:rFonts w:ascii="Calibri"/>
                <w:sz w:val="20"/>
              </w:rPr>
            </w:pPr>
          </w:p>
          <w:p w:rsidR="006A18FD" w:rsidRDefault="006A18FD">
            <w:pPr>
              <w:spacing w:before="1"/>
              <w:rPr>
                <w:rFonts w:ascii="Calibri"/>
                <w:sz w:val="25"/>
              </w:rPr>
            </w:pPr>
          </w:p>
          <w:p w:rsidR="006A18FD" w:rsidRDefault="002D29FC">
            <w:pPr>
              <w:ind w:left="102"/>
              <w:rPr>
                <w:rFonts w:ascii="Calibri" w:hAnsi="Calibri"/>
                <w:sz w:val="20"/>
              </w:rPr>
            </w:pPr>
            <w:r>
              <w:rPr>
                <w:rFonts w:ascii="Calibri" w:hAnsi="Calibri"/>
                <w:sz w:val="20"/>
              </w:rPr>
              <w:t>£6,279 per year</w:t>
            </w:r>
          </w:p>
        </w:tc>
        <w:tc>
          <w:tcPr>
            <w:tcW w:w="6116" w:type="dxa"/>
          </w:tcPr>
          <w:p w:rsidR="006A18FD" w:rsidRDefault="006A18FD">
            <w:pPr>
              <w:spacing w:before="11"/>
              <w:rPr>
                <w:rFonts w:ascii="Calibri"/>
                <w:sz w:val="19"/>
              </w:rPr>
            </w:pPr>
          </w:p>
          <w:p w:rsidR="006A18FD" w:rsidRDefault="002D29FC">
            <w:pPr>
              <w:spacing w:before="1"/>
              <w:ind w:left="102" w:right="104"/>
              <w:rPr>
                <w:rFonts w:ascii="Calibri"/>
                <w:sz w:val="20"/>
              </w:rPr>
            </w:pPr>
            <w:r>
              <w:rPr>
                <w:rFonts w:ascii="Calibri"/>
                <w:sz w:val="20"/>
              </w:rPr>
              <w:t>Direct overheads were 29 per cent of direct care salary costs. They include costs to the provider for administration and management, as well as for office, training and utilities such as water, gas and electricity.</w:t>
            </w:r>
          </w:p>
          <w:p w:rsidR="006A18FD" w:rsidRDefault="002D29FC">
            <w:pPr>
              <w:spacing w:before="56" w:line="244" w:lineRule="exact"/>
              <w:ind w:left="102" w:right="257"/>
              <w:rPr>
                <w:rFonts w:ascii="Calibri"/>
                <w:sz w:val="13"/>
              </w:rPr>
            </w:pPr>
            <w:r>
              <w:rPr>
                <w:rFonts w:ascii="Calibri"/>
                <w:sz w:val="20"/>
              </w:rPr>
              <w:t>Indirect overheads were 16 per cent of direct care salary costs. They include general management and support services such as finance and human resources departments.</w:t>
            </w:r>
            <w:r>
              <w:rPr>
                <w:rFonts w:ascii="Calibri"/>
                <w:position w:val="7"/>
                <w:sz w:val="13"/>
              </w:rPr>
              <w:t>3</w:t>
            </w:r>
          </w:p>
        </w:tc>
      </w:tr>
      <w:tr w:rsidR="006A18FD">
        <w:trPr>
          <w:trHeight w:val="960"/>
        </w:trPr>
        <w:tc>
          <w:tcPr>
            <w:tcW w:w="2242" w:type="dxa"/>
          </w:tcPr>
          <w:p w:rsidR="006A18FD" w:rsidRDefault="002D29FC">
            <w:pPr>
              <w:spacing w:before="1"/>
              <w:ind w:left="52"/>
              <w:rPr>
                <w:rFonts w:ascii="Calibri"/>
                <w:sz w:val="20"/>
              </w:rPr>
            </w:pPr>
            <w:r>
              <w:rPr>
                <w:rFonts w:ascii="Calibri"/>
                <w:sz w:val="20"/>
              </w:rPr>
              <w:t>E. Capital overheads</w:t>
            </w:r>
          </w:p>
        </w:tc>
        <w:tc>
          <w:tcPr>
            <w:tcW w:w="1685" w:type="dxa"/>
          </w:tcPr>
          <w:p w:rsidR="006A18FD" w:rsidRDefault="002D29FC">
            <w:pPr>
              <w:spacing w:before="1"/>
              <w:ind w:left="102"/>
              <w:rPr>
                <w:rFonts w:ascii="Calibri" w:hAnsi="Calibri"/>
                <w:sz w:val="20"/>
              </w:rPr>
            </w:pPr>
            <w:r>
              <w:rPr>
                <w:rFonts w:ascii="Calibri" w:hAnsi="Calibri"/>
                <w:sz w:val="20"/>
              </w:rPr>
              <w:t>£3,191 per year</w:t>
            </w:r>
          </w:p>
        </w:tc>
        <w:tc>
          <w:tcPr>
            <w:tcW w:w="6116" w:type="dxa"/>
          </w:tcPr>
          <w:p w:rsidR="006A18FD" w:rsidRDefault="002D29FC">
            <w:pPr>
              <w:spacing w:before="4" w:line="237" w:lineRule="auto"/>
              <w:ind w:left="102" w:right="140"/>
              <w:rPr>
                <w:rFonts w:ascii="Calibri"/>
                <w:sz w:val="20"/>
              </w:rPr>
            </w:pPr>
            <w:r>
              <w:rPr>
                <w:rFonts w:ascii="Calibri"/>
                <w:sz w:val="20"/>
              </w:rPr>
              <w:t>Based on the new-build and land requirements of a local office and shared facilities for waiting, interviews and clerical support.</w:t>
            </w:r>
            <w:r>
              <w:rPr>
                <w:rFonts w:ascii="Calibri"/>
                <w:position w:val="7"/>
                <w:sz w:val="13"/>
              </w:rPr>
              <w:t xml:space="preserve">4,5 </w:t>
            </w:r>
            <w:r>
              <w:rPr>
                <w:rFonts w:ascii="Calibri"/>
                <w:sz w:val="20"/>
              </w:rPr>
              <w:t>Capital costs have been annuitised over 60 years at a discount rate of 3.5 per</w:t>
            </w:r>
          </w:p>
          <w:p w:rsidR="006A18FD" w:rsidRDefault="002D29FC">
            <w:pPr>
              <w:spacing w:before="1" w:line="223" w:lineRule="exact"/>
              <w:ind w:left="102"/>
              <w:rPr>
                <w:rFonts w:ascii="Calibri"/>
                <w:sz w:val="20"/>
              </w:rPr>
            </w:pPr>
            <w:r>
              <w:rPr>
                <w:rFonts w:ascii="Calibri"/>
                <w:sz w:val="20"/>
              </w:rPr>
              <w:t>cent, declining to 3 per cent after 30 years.</w:t>
            </w:r>
          </w:p>
        </w:tc>
      </w:tr>
      <w:tr w:rsidR="006A18FD">
        <w:trPr>
          <w:trHeight w:val="720"/>
        </w:trPr>
        <w:tc>
          <w:tcPr>
            <w:tcW w:w="2242" w:type="dxa"/>
          </w:tcPr>
          <w:p w:rsidR="006A18FD" w:rsidRDefault="002D29FC">
            <w:pPr>
              <w:spacing w:before="1"/>
              <w:ind w:left="52"/>
              <w:rPr>
                <w:rFonts w:ascii="Calibri"/>
                <w:sz w:val="20"/>
              </w:rPr>
            </w:pPr>
            <w:r>
              <w:rPr>
                <w:rFonts w:ascii="Calibri"/>
                <w:sz w:val="20"/>
              </w:rPr>
              <w:t>F. Travel</w:t>
            </w:r>
          </w:p>
        </w:tc>
        <w:tc>
          <w:tcPr>
            <w:tcW w:w="1685" w:type="dxa"/>
          </w:tcPr>
          <w:p w:rsidR="006A18FD" w:rsidRDefault="006A18FD">
            <w:pPr>
              <w:rPr>
                <w:rFonts w:ascii="Times New Roman"/>
                <w:sz w:val="18"/>
              </w:rPr>
            </w:pPr>
          </w:p>
        </w:tc>
        <w:tc>
          <w:tcPr>
            <w:tcW w:w="6116" w:type="dxa"/>
          </w:tcPr>
          <w:p w:rsidR="006A18FD" w:rsidRDefault="002D29FC">
            <w:pPr>
              <w:spacing w:before="1"/>
              <w:ind w:left="102" w:right="182"/>
              <w:rPr>
                <w:rFonts w:ascii="Calibri"/>
                <w:i/>
                <w:sz w:val="20"/>
              </w:rPr>
            </w:pPr>
            <w:r>
              <w:rPr>
                <w:rFonts w:ascii="Calibri"/>
                <w:sz w:val="20"/>
              </w:rPr>
              <w:t xml:space="preserve">No information available on average mileage covered per visit. For information see </w:t>
            </w:r>
            <w:r>
              <w:rPr>
                <w:rFonts w:ascii="Calibri"/>
                <w:i/>
                <w:sz w:val="20"/>
              </w:rPr>
              <w:t>Green Book: national agreement on pay and conditions</w:t>
            </w:r>
          </w:p>
          <w:p w:rsidR="006A18FD" w:rsidRDefault="002D29FC">
            <w:pPr>
              <w:spacing w:line="224" w:lineRule="exact"/>
              <w:ind w:left="102"/>
              <w:rPr>
                <w:rFonts w:ascii="Calibri"/>
                <w:sz w:val="13"/>
              </w:rPr>
            </w:pPr>
            <w:r>
              <w:rPr>
                <w:rFonts w:ascii="Calibri"/>
                <w:i/>
                <w:sz w:val="20"/>
              </w:rPr>
              <w:t>of service</w:t>
            </w:r>
            <w:r>
              <w:rPr>
                <w:rFonts w:ascii="Calibri"/>
                <w:sz w:val="20"/>
              </w:rPr>
              <w:t>.</w:t>
            </w:r>
            <w:r>
              <w:rPr>
                <w:rFonts w:ascii="Calibri"/>
                <w:position w:val="7"/>
                <w:sz w:val="13"/>
              </w:rPr>
              <w:t>6</w:t>
            </w:r>
          </w:p>
        </w:tc>
      </w:tr>
      <w:tr w:rsidR="006A18FD">
        <w:trPr>
          <w:trHeight w:val="960"/>
        </w:trPr>
        <w:tc>
          <w:tcPr>
            <w:tcW w:w="2242" w:type="dxa"/>
          </w:tcPr>
          <w:p w:rsidR="006A18FD" w:rsidRDefault="002D29FC">
            <w:pPr>
              <w:spacing w:before="1"/>
              <w:ind w:left="52"/>
              <w:rPr>
                <w:rFonts w:ascii="Calibri"/>
                <w:sz w:val="20"/>
              </w:rPr>
            </w:pPr>
            <w:r>
              <w:rPr>
                <w:rFonts w:ascii="Calibri"/>
                <w:sz w:val="20"/>
              </w:rPr>
              <w:t>Working time</w:t>
            </w:r>
          </w:p>
        </w:tc>
        <w:tc>
          <w:tcPr>
            <w:tcW w:w="1685" w:type="dxa"/>
          </w:tcPr>
          <w:p w:rsidR="006A18FD" w:rsidRDefault="002D29FC">
            <w:pPr>
              <w:spacing w:before="1"/>
              <w:ind w:left="102" w:right="322"/>
              <w:rPr>
                <w:rFonts w:ascii="Calibri"/>
                <w:sz w:val="20"/>
              </w:rPr>
            </w:pPr>
            <w:r>
              <w:rPr>
                <w:rFonts w:ascii="Calibri"/>
                <w:sz w:val="20"/>
              </w:rPr>
              <w:t>40.9 weeks per year</w:t>
            </w:r>
          </w:p>
          <w:p w:rsidR="006A18FD" w:rsidRDefault="002D29FC">
            <w:pPr>
              <w:spacing w:line="243" w:lineRule="exact"/>
              <w:ind w:left="102"/>
              <w:rPr>
                <w:rFonts w:ascii="Calibri"/>
                <w:sz w:val="20"/>
              </w:rPr>
            </w:pPr>
            <w:r>
              <w:rPr>
                <w:rFonts w:ascii="Calibri"/>
                <w:sz w:val="20"/>
              </w:rPr>
              <w:t>37 hours per</w:t>
            </w:r>
          </w:p>
          <w:p w:rsidR="006A18FD" w:rsidRDefault="002D29FC">
            <w:pPr>
              <w:spacing w:before="1" w:line="223" w:lineRule="exact"/>
              <w:ind w:left="102"/>
              <w:rPr>
                <w:rFonts w:ascii="Calibri"/>
                <w:sz w:val="20"/>
              </w:rPr>
            </w:pPr>
            <w:r>
              <w:rPr>
                <w:rFonts w:ascii="Calibri"/>
                <w:sz w:val="20"/>
              </w:rPr>
              <w:t>week</w:t>
            </w:r>
          </w:p>
        </w:tc>
        <w:tc>
          <w:tcPr>
            <w:tcW w:w="6116" w:type="dxa"/>
          </w:tcPr>
          <w:p w:rsidR="006A18FD" w:rsidRDefault="002D29FC">
            <w:pPr>
              <w:spacing w:before="1"/>
              <w:ind w:left="102"/>
              <w:rPr>
                <w:rFonts w:ascii="Calibri"/>
                <w:sz w:val="20"/>
              </w:rPr>
            </w:pPr>
            <w:r>
              <w:rPr>
                <w:rFonts w:ascii="Calibri"/>
                <w:sz w:val="20"/>
              </w:rPr>
              <w:t>Includes 29 days annual leave and 8 statutory leave days. Ten days for study/training and 8.7 days sickness leave have been assumed, based on the median average sickness absence level in England for all</w:t>
            </w:r>
          </w:p>
          <w:p w:rsidR="006A18FD" w:rsidRDefault="002D29FC">
            <w:pPr>
              <w:spacing w:line="224" w:lineRule="exact"/>
              <w:ind w:left="102"/>
              <w:rPr>
                <w:rFonts w:ascii="Calibri"/>
                <w:sz w:val="20"/>
              </w:rPr>
            </w:pPr>
            <w:r>
              <w:rPr>
                <w:rFonts w:ascii="Calibri"/>
                <w:sz w:val="20"/>
              </w:rPr>
              <w:t>authorities.</w:t>
            </w:r>
            <w:r>
              <w:rPr>
                <w:rFonts w:ascii="Calibri"/>
                <w:position w:val="7"/>
                <w:sz w:val="13"/>
              </w:rPr>
              <w:t xml:space="preserve">7 </w:t>
            </w:r>
            <w:r>
              <w:rPr>
                <w:rFonts w:ascii="Calibri"/>
                <w:sz w:val="20"/>
              </w:rPr>
              <w:t>Unit costs are based on 1,513 hours per year.</w:t>
            </w:r>
          </w:p>
        </w:tc>
      </w:tr>
      <w:tr w:rsidR="006A18FD">
        <w:trPr>
          <w:trHeight w:val="1020"/>
        </w:trPr>
        <w:tc>
          <w:tcPr>
            <w:tcW w:w="2242" w:type="dxa"/>
          </w:tcPr>
          <w:p w:rsidR="006A18FD" w:rsidRDefault="002D29FC">
            <w:pPr>
              <w:spacing w:before="1"/>
              <w:ind w:left="52" w:right="44"/>
              <w:rPr>
                <w:rFonts w:ascii="Calibri"/>
                <w:sz w:val="20"/>
              </w:rPr>
            </w:pPr>
            <w:r>
              <w:rPr>
                <w:rFonts w:ascii="Calibri"/>
                <w:sz w:val="20"/>
              </w:rPr>
              <w:t>Ratios of direct to indirect time on:</w:t>
            </w:r>
          </w:p>
          <w:p w:rsidR="006A18FD" w:rsidRDefault="006A18FD">
            <w:pPr>
              <w:spacing w:before="5"/>
              <w:rPr>
                <w:rFonts w:ascii="Calibri"/>
                <w:sz w:val="20"/>
              </w:rPr>
            </w:pPr>
          </w:p>
          <w:p w:rsidR="006A18FD" w:rsidRDefault="002D29FC">
            <w:pPr>
              <w:ind w:left="52"/>
              <w:rPr>
                <w:rFonts w:ascii="Calibri"/>
                <w:sz w:val="20"/>
              </w:rPr>
            </w:pPr>
            <w:r>
              <w:rPr>
                <w:rFonts w:ascii="Calibri"/>
                <w:sz w:val="20"/>
              </w:rPr>
              <w:t>Client-related work</w:t>
            </w:r>
          </w:p>
        </w:tc>
        <w:tc>
          <w:tcPr>
            <w:tcW w:w="1685" w:type="dxa"/>
          </w:tcPr>
          <w:p w:rsidR="006A18FD" w:rsidRDefault="006A18FD">
            <w:pPr>
              <w:rPr>
                <w:rFonts w:ascii="Times New Roman"/>
                <w:sz w:val="18"/>
              </w:rPr>
            </w:pPr>
          </w:p>
        </w:tc>
        <w:tc>
          <w:tcPr>
            <w:tcW w:w="6116" w:type="dxa"/>
          </w:tcPr>
          <w:p w:rsidR="006A18FD" w:rsidRDefault="002D29FC">
            <w:pPr>
              <w:spacing w:before="1"/>
              <w:ind w:left="102"/>
              <w:rPr>
                <w:rFonts w:ascii="Calibri"/>
                <w:sz w:val="20"/>
              </w:rPr>
            </w:pPr>
            <w:r>
              <w:rPr>
                <w:rFonts w:ascii="Calibri"/>
                <w:sz w:val="20"/>
              </w:rPr>
              <w:t>No current information is available on the proportion of time spent with clients.</w:t>
            </w:r>
          </w:p>
          <w:p w:rsidR="006A18FD" w:rsidRDefault="006A18FD">
            <w:pPr>
              <w:spacing w:before="10"/>
              <w:rPr>
                <w:rFonts w:ascii="Calibri"/>
                <w:sz w:val="19"/>
              </w:rPr>
            </w:pPr>
          </w:p>
          <w:p w:rsidR="006A18FD" w:rsidRDefault="002D29FC">
            <w:pPr>
              <w:ind w:left="102"/>
              <w:rPr>
                <w:rFonts w:ascii="Calibri"/>
                <w:sz w:val="20"/>
              </w:rPr>
            </w:pPr>
            <w:r>
              <w:rPr>
                <w:rFonts w:ascii="Calibri"/>
                <w:sz w:val="20"/>
              </w:rPr>
              <w:t>See previous editions of this volume for sources of information.</w:t>
            </w:r>
          </w:p>
        </w:tc>
      </w:tr>
      <w:tr w:rsidR="006A18FD">
        <w:trPr>
          <w:trHeight w:val="480"/>
        </w:trPr>
        <w:tc>
          <w:tcPr>
            <w:tcW w:w="2242" w:type="dxa"/>
          </w:tcPr>
          <w:p w:rsidR="006A18FD" w:rsidRDefault="002D29FC">
            <w:pPr>
              <w:spacing w:before="1"/>
              <w:ind w:left="52"/>
              <w:rPr>
                <w:rFonts w:ascii="Calibri"/>
                <w:sz w:val="20"/>
              </w:rPr>
            </w:pPr>
            <w:r>
              <w:rPr>
                <w:rFonts w:ascii="Calibri"/>
                <w:sz w:val="20"/>
              </w:rPr>
              <w:t>London multiplier</w:t>
            </w:r>
          </w:p>
        </w:tc>
        <w:tc>
          <w:tcPr>
            <w:tcW w:w="1685" w:type="dxa"/>
          </w:tcPr>
          <w:p w:rsidR="006A18FD" w:rsidRDefault="002D29FC">
            <w:pPr>
              <w:spacing w:before="1"/>
              <w:ind w:left="102"/>
              <w:rPr>
                <w:rFonts w:ascii="Calibri"/>
                <w:sz w:val="20"/>
              </w:rPr>
            </w:pPr>
            <w:r>
              <w:rPr>
                <w:rFonts w:ascii="Calibri"/>
                <w:sz w:val="20"/>
              </w:rPr>
              <w:t>1.25 x A</w:t>
            </w:r>
          </w:p>
        </w:tc>
        <w:tc>
          <w:tcPr>
            <w:tcW w:w="6116" w:type="dxa"/>
          </w:tcPr>
          <w:p w:rsidR="006A18FD" w:rsidRDefault="002D29FC">
            <w:pPr>
              <w:spacing w:before="1" w:line="243" w:lineRule="exact"/>
              <w:ind w:left="102"/>
              <w:rPr>
                <w:rFonts w:ascii="Calibri"/>
                <w:sz w:val="20"/>
              </w:rPr>
            </w:pPr>
            <w:r>
              <w:rPr>
                <w:rFonts w:ascii="Calibri"/>
                <w:sz w:val="20"/>
              </w:rPr>
              <w:t>Allows for the higher costs associated with London compared to the</w:t>
            </w:r>
          </w:p>
          <w:p w:rsidR="006A18FD" w:rsidRDefault="002D29FC">
            <w:pPr>
              <w:spacing w:line="225" w:lineRule="exact"/>
              <w:ind w:left="102"/>
              <w:rPr>
                <w:rFonts w:ascii="Calibri"/>
                <w:sz w:val="13"/>
              </w:rPr>
            </w:pPr>
            <w:r>
              <w:rPr>
                <w:rFonts w:ascii="Calibri"/>
                <w:sz w:val="20"/>
              </w:rPr>
              <w:t>national average cost.</w:t>
            </w:r>
            <w:r>
              <w:rPr>
                <w:rFonts w:ascii="Calibri"/>
                <w:position w:val="7"/>
                <w:sz w:val="13"/>
              </w:rPr>
              <w:t>1</w:t>
            </w:r>
          </w:p>
        </w:tc>
      </w:tr>
      <w:tr w:rsidR="006A18FD">
        <w:trPr>
          <w:trHeight w:val="480"/>
        </w:trPr>
        <w:tc>
          <w:tcPr>
            <w:tcW w:w="2242" w:type="dxa"/>
          </w:tcPr>
          <w:p w:rsidR="006A18FD" w:rsidRDefault="002D29FC">
            <w:pPr>
              <w:spacing w:line="243" w:lineRule="exact"/>
              <w:ind w:left="52"/>
              <w:rPr>
                <w:rFonts w:ascii="Calibri"/>
                <w:sz w:val="20"/>
              </w:rPr>
            </w:pPr>
            <w:r>
              <w:rPr>
                <w:rFonts w:ascii="Calibri"/>
                <w:sz w:val="20"/>
              </w:rPr>
              <w:t>Non-London multiplier</w:t>
            </w:r>
          </w:p>
        </w:tc>
        <w:tc>
          <w:tcPr>
            <w:tcW w:w="1685" w:type="dxa"/>
          </w:tcPr>
          <w:p w:rsidR="006A18FD" w:rsidRDefault="006A18FD">
            <w:pPr>
              <w:rPr>
                <w:rFonts w:ascii="Times New Roman"/>
                <w:sz w:val="18"/>
              </w:rPr>
            </w:pPr>
          </w:p>
        </w:tc>
        <w:tc>
          <w:tcPr>
            <w:tcW w:w="6116" w:type="dxa"/>
          </w:tcPr>
          <w:p w:rsidR="006A18FD" w:rsidRDefault="002D29FC">
            <w:pPr>
              <w:spacing w:line="243" w:lineRule="exact"/>
              <w:ind w:left="102"/>
              <w:rPr>
                <w:rFonts w:ascii="Calibri"/>
                <w:sz w:val="20"/>
              </w:rPr>
            </w:pPr>
            <w:r>
              <w:rPr>
                <w:rFonts w:ascii="Calibri"/>
                <w:sz w:val="20"/>
              </w:rPr>
              <w:t>Allows for the lower costs associated with working outside London</w:t>
            </w:r>
          </w:p>
          <w:p w:rsidR="006A18FD" w:rsidRDefault="002D29FC">
            <w:pPr>
              <w:spacing w:line="223" w:lineRule="exact"/>
              <w:ind w:left="102"/>
              <w:rPr>
                <w:rFonts w:ascii="Calibri"/>
                <w:sz w:val="20"/>
              </w:rPr>
            </w:pPr>
            <w:r>
              <w:rPr>
                <w:rFonts w:ascii="Calibri"/>
                <w:sz w:val="20"/>
              </w:rPr>
              <w:t>compared to the national average cost.</w:t>
            </w:r>
          </w:p>
        </w:tc>
      </w:tr>
      <w:tr w:rsidR="006A18FD">
        <w:trPr>
          <w:trHeight w:val="240"/>
        </w:trPr>
        <w:tc>
          <w:tcPr>
            <w:tcW w:w="10044" w:type="dxa"/>
            <w:gridSpan w:val="3"/>
          </w:tcPr>
          <w:p w:rsidR="006A18FD" w:rsidRDefault="002D29FC">
            <w:pPr>
              <w:spacing w:before="1" w:line="223" w:lineRule="exact"/>
              <w:ind w:left="52"/>
              <w:rPr>
                <w:rFonts w:ascii="Calibri"/>
                <w:b/>
                <w:sz w:val="20"/>
              </w:rPr>
            </w:pPr>
            <w:r>
              <w:rPr>
                <w:rFonts w:ascii="Calibri"/>
                <w:b/>
                <w:sz w:val="20"/>
              </w:rPr>
              <w:t>Unit costs available 2018/2019</w:t>
            </w:r>
          </w:p>
        </w:tc>
      </w:tr>
      <w:tr w:rsidR="006A18FD">
        <w:trPr>
          <w:trHeight w:val="240"/>
        </w:trPr>
        <w:tc>
          <w:tcPr>
            <w:tcW w:w="10044" w:type="dxa"/>
            <w:gridSpan w:val="3"/>
          </w:tcPr>
          <w:p w:rsidR="006A18FD" w:rsidRDefault="002D29FC">
            <w:pPr>
              <w:spacing w:before="1" w:line="223" w:lineRule="exact"/>
              <w:ind w:left="52"/>
              <w:rPr>
                <w:rFonts w:ascii="Calibri" w:hAnsi="Calibri"/>
                <w:sz w:val="20"/>
              </w:rPr>
            </w:pPr>
            <w:r>
              <w:rPr>
                <w:rFonts w:ascii="Calibri" w:hAnsi="Calibri"/>
                <w:sz w:val="20"/>
              </w:rPr>
              <w:t>£40 per hour.</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15"/>
        </w:rPr>
      </w:pPr>
    </w:p>
    <w:p w:rsidR="006A18FD" w:rsidRDefault="002D29FC">
      <w:pPr>
        <w:spacing w:line="195" w:lineRule="exact"/>
        <w:ind w:left="152"/>
        <w:rPr>
          <w:rFonts w:ascii="Calibri"/>
          <w:sz w:val="16"/>
        </w:rPr>
      </w:pPr>
      <w:r>
        <w:rPr>
          <w:rFonts w:ascii="Calibri"/>
          <w:position w:val="5"/>
          <w:sz w:val="10"/>
        </w:rPr>
        <w:t xml:space="preserve">1 </w:t>
      </w:r>
      <w:r>
        <w:rPr>
          <w:rFonts w:ascii="Calibri"/>
          <w:sz w:val="16"/>
        </w:rPr>
        <w:t xml:space="preserve">Skills for Care (2019) </w:t>
      </w:r>
      <w:r>
        <w:rPr>
          <w:rFonts w:ascii="Calibri"/>
          <w:i/>
          <w:sz w:val="16"/>
        </w:rPr>
        <w:t>National Minimum Dataset-Social Care online</w:t>
      </w:r>
      <w:r>
        <w:rPr>
          <w:rFonts w:ascii="Calibri"/>
          <w:sz w:val="16"/>
        </w:rPr>
        <w:t xml:space="preserve">, </w:t>
      </w:r>
      <w:hyperlink r:id="rId409">
        <w:r>
          <w:rPr>
            <w:rFonts w:ascii="Calibri"/>
            <w:sz w:val="16"/>
            <w:u w:val="single"/>
          </w:rPr>
          <w:t>https://www.nmds-sc-online.org.uk/</w:t>
        </w:r>
        <w:r>
          <w:rPr>
            <w:rFonts w:ascii="Calibri"/>
            <w:sz w:val="16"/>
          </w:rPr>
          <w:t xml:space="preserve"> </w:t>
        </w:r>
      </w:hyperlink>
      <w:r>
        <w:rPr>
          <w:rFonts w:ascii="Calibri"/>
          <w:sz w:val="16"/>
        </w:rPr>
        <w:t>[accessed 3 October 2019].</w:t>
      </w:r>
    </w:p>
    <w:p w:rsidR="006A18FD" w:rsidRDefault="002D29FC">
      <w:pPr>
        <w:ind w:left="436" w:right="2865" w:hanging="284"/>
        <w:rPr>
          <w:rFonts w:ascii="Calibri"/>
          <w:sz w:val="16"/>
        </w:rPr>
      </w:pPr>
      <w:r>
        <w:rPr>
          <w:rFonts w:ascii="Calibri"/>
          <w:position w:val="5"/>
          <w:sz w:val="10"/>
        </w:rPr>
        <w:t xml:space="preserve">2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410">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spacing w:before="2" w:line="195" w:lineRule="exact"/>
        <w:ind w:left="152"/>
        <w:rPr>
          <w:rFonts w:ascii="Calibri"/>
          <w:sz w:val="16"/>
        </w:rPr>
      </w:pPr>
      <w:r>
        <w:rPr>
          <w:rFonts w:ascii="Calibri"/>
          <w:position w:val="5"/>
          <w:sz w:val="10"/>
        </w:rPr>
        <w:t xml:space="preserve">3 </w:t>
      </w:r>
      <w:r>
        <w:rPr>
          <w:rFonts w:ascii="Calibri"/>
          <w:sz w:val="16"/>
        </w:rPr>
        <w:t xml:space="preserve">Based on information taken from Selwyn, J. et al. (2009) </w:t>
      </w:r>
      <w:r>
        <w:rPr>
          <w:rFonts w:ascii="Calibri"/>
          <w:i/>
          <w:sz w:val="16"/>
        </w:rPr>
        <w:t>Adoption and the inter-agency fee</w:t>
      </w:r>
      <w:r>
        <w:rPr>
          <w:rFonts w:ascii="Calibri"/>
          <w:sz w:val="16"/>
        </w:rPr>
        <w:t>, University of Bristol, Bristol; and Glendinning, C. et al. (2010)</w:t>
      </w:r>
    </w:p>
    <w:p w:rsidR="006A18FD" w:rsidRDefault="002D29FC">
      <w:pPr>
        <w:spacing w:line="195" w:lineRule="exact"/>
        <w:ind w:left="436"/>
        <w:rPr>
          <w:rFonts w:ascii="Calibri"/>
          <w:sz w:val="16"/>
        </w:rPr>
      </w:pP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before="2" w:line="195" w:lineRule="exact"/>
        <w:ind w:left="152"/>
        <w:rPr>
          <w:rFonts w:ascii="Calibri"/>
          <w:sz w:val="16"/>
        </w:rPr>
      </w:pPr>
      <w:r>
        <w:rPr>
          <w:rFonts w:ascii="Calibri"/>
          <w:position w:val="5"/>
          <w:sz w:val="10"/>
        </w:rPr>
        <w:t xml:space="preserve">4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36" w:right="1704" w:hanging="284"/>
        <w:rPr>
          <w:rFonts w:ascii="Calibri"/>
          <w:sz w:val="16"/>
        </w:rPr>
      </w:pPr>
      <w:r>
        <w:rPr>
          <w:rFonts w:ascii="Calibri"/>
          <w:position w:val="5"/>
          <w:sz w:val="10"/>
        </w:rPr>
        <w:t xml:space="preserve">5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411">
        <w:r>
          <w:rPr>
            <w:rFonts w:ascii="Calibri"/>
            <w:sz w:val="16"/>
            <w:u w:val="single"/>
          </w:rPr>
          <w:t xml:space="preserve">https://www.gov.uk/government/publications/land-value-estimates-for-policy-appraisal-2017 </w:t>
        </w:r>
      </w:hyperlink>
      <w:r>
        <w:rPr>
          <w:rFonts w:ascii="Calibri"/>
          <w:sz w:val="16"/>
        </w:rPr>
        <w:t>[accessed 25 September 2018].</w:t>
      </w:r>
    </w:p>
    <w:p w:rsidR="006A18FD" w:rsidRDefault="002D29FC">
      <w:pPr>
        <w:spacing w:before="2"/>
        <w:ind w:left="436" w:right="800" w:hanging="284"/>
        <w:rPr>
          <w:rFonts w:ascii="Calibri"/>
          <w:sz w:val="16"/>
        </w:rPr>
      </w:pPr>
      <w:r>
        <w:rPr>
          <w:rFonts w:ascii="Calibri"/>
          <w:position w:val="5"/>
          <w:sz w:val="10"/>
        </w:rPr>
        <w:t xml:space="preserve">6 </w:t>
      </w:r>
      <w:r>
        <w:rPr>
          <w:rFonts w:ascii="Calibri"/>
          <w:sz w:val="16"/>
        </w:rPr>
        <w:t xml:space="preserve">Local Government Employers (2019) </w:t>
      </w:r>
      <w:r>
        <w:rPr>
          <w:rFonts w:ascii="Calibri"/>
          <w:i/>
          <w:sz w:val="16"/>
        </w:rPr>
        <w:t>Green Book: National Agreement on pay and conditions of service</w:t>
      </w:r>
      <w:r>
        <w:rPr>
          <w:rFonts w:ascii="Calibri"/>
          <w:sz w:val="16"/>
        </w:rPr>
        <w:t xml:space="preserve">, Local Government Association, London. </w:t>
      </w:r>
      <w:hyperlink r:id="rId412">
        <w:r>
          <w:rPr>
            <w:rFonts w:ascii="Calibri"/>
            <w:sz w:val="16"/>
            <w:u w:val="single"/>
          </w:rPr>
          <w:t xml:space="preserve">https://www.gov.uk/government/publications/the-green-book-appraisal-and-evaluation-in-central-governent </w:t>
        </w:r>
      </w:hyperlink>
      <w:r>
        <w:rPr>
          <w:rFonts w:ascii="Calibri"/>
          <w:sz w:val="16"/>
          <w:u w:val="single"/>
        </w:rPr>
        <w:t>[accessed 9 October 2019].</w:t>
      </w:r>
    </w:p>
    <w:p w:rsidR="006A18FD" w:rsidRDefault="002D29FC">
      <w:pPr>
        <w:ind w:left="436" w:right="763" w:hanging="284"/>
        <w:rPr>
          <w:rFonts w:ascii="Calibri"/>
          <w:sz w:val="16"/>
        </w:rPr>
      </w:pPr>
      <w:r>
        <w:rPr>
          <w:rFonts w:ascii="Calibri"/>
          <w:position w:val="5"/>
          <w:sz w:val="10"/>
        </w:rPr>
        <w:t xml:space="preserve">7 </w:t>
      </w:r>
      <w:r>
        <w:rPr>
          <w:rFonts w:ascii="Calibri"/>
          <w:sz w:val="16"/>
        </w:rPr>
        <w:t xml:space="preserve">Local Government Association (2018) </w:t>
      </w:r>
      <w:r>
        <w:rPr>
          <w:rFonts w:ascii="Calibri"/>
          <w:i/>
          <w:sz w:val="16"/>
        </w:rPr>
        <w:t>Local government workforce survey 2016/17</w:t>
      </w:r>
      <w:r>
        <w:rPr>
          <w:rFonts w:ascii="Calibri"/>
          <w:sz w:val="16"/>
        </w:rPr>
        <w:t xml:space="preserve">, Local Government Association, London. </w:t>
      </w:r>
      <w:hyperlink r:id="rId413">
        <w:r>
          <w:rPr>
            <w:rFonts w:ascii="Calibri"/>
            <w:sz w:val="16"/>
            <w:u w:val="single"/>
          </w:rPr>
          <w:t>https://www.local.gov.uk/sites/default/files/documents/LG%20Workforce%20Survey%202016-17%20-%20report%20final%2020180718.pdf</w:t>
        </w:r>
      </w:hyperlink>
      <w:r>
        <w:rPr>
          <w:rFonts w:ascii="Calibri"/>
          <w:sz w:val="16"/>
        </w:rPr>
        <w:t xml:space="preserve"> [accessed 20 October 2018].</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9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92" name="Line 4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42A0EA" id="Group 4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2WgytfQIAAH8FAAAO&#10;AAAAAAAAAAAAAAAAAC4CAABkcnMvZTJvRG9jLnhtbFBLAQItABQABgAIAAAAIQAtd+Rc2gAAAAQB&#10;AAAPAAAAAAAAAAAAAAAAANcEAABkcnMvZG93bnJldi54bWxQSwUGAAAAAAQABADzAAAA3gUAAAAA&#10;">
                <v:line id="Line 4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w10:anchorlock/>
              </v:group>
            </w:pict>
          </mc:Fallback>
        </mc:AlternateContent>
      </w:r>
    </w:p>
    <w:p w:rsidR="006A18FD" w:rsidRDefault="00AF6861" w:rsidP="00AF6861">
      <w:pPr>
        <w:pStyle w:val="Heading2"/>
      </w:pPr>
      <w:r>
        <w:t xml:space="preserve">11.7 </w:t>
      </w:r>
      <w:r w:rsidR="002D29FC">
        <w:t>Support and outreach</w:t>
      </w:r>
      <w:r w:rsidR="002D29FC">
        <w:rPr>
          <w:spacing w:val="-12"/>
        </w:rPr>
        <w:t xml:space="preserve"> </w:t>
      </w:r>
      <w:r w:rsidR="002D29FC">
        <w:t>worker</w:t>
      </w:r>
    </w:p>
    <w:p w:rsidR="006A18FD" w:rsidRDefault="002D29FC">
      <w:pPr>
        <w:spacing w:before="172" w:line="276" w:lineRule="auto"/>
        <w:ind w:left="140" w:right="146"/>
        <w:rPr>
          <w:rFonts w:ascii="Calibri"/>
          <w:sz w:val="12"/>
        </w:rPr>
      </w:pPr>
      <w:r>
        <w:rPr>
          <w:rFonts w:ascii="Calibri"/>
          <w:sz w:val="20"/>
        </w:rPr>
        <w:t xml:space="preserve">Community outreach workers act as a liaison between community programmes, services and community members. Their focus might be on health or education, and they often assist a particular ethnic group or segment of the population, such as older people. The job description varies according to the organisation and responsibilities. </w:t>
      </w:r>
      <w:r>
        <w:rPr>
          <w:rFonts w:ascii="Calibri"/>
          <w:position w:val="5"/>
          <w:sz w:val="12"/>
        </w:rPr>
        <w:t>1</w:t>
      </w:r>
    </w:p>
    <w:p w:rsidR="006A18FD" w:rsidRDefault="006A18FD">
      <w:pPr>
        <w:spacing w:before="8"/>
        <w:rPr>
          <w:rFonts w:ascii="Calibri"/>
          <w:sz w:val="9"/>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6093"/>
      </w:tblGrid>
      <w:tr w:rsidR="006A18FD" w:rsidTr="00CA19E0">
        <w:trPr>
          <w:trHeight w:val="340"/>
          <w:tblHeader/>
        </w:trPr>
        <w:tc>
          <w:tcPr>
            <w:tcW w:w="2268" w:type="dxa"/>
          </w:tcPr>
          <w:p w:rsidR="006A18FD" w:rsidRDefault="002D29FC">
            <w:pPr>
              <w:spacing w:before="1"/>
              <w:ind w:left="52"/>
              <w:rPr>
                <w:rFonts w:ascii="Calibri"/>
                <w:sz w:val="18"/>
              </w:rPr>
            </w:pPr>
            <w:r>
              <w:rPr>
                <w:rFonts w:ascii="Calibri"/>
                <w:sz w:val="18"/>
              </w:rPr>
              <w:t>Costs and unit estimation</w:t>
            </w:r>
          </w:p>
        </w:tc>
        <w:tc>
          <w:tcPr>
            <w:tcW w:w="1702" w:type="dxa"/>
          </w:tcPr>
          <w:p w:rsidR="006A18FD" w:rsidRDefault="002D29FC">
            <w:pPr>
              <w:spacing w:before="1"/>
              <w:ind w:left="102"/>
              <w:rPr>
                <w:rFonts w:ascii="Calibri"/>
                <w:sz w:val="18"/>
              </w:rPr>
            </w:pPr>
            <w:r>
              <w:rPr>
                <w:rFonts w:ascii="Calibri"/>
                <w:sz w:val="18"/>
              </w:rPr>
              <w:t>2018/2019 value</w:t>
            </w:r>
          </w:p>
        </w:tc>
        <w:tc>
          <w:tcPr>
            <w:tcW w:w="6092" w:type="dxa"/>
          </w:tcPr>
          <w:p w:rsidR="006A18FD" w:rsidRDefault="002D29FC">
            <w:pPr>
              <w:spacing w:before="1"/>
              <w:ind w:left="103"/>
              <w:rPr>
                <w:rFonts w:ascii="Calibri"/>
                <w:sz w:val="18"/>
              </w:rPr>
            </w:pPr>
            <w:r>
              <w:rPr>
                <w:rFonts w:ascii="Calibri"/>
                <w:sz w:val="18"/>
              </w:rPr>
              <w:t>Notes</w:t>
            </w:r>
          </w:p>
        </w:tc>
      </w:tr>
      <w:tr w:rsidR="006A18FD">
        <w:trPr>
          <w:trHeight w:val="960"/>
        </w:trPr>
        <w:tc>
          <w:tcPr>
            <w:tcW w:w="2268" w:type="dxa"/>
          </w:tcPr>
          <w:p w:rsidR="006A18FD" w:rsidRDefault="002D29FC">
            <w:pPr>
              <w:spacing w:before="1"/>
              <w:ind w:left="52"/>
              <w:rPr>
                <w:rFonts w:ascii="Calibri"/>
                <w:sz w:val="20"/>
              </w:rPr>
            </w:pPr>
            <w:r>
              <w:rPr>
                <w:rFonts w:ascii="Calibri"/>
                <w:sz w:val="20"/>
              </w:rPr>
              <w:t>A. Wages/salary</w:t>
            </w:r>
          </w:p>
        </w:tc>
        <w:tc>
          <w:tcPr>
            <w:tcW w:w="1702" w:type="dxa"/>
          </w:tcPr>
          <w:p w:rsidR="006A18FD" w:rsidRDefault="002D29FC">
            <w:pPr>
              <w:spacing w:before="1"/>
              <w:ind w:left="102"/>
              <w:rPr>
                <w:rFonts w:ascii="Calibri" w:hAnsi="Calibri"/>
                <w:sz w:val="20"/>
              </w:rPr>
            </w:pPr>
            <w:r>
              <w:rPr>
                <w:rFonts w:ascii="Calibri" w:hAnsi="Calibri"/>
                <w:sz w:val="20"/>
              </w:rPr>
              <w:t>£18,368 per year</w:t>
            </w:r>
          </w:p>
        </w:tc>
        <w:tc>
          <w:tcPr>
            <w:tcW w:w="6092" w:type="dxa"/>
          </w:tcPr>
          <w:p w:rsidR="006A18FD" w:rsidRDefault="002D29FC">
            <w:pPr>
              <w:spacing w:before="1"/>
              <w:ind w:left="103"/>
              <w:rPr>
                <w:rFonts w:ascii="Calibri"/>
                <w:sz w:val="20"/>
              </w:rPr>
            </w:pPr>
            <w:r>
              <w:rPr>
                <w:rFonts w:ascii="Calibri"/>
                <w:sz w:val="20"/>
              </w:rPr>
              <w:t>Information taken from the National Minimum Data Set for Social Care 2019</w:t>
            </w:r>
            <w:r>
              <w:rPr>
                <w:rFonts w:ascii="Calibri"/>
                <w:position w:val="5"/>
                <w:sz w:val="11"/>
              </w:rPr>
              <w:t xml:space="preserve">2 </w:t>
            </w:r>
            <w:r>
              <w:rPr>
                <w:rFonts w:ascii="Calibri"/>
                <w:sz w:val="20"/>
              </w:rPr>
              <w:t>showed that the mean basic salary for a support and outreach worker, based on the weighted mean annual salary for a local authority</w:t>
            </w:r>
          </w:p>
          <w:p w:rsidR="006A18FD" w:rsidRDefault="002D29FC">
            <w:pPr>
              <w:spacing w:line="223" w:lineRule="exact"/>
              <w:ind w:left="103"/>
              <w:rPr>
                <w:rFonts w:ascii="Calibri" w:hAnsi="Calibri"/>
                <w:sz w:val="20"/>
              </w:rPr>
            </w:pPr>
            <w:r>
              <w:rPr>
                <w:rFonts w:ascii="Calibri" w:hAnsi="Calibri"/>
                <w:sz w:val="20"/>
              </w:rPr>
              <w:t>and independent sector outreach worker, was £18,368.</w:t>
            </w:r>
          </w:p>
        </w:tc>
      </w:tr>
      <w:tr w:rsidR="006A18FD">
        <w:trPr>
          <w:trHeight w:val="480"/>
        </w:trPr>
        <w:tc>
          <w:tcPr>
            <w:tcW w:w="2268" w:type="dxa"/>
          </w:tcPr>
          <w:p w:rsidR="006A18FD" w:rsidRDefault="002D29FC">
            <w:pPr>
              <w:spacing w:before="1"/>
              <w:ind w:left="52"/>
              <w:rPr>
                <w:rFonts w:ascii="Calibri"/>
                <w:sz w:val="20"/>
              </w:rPr>
            </w:pPr>
            <w:r>
              <w:rPr>
                <w:rFonts w:ascii="Calibri"/>
                <w:sz w:val="20"/>
              </w:rPr>
              <w:t>B. Salary oncosts</w:t>
            </w:r>
          </w:p>
        </w:tc>
        <w:tc>
          <w:tcPr>
            <w:tcW w:w="1702" w:type="dxa"/>
          </w:tcPr>
          <w:p w:rsidR="006A18FD" w:rsidRDefault="002D29FC">
            <w:pPr>
              <w:spacing w:before="1"/>
              <w:ind w:left="102"/>
              <w:rPr>
                <w:rFonts w:ascii="Calibri" w:hAnsi="Calibri"/>
                <w:sz w:val="20"/>
              </w:rPr>
            </w:pPr>
            <w:r>
              <w:rPr>
                <w:rFonts w:ascii="Calibri" w:hAnsi="Calibri"/>
                <w:sz w:val="20"/>
              </w:rPr>
              <w:t>£4,495 per year</w:t>
            </w:r>
          </w:p>
        </w:tc>
        <w:tc>
          <w:tcPr>
            <w:tcW w:w="6092" w:type="dxa"/>
          </w:tcPr>
          <w:p w:rsidR="006A18FD" w:rsidRDefault="002D29FC">
            <w:pPr>
              <w:spacing w:before="1" w:line="242" w:lineRule="exact"/>
              <w:ind w:left="103"/>
              <w:rPr>
                <w:rFonts w:ascii="Calibri" w:hAnsi="Calibri"/>
                <w:sz w:val="20"/>
              </w:rPr>
            </w:pPr>
            <w:r>
              <w:rPr>
                <w:rFonts w:ascii="Calibri" w:hAnsi="Calibri"/>
                <w:sz w:val="20"/>
              </w:rPr>
              <w:t>Employer’s national insurance contribution is included, plus 17 per cent</w:t>
            </w:r>
          </w:p>
          <w:p w:rsidR="006A18FD" w:rsidRDefault="002D29FC">
            <w:pPr>
              <w:spacing w:line="224" w:lineRule="exact"/>
              <w:ind w:left="103"/>
              <w:rPr>
                <w:rFonts w:ascii="Calibri" w:hAnsi="Calibri"/>
                <w:sz w:val="13"/>
              </w:rPr>
            </w:pPr>
            <w:r>
              <w:rPr>
                <w:rFonts w:ascii="Calibri" w:hAnsi="Calibri"/>
                <w:sz w:val="20"/>
              </w:rPr>
              <w:t>of salary for employer’s contribution to superannuation.</w:t>
            </w:r>
            <w:r>
              <w:rPr>
                <w:rFonts w:ascii="Calibri" w:hAnsi="Calibri"/>
                <w:position w:val="7"/>
                <w:sz w:val="13"/>
              </w:rPr>
              <w:t>3</w:t>
            </w:r>
          </w:p>
        </w:tc>
      </w:tr>
      <w:tr w:rsidR="006A18FD">
        <w:trPr>
          <w:trHeight w:val="240"/>
        </w:trPr>
        <w:tc>
          <w:tcPr>
            <w:tcW w:w="2268" w:type="dxa"/>
          </w:tcPr>
          <w:p w:rsidR="006A18FD" w:rsidRDefault="002D29FC">
            <w:pPr>
              <w:spacing w:before="1" w:line="223" w:lineRule="exact"/>
              <w:ind w:left="52"/>
              <w:rPr>
                <w:rFonts w:ascii="Calibri"/>
                <w:sz w:val="20"/>
              </w:rPr>
            </w:pPr>
            <w:r>
              <w:rPr>
                <w:rFonts w:ascii="Calibri"/>
                <w:sz w:val="20"/>
              </w:rPr>
              <w:t>C. Qualifications</w:t>
            </w:r>
          </w:p>
        </w:tc>
        <w:tc>
          <w:tcPr>
            <w:tcW w:w="1702" w:type="dxa"/>
          </w:tcPr>
          <w:p w:rsidR="006A18FD" w:rsidRDefault="006A18FD">
            <w:pPr>
              <w:rPr>
                <w:rFonts w:ascii="Times New Roman"/>
                <w:sz w:val="16"/>
              </w:rPr>
            </w:pPr>
          </w:p>
        </w:tc>
        <w:tc>
          <w:tcPr>
            <w:tcW w:w="6092" w:type="dxa"/>
          </w:tcPr>
          <w:p w:rsidR="006A18FD" w:rsidRDefault="006A18FD">
            <w:pPr>
              <w:rPr>
                <w:rFonts w:ascii="Times New Roman"/>
                <w:sz w:val="16"/>
              </w:rPr>
            </w:pPr>
          </w:p>
        </w:tc>
      </w:tr>
      <w:tr w:rsidR="006A18FD">
        <w:trPr>
          <w:trHeight w:val="1860"/>
        </w:trPr>
        <w:tc>
          <w:tcPr>
            <w:tcW w:w="2268" w:type="dxa"/>
          </w:tcPr>
          <w:p w:rsidR="006A18FD" w:rsidRDefault="002D29FC">
            <w:pPr>
              <w:spacing w:before="1" w:line="391" w:lineRule="auto"/>
              <w:ind w:left="52" w:right="642"/>
              <w:rPr>
                <w:rFonts w:ascii="Calibri"/>
                <w:sz w:val="20"/>
              </w:rPr>
            </w:pPr>
            <w:r>
              <w:rPr>
                <w:rFonts w:ascii="Calibri"/>
                <w:sz w:val="20"/>
              </w:rPr>
              <w:t>D. Overheads Direct overheads</w:t>
            </w:r>
          </w:p>
          <w:p w:rsidR="006A18FD" w:rsidRDefault="006A18FD">
            <w:pPr>
              <w:spacing w:before="4"/>
              <w:rPr>
                <w:rFonts w:ascii="Calibri"/>
                <w:sz w:val="27"/>
              </w:rPr>
            </w:pPr>
          </w:p>
          <w:p w:rsidR="006A18FD" w:rsidRDefault="002D29FC">
            <w:pPr>
              <w:ind w:left="52"/>
              <w:rPr>
                <w:rFonts w:ascii="Calibri"/>
                <w:sz w:val="20"/>
              </w:rPr>
            </w:pPr>
            <w:r>
              <w:rPr>
                <w:rFonts w:ascii="Calibri"/>
                <w:sz w:val="20"/>
              </w:rPr>
              <w:t>Indirect overheads</w:t>
            </w:r>
          </w:p>
        </w:tc>
        <w:tc>
          <w:tcPr>
            <w:tcW w:w="1702" w:type="dxa"/>
          </w:tcPr>
          <w:p w:rsidR="006A18FD" w:rsidRDefault="006A18FD">
            <w:pPr>
              <w:rPr>
                <w:rFonts w:ascii="Calibri"/>
                <w:sz w:val="20"/>
              </w:rPr>
            </w:pPr>
          </w:p>
          <w:p w:rsidR="006A18FD" w:rsidRDefault="002D29FC">
            <w:pPr>
              <w:spacing w:before="156"/>
              <w:ind w:left="102"/>
              <w:rPr>
                <w:rFonts w:ascii="Calibri" w:hAnsi="Calibri"/>
                <w:sz w:val="20"/>
              </w:rPr>
            </w:pPr>
            <w:r>
              <w:rPr>
                <w:rFonts w:ascii="Calibri" w:hAnsi="Calibri"/>
                <w:sz w:val="20"/>
              </w:rPr>
              <w:t>£6,630 per year</w:t>
            </w:r>
          </w:p>
          <w:p w:rsidR="006A18FD" w:rsidRDefault="006A18FD">
            <w:pPr>
              <w:rPr>
                <w:rFonts w:ascii="Calibri"/>
                <w:sz w:val="20"/>
              </w:rPr>
            </w:pPr>
          </w:p>
          <w:p w:rsidR="006A18FD" w:rsidRDefault="006A18FD">
            <w:pPr>
              <w:spacing w:before="11"/>
              <w:rPr>
                <w:rFonts w:ascii="Calibri"/>
                <w:sz w:val="19"/>
              </w:rPr>
            </w:pPr>
          </w:p>
          <w:p w:rsidR="006A18FD" w:rsidRDefault="002D29FC">
            <w:pPr>
              <w:ind w:left="102"/>
              <w:rPr>
                <w:rFonts w:ascii="Calibri" w:hAnsi="Calibri"/>
                <w:sz w:val="20"/>
              </w:rPr>
            </w:pPr>
            <w:r>
              <w:rPr>
                <w:rFonts w:ascii="Calibri" w:hAnsi="Calibri"/>
                <w:sz w:val="20"/>
              </w:rPr>
              <w:t>£3,658 per year</w:t>
            </w:r>
          </w:p>
        </w:tc>
        <w:tc>
          <w:tcPr>
            <w:tcW w:w="6092" w:type="dxa"/>
          </w:tcPr>
          <w:p w:rsidR="006A18FD" w:rsidRDefault="006A18FD">
            <w:pPr>
              <w:rPr>
                <w:rFonts w:ascii="Calibri"/>
                <w:sz w:val="20"/>
              </w:rPr>
            </w:pPr>
          </w:p>
          <w:p w:rsidR="006A18FD" w:rsidRDefault="002D29FC">
            <w:pPr>
              <w:spacing w:before="156"/>
              <w:ind w:left="103" w:right="81"/>
              <w:rPr>
                <w:rFonts w:ascii="Calibri"/>
                <w:sz w:val="20"/>
              </w:rPr>
            </w:pPr>
            <w:r>
              <w:rPr>
                <w:rFonts w:ascii="Calibri"/>
                <w:sz w:val="20"/>
              </w:rPr>
              <w:t>Direct overheads were 29 per cent of direct care salary costs. They include costs to the provider for administration and management, as well as for office, training and utilities such as water, gas and electricity. Indirect overheads were 16 per cent of direct care salary costs. They include general management and support services such as finance and</w:t>
            </w:r>
          </w:p>
          <w:p w:rsidR="006A18FD" w:rsidRDefault="002D29FC">
            <w:pPr>
              <w:spacing w:line="221" w:lineRule="exact"/>
              <w:ind w:left="103"/>
              <w:rPr>
                <w:rFonts w:ascii="Calibri"/>
                <w:sz w:val="13"/>
              </w:rPr>
            </w:pPr>
            <w:r>
              <w:rPr>
                <w:rFonts w:ascii="Calibri"/>
                <w:sz w:val="20"/>
              </w:rPr>
              <w:t>human resources departments.</w:t>
            </w:r>
            <w:r>
              <w:rPr>
                <w:rFonts w:ascii="Calibri"/>
                <w:position w:val="7"/>
                <w:sz w:val="13"/>
              </w:rPr>
              <w:t>4</w:t>
            </w:r>
          </w:p>
        </w:tc>
      </w:tr>
      <w:tr w:rsidR="006A18FD">
        <w:trPr>
          <w:trHeight w:val="960"/>
        </w:trPr>
        <w:tc>
          <w:tcPr>
            <w:tcW w:w="2268" w:type="dxa"/>
          </w:tcPr>
          <w:p w:rsidR="006A18FD" w:rsidRDefault="002D29FC">
            <w:pPr>
              <w:spacing w:before="1"/>
              <w:ind w:left="52"/>
              <w:rPr>
                <w:rFonts w:ascii="Calibri"/>
                <w:sz w:val="20"/>
              </w:rPr>
            </w:pPr>
            <w:r>
              <w:rPr>
                <w:rFonts w:ascii="Calibri"/>
                <w:sz w:val="20"/>
              </w:rPr>
              <w:t>E. Capital overheads</w:t>
            </w:r>
          </w:p>
        </w:tc>
        <w:tc>
          <w:tcPr>
            <w:tcW w:w="1702" w:type="dxa"/>
          </w:tcPr>
          <w:p w:rsidR="006A18FD" w:rsidRDefault="002D29FC">
            <w:pPr>
              <w:spacing w:before="1"/>
              <w:ind w:left="102"/>
              <w:rPr>
                <w:rFonts w:ascii="Calibri" w:hAnsi="Calibri"/>
                <w:sz w:val="20"/>
              </w:rPr>
            </w:pPr>
            <w:r>
              <w:rPr>
                <w:rFonts w:ascii="Calibri" w:hAnsi="Calibri"/>
                <w:sz w:val="20"/>
              </w:rPr>
              <w:t>£3,191 per year</w:t>
            </w:r>
          </w:p>
        </w:tc>
        <w:tc>
          <w:tcPr>
            <w:tcW w:w="6092" w:type="dxa"/>
          </w:tcPr>
          <w:p w:rsidR="006A18FD" w:rsidRDefault="002D29FC">
            <w:pPr>
              <w:spacing w:before="1"/>
              <w:ind w:left="103" w:right="81"/>
              <w:rPr>
                <w:rFonts w:ascii="Calibri"/>
                <w:sz w:val="20"/>
              </w:rPr>
            </w:pPr>
            <w:r>
              <w:rPr>
                <w:rFonts w:ascii="Calibri"/>
                <w:sz w:val="20"/>
              </w:rPr>
              <w:t>Based on the new-build and land requirements for a local authority office and shared facilities for waiting, interviews and clerical support.</w:t>
            </w:r>
            <w:r>
              <w:rPr>
                <w:rFonts w:ascii="Calibri"/>
                <w:position w:val="7"/>
                <w:sz w:val="13"/>
              </w:rPr>
              <w:t xml:space="preserve">5,6 </w:t>
            </w:r>
            <w:r>
              <w:rPr>
                <w:rFonts w:ascii="Calibri"/>
                <w:sz w:val="20"/>
              </w:rPr>
              <w:t>Capital costs have been annuitised over 60 years at a discount rate of</w:t>
            </w:r>
          </w:p>
          <w:p w:rsidR="006A18FD" w:rsidRDefault="002D29FC">
            <w:pPr>
              <w:spacing w:line="221" w:lineRule="exact"/>
              <w:ind w:left="103"/>
              <w:rPr>
                <w:rFonts w:ascii="Calibri"/>
                <w:sz w:val="20"/>
              </w:rPr>
            </w:pPr>
            <w:r>
              <w:rPr>
                <w:rFonts w:ascii="Calibri"/>
                <w:sz w:val="20"/>
              </w:rPr>
              <w:t>3.5 per cent, declining to 3 per cent after 30 years.</w:t>
            </w:r>
          </w:p>
        </w:tc>
      </w:tr>
      <w:tr w:rsidR="006A18FD">
        <w:trPr>
          <w:trHeight w:val="960"/>
        </w:trPr>
        <w:tc>
          <w:tcPr>
            <w:tcW w:w="2268" w:type="dxa"/>
          </w:tcPr>
          <w:p w:rsidR="006A18FD" w:rsidRDefault="002D29FC">
            <w:pPr>
              <w:spacing w:before="1"/>
              <w:ind w:left="52"/>
              <w:rPr>
                <w:rFonts w:ascii="Calibri"/>
                <w:sz w:val="20"/>
              </w:rPr>
            </w:pPr>
            <w:r>
              <w:rPr>
                <w:rFonts w:ascii="Calibri"/>
                <w:sz w:val="20"/>
              </w:rPr>
              <w:t>F. Working time</w:t>
            </w:r>
          </w:p>
        </w:tc>
        <w:tc>
          <w:tcPr>
            <w:tcW w:w="1702" w:type="dxa"/>
          </w:tcPr>
          <w:p w:rsidR="006A18FD" w:rsidRDefault="002D29FC">
            <w:pPr>
              <w:spacing w:before="1"/>
              <w:ind w:left="102" w:right="138"/>
              <w:rPr>
                <w:rFonts w:ascii="Calibri"/>
                <w:sz w:val="20"/>
              </w:rPr>
            </w:pPr>
            <w:r>
              <w:rPr>
                <w:rFonts w:ascii="Calibri"/>
                <w:sz w:val="20"/>
              </w:rPr>
              <w:t>40.9 weeks per year 37 hours per week</w:t>
            </w:r>
          </w:p>
        </w:tc>
        <w:tc>
          <w:tcPr>
            <w:tcW w:w="6092" w:type="dxa"/>
          </w:tcPr>
          <w:p w:rsidR="006A18FD" w:rsidRDefault="002D29FC">
            <w:pPr>
              <w:spacing w:before="1"/>
              <w:ind w:left="103" w:right="154"/>
              <w:rPr>
                <w:rFonts w:ascii="Calibri"/>
                <w:sz w:val="20"/>
              </w:rPr>
            </w:pPr>
            <w:r>
              <w:rPr>
                <w:rFonts w:ascii="Calibri"/>
                <w:sz w:val="20"/>
              </w:rPr>
              <w:t>Includes 29 days annual leave and 8 statutory leave days. Five days for study/training and 8.7 days sickness leave have been assumed, based on the median average sickness absence level in England for all</w:t>
            </w:r>
          </w:p>
          <w:p w:rsidR="006A18FD" w:rsidRDefault="002D29FC">
            <w:pPr>
              <w:spacing w:line="222" w:lineRule="exact"/>
              <w:ind w:left="103"/>
              <w:rPr>
                <w:rFonts w:ascii="Calibri"/>
                <w:sz w:val="17"/>
              </w:rPr>
            </w:pPr>
            <w:r>
              <w:rPr>
                <w:rFonts w:ascii="Calibri"/>
                <w:sz w:val="20"/>
              </w:rPr>
              <w:t xml:space="preserve">authorities. </w:t>
            </w:r>
            <w:r>
              <w:rPr>
                <w:rFonts w:ascii="Calibri"/>
                <w:position w:val="5"/>
                <w:sz w:val="11"/>
              </w:rPr>
              <w:t xml:space="preserve">7 </w:t>
            </w:r>
            <w:r>
              <w:rPr>
                <w:rFonts w:ascii="Calibri"/>
                <w:sz w:val="20"/>
              </w:rPr>
              <w:t>Unit costs are based on 1,513 hours per year</w:t>
            </w:r>
            <w:r>
              <w:rPr>
                <w:rFonts w:ascii="Calibri"/>
                <w:sz w:val="17"/>
              </w:rPr>
              <w:t>.</w:t>
            </w:r>
          </w:p>
        </w:tc>
      </w:tr>
      <w:tr w:rsidR="006A18FD">
        <w:trPr>
          <w:trHeight w:val="780"/>
        </w:trPr>
        <w:tc>
          <w:tcPr>
            <w:tcW w:w="2268" w:type="dxa"/>
          </w:tcPr>
          <w:p w:rsidR="006A18FD" w:rsidRDefault="002D29FC">
            <w:pPr>
              <w:spacing w:before="1"/>
              <w:ind w:left="52" w:right="149"/>
              <w:rPr>
                <w:rFonts w:ascii="Calibri"/>
                <w:sz w:val="20"/>
              </w:rPr>
            </w:pPr>
            <w:r>
              <w:rPr>
                <w:rFonts w:ascii="Calibri"/>
                <w:sz w:val="20"/>
              </w:rPr>
              <w:t>Ratio of direct to indirect time on:</w:t>
            </w:r>
          </w:p>
          <w:p w:rsidR="006A18FD" w:rsidRDefault="002D29FC">
            <w:pPr>
              <w:spacing w:before="10"/>
              <w:ind w:left="52"/>
              <w:rPr>
                <w:rFonts w:ascii="Calibri"/>
                <w:sz w:val="20"/>
              </w:rPr>
            </w:pPr>
            <w:r>
              <w:rPr>
                <w:rFonts w:ascii="Calibri"/>
                <w:sz w:val="20"/>
              </w:rPr>
              <w:t>Client-related work</w:t>
            </w:r>
          </w:p>
        </w:tc>
        <w:tc>
          <w:tcPr>
            <w:tcW w:w="1702" w:type="dxa"/>
          </w:tcPr>
          <w:p w:rsidR="006A18FD" w:rsidRDefault="006A18FD">
            <w:pPr>
              <w:rPr>
                <w:rFonts w:ascii="Times New Roman"/>
                <w:sz w:val="18"/>
              </w:rPr>
            </w:pPr>
          </w:p>
        </w:tc>
        <w:tc>
          <w:tcPr>
            <w:tcW w:w="6092" w:type="dxa"/>
          </w:tcPr>
          <w:p w:rsidR="006A18FD" w:rsidRDefault="002D29FC">
            <w:pPr>
              <w:spacing w:before="1"/>
              <w:ind w:left="103"/>
              <w:rPr>
                <w:rFonts w:ascii="Calibri"/>
                <w:sz w:val="20"/>
              </w:rPr>
            </w:pPr>
            <w:r>
              <w:rPr>
                <w:rFonts w:ascii="Calibri"/>
                <w:sz w:val="20"/>
              </w:rPr>
              <w:t>No current information is available on the proportion of time spent with clients. See previous editions of this volume for sources of information.</w:t>
            </w:r>
          </w:p>
        </w:tc>
      </w:tr>
      <w:tr w:rsidR="006A18FD">
        <w:trPr>
          <w:trHeight w:val="480"/>
        </w:trPr>
        <w:tc>
          <w:tcPr>
            <w:tcW w:w="2268" w:type="dxa"/>
          </w:tcPr>
          <w:p w:rsidR="006A18FD" w:rsidRDefault="002D29FC">
            <w:pPr>
              <w:spacing w:line="243" w:lineRule="exact"/>
              <w:ind w:left="52"/>
              <w:rPr>
                <w:rFonts w:ascii="Calibri"/>
                <w:sz w:val="20"/>
              </w:rPr>
            </w:pPr>
            <w:r>
              <w:rPr>
                <w:rFonts w:ascii="Calibri"/>
                <w:sz w:val="20"/>
              </w:rPr>
              <w:t>London multiplier</w:t>
            </w:r>
          </w:p>
        </w:tc>
        <w:tc>
          <w:tcPr>
            <w:tcW w:w="1702" w:type="dxa"/>
          </w:tcPr>
          <w:p w:rsidR="006A18FD" w:rsidRDefault="002D29FC">
            <w:pPr>
              <w:spacing w:line="243" w:lineRule="exact"/>
              <w:ind w:left="102"/>
              <w:rPr>
                <w:rFonts w:ascii="Calibri"/>
                <w:sz w:val="20"/>
              </w:rPr>
            </w:pPr>
            <w:r>
              <w:rPr>
                <w:rFonts w:ascii="Calibri"/>
                <w:sz w:val="20"/>
              </w:rPr>
              <w:t>1.09 x A</w:t>
            </w:r>
          </w:p>
        </w:tc>
        <w:tc>
          <w:tcPr>
            <w:tcW w:w="6092" w:type="dxa"/>
          </w:tcPr>
          <w:p w:rsidR="006A18FD" w:rsidRDefault="002D29FC">
            <w:pPr>
              <w:spacing w:line="242" w:lineRule="exact"/>
              <w:ind w:left="103"/>
              <w:rPr>
                <w:rFonts w:ascii="Calibri"/>
                <w:sz w:val="20"/>
              </w:rPr>
            </w:pPr>
            <w:r>
              <w:rPr>
                <w:rFonts w:ascii="Calibri"/>
                <w:sz w:val="20"/>
              </w:rPr>
              <w:t>Allows for the higher costs associated with London compared to the</w:t>
            </w:r>
          </w:p>
          <w:p w:rsidR="006A18FD" w:rsidRDefault="002D29FC">
            <w:pPr>
              <w:spacing w:line="225" w:lineRule="exact"/>
              <w:ind w:left="103"/>
              <w:rPr>
                <w:rFonts w:ascii="Calibri"/>
                <w:sz w:val="13"/>
              </w:rPr>
            </w:pPr>
            <w:r>
              <w:rPr>
                <w:rFonts w:ascii="Calibri"/>
                <w:sz w:val="20"/>
              </w:rPr>
              <w:t>national average cost.</w:t>
            </w:r>
            <w:r>
              <w:rPr>
                <w:rFonts w:ascii="Calibri"/>
                <w:position w:val="7"/>
                <w:sz w:val="13"/>
              </w:rPr>
              <w:t>2</w:t>
            </w:r>
          </w:p>
        </w:tc>
      </w:tr>
      <w:tr w:rsidR="006A18FD">
        <w:trPr>
          <w:trHeight w:val="480"/>
        </w:trPr>
        <w:tc>
          <w:tcPr>
            <w:tcW w:w="2268" w:type="dxa"/>
          </w:tcPr>
          <w:p w:rsidR="006A18FD" w:rsidRDefault="002D29FC">
            <w:pPr>
              <w:spacing w:before="1"/>
              <w:ind w:left="52"/>
              <w:rPr>
                <w:rFonts w:ascii="Calibri"/>
                <w:sz w:val="20"/>
              </w:rPr>
            </w:pPr>
            <w:r>
              <w:rPr>
                <w:rFonts w:ascii="Calibri"/>
                <w:sz w:val="20"/>
              </w:rPr>
              <w:t>Non-London multiplier</w:t>
            </w:r>
          </w:p>
        </w:tc>
        <w:tc>
          <w:tcPr>
            <w:tcW w:w="1702" w:type="dxa"/>
          </w:tcPr>
          <w:p w:rsidR="006A18FD" w:rsidRDefault="006A18FD">
            <w:pPr>
              <w:rPr>
                <w:rFonts w:ascii="Times New Roman"/>
                <w:sz w:val="18"/>
              </w:rPr>
            </w:pPr>
          </w:p>
        </w:tc>
        <w:tc>
          <w:tcPr>
            <w:tcW w:w="6092" w:type="dxa"/>
          </w:tcPr>
          <w:p w:rsidR="006A18FD" w:rsidRDefault="002D29FC">
            <w:pPr>
              <w:spacing w:before="1" w:line="240" w:lineRule="atLeast"/>
              <w:ind w:left="103"/>
              <w:rPr>
                <w:rFonts w:ascii="Calibri"/>
                <w:sz w:val="20"/>
              </w:rPr>
            </w:pPr>
            <w:r>
              <w:rPr>
                <w:rFonts w:ascii="Calibri"/>
                <w:sz w:val="20"/>
              </w:rPr>
              <w:t>Allows for the lower costs associated with working outside London compared to the national average cost.</w:t>
            </w:r>
          </w:p>
        </w:tc>
      </w:tr>
      <w:tr w:rsidR="006A18FD">
        <w:trPr>
          <w:trHeight w:val="239"/>
        </w:trPr>
        <w:tc>
          <w:tcPr>
            <w:tcW w:w="10063" w:type="dxa"/>
            <w:gridSpan w:val="3"/>
          </w:tcPr>
          <w:p w:rsidR="006A18FD" w:rsidRDefault="002D29FC">
            <w:pPr>
              <w:spacing w:line="223" w:lineRule="exact"/>
              <w:ind w:left="52"/>
              <w:rPr>
                <w:rFonts w:ascii="Calibri"/>
                <w:b/>
                <w:sz w:val="20"/>
              </w:rPr>
            </w:pPr>
            <w:r>
              <w:rPr>
                <w:rFonts w:ascii="Calibri"/>
                <w:b/>
                <w:sz w:val="20"/>
              </w:rPr>
              <w:t>Unit costs available 2018/2019 (costs including training given in brackets)</w:t>
            </w:r>
          </w:p>
        </w:tc>
      </w:tr>
      <w:tr w:rsidR="006A18FD">
        <w:trPr>
          <w:trHeight w:val="240"/>
        </w:trPr>
        <w:tc>
          <w:tcPr>
            <w:tcW w:w="10063" w:type="dxa"/>
            <w:gridSpan w:val="3"/>
          </w:tcPr>
          <w:p w:rsidR="006A18FD" w:rsidRDefault="002D29FC">
            <w:pPr>
              <w:spacing w:before="1" w:line="223" w:lineRule="exact"/>
              <w:ind w:left="52"/>
              <w:rPr>
                <w:rFonts w:ascii="Calibri" w:hAnsi="Calibri"/>
                <w:sz w:val="20"/>
              </w:rPr>
            </w:pPr>
            <w:r>
              <w:rPr>
                <w:rFonts w:ascii="Calibri" w:hAnsi="Calibri"/>
                <w:sz w:val="20"/>
              </w:rPr>
              <w:t>£24 per hour.</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8"/>
        <w:rPr>
          <w:rFonts w:ascii="Calibri"/>
          <w:sz w:val="26"/>
        </w:rPr>
      </w:pPr>
    </w:p>
    <w:p w:rsidR="006A18FD" w:rsidRDefault="002D29FC">
      <w:pPr>
        <w:ind w:left="423" w:right="200" w:hanging="284"/>
        <w:rPr>
          <w:rFonts w:ascii="Calibri"/>
          <w:sz w:val="16"/>
        </w:rPr>
      </w:pPr>
      <w:r>
        <w:rPr>
          <w:rFonts w:ascii="Calibri"/>
          <w:position w:val="5"/>
          <w:sz w:val="10"/>
        </w:rPr>
        <w:t xml:space="preserve">1 </w:t>
      </w:r>
      <w:r>
        <w:rPr>
          <w:rFonts w:ascii="Calibri"/>
          <w:sz w:val="16"/>
        </w:rPr>
        <w:t xml:space="preserve">Career Trend (2017) What is the job description of a community outreach worker? </w:t>
      </w:r>
      <w:hyperlink r:id="rId414">
        <w:r>
          <w:rPr>
            <w:rFonts w:ascii="Calibri"/>
            <w:sz w:val="16"/>
            <w:u w:val="single"/>
          </w:rPr>
          <w:t>https://careertrend.com/about-4618849-job-description-community-</w:t>
        </w:r>
      </w:hyperlink>
      <w:r>
        <w:rPr>
          <w:rFonts w:ascii="Calibri"/>
          <w:sz w:val="16"/>
        </w:rPr>
        <w:t xml:space="preserve"> </w:t>
      </w:r>
      <w:hyperlink r:id="rId415">
        <w:r>
          <w:rPr>
            <w:rFonts w:ascii="Calibri"/>
            <w:sz w:val="16"/>
            <w:u w:val="single"/>
          </w:rPr>
          <w:t>outreach-worker.html [17</w:t>
        </w:r>
        <w:r>
          <w:rPr>
            <w:rFonts w:ascii="Calibri"/>
            <w:sz w:val="16"/>
          </w:rPr>
          <w:t xml:space="preserve"> </w:t>
        </w:r>
      </w:hyperlink>
      <w:r>
        <w:rPr>
          <w:rFonts w:ascii="Calibri"/>
          <w:sz w:val="16"/>
        </w:rPr>
        <w:t>October 2018].</w:t>
      </w:r>
    </w:p>
    <w:p w:rsidR="006A18FD" w:rsidRDefault="002D29FC">
      <w:pPr>
        <w:spacing w:line="194" w:lineRule="exact"/>
        <w:ind w:left="140"/>
        <w:rPr>
          <w:rFonts w:ascii="Calibri"/>
          <w:sz w:val="16"/>
        </w:rPr>
      </w:pPr>
      <w:r>
        <w:rPr>
          <w:rFonts w:ascii="Calibri"/>
          <w:position w:val="5"/>
          <w:sz w:val="10"/>
        </w:rPr>
        <w:t xml:space="preserve">2 </w:t>
      </w:r>
      <w:r>
        <w:rPr>
          <w:rFonts w:ascii="Calibri"/>
          <w:sz w:val="16"/>
        </w:rPr>
        <w:t xml:space="preserve">Skills for Care (2019) </w:t>
      </w:r>
      <w:r>
        <w:rPr>
          <w:rFonts w:ascii="Calibri"/>
          <w:i/>
          <w:sz w:val="16"/>
        </w:rPr>
        <w:t>National Minimum Dataset-Social Care online</w:t>
      </w:r>
      <w:r>
        <w:rPr>
          <w:rFonts w:ascii="Calibri"/>
          <w:sz w:val="16"/>
        </w:rPr>
        <w:t xml:space="preserve">, </w:t>
      </w:r>
      <w:hyperlink r:id="rId416">
        <w:r>
          <w:rPr>
            <w:rFonts w:ascii="Calibri"/>
            <w:sz w:val="16"/>
            <w:u w:val="single"/>
          </w:rPr>
          <w:t>https://www.nmds-sc-online.org.uk/</w:t>
        </w:r>
        <w:r>
          <w:rPr>
            <w:rFonts w:ascii="Calibri"/>
            <w:sz w:val="16"/>
          </w:rPr>
          <w:t xml:space="preserve"> </w:t>
        </w:r>
      </w:hyperlink>
      <w:r>
        <w:rPr>
          <w:rFonts w:ascii="Calibri"/>
          <w:sz w:val="16"/>
        </w:rPr>
        <w:t>[accessed 3 October 2019].</w:t>
      </w:r>
    </w:p>
    <w:p w:rsidR="006A18FD" w:rsidRDefault="002D29FC">
      <w:pPr>
        <w:spacing w:before="2"/>
        <w:ind w:left="423" w:right="2878" w:hanging="284"/>
        <w:rPr>
          <w:rFonts w:ascii="Calibri"/>
          <w:sz w:val="16"/>
        </w:rPr>
      </w:pPr>
      <w:r>
        <w:rPr>
          <w:rFonts w:ascii="Calibri"/>
          <w:position w:val="5"/>
          <w:sz w:val="10"/>
        </w:rPr>
        <w:t xml:space="preserve">3 </w:t>
      </w:r>
      <w:r>
        <w:rPr>
          <w:rFonts w:ascii="Calibri"/>
          <w:sz w:val="16"/>
        </w:rPr>
        <w:t xml:space="preserve">Local Government Pension Scheme Advisory Board (2017) </w:t>
      </w:r>
      <w:r>
        <w:rPr>
          <w:rFonts w:ascii="Calibri"/>
          <w:i/>
          <w:sz w:val="16"/>
        </w:rPr>
        <w:t>Fund Valuations 2016</w:t>
      </w:r>
      <w:r>
        <w:rPr>
          <w:rFonts w:ascii="Calibri"/>
          <w:sz w:val="16"/>
        </w:rPr>
        <w:t xml:space="preserve">, LGPS Advisory Board, London. </w:t>
      </w:r>
      <w:hyperlink r:id="rId417">
        <w:r>
          <w:rPr>
            <w:rFonts w:ascii="Calibri"/>
            <w:sz w:val="16"/>
            <w:u w:val="single"/>
          </w:rPr>
          <w:t>http://lgpsboard.org/index.php/schemedata</w:t>
        </w:r>
        <w:r>
          <w:rPr>
            <w:rFonts w:ascii="Calibri"/>
            <w:sz w:val="16"/>
          </w:rPr>
          <w:t xml:space="preserve"> </w:t>
        </w:r>
      </w:hyperlink>
      <w:r>
        <w:rPr>
          <w:rFonts w:ascii="Calibri"/>
          <w:sz w:val="16"/>
        </w:rPr>
        <w:t>[accessed 12 November 2017].</w:t>
      </w:r>
    </w:p>
    <w:p w:rsidR="006A18FD" w:rsidRDefault="002D29FC">
      <w:pPr>
        <w:spacing w:before="2"/>
        <w:ind w:left="423" w:hanging="284"/>
        <w:rPr>
          <w:rFonts w:ascii="Calibri"/>
          <w:sz w:val="16"/>
        </w:rPr>
      </w:pPr>
      <w:r>
        <w:rPr>
          <w:rFonts w:ascii="Calibri"/>
          <w:position w:val="5"/>
          <w:sz w:val="10"/>
        </w:rPr>
        <w:t xml:space="preserve">4 </w:t>
      </w:r>
      <w:r>
        <w:rPr>
          <w:rFonts w:ascii="Calibri"/>
          <w:sz w:val="16"/>
        </w:rPr>
        <w:t xml:space="preserve">Based on information taken from Selwyn et al. (2009) </w:t>
      </w:r>
      <w:r>
        <w:rPr>
          <w:rFonts w:ascii="Calibri"/>
          <w:i/>
          <w:sz w:val="16"/>
        </w:rPr>
        <w:t>Adoption and the inter-agency fee</w:t>
      </w:r>
      <w:r>
        <w:rPr>
          <w:rFonts w:ascii="Calibri"/>
          <w:sz w:val="16"/>
        </w:rPr>
        <w:t xml:space="preserve">, University of Bristol, Bristol; and Glendinning et al. (2010) </w:t>
      </w:r>
      <w:r>
        <w:rPr>
          <w:rFonts w:ascii="Calibri"/>
          <w:i/>
          <w:sz w:val="16"/>
        </w:rPr>
        <w:t>Home care re-ablement services: investigating the longer-term impacts</w:t>
      </w:r>
      <w:r>
        <w:rPr>
          <w:rFonts w:ascii="Calibri"/>
          <w:sz w:val="16"/>
        </w:rPr>
        <w:t>, Final Report, University of York, PSSRU Kent, Department of Health, London.</w:t>
      </w:r>
    </w:p>
    <w:p w:rsidR="006A18FD" w:rsidRDefault="002D29FC">
      <w:pPr>
        <w:spacing w:line="194" w:lineRule="exact"/>
        <w:ind w:left="140"/>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spacing w:before="1"/>
        <w:ind w:left="423" w:right="1717"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418">
        <w:r>
          <w:rPr>
            <w:rFonts w:ascii="Calibri"/>
            <w:sz w:val="16"/>
            <w:u w:val="single"/>
          </w:rPr>
          <w:t xml:space="preserve">https://www.gov.uk/government/publications/land-value-estimates-for-policy-appraisal-2017 </w:t>
        </w:r>
      </w:hyperlink>
      <w:r>
        <w:rPr>
          <w:rFonts w:ascii="Calibri"/>
          <w:sz w:val="16"/>
          <w:u w:val="single"/>
        </w:rPr>
        <w:t>[accessed 25 September 2018]</w:t>
      </w:r>
      <w:r>
        <w:rPr>
          <w:rFonts w:ascii="Calibri"/>
          <w:sz w:val="16"/>
        </w:rPr>
        <w:t>.</w:t>
      </w:r>
    </w:p>
    <w:p w:rsidR="006A18FD" w:rsidRDefault="002D29FC">
      <w:pPr>
        <w:ind w:left="423" w:right="777" w:hanging="284"/>
        <w:rPr>
          <w:rFonts w:ascii="Calibri"/>
          <w:sz w:val="16"/>
        </w:rPr>
      </w:pPr>
      <w:r>
        <w:rPr>
          <w:rFonts w:ascii="Calibri"/>
          <w:position w:val="5"/>
          <w:sz w:val="10"/>
        </w:rPr>
        <w:t xml:space="preserve">7 </w:t>
      </w:r>
      <w:r>
        <w:rPr>
          <w:rFonts w:ascii="Calibri"/>
          <w:sz w:val="16"/>
        </w:rPr>
        <w:t xml:space="preserve">Local Government Association (2018) </w:t>
      </w:r>
      <w:r>
        <w:rPr>
          <w:rFonts w:ascii="Calibri"/>
          <w:i/>
          <w:sz w:val="16"/>
        </w:rPr>
        <w:t>Local government workforce survey 2016/17</w:t>
      </w:r>
      <w:r>
        <w:rPr>
          <w:rFonts w:ascii="Calibri"/>
          <w:sz w:val="16"/>
        </w:rPr>
        <w:t xml:space="preserve">, Local Government Association, London. </w:t>
      </w:r>
      <w:hyperlink r:id="rId419">
        <w:r>
          <w:rPr>
            <w:rFonts w:ascii="Calibri"/>
            <w:sz w:val="16"/>
            <w:u w:val="single"/>
          </w:rPr>
          <w:t>https://www.local.gov.uk/sites/default/files/documents/LG%20Workforce%20Survey%202016-17%20-%20report%20final%2020180718.pdf</w:t>
        </w:r>
      </w:hyperlink>
      <w:r>
        <w:rPr>
          <w:rFonts w:ascii="Calibri"/>
          <w:sz w:val="16"/>
        </w:rPr>
        <w:t xml:space="preserve"> [accessed 20 October 2018].</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90" name="Line 4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706A9" id="Group 4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H499KH4CAAB/BQAA&#10;DgAAAAAAAAAAAAAAAAAuAgAAZHJzL2Uyb0RvYy54bWxQSwECLQAUAAYACAAAACEALXfkXNoAAAAE&#10;AQAADwAAAAAAAAAAAAAAAADYBAAAZHJzL2Rvd25yZXYueG1sUEsFBgAAAAAEAAQA8wAAAN8FAAAA&#10;AA==&#10;">
                <v:line id="Line 4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w10:anchorlock/>
              </v:group>
            </w:pict>
          </mc:Fallback>
        </mc:AlternateContent>
      </w:r>
    </w:p>
    <w:p w:rsidR="006A18FD" w:rsidRDefault="00AF6861" w:rsidP="00AF6861">
      <w:pPr>
        <w:pStyle w:val="Heading2"/>
      </w:pPr>
      <w:r>
        <w:t xml:space="preserve">11.8 </w:t>
      </w:r>
      <w:r w:rsidR="002D29FC">
        <w:t>Peer intern</w:t>
      </w:r>
    </w:p>
    <w:p w:rsidR="006A18FD" w:rsidRDefault="002D29FC">
      <w:pPr>
        <w:spacing w:before="172" w:line="276" w:lineRule="auto"/>
        <w:ind w:left="152" w:right="131"/>
        <w:rPr>
          <w:rFonts w:ascii="Calibri"/>
          <w:sz w:val="20"/>
        </w:rPr>
      </w:pPr>
      <w:r>
        <w:rPr>
          <w:rFonts w:ascii="Calibri"/>
          <w:sz w:val="20"/>
        </w:rPr>
        <w:t>Information for this schema has been drawn from an evaluation of the Lambeth Living Well Network Hub (</w:t>
      </w:r>
      <w:hyperlink r:id="rId420">
        <w:r>
          <w:rPr>
            <w:rFonts w:ascii="Calibri"/>
            <w:sz w:val="20"/>
            <w:u w:val="single"/>
          </w:rPr>
          <w:t>http://lambethcollaborative.org.uk/wp-content/uploads/2018/03/LWN-Hub-Year-Two-Evaluation-Report-December-</w:t>
        </w:r>
      </w:hyperlink>
      <w:r>
        <w:rPr>
          <w:rFonts w:ascii="Calibri"/>
          <w:sz w:val="20"/>
        </w:rPr>
        <w:t xml:space="preserve"> </w:t>
      </w:r>
      <w:hyperlink r:id="rId421">
        <w:r>
          <w:rPr>
            <w:rFonts w:ascii="Calibri"/>
            <w:sz w:val="20"/>
            <w:u w:val="single"/>
          </w:rPr>
          <w:t>2017_04.01.18.pdf</w:t>
        </w:r>
        <w:r>
          <w:rPr>
            <w:rFonts w:ascii="Calibri"/>
            <w:sz w:val="20"/>
          </w:rPr>
          <w:t xml:space="preserve"> </w:t>
        </w:r>
      </w:hyperlink>
      <w:r>
        <w:rPr>
          <w:rFonts w:ascii="Calibri"/>
          <w:sz w:val="20"/>
        </w:rPr>
        <w:t xml:space="preserve">) an innovative primary care mental health service that was developed to reduce the flow of people into secondary care by providing personalised networked support to people in Lambeth. It acts as the front door to mental health services and offers a shared care approach with general practitioners to support users of mental health and social care services at an earlier point </w:t>
      </w:r>
      <w:hyperlink r:id="rId422">
        <w:r>
          <w:rPr>
            <w:rFonts w:ascii="Calibri"/>
            <w:sz w:val="20"/>
          </w:rPr>
          <w:t>(</w:t>
        </w:r>
        <w:r>
          <w:rPr>
            <w:rFonts w:ascii="Calibri"/>
            <w:sz w:val="20"/>
            <w:u w:val="single"/>
          </w:rPr>
          <w:t>http://www.lambethccg.nhs.uk/our-plans/mental-health-services/lambeth-living-well-</w:t>
        </w:r>
      </w:hyperlink>
      <w:r>
        <w:rPr>
          <w:rFonts w:ascii="Calibri"/>
          <w:sz w:val="20"/>
        </w:rPr>
        <w:t xml:space="preserve"> </w:t>
      </w:r>
      <w:hyperlink r:id="rId423">
        <w:r>
          <w:rPr>
            <w:rFonts w:ascii="Calibri"/>
            <w:sz w:val="20"/>
            <w:u w:val="single"/>
          </w:rPr>
          <w:t>network/Pages/default.aspx</w:t>
        </w:r>
      </w:hyperlink>
      <w:r>
        <w:rPr>
          <w:rFonts w:ascii="Calibri"/>
          <w:sz w:val="20"/>
        </w:rPr>
        <w:t>).</w:t>
      </w:r>
    </w:p>
    <w:p w:rsidR="006A18FD" w:rsidRDefault="002D29FC">
      <w:pPr>
        <w:spacing w:before="119" w:line="276" w:lineRule="auto"/>
        <w:ind w:left="152"/>
        <w:rPr>
          <w:rFonts w:ascii="Calibri" w:hAnsi="Calibri"/>
          <w:sz w:val="20"/>
        </w:rPr>
      </w:pPr>
      <w:r>
        <w:rPr>
          <w:rFonts w:ascii="Calibri" w:hAnsi="Calibri"/>
          <w:sz w:val="20"/>
        </w:rPr>
        <w:t>The peer intern is a new and developing role with a very broad remit, from providing support throughout a person’s care journey with the Hub to contributing in daily operations. They build on skills and knowledge to support other people with mental health issues whilst being supported themselves to develop the required skills to gain meaningful employment experience. This hub employs around 60 fte members of staff.</w:t>
      </w:r>
    </w:p>
    <w:p w:rsidR="006A18FD" w:rsidRDefault="002D29FC">
      <w:pPr>
        <w:spacing w:before="117" w:line="276" w:lineRule="auto"/>
        <w:ind w:left="152"/>
        <w:rPr>
          <w:rFonts w:ascii="Calibri" w:hAnsi="Calibri"/>
          <w:sz w:val="20"/>
        </w:rPr>
      </w:pPr>
      <w:r>
        <w:rPr>
          <w:rFonts w:ascii="Calibri" w:hAnsi="Calibri"/>
          <w:sz w:val="20"/>
        </w:rPr>
        <w:t>The costs for this schema have been prepared in collaboration with Alexandra Melaugh</w:t>
      </w:r>
      <w:r>
        <w:rPr>
          <w:rFonts w:ascii="Calibri" w:hAnsi="Calibri"/>
          <w:position w:val="7"/>
          <w:sz w:val="13"/>
        </w:rPr>
        <w:t xml:space="preserve">1 </w:t>
      </w:r>
      <w:r>
        <w:rPr>
          <w:rFonts w:ascii="Calibri" w:hAnsi="Calibri"/>
          <w:sz w:val="20"/>
        </w:rPr>
        <w:t>and Andy Healey of King’s College, London and Mahir Demir and Helena Demetriou of the LWN Hub. Costs have been uprated using PSS Inflators.</w:t>
      </w:r>
    </w:p>
    <w:p w:rsidR="006A18FD" w:rsidRDefault="006A18FD">
      <w:pPr>
        <w:spacing w:before="8"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1673"/>
        <w:gridCol w:w="6139"/>
      </w:tblGrid>
      <w:tr w:rsidR="006A18FD" w:rsidTr="00CA19E0">
        <w:trPr>
          <w:trHeight w:val="340"/>
          <w:tblHeader/>
        </w:trPr>
        <w:tc>
          <w:tcPr>
            <w:tcW w:w="2232" w:type="dxa"/>
          </w:tcPr>
          <w:p w:rsidR="006A18FD" w:rsidRDefault="002D29FC">
            <w:pPr>
              <w:spacing w:before="1"/>
              <w:ind w:left="52"/>
              <w:rPr>
                <w:rFonts w:ascii="Calibri"/>
                <w:b/>
                <w:sz w:val="18"/>
              </w:rPr>
            </w:pPr>
            <w:r>
              <w:rPr>
                <w:rFonts w:ascii="Calibri"/>
                <w:b/>
                <w:sz w:val="18"/>
              </w:rPr>
              <w:t>Costs and unit estimation</w:t>
            </w:r>
          </w:p>
        </w:tc>
        <w:tc>
          <w:tcPr>
            <w:tcW w:w="1673" w:type="dxa"/>
          </w:tcPr>
          <w:p w:rsidR="006A18FD" w:rsidRDefault="002D29FC">
            <w:pPr>
              <w:spacing w:before="1"/>
              <w:ind w:left="103"/>
              <w:rPr>
                <w:rFonts w:ascii="Calibri"/>
                <w:b/>
                <w:sz w:val="18"/>
              </w:rPr>
            </w:pPr>
            <w:r>
              <w:rPr>
                <w:rFonts w:ascii="Calibri"/>
                <w:b/>
                <w:sz w:val="18"/>
              </w:rPr>
              <w:t>2018/2019 value</w:t>
            </w:r>
          </w:p>
        </w:tc>
        <w:tc>
          <w:tcPr>
            <w:tcW w:w="6138" w:type="dxa"/>
          </w:tcPr>
          <w:p w:rsidR="006A18FD" w:rsidRDefault="002D29FC">
            <w:pPr>
              <w:spacing w:before="1"/>
              <w:ind w:left="102"/>
              <w:rPr>
                <w:rFonts w:ascii="Calibri"/>
                <w:b/>
                <w:sz w:val="18"/>
              </w:rPr>
            </w:pPr>
            <w:r>
              <w:rPr>
                <w:rFonts w:ascii="Calibri"/>
                <w:b/>
                <w:sz w:val="18"/>
              </w:rPr>
              <w:t>Notes</w:t>
            </w:r>
          </w:p>
        </w:tc>
      </w:tr>
      <w:tr w:rsidR="006A18FD">
        <w:trPr>
          <w:trHeight w:val="640"/>
        </w:trPr>
        <w:tc>
          <w:tcPr>
            <w:tcW w:w="2232" w:type="dxa"/>
          </w:tcPr>
          <w:p w:rsidR="006A18FD" w:rsidRDefault="002D29FC">
            <w:pPr>
              <w:spacing w:line="219" w:lineRule="exact"/>
              <w:ind w:left="52"/>
              <w:rPr>
                <w:rFonts w:ascii="Calibri"/>
                <w:sz w:val="18"/>
              </w:rPr>
            </w:pPr>
            <w:r>
              <w:rPr>
                <w:rFonts w:ascii="Calibri"/>
                <w:sz w:val="18"/>
              </w:rPr>
              <w:t>A. Wages/salary</w:t>
            </w:r>
          </w:p>
        </w:tc>
        <w:tc>
          <w:tcPr>
            <w:tcW w:w="1673" w:type="dxa"/>
          </w:tcPr>
          <w:p w:rsidR="006A18FD" w:rsidRDefault="002D29FC">
            <w:pPr>
              <w:spacing w:line="219" w:lineRule="exact"/>
              <w:ind w:left="103"/>
              <w:rPr>
                <w:rFonts w:ascii="Calibri" w:hAnsi="Calibri"/>
                <w:sz w:val="18"/>
              </w:rPr>
            </w:pPr>
            <w:r>
              <w:rPr>
                <w:rFonts w:ascii="Calibri" w:hAnsi="Calibri"/>
                <w:sz w:val="18"/>
              </w:rPr>
              <w:t>£7,679 per year</w:t>
            </w:r>
          </w:p>
        </w:tc>
        <w:tc>
          <w:tcPr>
            <w:tcW w:w="6138" w:type="dxa"/>
          </w:tcPr>
          <w:p w:rsidR="006A18FD" w:rsidRDefault="002D29FC">
            <w:pPr>
              <w:ind w:left="102" w:right="358"/>
              <w:rPr>
                <w:rFonts w:ascii="Calibri"/>
                <w:sz w:val="18"/>
              </w:rPr>
            </w:pPr>
            <w:r>
              <w:rPr>
                <w:rFonts w:ascii="Calibri"/>
                <w:sz w:val="18"/>
              </w:rPr>
              <w:t xml:space="preserve">Based on information taken from the Lambeth Living Well Network accounts. The Peer Interns in the study worked on </w:t>
            </w:r>
            <w:r>
              <w:rPr>
                <w:rFonts w:ascii="Calibri"/>
                <w:b/>
                <w:sz w:val="18"/>
              </w:rPr>
              <w:t>average 15 hours per week</w:t>
            </w:r>
            <w:r>
              <w:rPr>
                <w:rFonts w:ascii="Calibri"/>
                <w:sz w:val="18"/>
              </w:rPr>
              <w:t>. The FTE</w:t>
            </w:r>
          </w:p>
          <w:p w:rsidR="006A18FD" w:rsidRDefault="002D29FC">
            <w:pPr>
              <w:spacing w:before="1" w:line="198" w:lineRule="exact"/>
              <w:ind w:left="102"/>
              <w:rPr>
                <w:rFonts w:ascii="Calibri" w:hAnsi="Calibri"/>
                <w:sz w:val="18"/>
              </w:rPr>
            </w:pPr>
            <w:r>
              <w:rPr>
                <w:rFonts w:ascii="Calibri" w:hAnsi="Calibri"/>
                <w:sz w:val="18"/>
              </w:rPr>
              <w:t>salary is £19,403.</w:t>
            </w:r>
          </w:p>
        </w:tc>
      </w:tr>
      <w:tr w:rsidR="006A18FD">
        <w:trPr>
          <w:trHeight w:val="440"/>
        </w:trPr>
        <w:tc>
          <w:tcPr>
            <w:tcW w:w="2232" w:type="dxa"/>
          </w:tcPr>
          <w:p w:rsidR="006A18FD" w:rsidRDefault="002D29FC">
            <w:pPr>
              <w:spacing w:before="1"/>
              <w:ind w:left="52"/>
              <w:rPr>
                <w:rFonts w:ascii="Calibri"/>
                <w:sz w:val="18"/>
              </w:rPr>
            </w:pPr>
            <w:r>
              <w:rPr>
                <w:rFonts w:ascii="Calibri"/>
                <w:sz w:val="18"/>
              </w:rPr>
              <w:t>B. Salary oncosts</w:t>
            </w:r>
          </w:p>
        </w:tc>
        <w:tc>
          <w:tcPr>
            <w:tcW w:w="1673" w:type="dxa"/>
          </w:tcPr>
          <w:p w:rsidR="006A18FD" w:rsidRDefault="002D29FC">
            <w:pPr>
              <w:spacing w:before="1"/>
              <w:ind w:left="103"/>
              <w:rPr>
                <w:rFonts w:ascii="Calibri" w:hAnsi="Calibri"/>
                <w:sz w:val="18"/>
              </w:rPr>
            </w:pPr>
            <w:r>
              <w:rPr>
                <w:rFonts w:ascii="Calibri" w:hAnsi="Calibri"/>
                <w:sz w:val="18"/>
              </w:rPr>
              <w:t>£1,238 per year</w:t>
            </w:r>
          </w:p>
        </w:tc>
        <w:tc>
          <w:tcPr>
            <w:tcW w:w="6138" w:type="dxa"/>
          </w:tcPr>
          <w:p w:rsidR="006A18FD" w:rsidRDefault="002D29FC">
            <w:pPr>
              <w:spacing w:before="1" w:line="220" w:lineRule="atLeast"/>
              <w:ind w:left="102" w:right="812"/>
              <w:rPr>
                <w:rFonts w:ascii="Calibri" w:hAnsi="Calibri"/>
                <w:sz w:val="18"/>
              </w:rPr>
            </w:pPr>
            <w:r>
              <w:rPr>
                <w:rFonts w:ascii="Calibri" w:hAnsi="Calibri"/>
                <w:sz w:val="18"/>
              </w:rPr>
              <w:t>Employer’s national insurance is included, plus 17 per cent of salary for employer’s contribution to superannuation.</w:t>
            </w:r>
          </w:p>
        </w:tc>
      </w:tr>
      <w:tr w:rsidR="006A18FD">
        <w:trPr>
          <w:trHeight w:val="200"/>
        </w:trPr>
        <w:tc>
          <w:tcPr>
            <w:tcW w:w="2232" w:type="dxa"/>
          </w:tcPr>
          <w:p w:rsidR="006A18FD" w:rsidRDefault="002D29FC">
            <w:pPr>
              <w:spacing w:line="198" w:lineRule="exact"/>
              <w:ind w:left="52"/>
              <w:rPr>
                <w:rFonts w:ascii="Calibri"/>
                <w:sz w:val="18"/>
              </w:rPr>
            </w:pPr>
            <w:r>
              <w:rPr>
                <w:rFonts w:ascii="Calibri"/>
                <w:sz w:val="18"/>
              </w:rPr>
              <w:t>C. Qualifications</w:t>
            </w:r>
          </w:p>
        </w:tc>
        <w:tc>
          <w:tcPr>
            <w:tcW w:w="1673" w:type="dxa"/>
          </w:tcPr>
          <w:p w:rsidR="006A18FD" w:rsidRDefault="006A18FD">
            <w:pPr>
              <w:rPr>
                <w:rFonts w:ascii="Times New Roman"/>
                <w:sz w:val="14"/>
              </w:rPr>
            </w:pPr>
          </w:p>
        </w:tc>
        <w:tc>
          <w:tcPr>
            <w:tcW w:w="6138" w:type="dxa"/>
          </w:tcPr>
          <w:p w:rsidR="006A18FD" w:rsidRDefault="006A18FD">
            <w:pPr>
              <w:rPr>
                <w:rFonts w:ascii="Times New Roman"/>
                <w:sz w:val="14"/>
              </w:rPr>
            </w:pPr>
          </w:p>
        </w:tc>
      </w:tr>
      <w:tr w:rsidR="006A18FD">
        <w:trPr>
          <w:trHeight w:val="220"/>
        </w:trPr>
        <w:tc>
          <w:tcPr>
            <w:tcW w:w="2232" w:type="dxa"/>
            <w:tcBorders>
              <w:bottom w:val="nil"/>
            </w:tcBorders>
          </w:tcPr>
          <w:p w:rsidR="006A18FD" w:rsidRDefault="002D29FC">
            <w:pPr>
              <w:spacing w:before="1" w:line="217" w:lineRule="exact"/>
              <w:ind w:left="52"/>
              <w:rPr>
                <w:rFonts w:ascii="Calibri"/>
                <w:sz w:val="18"/>
              </w:rPr>
            </w:pPr>
            <w:r>
              <w:rPr>
                <w:rFonts w:ascii="Calibri"/>
                <w:sz w:val="18"/>
              </w:rPr>
              <w:t>D. Overheads</w:t>
            </w:r>
          </w:p>
        </w:tc>
        <w:tc>
          <w:tcPr>
            <w:tcW w:w="1673" w:type="dxa"/>
            <w:tcBorders>
              <w:bottom w:val="nil"/>
            </w:tcBorders>
          </w:tcPr>
          <w:p w:rsidR="006A18FD" w:rsidRDefault="006A18FD">
            <w:pPr>
              <w:rPr>
                <w:rFonts w:ascii="Times New Roman"/>
                <w:sz w:val="16"/>
              </w:rPr>
            </w:pPr>
          </w:p>
        </w:tc>
        <w:tc>
          <w:tcPr>
            <w:tcW w:w="6138" w:type="dxa"/>
            <w:tcBorders>
              <w:bottom w:val="nil"/>
            </w:tcBorders>
          </w:tcPr>
          <w:p w:rsidR="006A18FD" w:rsidRDefault="002D29FC">
            <w:pPr>
              <w:spacing w:before="1" w:line="217" w:lineRule="exact"/>
              <w:ind w:left="102"/>
              <w:rPr>
                <w:rFonts w:ascii="Calibri" w:hAnsi="Calibri"/>
                <w:sz w:val="18"/>
              </w:rPr>
            </w:pPr>
            <w:r>
              <w:rPr>
                <w:rFonts w:ascii="Calibri" w:hAnsi="Calibri"/>
                <w:sz w:val="18"/>
              </w:rPr>
              <w:t>The peer intern is supported by an administrator (cost per hour £27.80),</w:t>
            </w:r>
          </w:p>
        </w:tc>
      </w:tr>
      <w:tr w:rsidR="006A18FD">
        <w:trPr>
          <w:trHeight w:val="200"/>
        </w:trPr>
        <w:tc>
          <w:tcPr>
            <w:tcW w:w="2232" w:type="dxa"/>
            <w:tcBorders>
              <w:top w:val="nil"/>
              <w:bottom w:val="nil"/>
            </w:tcBorders>
          </w:tcPr>
          <w:p w:rsidR="006A18FD" w:rsidRDefault="006A18FD">
            <w:pPr>
              <w:rPr>
                <w:rFonts w:ascii="Times New Roman"/>
                <w:sz w:val="14"/>
              </w:rPr>
            </w:pP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192" w:lineRule="exact"/>
              <w:ind w:left="102"/>
              <w:rPr>
                <w:rFonts w:ascii="Calibri" w:hAnsi="Calibri"/>
                <w:sz w:val="18"/>
              </w:rPr>
            </w:pPr>
            <w:r>
              <w:rPr>
                <w:rFonts w:ascii="Calibri" w:hAnsi="Calibri"/>
                <w:sz w:val="18"/>
              </w:rPr>
              <w:t>administrative assistant (cost per hour £15.50) and the Training and Education</w:t>
            </w:r>
          </w:p>
        </w:tc>
      </w:tr>
      <w:tr w:rsidR="006A18FD">
        <w:trPr>
          <w:trHeight w:val="200"/>
        </w:trPr>
        <w:tc>
          <w:tcPr>
            <w:tcW w:w="2232" w:type="dxa"/>
            <w:tcBorders>
              <w:top w:val="nil"/>
              <w:bottom w:val="nil"/>
            </w:tcBorders>
          </w:tcPr>
          <w:p w:rsidR="006A18FD" w:rsidRDefault="002D29FC">
            <w:pPr>
              <w:spacing w:line="191" w:lineRule="exact"/>
              <w:ind w:left="52"/>
              <w:rPr>
                <w:rFonts w:ascii="Calibri"/>
                <w:sz w:val="18"/>
              </w:rPr>
            </w:pPr>
            <w:r>
              <w:rPr>
                <w:rFonts w:ascii="Calibri"/>
                <w:sz w:val="18"/>
              </w:rPr>
              <w:t>Direct overheads</w:t>
            </w:r>
          </w:p>
        </w:tc>
        <w:tc>
          <w:tcPr>
            <w:tcW w:w="1673" w:type="dxa"/>
            <w:tcBorders>
              <w:top w:val="nil"/>
              <w:bottom w:val="nil"/>
            </w:tcBorders>
          </w:tcPr>
          <w:p w:rsidR="006A18FD" w:rsidRDefault="002D29FC">
            <w:pPr>
              <w:spacing w:line="191" w:lineRule="exact"/>
              <w:ind w:left="103"/>
              <w:rPr>
                <w:rFonts w:ascii="Calibri" w:hAnsi="Calibri"/>
                <w:sz w:val="18"/>
              </w:rPr>
            </w:pPr>
            <w:r>
              <w:rPr>
                <w:rFonts w:ascii="Calibri" w:hAnsi="Calibri"/>
                <w:sz w:val="18"/>
              </w:rPr>
              <w:t>£2,959 per year</w:t>
            </w:r>
          </w:p>
        </w:tc>
        <w:tc>
          <w:tcPr>
            <w:tcW w:w="6138" w:type="dxa"/>
            <w:tcBorders>
              <w:top w:val="nil"/>
              <w:bottom w:val="nil"/>
            </w:tcBorders>
          </w:tcPr>
          <w:p w:rsidR="006A18FD" w:rsidRDefault="002D29FC">
            <w:pPr>
              <w:spacing w:line="191" w:lineRule="exact"/>
              <w:ind w:left="102"/>
              <w:rPr>
                <w:rFonts w:ascii="Calibri" w:hAnsi="Calibri"/>
                <w:sz w:val="18"/>
              </w:rPr>
            </w:pPr>
            <w:r>
              <w:rPr>
                <w:rFonts w:ascii="Calibri" w:hAnsi="Calibri"/>
                <w:sz w:val="18"/>
              </w:rPr>
              <w:t>placement staff (cost per hour £24.90) who help with the smooth running of the</w:t>
            </w:r>
          </w:p>
        </w:tc>
      </w:tr>
      <w:tr w:rsidR="006A18FD">
        <w:trPr>
          <w:trHeight w:val="200"/>
        </w:trPr>
        <w:tc>
          <w:tcPr>
            <w:tcW w:w="2232" w:type="dxa"/>
            <w:tcBorders>
              <w:top w:val="nil"/>
              <w:bottom w:val="nil"/>
            </w:tcBorders>
          </w:tcPr>
          <w:p w:rsidR="006A18FD" w:rsidRDefault="002D29FC">
            <w:pPr>
              <w:spacing w:line="200" w:lineRule="exact"/>
              <w:ind w:left="52"/>
              <w:rPr>
                <w:rFonts w:ascii="Calibri"/>
                <w:sz w:val="18"/>
              </w:rPr>
            </w:pPr>
            <w:r>
              <w:rPr>
                <w:rFonts w:ascii="Calibri"/>
                <w:sz w:val="18"/>
              </w:rPr>
              <w:t>Management and</w:t>
            </w: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0" w:lineRule="exact"/>
              <w:ind w:left="102"/>
              <w:rPr>
                <w:rFonts w:ascii="Calibri"/>
                <w:sz w:val="18"/>
              </w:rPr>
            </w:pPr>
            <w:r>
              <w:rPr>
                <w:rFonts w:ascii="Calibri"/>
                <w:sz w:val="18"/>
              </w:rPr>
              <w:t>office and referrals that are introduced to the Hub (3 hours in total per week, for</w:t>
            </w:r>
          </w:p>
        </w:tc>
      </w:tr>
      <w:tr w:rsidR="006A18FD">
        <w:trPr>
          <w:trHeight w:val="320"/>
        </w:trPr>
        <w:tc>
          <w:tcPr>
            <w:tcW w:w="2232" w:type="dxa"/>
            <w:tcBorders>
              <w:top w:val="nil"/>
              <w:bottom w:val="nil"/>
            </w:tcBorders>
          </w:tcPr>
          <w:p w:rsidR="006A18FD" w:rsidRDefault="002D29FC">
            <w:pPr>
              <w:spacing w:line="204" w:lineRule="exact"/>
              <w:ind w:left="52"/>
              <w:rPr>
                <w:rFonts w:ascii="Calibri"/>
                <w:sz w:val="18"/>
              </w:rPr>
            </w:pPr>
            <w:r>
              <w:rPr>
                <w:rFonts w:ascii="Calibri"/>
                <w:sz w:val="18"/>
              </w:rPr>
              <w:t>administration</w:t>
            </w: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04" w:lineRule="exact"/>
              <w:ind w:left="102"/>
              <w:rPr>
                <w:rFonts w:ascii="Calibri"/>
                <w:sz w:val="18"/>
              </w:rPr>
            </w:pPr>
            <w:r>
              <w:rPr>
                <w:rFonts w:ascii="Calibri"/>
                <w:sz w:val="18"/>
              </w:rPr>
              <w:t>40.9 weeks per year).</w:t>
            </w:r>
          </w:p>
        </w:tc>
      </w:tr>
      <w:tr w:rsidR="006A18FD">
        <w:trPr>
          <w:trHeight w:val="320"/>
        </w:trPr>
        <w:tc>
          <w:tcPr>
            <w:tcW w:w="2232" w:type="dxa"/>
            <w:tcBorders>
              <w:top w:val="nil"/>
              <w:bottom w:val="nil"/>
            </w:tcBorders>
          </w:tcPr>
          <w:p w:rsidR="006A18FD" w:rsidRDefault="006A18FD">
            <w:pPr>
              <w:rPr>
                <w:rFonts w:ascii="Times New Roman"/>
                <w:sz w:val="18"/>
              </w:rPr>
            </w:pPr>
          </w:p>
        </w:tc>
        <w:tc>
          <w:tcPr>
            <w:tcW w:w="1673" w:type="dxa"/>
            <w:tcBorders>
              <w:top w:val="nil"/>
              <w:bottom w:val="nil"/>
            </w:tcBorders>
          </w:tcPr>
          <w:p w:rsidR="006A18FD" w:rsidRDefault="002D29FC">
            <w:pPr>
              <w:spacing w:before="93" w:line="217" w:lineRule="exact"/>
              <w:ind w:left="103"/>
              <w:rPr>
                <w:rFonts w:ascii="Calibri" w:hAnsi="Calibri"/>
                <w:sz w:val="18"/>
              </w:rPr>
            </w:pPr>
            <w:r>
              <w:rPr>
                <w:rFonts w:ascii="Calibri" w:hAnsi="Calibri"/>
                <w:sz w:val="18"/>
              </w:rPr>
              <w:t>£692 per year</w:t>
            </w:r>
          </w:p>
        </w:tc>
        <w:tc>
          <w:tcPr>
            <w:tcW w:w="6138" w:type="dxa"/>
            <w:tcBorders>
              <w:top w:val="nil"/>
              <w:bottom w:val="nil"/>
            </w:tcBorders>
          </w:tcPr>
          <w:p w:rsidR="006A18FD" w:rsidRDefault="002D29FC">
            <w:pPr>
              <w:spacing w:before="93" w:line="217" w:lineRule="exact"/>
              <w:ind w:left="102"/>
              <w:rPr>
                <w:rFonts w:ascii="Calibri"/>
                <w:sz w:val="18"/>
              </w:rPr>
            </w:pPr>
            <w:r>
              <w:rPr>
                <w:rFonts w:ascii="Calibri"/>
                <w:sz w:val="18"/>
              </w:rPr>
              <w:t>A programme manager overseas the running of the Hub. This cost has been</w:t>
            </w:r>
          </w:p>
        </w:tc>
      </w:tr>
      <w:tr w:rsidR="006A18FD">
        <w:trPr>
          <w:trHeight w:val="200"/>
        </w:trPr>
        <w:tc>
          <w:tcPr>
            <w:tcW w:w="2232" w:type="dxa"/>
            <w:tcBorders>
              <w:top w:val="nil"/>
              <w:bottom w:val="nil"/>
            </w:tcBorders>
          </w:tcPr>
          <w:p w:rsidR="006A18FD" w:rsidRDefault="006A18FD">
            <w:pPr>
              <w:rPr>
                <w:rFonts w:ascii="Times New Roman"/>
                <w:sz w:val="14"/>
              </w:rPr>
            </w:pP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0" w:lineRule="exact"/>
              <w:ind w:left="102"/>
              <w:rPr>
                <w:rFonts w:ascii="Calibri"/>
                <w:sz w:val="18"/>
              </w:rPr>
            </w:pPr>
            <w:r>
              <w:rPr>
                <w:rFonts w:ascii="Calibri"/>
                <w:sz w:val="18"/>
              </w:rPr>
              <w:t>calculated by dividing their salary costs between 60 fte members of staff which</w:t>
            </w:r>
          </w:p>
        </w:tc>
      </w:tr>
      <w:tr w:rsidR="006A18FD">
        <w:trPr>
          <w:trHeight w:val="320"/>
        </w:trPr>
        <w:tc>
          <w:tcPr>
            <w:tcW w:w="2232" w:type="dxa"/>
            <w:tcBorders>
              <w:top w:val="nil"/>
              <w:bottom w:val="nil"/>
            </w:tcBorders>
          </w:tcPr>
          <w:p w:rsidR="006A18FD" w:rsidRDefault="006A18FD">
            <w:pPr>
              <w:rPr>
                <w:rFonts w:ascii="Times New Roman"/>
                <w:sz w:val="18"/>
              </w:rPr>
            </w:pP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2D29FC">
            <w:pPr>
              <w:spacing w:line="203" w:lineRule="exact"/>
              <w:ind w:left="102"/>
              <w:rPr>
                <w:rFonts w:ascii="Calibri"/>
                <w:sz w:val="18"/>
              </w:rPr>
            </w:pPr>
            <w:r>
              <w:rPr>
                <w:rFonts w:ascii="Calibri"/>
                <w:sz w:val="18"/>
              </w:rPr>
              <w:t>is then pro-rated to reflect part-time working.</w:t>
            </w:r>
          </w:p>
        </w:tc>
      </w:tr>
      <w:tr w:rsidR="006A18FD">
        <w:trPr>
          <w:trHeight w:val="320"/>
        </w:trPr>
        <w:tc>
          <w:tcPr>
            <w:tcW w:w="2232" w:type="dxa"/>
            <w:tcBorders>
              <w:top w:val="nil"/>
              <w:bottom w:val="nil"/>
            </w:tcBorders>
          </w:tcPr>
          <w:p w:rsidR="006A18FD" w:rsidRDefault="002D29FC">
            <w:pPr>
              <w:spacing w:before="93" w:line="217" w:lineRule="exact"/>
              <w:ind w:left="52"/>
              <w:rPr>
                <w:rFonts w:ascii="Calibri"/>
                <w:sz w:val="18"/>
              </w:rPr>
            </w:pPr>
            <w:r>
              <w:rPr>
                <w:rFonts w:ascii="Calibri"/>
                <w:sz w:val="18"/>
              </w:rPr>
              <w:t>Office, general business and</w:t>
            </w:r>
          </w:p>
        </w:tc>
        <w:tc>
          <w:tcPr>
            <w:tcW w:w="1673" w:type="dxa"/>
            <w:tcBorders>
              <w:top w:val="nil"/>
              <w:bottom w:val="nil"/>
            </w:tcBorders>
          </w:tcPr>
          <w:p w:rsidR="006A18FD" w:rsidRDefault="002D29FC">
            <w:pPr>
              <w:spacing w:before="93" w:line="217" w:lineRule="exact"/>
              <w:ind w:left="103"/>
              <w:rPr>
                <w:rFonts w:ascii="Calibri" w:hAnsi="Calibri"/>
                <w:sz w:val="18"/>
              </w:rPr>
            </w:pPr>
            <w:r>
              <w:rPr>
                <w:rFonts w:ascii="Calibri" w:hAnsi="Calibri"/>
                <w:sz w:val="18"/>
              </w:rPr>
              <w:t>£943 per year</w:t>
            </w:r>
          </w:p>
        </w:tc>
        <w:tc>
          <w:tcPr>
            <w:tcW w:w="6138" w:type="dxa"/>
            <w:tcBorders>
              <w:top w:val="nil"/>
              <w:bottom w:val="nil"/>
            </w:tcBorders>
          </w:tcPr>
          <w:p w:rsidR="006A18FD" w:rsidRDefault="002D29FC">
            <w:pPr>
              <w:spacing w:before="93" w:line="217" w:lineRule="exact"/>
              <w:ind w:left="102"/>
              <w:rPr>
                <w:rFonts w:ascii="Calibri"/>
                <w:sz w:val="18"/>
              </w:rPr>
            </w:pPr>
            <w:r>
              <w:rPr>
                <w:rFonts w:ascii="Calibri"/>
                <w:sz w:val="18"/>
              </w:rPr>
              <w:t>The total cost of rent for the two buildings plus utility bills divided by the</w:t>
            </w:r>
          </w:p>
        </w:tc>
      </w:tr>
      <w:tr w:rsidR="006A18FD">
        <w:trPr>
          <w:trHeight w:val="200"/>
        </w:trPr>
        <w:tc>
          <w:tcPr>
            <w:tcW w:w="2232" w:type="dxa"/>
            <w:tcBorders>
              <w:top w:val="nil"/>
              <w:bottom w:val="nil"/>
            </w:tcBorders>
          </w:tcPr>
          <w:p w:rsidR="006A18FD" w:rsidRDefault="002D29FC">
            <w:pPr>
              <w:spacing w:line="200" w:lineRule="exact"/>
              <w:ind w:left="52"/>
              <w:rPr>
                <w:rFonts w:ascii="Calibri"/>
                <w:sz w:val="18"/>
              </w:rPr>
            </w:pPr>
            <w:r>
              <w:rPr>
                <w:rFonts w:ascii="Calibri"/>
                <w:sz w:val="18"/>
              </w:rPr>
              <w:t>premises (including</w:t>
            </w: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0" w:lineRule="exact"/>
              <w:ind w:left="102"/>
              <w:rPr>
                <w:rFonts w:ascii="Calibri"/>
                <w:sz w:val="18"/>
              </w:rPr>
            </w:pPr>
            <w:r>
              <w:rPr>
                <w:rFonts w:ascii="Calibri"/>
                <w:sz w:val="18"/>
              </w:rPr>
              <w:t>number of FTE staff (60), and pro-rata to reflect part-time working.</w:t>
            </w:r>
          </w:p>
        </w:tc>
      </w:tr>
      <w:tr w:rsidR="006A18FD">
        <w:trPr>
          <w:trHeight w:val="320"/>
        </w:trPr>
        <w:tc>
          <w:tcPr>
            <w:tcW w:w="2232" w:type="dxa"/>
            <w:tcBorders>
              <w:top w:val="nil"/>
              <w:bottom w:val="nil"/>
            </w:tcBorders>
          </w:tcPr>
          <w:p w:rsidR="006A18FD" w:rsidRDefault="002D29FC">
            <w:pPr>
              <w:spacing w:line="203" w:lineRule="exact"/>
              <w:ind w:left="52"/>
              <w:rPr>
                <w:rFonts w:ascii="Calibri"/>
                <w:sz w:val="18"/>
              </w:rPr>
            </w:pPr>
            <w:r>
              <w:rPr>
                <w:rFonts w:ascii="Calibri"/>
                <w:sz w:val="18"/>
              </w:rPr>
              <w:t>advertising and promotion)</w:t>
            </w:r>
          </w:p>
        </w:tc>
        <w:tc>
          <w:tcPr>
            <w:tcW w:w="1673" w:type="dxa"/>
            <w:tcBorders>
              <w:top w:val="nil"/>
              <w:bottom w:val="nil"/>
            </w:tcBorders>
          </w:tcPr>
          <w:p w:rsidR="006A18FD" w:rsidRDefault="006A18FD">
            <w:pPr>
              <w:rPr>
                <w:rFonts w:ascii="Times New Roman"/>
                <w:sz w:val="18"/>
              </w:rPr>
            </w:pPr>
          </w:p>
        </w:tc>
        <w:tc>
          <w:tcPr>
            <w:tcW w:w="6138" w:type="dxa"/>
            <w:tcBorders>
              <w:top w:val="nil"/>
              <w:bottom w:val="nil"/>
            </w:tcBorders>
          </w:tcPr>
          <w:p w:rsidR="006A18FD" w:rsidRDefault="006A18FD">
            <w:pPr>
              <w:rPr>
                <w:rFonts w:ascii="Times New Roman"/>
                <w:sz w:val="18"/>
              </w:rPr>
            </w:pPr>
          </w:p>
        </w:tc>
      </w:tr>
      <w:tr w:rsidR="006A18FD">
        <w:trPr>
          <w:trHeight w:val="320"/>
        </w:trPr>
        <w:tc>
          <w:tcPr>
            <w:tcW w:w="2232" w:type="dxa"/>
            <w:tcBorders>
              <w:top w:val="nil"/>
              <w:bottom w:val="nil"/>
            </w:tcBorders>
          </w:tcPr>
          <w:p w:rsidR="006A18FD" w:rsidRDefault="002D29FC">
            <w:pPr>
              <w:spacing w:before="93" w:line="217" w:lineRule="exact"/>
              <w:ind w:left="52"/>
              <w:rPr>
                <w:rFonts w:ascii="Calibri"/>
                <w:sz w:val="18"/>
              </w:rPr>
            </w:pPr>
            <w:r>
              <w:rPr>
                <w:rFonts w:ascii="Calibri"/>
                <w:sz w:val="18"/>
              </w:rPr>
              <w:t>Indirect overheads</w:t>
            </w:r>
          </w:p>
        </w:tc>
        <w:tc>
          <w:tcPr>
            <w:tcW w:w="1673" w:type="dxa"/>
            <w:tcBorders>
              <w:top w:val="nil"/>
              <w:bottom w:val="nil"/>
            </w:tcBorders>
          </w:tcPr>
          <w:p w:rsidR="006A18FD" w:rsidRDefault="002D29FC">
            <w:pPr>
              <w:spacing w:before="93" w:line="217" w:lineRule="exact"/>
              <w:ind w:left="103"/>
              <w:rPr>
                <w:rFonts w:ascii="Calibri" w:hAnsi="Calibri"/>
                <w:sz w:val="18"/>
              </w:rPr>
            </w:pPr>
            <w:r>
              <w:rPr>
                <w:rFonts w:ascii="Calibri" w:hAnsi="Calibri"/>
                <w:sz w:val="18"/>
              </w:rPr>
              <w:t>£963 per year</w:t>
            </w:r>
          </w:p>
        </w:tc>
        <w:tc>
          <w:tcPr>
            <w:tcW w:w="6138" w:type="dxa"/>
            <w:tcBorders>
              <w:top w:val="nil"/>
              <w:bottom w:val="nil"/>
            </w:tcBorders>
          </w:tcPr>
          <w:p w:rsidR="006A18FD" w:rsidRDefault="002D29FC">
            <w:pPr>
              <w:spacing w:before="93" w:line="217" w:lineRule="exact"/>
              <w:ind w:left="102"/>
              <w:rPr>
                <w:rFonts w:ascii="Calibri"/>
                <w:sz w:val="18"/>
              </w:rPr>
            </w:pPr>
            <w:r>
              <w:rPr>
                <w:rFonts w:ascii="Calibri"/>
                <w:sz w:val="18"/>
              </w:rPr>
              <w:t>Based on the salary costs of the programme director and divided by the number</w:t>
            </w:r>
          </w:p>
        </w:tc>
      </w:tr>
      <w:tr w:rsidR="006A18FD">
        <w:trPr>
          <w:trHeight w:val="220"/>
        </w:trPr>
        <w:tc>
          <w:tcPr>
            <w:tcW w:w="2232" w:type="dxa"/>
            <w:tcBorders>
              <w:top w:val="nil"/>
              <w:bottom w:val="nil"/>
            </w:tcBorders>
          </w:tcPr>
          <w:p w:rsidR="006A18FD" w:rsidRDefault="006A18FD">
            <w:pPr>
              <w:rPr>
                <w:rFonts w:ascii="Times New Roman"/>
                <w:sz w:val="14"/>
              </w:rPr>
            </w:pP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1" w:lineRule="exact"/>
              <w:ind w:left="102"/>
              <w:rPr>
                <w:rFonts w:ascii="Calibri"/>
                <w:sz w:val="18"/>
              </w:rPr>
            </w:pPr>
            <w:r>
              <w:rPr>
                <w:rFonts w:ascii="Calibri"/>
                <w:sz w:val="18"/>
              </w:rPr>
              <w:t>of FTE staff (60) and pro-rata to reflect part-time working. Also includes 20 hours</w:t>
            </w:r>
          </w:p>
        </w:tc>
      </w:tr>
      <w:tr w:rsidR="006A18FD">
        <w:trPr>
          <w:trHeight w:val="200"/>
        </w:trPr>
        <w:tc>
          <w:tcPr>
            <w:tcW w:w="2232" w:type="dxa"/>
            <w:tcBorders>
              <w:top w:val="nil"/>
              <w:bottom w:val="nil"/>
            </w:tcBorders>
          </w:tcPr>
          <w:p w:rsidR="006A18FD" w:rsidRDefault="006A18FD">
            <w:pPr>
              <w:rPr>
                <w:rFonts w:ascii="Times New Roman"/>
                <w:sz w:val="14"/>
              </w:rPr>
            </w:pP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0" w:lineRule="exact"/>
              <w:ind w:left="102"/>
              <w:rPr>
                <w:rFonts w:ascii="Calibri"/>
                <w:sz w:val="18"/>
              </w:rPr>
            </w:pPr>
            <w:r>
              <w:rPr>
                <w:rFonts w:ascii="Calibri"/>
                <w:sz w:val="18"/>
              </w:rPr>
              <w:t>per year for contracts/payroll and other human resources issues which are</w:t>
            </w:r>
          </w:p>
        </w:tc>
      </w:tr>
      <w:tr w:rsidR="006A18FD">
        <w:trPr>
          <w:trHeight w:val="200"/>
        </w:trPr>
        <w:tc>
          <w:tcPr>
            <w:tcW w:w="2232" w:type="dxa"/>
            <w:tcBorders>
              <w:top w:val="nil"/>
              <w:bottom w:val="nil"/>
            </w:tcBorders>
          </w:tcPr>
          <w:p w:rsidR="006A18FD" w:rsidRDefault="006A18FD">
            <w:pPr>
              <w:rPr>
                <w:rFonts w:ascii="Times New Roman"/>
                <w:sz w:val="14"/>
              </w:rPr>
            </w:pPr>
          </w:p>
        </w:tc>
        <w:tc>
          <w:tcPr>
            <w:tcW w:w="1673" w:type="dxa"/>
            <w:tcBorders>
              <w:top w:val="nil"/>
              <w:bottom w:val="nil"/>
            </w:tcBorders>
          </w:tcPr>
          <w:p w:rsidR="006A18FD" w:rsidRDefault="006A18FD">
            <w:pPr>
              <w:rPr>
                <w:rFonts w:ascii="Times New Roman"/>
                <w:sz w:val="14"/>
              </w:rPr>
            </w:pPr>
          </w:p>
        </w:tc>
        <w:tc>
          <w:tcPr>
            <w:tcW w:w="6138" w:type="dxa"/>
            <w:tcBorders>
              <w:top w:val="nil"/>
              <w:bottom w:val="nil"/>
            </w:tcBorders>
          </w:tcPr>
          <w:p w:rsidR="006A18FD" w:rsidRDefault="002D29FC">
            <w:pPr>
              <w:spacing w:line="200" w:lineRule="exact"/>
              <w:ind w:left="102"/>
              <w:rPr>
                <w:rFonts w:ascii="Calibri"/>
                <w:sz w:val="18"/>
              </w:rPr>
            </w:pPr>
            <w:r>
              <w:rPr>
                <w:rFonts w:ascii="Calibri"/>
                <w:sz w:val="18"/>
              </w:rPr>
              <w:t>based on salary costs of a certified human resources advisor (cost per hour</w:t>
            </w:r>
          </w:p>
        </w:tc>
      </w:tr>
      <w:tr w:rsidR="006A18FD">
        <w:trPr>
          <w:trHeight w:val="200"/>
        </w:trPr>
        <w:tc>
          <w:tcPr>
            <w:tcW w:w="2232" w:type="dxa"/>
            <w:tcBorders>
              <w:top w:val="nil"/>
            </w:tcBorders>
          </w:tcPr>
          <w:p w:rsidR="006A18FD" w:rsidRDefault="006A18FD">
            <w:pPr>
              <w:rPr>
                <w:rFonts w:ascii="Times New Roman"/>
                <w:sz w:val="14"/>
              </w:rPr>
            </w:pPr>
          </w:p>
        </w:tc>
        <w:tc>
          <w:tcPr>
            <w:tcW w:w="1673" w:type="dxa"/>
            <w:tcBorders>
              <w:top w:val="nil"/>
            </w:tcBorders>
          </w:tcPr>
          <w:p w:rsidR="006A18FD" w:rsidRDefault="006A18FD">
            <w:pPr>
              <w:rPr>
                <w:rFonts w:ascii="Times New Roman"/>
                <w:sz w:val="14"/>
              </w:rPr>
            </w:pPr>
          </w:p>
        </w:tc>
        <w:tc>
          <w:tcPr>
            <w:tcW w:w="6138" w:type="dxa"/>
            <w:tcBorders>
              <w:top w:val="nil"/>
            </w:tcBorders>
          </w:tcPr>
          <w:p w:rsidR="006A18FD" w:rsidRDefault="002D29FC">
            <w:pPr>
              <w:spacing w:line="183" w:lineRule="exact"/>
              <w:ind w:left="102"/>
              <w:rPr>
                <w:rFonts w:ascii="Calibri" w:hAnsi="Calibri"/>
                <w:sz w:val="18"/>
              </w:rPr>
            </w:pPr>
            <w:r>
              <w:rPr>
                <w:rFonts w:ascii="Calibri" w:hAnsi="Calibri"/>
                <w:sz w:val="18"/>
              </w:rPr>
              <w:t>£26.70).</w:t>
            </w:r>
          </w:p>
        </w:tc>
      </w:tr>
      <w:tr w:rsidR="006A18FD">
        <w:trPr>
          <w:trHeight w:val="200"/>
        </w:trPr>
        <w:tc>
          <w:tcPr>
            <w:tcW w:w="2232" w:type="dxa"/>
          </w:tcPr>
          <w:p w:rsidR="006A18FD" w:rsidRDefault="002D29FC">
            <w:pPr>
              <w:spacing w:line="199" w:lineRule="exact"/>
              <w:ind w:left="52"/>
              <w:rPr>
                <w:rFonts w:ascii="Calibri"/>
                <w:sz w:val="18"/>
              </w:rPr>
            </w:pPr>
            <w:r>
              <w:rPr>
                <w:rFonts w:ascii="Calibri"/>
                <w:sz w:val="18"/>
              </w:rPr>
              <w:t>E. Capital</w:t>
            </w:r>
          </w:p>
        </w:tc>
        <w:tc>
          <w:tcPr>
            <w:tcW w:w="1673" w:type="dxa"/>
          </w:tcPr>
          <w:p w:rsidR="006A18FD" w:rsidRDefault="006A18FD">
            <w:pPr>
              <w:rPr>
                <w:rFonts w:ascii="Times New Roman"/>
                <w:sz w:val="14"/>
              </w:rPr>
            </w:pPr>
          </w:p>
        </w:tc>
        <w:tc>
          <w:tcPr>
            <w:tcW w:w="6138" w:type="dxa"/>
          </w:tcPr>
          <w:p w:rsidR="006A18FD" w:rsidRDefault="002D29FC">
            <w:pPr>
              <w:spacing w:line="199" w:lineRule="exact"/>
              <w:ind w:left="102"/>
              <w:rPr>
                <w:rFonts w:ascii="Calibri"/>
                <w:sz w:val="18"/>
              </w:rPr>
            </w:pPr>
            <w:r>
              <w:rPr>
                <w:rFonts w:ascii="Calibri"/>
                <w:sz w:val="18"/>
              </w:rPr>
              <w:t>Rent has been included as a proxy for capital</w:t>
            </w:r>
          </w:p>
        </w:tc>
      </w:tr>
      <w:tr w:rsidR="006A18FD">
        <w:trPr>
          <w:trHeight w:val="880"/>
        </w:trPr>
        <w:tc>
          <w:tcPr>
            <w:tcW w:w="2232" w:type="dxa"/>
          </w:tcPr>
          <w:p w:rsidR="006A18FD" w:rsidRDefault="002D29FC">
            <w:pPr>
              <w:spacing w:before="1"/>
              <w:ind w:left="52"/>
              <w:rPr>
                <w:rFonts w:ascii="Calibri"/>
                <w:sz w:val="18"/>
              </w:rPr>
            </w:pPr>
            <w:r>
              <w:rPr>
                <w:rFonts w:ascii="Calibri"/>
                <w:sz w:val="18"/>
              </w:rPr>
              <w:t>Working time</w:t>
            </w:r>
          </w:p>
        </w:tc>
        <w:tc>
          <w:tcPr>
            <w:tcW w:w="1673" w:type="dxa"/>
          </w:tcPr>
          <w:p w:rsidR="006A18FD" w:rsidRDefault="002D29FC">
            <w:pPr>
              <w:spacing w:before="1"/>
              <w:ind w:left="103" w:right="272"/>
              <w:rPr>
                <w:rFonts w:ascii="Calibri"/>
                <w:sz w:val="18"/>
              </w:rPr>
            </w:pPr>
            <w:r>
              <w:rPr>
                <w:rFonts w:ascii="Calibri"/>
                <w:sz w:val="18"/>
              </w:rPr>
              <w:t>40.9 weeks per year</w:t>
            </w:r>
          </w:p>
          <w:p w:rsidR="006A18FD" w:rsidRDefault="002D29FC">
            <w:pPr>
              <w:spacing w:line="218" w:lineRule="exact"/>
              <w:ind w:left="103"/>
              <w:rPr>
                <w:rFonts w:ascii="Calibri"/>
                <w:sz w:val="18"/>
              </w:rPr>
            </w:pPr>
            <w:r>
              <w:rPr>
                <w:rFonts w:ascii="Calibri"/>
                <w:sz w:val="18"/>
              </w:rPr>
              <w:t>15 hours per week.</w:t>
            </w:r>
          </w:p>
        </w:tc>
        <w:tc>
          <w:tcPr>
            <w:tcW w:w="6138" w:type="dxa"/>
          </w:tcPr>
          <w:p w:rsidR="006A18FD" w:rsidRDefault="002D29FC">
            <w:pPr>
              <w:spacing w:before="1"/>
              <w:ind w:left="102" w:right="419"/>
              <w:rPr>
                <w:rFonts w:ascii="Calibri"/>
                <w:sz w:val="18"/>
              </w:rPr>
            </w:pPr>
            <w:r>
              <w:rPr>
                <w:rFonts w:ascii="Calibri"/>
                <w:sz w:val="18"/>
              </w:rPr>
              <w:t>Includes 29 days annual leave and 8 statutory leave days. Ten days for study/training and 8.5 days sickness leave have been assumed, based on the median average sickness absence level absence level in England for all</w:t>
            </w:r>
          </w:p>
          <w:p w:rsidR="006A18FD" w:rsidRDefault="002D29FC">
            <w:pPr>
              <w:spacing w:before="1" w:line="199" w:lineRule="exact"/>
              <w:ind w:left="102"/>
              <w:rPr>
                <w:rFonts w:ascii="Calibri"/>
                <w:sz w:val="18"/>
              </w:rPr>
            </w:pPr>
            <w:r>
              <w:rPr>
                <w:rFonts w:ascii="Calibri"/>
                <w:sz w:val="18"/>
              </w:rPr>
              <w:t>authorities. Unit costs are based on 614 hours.</w:t>
            </w:r>
          </w:p>
        </w:tc>
      </w:tr>
      <w:tr w:rsidR="006A18FD">
        <w:trPr>
          <w:trHeight w:val="1100"/>
        </w:trPr>
        <w:tc>
          <w:tcPr>
            <w:tcW w:w="2232" w:type="dxa"/>
          </w:tcPr>
          <w:p w:rsidR="006A18FD" w:rsidRDefault="002D29FC">
            <w:pPr>
              <w:ind w:left="52" w:right="194"/>
              <w:rPr>
                <w:rFonts w:ascii="Calibri"/>
                <w:sz w:val="18"/>
              </w:rPr>
            </w:pPr>
            <w:r>
              <w:rPr>
                <w:rFonts w:ascii="Calibri"/>
                <w:sz w:val="18"/>
              </w:rPr>
              <w:t>Ratio of direct to indirect time on:</w:t>
            </w:r>
          </w:p>
          <w:p w:rsidR="006A18FD" w:rsidRDefault="006A18FD">
            <w:pPr>
              <w:rPr>
                <w:rFonts w:ascii="Calibri"/>
                <w:sz w:val="18"/>
              </w:rPr>
            </w:pPr>
          </w:p>
          <w:p w:rsidR="006A18FD" w:rsidRDefault="006A18FD">
            <w:pPr>
              <w:spacing w:before="11"/>
              <w:rPr>
                <w:rFonts w:ascii="Calibri"/>
                <w:sz w:val="18"/>
              </w:rPr>
            </w:pPr>
          </w:p>
          <w:p w:rsidR="006A18FD" w:rsidRDefault="002D29FC">
            <w:pPr>
              <w:spacing w:line="199" w:lineRule="exact"/>
              <w:ind w:left="52"/>
              <w:rPr>
                <w:rFonts w:ascii="Calibri"/>
                <w:sz w:val="18"/>
              </w:rPr>
            </w:pPr>
            <w:r>
              <w:rPr>
                <w:rFonts w:ascii="Calibri"/>
                <w:sz w:val="18"/>
              </w:rPr>
              <w:t>Face-to-face contacts</w:t>
            </w:r>
          </w:p>
        </w:tc>
        <w:tc>
          <w:tcPr>
            <w:tcW w:w="1673" w:type="dxa"/>
          </w:tcPr>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10"/>
              <w:rPr>
                <w:rFonts w:ascii="Calibri"/>
                <w:sz w:val="18"/>
              </w:rPr>
            </w:pPr>
          </w:p>
          <w:p w:rsidR="006A18FD" w:rsidRDefault="002D29FC">
            <w:pPr>
              <w:spacing w:line="199" w:lineRule="exact"/>
              <w:ind w:left="103"/>
              <w:rPr>
                <w:rFonts w:ascii="Calibri"/>
                <w:sz w:val="18"/>
              </w:rPr>
            </w:pPr>
            <w:r>
              <w:rPr>
                <w:rFonts w:ascii="Calibri"/>
                <w:sz w:val="18"/>
              </w:rPr>
              <w:t>1:0.38</w:t>
            </w:r>
          </w:p>
        </w:tc>
        <w:tc>
          <w:tcPr>
            <w:tcW w:w="6138" w:type="dxa"/>
          </w:tcPr>
          <w:p w:rsidR="006A18FD" w:rsidRDefault="002D29FC">
            <w:pPr>
              <w:ind w:left="102" w:right="224"/>
              <w:rPr>
                <w:rFonts w:ascii="Calibri"/>
                <w:sz w:val="18"/>
              </w:rPr>
            </w:pPr>
            <w:r>
              <w:rPr>
                <w:rFonts w:ascii="Calibri"/>
                <w:sz w:val="18"/>
              </w:rPr>
              <w:t>Based on an activity log which was developed with peer interns so they could record their client-contact and client-related activity to allow the ratio of direct to indirect time to be calculated.</w:t>
            </w:r>
          </w:p>
        </w:tc>
      </w:tr>
      <w:tr w:rsidR="006A18FD">
        <w:trPr>
          <w:trHeight w:val="220"/>
        </w:trPr>
        <w:tc>
          <w:tcPr>
            <w:tcW w:w="10044" w:type="dxa"/>
            <w:gridSpan w:val="3"/>
          </w:tcPr>
          <w:p w:rsidR="006A18FD" w:rsidRDefault="002D29FC">
            <w:pPr>
              <w:spacing w:before="1" w:line="199" w:lineRule="exact"/>
              <w:ind w:left="52"/>
              <w:rPr>
                <w:rFonts w:ascii="Calibri"/>
                <w:b/>
                <w:sz w:val="18"/>
              </w:rPr>
            </w:pPr>
            <w:r>
              <w:rPr>
                <w:rFonts w:ascii="Calibri"/>
                <w:b/>
                <w:sz w:val="18"/>
              </w:rPr>
              <w:t>Unit costs available 2018/2019 (costs including qualifications given in brackets)</w:t>
            </w:r>
          </w:p>
        </w:tc>
      </w:tr>
      <w:tr w:rsidR="006A18FD">
        <w:trPr>
          <w:trHeight w:val="200"/>
        </w:trPr>
        <w:tc>
          <w:tcPr>
            <w:tcW w:w="10044" w:type="dxa"/>
            <w:gridSpan w:val="3"/>
          </w:tcPr>
          <w:p w:rsidR="006A18FD" w:rsidRDefault="002D29FC">
            <w:pPr>
              <w:spacing w:line="198" w:lineRule="exact"/>
              <w:ind w:left="52"/>
              <w:rPr>
                <w:rFonts w:ascii="Calibri" w:hAnsi="Calibri"/>
                <w:sz w:val="18"/>
              </w:rPr>
            </w:pPr>
            <w:r>
              <w:rPr>
                <w:rFonts w:ascii="Calibri" w:hAnsi="Calibri"/>
                <w:sz w:val="18"/>
              </w:rPr>
              <w:t>£24 per hour (based on 15 working hours per week); £33 per hour of client-related activities (based on 15 working hours per week).</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8"/>
        <w:rPr>
          <w:rFonts w:ascii="Calibri"/>
        </w:rPr>
      </w:pPr>
    </w:p>
    <w:p w:rsidR="006A18FD" w:rsidRDefault="002D29FC">
      <w:pPr>
        <w:spacing w:before="1"/>
        <w:ind w:left="152"/>
        <w:rPr>
          <w:rFonts w:ascii="Calibri"/>
          <w:sz w:val="16"/>
        </w:rPr>
      </w:pPr>
      <w:r>
        <w:rPr>
          <w:rFonts w:ascii="Calibri"/>
          <w:position w:val="5"/>
          <w:sz w:val="10"/>
        </w:rPr>
        <w:t xml:space="preserve">1 </w:t>
      </w:r>
      <w:r>
        <w:rPr>
          <w:rFonts w:ascii="Calibri"/>
          <w:sz w:val="16"/>
        </w:rPr>
        <w:t xml:space="preserve">For more information, please contact Alexandra Melaugh </w:t>
      </w:r>
      <w:hyperlink r:id="rId424">
        <w:r>
          <w:rPr>
            <w:rFonts w:ascii="Calibri"/>
            <w:sz w:val="16"/>
          </w:rPr>
          <w:t>(</w:t>
        </w:r>
        <w:r>
          <w:rPr>
            <w:rFonts w:ascii="Calibri"/>
            <w:sz w:val="16"/>
            <w:u w:val="single"/>
          </w:rPr>
          <w:t>Alexandra.melaugh@kcl.ac.uk</w:t>
        </w:r>
        <w:r>
          <w:rPr>
            <w:rFonts w:ascii="Calibri"/>
            <w:sz w:val="16"/>
          </w:rPr>
          <w:t>)</w:t>
        </w:r>
      </w:hyperlink>
      <w:r>
        <w:rPr>
          <w:rFonts w:ascii="Calibri"/>
          <w:sz w:val="16"/>
        </w:rPr>
        <w:t>.</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8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88" name="Line 4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3F6CE9" id="Group 4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qJE1OH4CAAB/BQAA&#10;DgAAAAAAAAAAAAAAAAAuAgAAZHJzL2Uyb0RvYy54bWxQSwECLQAUAAYACAAAACEALXfkXNoAAAAE&#10;AQAADwAAAAAAAAAAAAAAAADYBAAAZHJzL2Rvd25yZXYueG1sUEsFBgAAAAAEAAQA8wAAAN8FAAAA&#10;AA==&#10;">
                <v:line id="Line 4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anchorlock/>
              </v:group>
            </w:pict>
          </mc:Fallback>
        </mc:AlternateContent>
      </w:r>
    </w:p>
    <w:p w:rsidR="006A18FD" w:rsidRDefault="00AF6861" w:rsidP="00AF6861">
      <w:pPr>
        <w:pStyle w:val="Heading2"/>
      </w:pPr>
      <w:r>
        <w:t xml:space="preserve">11.9 </w:t>
      </w:r>
      <w:r w:rsidR="002D29FC">
        <w:t>Time</w:t>
      </w:r>
      <w:r w:rsidR="002D29FC">
        <w:rPr>
          <w:spacing w:val="-4"/>
        </w:rPr>
        <w:t xml:space="preserve"> </w:t>
      </w:r>
      <w:r w:rsidR="002D29FC">
        <w:t>banks</w:t>
      </w:r>
    </w:p>
    <w:p w:rsidR="006A18FD" w:rsidRDefault="002D29FC">
      <w:pPr>
        <w:spacing w:before="172" w:line="276" w:lineRule="auto"/>
        <w:ind w:left="140" w:right="195"/>
        <w:rPr>
          <w:rFonts w:ascii="Calibri"/>
          <w:sz w:val="20"/>
        </w:rPr>
      </w:pPr>
      <w:r>
        <w:rPr>
          <w:rFonts w:ascii="Calibri"/>
          <w:sz w:val="20"/>
        </w:rPr>
        <w:t xml:space="preserve">Rushey Green time bank was the first UK time bank to be based in a health care setting; it has established a reputation for pioneering work in this field. It services five hubs across Lewisham. See </w:t>
      </w:r>
      <w:hyperlink r:id="rId425">
        <w:r>
          <w:rPr>
            <w:rFonts w:ascii="Calibri"/>
            <w:sz w:val="20"/>
            <w:u w:val="single"/>
          </w:rPr>
          <w:t>https://www.rgtb.org.uk/</w:t>
        </w:r>
        <w:r>
          <w:rPr>
            <w:rFonts w:ascii="Calibri"/>
            <w:sz w:val="20"/>
          </w:rPr>
          <w:t xml:space="preserve">. </w:t>
        </w:r>
      </w:hyperlink>
      <w:r>
        <w:rPr>
          <w:rFonts w:ascii="Calibri"/>
          <w:sz w:val="20"/>
        </w:rPr>
        <w:t>The time bank supports Time Banking UK and promotes a National Health and Wellbeing project from the Department of Health and Social Care to reduce isolation and improve the health of older people. It also provides support and training to other Lewisham time banks, builds relationships with statutory and voluntary sector organisations, and delivers consultancy services/workshops to raise funds for the time bank.</w:t>
      </w:r>
    </w:p>
    <w:p w:rsidR="006A18FD" w:rsidRDefault="002D29FC">
      <w:pPr>
        <w:spacing w:before="119" w:line="276" w:lineRule="auto"/>
        <w:ind w:left="140" w:right="276"/>
        <w:rPr>
          <w:rFonts w:ascii="Calibri"/>
          <w:sz w:val="13"/>
        </w:rPr>
      </w:pPr>
      <w:r>
        <w:rPr>
          <w:rFonts w:ascii="Calibri"/>
          <w:sz w:val="20"/>
        </w:rPr>
        <w:t>Time banks use hours of time rather than pounds as a community currency, with participants contributing their own skills, practical help or resources in return for services provided by fellow time-bank members. They vary significantly in the way they are organised, including the way credits are exchanged, eligibility criteria, route of access, the administration of the database and ways of accessing it.</w:t>
      </w:r>
      <w:r>
        <w:rPr>
          <w:rFonts w:ascii="Calibri"/>
          <w:position w:val="7"/>
          <w:sz w:val="13"/>
        </w:rPr>
        <w:t>1,2</w:t>
      </w:r>
    </w:p>
    <w:p w:rsidR="006A18FD" w:rsidRDefault="002D29FC">
      <w:pPr>
        <w:spacing w:before="119"/>
        <w:ind w:left="140"/>
        <w:rPr>
          <w:rFonts w:ascii="Calibri"/>
          <w:sz w:val="20"/>
        </w:rPr>
      </w:pPr>
      <w:r>
        <w:rPr>
          <w:rFonts w:ascii="Calibri"/>
          <w:sz w:val="20"/>
        </w:rPr>
        <w:t>All costs have been uprated to 2018/2019 levels using the PSS inflators.</w:t>
      </w:r>
    </w:p>
    <w:p w:rsidR="006A18FD" w:rsidRDefault="006A18FD">
      <w:pPr>
        <w:spacing w:before="9"/>
        <w:rPr>
          <w:rFonts w:ascii="Calibri"/>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1558"/>
        <w:gridCol w:w="5790"/>
      </w:tblGrid>
      <w:tr w:rsidR="006A18FD" w:rsidTr="00CA19E0">
        <w:trPr>
          <w:trHeight w:val="480"/>
          <w:tblHeader/>
        </w:trPr>
        <w:tc>
          <w:tcPr>
            <w:tcW w:w="2715" w:type="dxa"/>
          </w:tcPr>
          <w:p w:rsidR="006A18FD" w:rsidRDefault="002D29FC">
            <w:pPr>
              <w:spacing w:before="1"/>
              <w:ind w:left="103"/>
              <w:rPr>
                <w:rFonts w:ascii="Calibri"/>
                <w:b/>
                <w:sz w:val="20"/>
              </w:rPr>
            </w:pPr>
            <w:r>
              <w:rPr>
                <w:rFonts w:ascii="Calibri"/>
                <w:b/>
                <w:sz w:val="20"/>
              </w:rPr>
              <w:t>Costs and unit estimation</w:t>
            </w:r>
          </w:p>
        </w:tc>
        <w:tc>
          <w:tcPr>
            <w:tcW w:w="1558" w:type="dxa"/>
          </w:tcPr>
          <w:p w:rsidR="006A18FD" w:rsidRDefault="002D29FC">
            <w:pPr>
              <w:spacing w:before="1"/>
              <w:ind w:left="100"/>
              <w:rPr>
                <w:rFonts w:ascii="Calibri"/>
                <w:b/>
                <w:sz w:val="20"/>
              </w:rPr>
            </w:pPr>
            <w:r>
              <w:rPr>
                <w:rFonts w:ascii="Calibri"/>
                <w:b/>
                <w:sz w:val="20"/>
              </w:rPr>
              <w:t>2018/2019</w:t>
            </w:r>
          </w:p>
          <w:p w:rsidR="006A18FD" w:rsidRDefault="002D29FC">
            <w:pPr>
              <w:spacing w:line="223" w:lineRule="exact"/>
              <w:ind w:left="100"/>
              <w:rPr>
                <w:rFonts w:ascii="Calibri"/>
                <w:b/>
                <w:sz w:val="20"/>
              </w:rPr>
            </w:pPr>
            <w:r>
              <w:rPr>
                <w:rFonts w:ascii="Calibri"/>
                <w:b/>
                <w:sz w:val="20"/>
              </w:rPr>
              <w:t>value</w:t>
            </w:r>
          </w:p>
        </w:tc>
        <w:tc>
          <w:tcPr>
            <w:tcW w:w="5790" w:type="dxa"/>
          </w:tcPr>
          <w:p w:rsidR="006A18FD" w:rsidRDefault="002D29FC">
            <w:pPr>
              <w:spacing w:before="1"/>
              <w:ind w:left="102"/>
              <w:rPr>
                <w:rFonts w:ascii="Calibri"/>
                <w:b/>
                <w:sz w:val="20"/>
              </w:rPr>
            </w:pPr>
            <w:r>
              <w:rPr>
                <w:rFonts w:ascii="Calibri"/>
                <w:b/>
                <w:sz w:val="20"/>
              </w:rPr>
              <w:t>Notes</w:t>
            </w:r>
          </w:p>
        </w:tc>
      </w:tr>
      <w:tr w:rsidR="006A18FD">
        <w:trPr>
          <w:trHeight w:val="960"/>
        </w:trPr>
        <w:tc>
          <w:tcPr>
            <w:tcW w:w="2715" w:type="dxa"/>
          </w:tcPr>
          <w:p w:rsidR="006A18FD" w:rsidRDefault="002D29FC">
            <w:pPr>
              <w:spacing w:line="243" w:lineRule="exact"/>
              <w:ind w:left="103"/>
              <w:rPr>
                <w:rFonts w:ascii="Calibri"/>
                <w:sz w:val="20"/>
              </w:rPr>
            </w:pPr>
            <w:r>
              <w:rPr>
                <w:rFonts w:ascii="Calibri"/>
                <w:sz w:val="20"/>
              </w:rPr>
              <w:t>A. Salaries</w:t>
            </w:r>
          </w:p>
        </w:tc>
        <w:tc>
          <w:tcPr>
            <w:tcW w:w="1558" w:type="dxa"/>
          </w:tcPr>
          <w:p w:rsidR="006A18FD" w:rsidRDefault="002D29FC">
            <w:pPr>
              <w:spacing w:line="243" w:lineRule="exact"/>
              <w:ind w:right="129"/>
              <w:jc w:val="right"/>
              <w:rPr>
                <w:rFonts w:ascii="Calibri" w:hAnsi="Calibri"/>
                <w:sz w:val="20"/>
              </w:rPr>
            </w:pPr>
            <w:r>
              <w:rPr>
                <w:rFonts w:ascii="Calibri" w:hAnsi="Calibri"/>
                <w:sz w:val="20"/>
              </w:rPr>
              <w:t>£90,637 per year</w:t>
            </w:r>
          </w:p>
        </w:tc>
        <w:tc>
          <w:tcPr>
            <w:tcW w:w="5790" w:type="dxa"/>
          </w:tcPr>
          <w:p w:rsidR="006A18FD" w:rsidRDefault="002D29FC">
            <w:pPr>
              <w:ind w:left="102" w:right="224"/>
              <w:rPr>
                <w:rFonts w:ascii="Calibri"/>
                <w:sz w:val="20"/>
              </w:rPr>
            </w:pPr>
            <w:r>
              <w:rPr>
                <w:rFonts w:ascii="Calibri"/>
                <w:sz w:val="20"/>
              </w:rPr>
              <w:t>In total, the service employs 1 full-time manager, 1 part-time and 1 full-time broker/co-ordinator. Salaries have been based on the midpoint of the NJC payscales</w:t>
            </w:r>
            <w:r>
              <w:rPr>
                <w:rFonts w:ascii="Calibri"/>
                <w:position w:val="7"/>
                <w:sz w:val="13"/>
              </w:rPr>
              <w:t xml:space="preserve">3 </w:t>
            </w:r>
            <w:r>
              <w:rPr>
                <w:rFonts w:ascii="Calibri"/>
                <w:sz w:val="20"/>
              </w:rPr>
              <w:t>for a PO2-3 and 1 PT and 1 FT SO1</w:t>
            </w:r>
          </w:p>
          <w:p w:rsidR="006A18FD" w:rsidRDefault="002D29FC">
            <w:pPr>
              <w:spacing w:before="1" w:line="223" w:lineRule="exact"/>
              <w:ind w:left="102"/>
              <w:rPr>
                <w:rFonts w:ascii="Calibri"/>
                <w:sz w:val="20"/>
              </w:rPr>
            </w:pPr>
            <w:r>
              <w:rPr>
                <w:rFonts w:ascii="Calibri"/>
                <w:sz w:val="20"/>
              </w:rPr>
              <w:t>(Senior officers, 35 and 30 hours per week).</w:t>
            </w:r>
          </w:p>
        </w:tc>
      </w:tr>
      <w:tr w:rsidR="006A18FD">
        <w:trPr>
          <w:trHeight w:val="480"/>
        </w:trPr>
        <w:tc>
          <w:tcPr>
            <w:tcW w:w="2715" w:type="dxa"/>
          </w:tcPr>
          <w:p w:rsidR="006A18FD" w:rsidRDefault="002D29FC">
            <w:pPr>
              <w:spacing w:before="1"/>
              <w:ind w:left="103"/>
              <w:rPr>
                <w:rFonts w:ascii="Calibri"/>
                <w:sz w:val="20"/>
              </w:rPr>
            </w:pPr>
            <w:r>
              <w:rPr>
                <w:rFonts w:ascii="Calibri"/>
                <w:sz w:val="20"/>
              </w:rPr>
              <w:t>B. Oncosts</w:t>
            </w:r>
          </w:p>
        </w:tc>
        <w:tc>
          <w:tcPr>
            <w:tcW w:w="1558" w:type="dxa"/>
          </w:tcPr>
          <w:p w:rsidR="006A18FD" w:rsidRDefault="002D29FC">
            <w:pPr>
              <w:spacing w:before="1" w:line="243" w:lineRule="exact"/>
              <w:ind w:left="100"/>
              <w:rPr>
                <w:rFonts w:ascii="Calibri" w:hAnsi="Calibri"/>
                <w:sz w:val="20"/>
              </w:rPr>
            </w:pPr>
            <w:r>
              <w:rPr>
                <w:rFonts w:ascii="Calibri" w:hAnsi="Calibri"/>
                <w:sz w:val="20"/>
              </w:rPr>
              <w:t>£13,414 per</w:t>
            </w:r>
          </w:p>
          <w:p w:rsidR="006A18FD" w:rsidRDefault="002D29FC">
            <w:pPr>
              <w:spacing w:line="222" w:lineRule="exact"/>
              <w:ind w:left="342"/>
              <w:rPr>
                <w:rFonts w:ascii="Calibri"/>
                <w:sz w:val="20"/>
              </w:rPr>
            </w:pPr>
            <w:r>
              <w:rPr>
                <w:rFonts w:ascii="Calibri"/>
                <w:sz w:val="20"/>
              </w:rPr>
              <w:t>year</w:t>
            </w:r>
          </w:p>
        </w:tc>
        <w:tc>
          <w:tcPr>
            <w:tcW w:w="5790" w:type="dxa"/>
          </w:tcPr>
          <w:p w:rsidR="006A18FD" w:rsidRDefault="002D29FC">
            <w:pPr>
              <w:spacing w:before="1" w:line="243" w:lineRule="exact"/>
              <w:ind w:left="102"/>
              <w:rPr>
                <w:rFonts w:ascii="Calibri" w:hAnsi="Calibri"/>
                <w:sz w:val="20"/>
              </w:rPr>
            </w:pPr>
            <w:r>
              <w:rPr>
                <w:rFonts w:ascii="Calibri" w:hAnsi="Calibri"/>
                <w:sz w:val="20"/>
              </w:rPr>
              <w:t>Employer’s national insurance contribution is included, plus 5 per</w:t>
            </w:r>
          </w:p>
          <w:p w:rsidR="006A18FD" w:rsidRDefault="002D29FC">
            <w:pPr>
              <w:spacing w:line="222" w:lineRule="exact"/>
              <w:ind w:left="102"/>
              <w:rPr>
                <w:rFonts w:ascii="Calibri" w:hAnsi="Calibri"/>
                <w:sz w:val="20"/>
              </w:rPr>
            </w:pPr>
            <w:r>
              <w:rPr>
                <w:rFonts w:ascii="Calibri" w:hAnsi="Calibri"/>
                <w:sz w:val="20"/>
              </w:rPr>
              <w:t>cent employer’s contribution to superannuation.</w:t>
            </w:r>
          </w:p>
        </w:tc>
      </w:tr>
      <w:tr w:rsidR="006A18FD">
        <w:trPr>
          <w:trHeight w:val="2680"/>
        </w:trPr>
        <w:tc>
          <w:tcPr>
            <w:tcW w:w="2715" w:type="dxa"/>
          </w:tcPr>
          <w:p w:rsidR="006A18FD" w:rsidRDefault="002D29FC">
            <w:pPr>
              <w:spacing w:before="1"/>
              <w:ind w:left="103"/>
              <w:rPr>
                <w:rFonts w:ascii="Calibri"/>
                <w:sz w:val="20"/>
              </w:rPr>
            </w:pPr>
            <w:r>
              <w:rPr>
                <w:rFonts w:ascii="Calibri"/>
                <w:sz w:val="20"/>
              </w:rPr>
              <w:t>C. Overheads</w:t>
            </w:r>
          </w:p>
          <w:p w:rsidR="006A18FD" w:rsidRDefault="002D29FC">
            <w:pPr>
              <w:ind w:left="103"/>
              <w:rPr>
                <w:rFonts w:ascii="Calibri"/>
                <w:b/>
                <w:sz w:val="20"/>
              </w:rPr>
            </w:pPr>
            <w:r>
              <w:rPr>
                <w:rFonts w:ascii="Calibri"/>
                <w:b/>
                <w:sz w:val="20"/>
              </w:rPr>
              <w:t>Direct overheads</w:t>
            </w:r>
          </w:p>
          <w:p w:rsidR="006A18FD" w:rsidRDefault="002D29FC">
            <w:pPr>
              <w:ind w:left="103"/>
              <w:rPr>
                <w:rFonts w:ascii="Calibri"/>
                <w:sz w:val="20"/>
              </w:rPr>
            </w:pPr>
            <w:r>
              <w:rPr>
                <w:rFonts w:ascii="Calibri"/>
                <w:sz w:val="20"/>
              </w:rPr>
              <w:t>Telephone, internet, software Printing, stationery, postage Volunteer expenses</w:t>
            </w:r>
          </w:p>
          <w:p w:rsidR="006A18FD" w:rsidRDefault="006A18FD">
            <w:pPr>
              <w:rPr>
                <w:rFonts w:ascii="Calibri"/>
                <w:sz w:val="20"/>
              </w:rPr>
            </w:pPr>
          </w:p>
          <w:p w:rsidR="006A18FD" w:rsidRDefault="006A18FD">
            <w:pPr>
              <w:spacing w:before="11"/>
              <w:rPr>
                <w:rFonts w:ascii="Calibri"/>
                <w:sz w:val="19"/>
              </w:rPr>
            </w:pPr>
          </w:p>
          <w:p w:rsidR="006A18FD" w:rsidRDefault="002D29FC">
            <w:pPr>
              <w:spacing w:before="1"/>
              <w:ind w:left="103" w:right="1464"/>
              <w:rPr>
                <w:rFonts w:ascii="Calibri"/>
                <w:sz w:val="20"/>
              </w:rPr>
            </w:pPr>
            <w:r>
              <w:rPr>
                <w:rFonts w:ascii="Calibri"/>
                <w:sz w:val="20"/>
              </w:rPr>
              <w:t>Events Training costs</w:t>
            </w:r>
          </w:p>
          <w:p w:rsidR="006A18FD" w:rsidRDefault="002D29FC">
            <w:pPr>
              <w:spacing w:before="1" w:line="243" w:lineRule="exact"/>
              <w:ind w:left="103"/>
              <w:rPr>
                <w:rFonts w:ascii="Calibri"/>
                <w:sz w:val="20"/>
              </w:rPr>
            </w:pPr>
            <w:r>
              <w:rPr>
                <w:rFonts w:ascii="Calibri"/>
                <w:sz w:val="20"/>
              </w:rPr>
              <w:t>Workshops/consultancy</w:t>
            </w:r>
          </w:p>
          <w:p w:rsidR="006A18FD" w:rsidRDefault="002D29FC">
            <w:pPr>
              <w:spacing w:line="222" w:lineRule="exact"/>
              <w:ind w:left="103"/>
              <w:rPr>
                <w:rFonts w:ascii="Calibri"/>
                <w:b/>
                <w:sz w:val="20"/>
              </w:rPr>
            </w:pPr>
            <w:r>
              <w:rPr>
                <w:rFonts w:ascii="Calibri"/>
                <w:b/>
                <w:sz w:val="20"/>
              </w:rPr>
              <w:t>Indirect overheads</w:t>
            </w:r>
          </w:p>
        </w:tc>
        <w:tc>
          <w:tcPr>
            <w:tcW w:w="1558" w:type="dxa"/>
          </w:tcPr>
          <w:p w:rsidR="006A18FD" w:rsidRDefault="006A18FD">
            <w:pPr>
              <w:rPr>
                <w:rFonts w:ascii="Calibri"/>
                <w:sz w:val="20"/>
              </w:rPr>
            </w:pPr>
          </w:p>
          <w:p w:rsidR="006A18FD" w:rsidRDefault="006A18FD">
            <w:pPr>
              <w:spacing w:before="2"/>
              <w:rPr>
                <w:rFonts w:ascii="Calibri"/>
                <w:sz w:val="20"/>
              </w:rPr>
            </w:pPr>
          </w:p>
          <w:p w:rsidR="006A18FD" w:rsidRDefault="002D29FC">
            <w:pPr>
              <w:spacing w:line="243" w:lineRule="exact"/>
              <w:ind w:left="121" w:right="109"/>
              <w:jc w:val="center"/>
              <w:rPr>
                <w:rFonts w:ascii="Calibri" w:hAnsi="Calibri"/>
                <w:sz w:val="20"/>
              </w:rPr>
            </w:pPr>
            <w:r>
              <w:rPr>
                <w:rFonts w:ascii="Calibri" w:hAnsi="Calibri"/>
                <w:sz w:val="20"/>
              </w:rPr>
              <w:t>£2,036 per year</w:t>
            </w:r>
          </w:p>
          <w:p w:rsidR="006A18FD" w:rsidRDefault="002D29FC">
            <w:pPr>
              <w:spacing w:line="243" w:lineRule="exact"/>
              <w:ind w:left="121" w:right="109"/>
              <w:jc w:val="center"/>
              <w:rPr>
                <w:rFonts w:ascii="Calibri" w:hAnsi="Calibri"/>
                <w:sz w:val="20"/>
              </w:rPr>
            </w:pPr>
            <w:r>
              <w:rPr>
                <w:rFonts w:ascii="Calibri" w:hAnsi="Calibri"/>
                <w:sz w:val="20"/>
              </w:rPr>
              <w:t>£3,281 per year</w:t>
            </w:r>
          </w:p>
          <w:p w:rsidR="006A18FD" w:rsidRDefault="002D29FC">
            <w:pPr>
              <w:spacing w:before="1"/>
              <w:ind w:left="272" w:right="109"/>
              <w:jc w:val="center"/>
              <w:rPr>
                <w:rFonts w:ascii="Calibri" w:hAnsi="Calibri"/>
                <w:sz w:val="20"/>
              </w:rPr>
            </w:pPr>
            <w:r>
              <w:rPr>
                <w:rFonts w:ascii="Calibri" w:hAnsi="Calibri"/>
                <w:sz w:val="20"/>
              </w:rPr>
              <w:t>£566 per year</w:t>
            </w:r>
          </w:p>
          <w:p w:rsidR="006A18FD" w:rsidRDefault="006A18FD">
            <w:pPr>
              <w:rPr>
                <w:rFonts w:ascii="Calibri"/>
                <w:sz w:val="20"/>
              </w:rPr>
            </w:pPr>
          </w:p>
          <w:p w:rsidR="006A18FD" w:rsidRDefault="006A18FD">
            <w:pPr>
              <w:spacing w:before="11"/>
              <w:rPr>
                <w:rFonts w:ascii="Calibri"/>
                <w:sz w:val="19"/>
              </w:rPr>
            </w:pPr>
          </w:p>
          <w:p w:rsidR="006A18FD" w:rsidRDefault="002D29FC">
            <w:pPr>
              <w:spacing w:before="1"/>
              <w:ind w:left="121" w:right="109"/>
              <w:jc w:val="center"/>
              <w:rPr>
                <w:rFonts w:ascii="Calibri" w:hAnsi="Calibri"/>
                <w:sz w:val="20"/>
              </w:rPr>
            </w:pPr>
            <w:r>
              <w:rPr>
                <w:rFonts w:ascii="Calibri" w:hAnsi="Calibri"/>
                <w:sz w:val="20"/>
              </w:rPr>
              <w:t>£2,263 per year</w:t>
            </w:r>
          </w:p>
          <w:p w:rsidR="006A18FD" w:rsidRDefault="002D29FC">
            <w:pPr>
              <w:spacing w:before="1"/>
              <w:ind w:left="121" w:right="109"/>
              <w:jc w:val="center"/>
              <w:rPr>
                <w:rFonts w:ascii="Calibri" w:hAnsi="Calibri"/>
                <w:sz w:val="20"/>
              </w:rPr>
            </w:pPr>
            <w:r>
              <w:rPr>
                <w:rFonts w:ascii="Calibri" w:hAnsi="Calibri"/>
                <w:sz w:val="20"/>
              </w:rPr>
              <w:t>£1,015 per year</w:t>
            </w:r>
          </w:p>
          <w:p w:rsidR="006A18FD" w:rsidRDefault="002D29FC">
            <w:pPr>
              <w:spacing w:before="1" w:line="243" w:lineRule="exact"/>
              <w:ind w:left="121" w:right="109"/>
              <w:jc w:val="center"/>
              <w:rPr>
                <w:rFonts w:ascii="Calibri" w:hAnsi="Calibri"/>
                <w:sz w:val="20"/>
              </w:rPr>
            </w:pPr>
            <w:r>
              <w:rPr>
                <w:rFonts w:ascii="Calibri" w:hAnsi="Calibri"/>
                <w:sz w:val="20"/>
              </w:rPr>
              <w:t>£2,829 per year</w:t>
            </w:r>
          </w:p>
          <w:p w:rsidR="006A18FD" w:rsidRDefault="002D29FC">
            <w:pPr>
              <w:spacing w:line="222" w:lineRule="exact"/>
              <w:ind w:left="121" w:right="109"/>
              <w:jc w:val="center"/>
              <w:rPr>
                <w:rFonts w:ascii="Calibri" w:hAnsi="Calibri"/>
                <w:sz w:val="20"/>
              </w:rPr>
            </w:pPr>
            <w:r>
              <w:rPr>
                <w:rFonts w:ascii="Calibri" w:hAnsi="Calibri"/>
                <w:sz w:val="20"/>
              </w:rPr>
              <w:t>£3,395 per year</w:t>
            </w:r>
          </w:p>
        </w:tc>
        <w:tc>
          <w:tcPr>
            <w:tcW w:w="5790" w:type="dxa"/>
          </w:tcPr>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1"/>
              <w:rPr>
                <w:rFonts w:ascii="Calibri"/>
                <w:sz w:val="20"/>
              </w:rPr>
            </w:pPr>
          </w:p>
          <w:p w:rsidR="006A18FD" w:rsidRDefault="002D29FC">
            <w:pPr>
              <w:ind w:left="102"/>
              <w:rPr>
                <w:rFonts w:ascii="Calibri" w:hAnsi="Calibri"/>
                <w:sz w:val="20"/>
              </w:rPr>
            </w:pPr>
            <w:r>
              <w:rPr>
                <w:rFonts w:ascii="Calibri" w:hAnsi="Calibri"/>
                <w:sz w:val="20"/>
              </w:rPr>
              <w:t>Other expenses not included are those relating to the use of a house/garden for members’ parties and those for attending funerals of members.</w:t>
            </w:r>
          </w:p>
          <w:p w:rsidR="006A18FD" w:rsidRDefault="002D29FC">
            <w:pPr>
              <w:spacing w:before="9" w:line="480" w:lineRule="atLeast"/>
              <w:ind w:left="102" w:right="300"/>
              <w:rPr>
                <w:rFonts w:ascii="Calibri"/>
                <w:sz w:val="20"/>
              </w:rPr>
            </w:pPr>
            <w:r>
              <w:rPr>
                <w:rFonts w:ascii="Calibri"/>
                <w:sz w:val="20"/>
              </w:rPr>
              <w:t>This includes the training of staff, volunteers and board members. This includes human resources, legal, payroll and accounts.</w:t>
            </w:r>
          </w:p>
        </w:tc>
      </w:tr>
      <w:tr w:rsidR="006A18FD">
        <w:trPr>
          <w:trHeight w:val="239"/>
        </w:trPr>
        <w:tc>
          <w:tcPr>
            <w:tcW w:w="2715" w:type="dxa"/>
          </w:tcPr>
          <w:p w:rsidR="006A18FD" w:rsidRDefault="002D29FC">
            <w:pPr>
              <w:spacing w:line="223" w:lineRule="exact"/>
              <w:ind w:left="103"/>
              <w:rPr>
                <w:rFonts w:ascii="Calibri"/>
                <w:sz w:val="20"/>
              </w:rPr>
            </w:pPr>
            <w:r>
              <w:rPr>
                <w:rFonts w:ascii="Calibri"/>
                <w:sz w:val="20"/>
              </w:rPr>
              <w:t>D. Travel costs</w:t>
            </w:r>
          </w:p>
        </w:tc>
        <w:tc>
          <w:tcPr>
            <w:tcW w:w="1558" w:type="dxa"/>
          </w:tcPr>
          <w:p w:rsidR="006A18FD" w:rsidRDefault="002D29FC">
            <w:pPr>
              <w:spacing w:line="223" w:lineRule="exact"/>
              <w:ind w:right="129"/>
              <w:jc w:val="right"/>
              <w:rPr>
                <w:rFonts w:ascii="Calibri" w:hAnsi="Calibri"/>
                <w:sz w:val="20"/>
              </w:rPr>
            </w:pPr>
            <w:r>
              <w:rPr>
                <w:rFonts w:ascii="Calibri" w:hAnsi="Calibri"/>
                <w:sz w:val="20"/>
              </w:rPr>
              <w:t>£905 per year</w:t>
            </w:r>
          </w:p>
        </w:tc>
        <w:tc>
          <w:tcPr>
            <w:tcW w:w="5790" w:type="dxa"/>
          </w:tcPr>
          <w:p w:rsidR="006A18FD" w:rsidRDefault="002D29FC">
            <w:pPr>
              <w:spacing w:line="223" w:lineRule="exact"/>
              <w:ind w:left="102"/>
              <w:rPr>
                <w:rFonts w:ascii="Calibri"/>
                <w:sz w:val="20"/>
              </w:rPr>
            </w:pPr>
            <w:r>
              <w:rPr>
                <w:rFonts w:ascii="Calibri"/>
                <w:sz w:val="20"/>
              </w:rPr>
              <w:t>Based on travel costs for staff and volunteers.</w:t>
            </w:r>
          </w:p>
        </w:tc>
      </w:tr>
      <w:tr w:rsidR="006A18FD">
        <w:trPr>
          <w:trHeight w:val="960"/>
        </w:trPr>
        <w:tc>
          <w:tcPr>
            <w:tcW w:w="2715" w:type="dxa"/>
          </w:tcPr>
          <w:p w:rsidR="006A18FD" w:rsidRDefault="002D29FC">
            <w:pPr>
              <w:spacing w:before="1" w:line="249" w:lineRule="auto"/>
              <w:ind w:left="285" w:right="924" w:hanging="183"/>
              <w:rPr>
                <w:rFonts w:ascii="Calibri"/>
                <w:sz w:val="20"/>
              </w:rPr>
            </w:pPr>
            <w:r>
              <w:rPr>
                <w:rFonts w:ascii="Calibri"/>
                <w:sz w:val="20"/>
              </w:rPr>
              <w:t>E. Capital costs Office costs Equipment costs</w:t>
            </w:r>
          </w:p>
        </w:tc>
        <w:tc>
          <w:tcPr>
            <w:tcW w:w="1558" w:type="dxa"/>
          </w:tcPr>
          <w:p w:rsidR="006A18FD" w:rsidRDefault="006A18FD">
            <w:pPr>
              <w:spacing w:before="11"/>
              <w:rPr>
                <w:rFonts w:ascii="Calibri"/>
                <w:sz w:val="20"/>
              </w:rPr>
            </w:pPr>
          </w:p>
          <w:p w:rsidR="006A18FD" w:rsidRDefault="002D29FC">
            <w:pPr>
              <w:ind w:left="143"/>
              <w:rPr>
                <w:rFonts w:ascii="Calibri" w:hAnsi="Calibri"/>
                <w:sz w:val="20"/>
              </w:rPr>
            </w:pPr>
            <w:r>
              <w:rPr>
                <w:rFonts w:ascii="Calibri" w:hAnsi="Calibri"/>
                <w:sz w:val="20"/>
              </w:rPr>
              <w:t>£3,814 per year</w:t>
            </w:r>
          </w:p>
          <w:p w:rsidR="006A18FD" w:rsidRDefault="002D29FC">
            <w:pPr>
              <w:spacing w:before="9"/>
              <w:ind w:left="143"/>
              <w:rPr>
                <w:rFonts w:ascii="Calibri" w:hAnsi="Calibri"/>
                <w:sz w:val="20"/>
              </w:rPr>
            </w:pPr>
            <w:r>
              <w:rPr>
                <w:rFonts w:ascii="Calibri" w:hAnsi="Calibri"/>
                <w:sz w:val="20"/>
              </w:rPr>
              <w:t>£2,036 per year</w:t>
            </w:r>
          </w:p>
        </w:tc>
        <w:tc>
          <w:tcPr>
            <w:tcW w:w="5790" w:type="dxa"/>
          </w:tcPr>
          <w:p w:rsidR="006A18FD" w:rsidRDefault="002D29FC">
            <w:pPr>
              <w:spacing w:before="1"/>
              <w:ind w:left="102"/>
              <w:rPr>
                <w:rFonts w:ascii="Calibri"/>
                <w:sz w:val="20"/>
              </w:rPr>
            </w:pPr>
            <w:r>
              <w:rPr>
                <w:rFonts w:ascii="Calibri"/>
                <w:sz w:val="20"/>
              </w:rPr>
              <w:t>Based on the office costs for a practice nurse (see Schema 10.2). Includes computers and other office equipment. Office (equipment) costs have been annuitised over 60 (5) years and discounted at a</w:t>
            </w:r>
          </w:p>
          <w:p w:rsidR="006A18FD" w:rsidRDefault="002D29FC">
            <w:pPr>
              <w:spacing w:line="221" w:lineRule="exact"/>
              <w:ind w:left="102"/>
              <w:rPr>
                <w:rFonts w:ascii="Calibri"/>
                <w:sz w:val="20"/>
              </w:rPr>
            </w:pPr>
            <w:r>
              <w:rPr>
                <w:rFonts w:ascii="Calibri"/>
                <w:sz w:val="20"/>
              </w:rPr>
              <w:t>rate of 3.5 per cent, declining to 3 per cent after 30 years.</w:t>
            </w:r>
          </w:p>
        </w:tc>
      </w:tr>
      <w:tr w:rsidR="006A18FD">
        <w:trPr>
          <w:trHeight w:val="480"/>
        </w:trPr>
        <w:tc>
          <w:tcPr>
            <w:tcW w:w="2715" w:type="dxa"/>
          </w:tcPr>
          <w:p w:rsidR="006A18FD" w:rsidRDefault="002D29FC">
            <w:pPr>
              <w:spacing w:before="1"/>
              <w:ind w:left="103"/>
              <w:rPr>
                <w:rFonts w:ascii="Calibri"/>
                <w:sz w:val="20"/>
              </w:rPr>
            </w:pPr>
            <w:r>
              <w:rPr>
                <w:rFonts w:ascii="Calibri"/>
                <w:sz w:val="20"/>
              </w:rPr>
              <w:t>Working time</w:t>
            </w:r>
          </w:p>
        </w:tc>
        <w:tc>
          <w:tcPr>
            <w:tcW w:w="1558" w:type="dxa"/>
          </w:tcPr>
          <w:p w:rsidR="006A18FD" w:rsidRDefault="006A18FD">
            <w:pPr>
              <w:rPr>
                <w:rFonts w:ascii="Times New Roman"/>
                <w:sz w:val="18"/>
              </w:rPr>
            </w:pPr>
          </w:p>
        </w:tc>
        <w:tc>
          <w:tcPr>
            <w:tcW w:w="5790" w:type="dxa"/>
          </w:tcPr>
          <w:p w:rsidR="006A18FD" w:rsidRDefault="002D29FC">
            <w:pPr>
              <w:spacing w:before="1" w:line="240" w:lineRule="atLeast"/>
              <w:ind w:left="102" w:right="193"/>
              <w:rPr>
                <w:rFonts w:ascii="Calibri"/>
                <w:sz w:val="20"/>
              </w:rPr>
            </w:pPr>
            <w:r>
              <w:rPr>
                <w:rFonts w:ascii="Calibri"/>
                <w:sz w:val="20"/>
              </w:rPr>
              <w:t>Opening hours for the time bank vary. The office is usually manned 10-12 hours per day.</w:t>
            </w:r>
          </w:p>
        </w:tc>
      </w:tr>
      <w:tr w:rsidR="006A18FD">
        <w:trPr>
          <w:trHeight w:val="479"/>
        </w:trPr>
        <w:tc>
          <w:tcPr>
            <w:tcW w:w="2715" w:type="dxa"/>
          </w:tcPr>
          <w:p w:rsidR="006A18FD" w:rsidRDefault="002D29FC">
            <w:pPr>
              <w:ind w:left="103"/>
              <w:rPr>
                <w:rFonts w:ascii="Calibri"/>
                <w:sz w:val="20"/>
              </w:rPr>
            </w:pPr>
            <w:r>
              <w:rPr>
                <w:rFonts w:ascii="Calibri"/>
                <w:sz w:val="20"/>
              </w:rPr>
              <w:t>Number of members</w:t>
            </w:r>
          </w:p>
        </w:tc>
        <w:tc>
          <w:tcPr>
            <w:tcW w:w="1558" w:type="dxa"/>
          </w:tcPr>
          <w:p w:rsidR="006A18FD" w:rsidRDefault="002D29FC">
            <w:pPr>
              <w:ind w:left="393"/>
              <w:rPr>
                <w:rFonts w:ascii="Calibri"/>
                <w:sz w:val="20"/>
              </w:rPr>
            </w:pPr>
            <w:r>
              <w:rPr>
                <w:rFonts w:ascii="Calibri"/>
                <w:sz w:val="20"/>
              </w:rPr>
              <w:t>360</w:t>
            </w:r>
          </w:p>
        </w:tc>
        <w:tc>
          <w:tcPr>
            <w:tcW w:w="5790" w:type="dxa"/>
          </w:tcPr>
          <w:p w:rsidR="006A18FD" w:rsidRDefault="002D29FC">
            <w:pPr>
              <w:spacing w:line="240" w:lineRule="atLeast"/>
              <w:ind w:left="102" w:right="290"/>
              <w:rPr>
                <w:rFonts w:ascii="Calibri"/>
                <w:sz w:val="20"/>
              </w:rPr>
            </w:pPr>
            <w:r>
              <w:rPr>
                <w:rFonts w:ascii="Calibri"/>
                <w:sz w:val="20"/>
              </w:rPr>
              <w:t>Currently the time bank has 360 members. It aimed to increase its membership to over 500 by March 2015.</w:t>
            </w:r>
          </w:p>
        </w:tc>
      </w:tr>
      <w:tr w:rsidR="006A18FD">
        <w:trPr>
          <w:trHeight w:val="478"/>
        </w:trPr>
        <w:tc>
          <w:tcPr>
            <w:tcW w:w="2715" w:type="dxa"/>
          </w:tcPr>
          <w:p w:rsidR="006A18FD" w:rsidRDefault="002D29FC">
            <w:pPr>
              <w:spacing w:line="242" w:lineRule="exact"/>
              <w:ind w:left="103"/>
              <w:rPr>
                <w:rFonts w:ascii="Calibri"/>
                <w:b/>
                <w:sz w:val="20"/>
              </w:rPr>
            </w:pPr>
            <w:r>
              <w:rPr>
                <w:rFonts w:ascii="Calibri"/>
                <w:b/>
                <w:sz w:val="20"/>
              </w:rPr>
              <w:t>Unit costs available</w:t>
            </w:r>
          </w:p>
          <w:p w:rsidR="006A18FD" w:rsidRDefault="002D29FC">
            <w:pPr>
              <w:spacing w:line="223" w:lineRule="exact"/>
              <w:ind w:left="103"/>
              <w:rPr>
                <w:rFonts w:ascii="Calibri"/>
                <w:b/>
                <w:sz w:val="20"/>
              </w:rPr>
            </w:pPr>
            <w:r>
              <w:rPr>
                <w:rFonts w:ascii="Calibri"/>
                <w:b/>
                <w:sz w:val="20"/>
              </w:rPr>
              <w:t>2018/2019</w:t>
            </w:r>
          </w:p>
        </w:tc>
        <w:tc>
          <w:tcPr>
            <w:tcW w:w="1558" w:type="dxa"/>
          </w:tcPr>
          <w:p w:rsidR="006A18FD" w:rsidRDefault="006A18FD">
            <w:pPr>
              <w:rPr>
                <w:rFonts w:ascii="Times New Roman"/>
                <w:sz w:val="18"/>
              </w:rPr>
            </w:pPr>
          </w:p>
        </w:tc>
        <w:tc>
          <w:tcPr>
            <w:tcW w:w="5790" w:type="dxa"/>
          </w:tcPr>
          <w:p w:rsidR="006A18FD" w:rsidRDefault="006A18FD">
            <w:pPr>
              <w:rPr>
                <w:rFonts w:ascii="Times New Roman"/>
                <w:sz w:val="18"/>
              </w:rPr>
            </w:pPr>
          </w:p>
        </w:tc>
      </w:tr>
      <w:tr w:rsidR="006A18FD">
        <w:trPr>
          <w:trHeight w:val="240"/>
        </w:trPr>
        <w:tc>
          <w:tcPr>
            <w:tcW w:w="10063" w:type="dxa"/>
            <w:gridSpan w:val="3"/>
          </w:tcPr>
          <w:p w:rsidR="006A18FD" w:rsidRDefault="002D29FC">
            <w:pPr>
              <w:spacing w:before="1" w:line="223" w:lineRule="exact"/>
              <w:ind w:left="103"/>
              <w:rPr>
                <w:rFonts w:ascii="Calibri" w:hAnsi="Calibri"/>
                <w:sz w:val="20"/>
              </w:rPr>
            </w:pPr>
            <w:r>
              <w:rPr>
                <w:rFonts w:ascii="Calibri" w:hAnsi="Calibri"/>
                <w:sz w:val="20"/>
              </w:rPr>
              <w:t>Total annual cost if fully funded £126,192.</w:t>
            </w:r>
          </w:p>
        </w:tc>
      </w:tr>
      <w:tr w:rsidR="006A18FD">
        <w:trPr>
          <w:trHeight w:val="240"/>
        </w:trPr>
        <w:tc>
          <w:tcPr>
            <w:tcW w:w="10063" w:type="dxa"/>
            <w:gridSpan w:val="3"/>
          </w:tcPr>
          <w:p w:rsidR="006A18FD" w:rsidRDefault="002D29FC">
            <w:pPr>
              <w:spacing w:before="1" w:line="223" w:lineRule="exact"/>
              <w:ind w:left="103"/>
              <w:rPr>
                <w:rFonts w:ascii="Calibri" w:hAnsi="Calibri"/>
                <w:sz w:val="20"/>
              </w:rPr>
            </w:pPr>
            <w:r>
              <w:rPr>
                <w:rFonts w:ascii="Calibri" w:hAnsi="Calibri"/>
                <w:sz w:val="20"/>
              </w:rPr>
              <w:t>Annual cost per member based on 360 members £351.</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61"/>
        <w:ind w:left="423" w:right="497" w:hanging="284"/>
        <w:rPr>
          <w:rFonts w:ascii="Calibri" w:hAnsi="Calibri"/>
          <w:sz w:val="16"/>
        </w:rPr>
      </w:pPr>
      <w:r>
        <w:rPr>
          <w:rFonts w:ascii="Calibri" w:hAnsi="Calibri"/>
          <w:position w:val="5"/>
          <w:sz w:val="10"/>
        </w:rPr>
        <w:t xml:space="preserve">1 </w:t>
      </w:r>
      <w:r>
        <w:rPr>
          <w:rFonts w:ascii="Calibri" w:hAnsi="Calibri"/>
          <w:sz w:val="16"/>
        </w:rPr>
        <w:t xml:space="preserve">Bauer, A., Fernandez, J.L., Knapp, M. &amp; Anigbogu, B. (2013) </w:t>
      </w:r>
      <w:r>
        <w:rPr>
          <w:rFonts w:ascii="Calibri" w:hAnsi="Calibri"/>
          <w:i/>
          <w:sz w:val="16"/>
        </w:rPr>
        <w:t>Economic Evaluation of an “Experts by Experience” Model in Basildon District</w:t>
      </w:r>
      <w:r>
        <w:rPr>
          <w:rFonts w:ascii="Calibri" w:hAnsi="Calibri"/>
          <w:sz w:val="16"/>
        </w:rPr>
        <w:t xml:space="preserve">, </w:t>
      </w:r>
      <w:hyperlink r:id="rId426">
        <w:r>
          <w:rPr>
            <w:rFonts w:ascii="Calibri" w:hAnsi="Calibri"/>
            <w:sz w:val="16"/>
            <w:u w:val="single"/>
          </w:rPr>
          <w:t>http://eprints.lse.ac.uk/29956/1/Internet_Use_and_Opinion_Formation_in_Countries_with_Different_ICT_Contexts.pdf</w:t>
        </w:r>
        <w:r>
          <w:rPr>
            <w:rFonts w:ascii="Calibri" w:hAnsi="Calibri"/>
            <w:sz w:val="16"/>
          </w:rPr>
          <w:t xml:space="preserve">. </w:t>
        </w:r>
      </w:hyperlink>
      <w:r>
        <w:rPr>
          <w:rFonts w:ascii="Calibri" w:hAnsi="Calibri"/>
          <w:sz w:val="16"/>
        </w:rPr>
        <w:t>n.b.This work has been produced from research that forms part of a NIHR School of Social Care Research funded project on the economic consequences for social care interventions. This paper presents independent research and the views expressed in this publication are those of the authors and not necessarily those of the NIHR School for Social Care Research or the Department of Health, NIHR or NHS.</w:t>
      </w:r>
    </w:p>
    <w:p w:rsidR="006A18FD" w:rsidRDefault="002D29FC">
      <w:pPr>
        <w:ind w:left="423" w:right="649" w:hanging="284"/>
        <w:rPr>
          <w:rFonts w:ascii="Calibri"/>
          <w:sz w:val="16"/>
        </w:rPr>
      </w:pPr>
      <w:r>
        <w:rPr>
          <w:rFonts w:ascii="Calibri"/>
          <w:position w:val="5"/>
          <w:sz w:val="10"/>
        </w:rPr>
        <w:t xml:space="preserve">2 </w:t>
      </w:r>
      <w:r>
        <w:rPr>
          <w:rFonts w:ascii="Calibri"/>
          <w:sz w:val="16"/>
        </w:rPr>
        <w:t xml:space="preserve">Knapp, M., Bauer, A., Perkins, M. &amp; Snell, T. (2013) Building community capital in social care: is there an economic case? </w:t>
      </w:r>
      <w:r>
        <w:rPr>
          <w:rFonts w:ascii="Calibri"/>
          <w:i/>
          <w:sz w:val="16"/>
        </w:rPr>
        <w:t xml:space="preserve">Community Development Journal, </w:t>
      </w:r>
      <w:r>
        <w:rPr>
          <w:rFonts w:ascii="Calibri"/>
          <w:sz w:val="16"/>
        </w:rPr>
        <w:t>48, 2, 213-331.</w:t>
      </w:r>
    </w:p>
    <w:p w:rsidR="006A18FD" w:rsidRDefault="002D29FC">
      <w:pPr>
        <w:spacing w:before="2"/>
        <w:ind w:left="423" w:right="224" w:hanging="284"/>
        <w:rPr>
          <w:rFonts w:ascii="Calibri"/>
          <w:sz w:val="16"/>
        </w:rPr>
      </w:pPr>
      <w:r>
        <w:rPr>
          <w:rFonts w:ascii="Calibri"/>
          <w:position w:val="5"/>
          <w:sz w:val="10"/>
        </w:rPr>
        <w:t xml:space="preserve">3 </w:t>
      </w:r>
      <w:r>
        <w:rPr>
          <w:rFonts w:ascii="Calibri"/>
          <w:sz w:val="16"/>
        </w:rPr>
        <w:t>National Joint Council (NJC) Salary scales for Local Government Services</w:t>
      </w:r>
      <w:r>
        <w:rPr>
          <w:rFonts w:ascii="Calibri"/>
          <w:i/>
          <w:sz w:val="16"/>
        </w:rPr>
        <w:t>, NJC payscales 2017-18</w:t>
      </w:r>
      <w:r>
        <w:rPr>
          <w:rFonts w:ascii="Calibri"/>
          <w:sz w:val="16"/>
        </w:rPr>
        <w:t xml:space="preserve">, </w:t>
      </w:r>
      <w:hyperlink r:id="rId427">
        <w:r>
          <w:rPr>
            <w:rFonts w:ascii="Calibri"/>
            <w:sz w:val="16"/>
            <w:u w:val="single"/>
          </w:rPr>
          <w:t>https://www.derbyshirealc.gov.uk/uploads/2016-2018-</w:t>
        </w:r>
      </w:hyperlink>
      <w:r>
        <w:rPr>
          <w:rFonts w:ascii="Calibri"/>
          <w:sz w:val="16"/>
        </w:rPr>
        <w:t xml:space="preserve"> </w:t>
      </w:r>
      <w:hyperlink r:id="rId428">
        <w:r>
          <w:rPr>
            <w:rFonts w:ascii="Calibri"/>
            <w:sz w:val="16"/>
            <w:u w:val="single"/>
          </w:rPr>
          <w:t>national-salary-award.pdf</w:t>
        </w:r>
        <w:r>
          <w:rPr>
            <w:rFonts w:ascii="Calibri"/>
            <w:sz w:val="16"/>
          </w:rPr>
          <w:t xml:space="preserve"> </w:t>
        </w:r>
      </w:hyperlink>
      <w:r>
        <w:rPr>
          <w:rFonts w:ascii="Calibri"/>
          <w:sz w:val="16"/>
        </w:rPr>
        <w:t>[accessed 20 October 2018].</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7"/>
        <w:rPr>
          <w:rFonts w:ascii="Calibri"/>
          <w:sz w:val="23"/>
        </w:rPr>
      </w:pPr>
    </w:p>
    <w:p w:rsidR="006A18FD" w:rsidRDefault="002D29FC" w:rsidP="008E3FA8">
      <w:pPr>
        <w:numPr>
          <w:ilvl w:val="0"/>
          <w:numId w:val="8"/>
        </w:numPr>
        <w:tabs>
          <w:tab w:val="left" w:pos="804"/>
        </w:tabs>
        <w:spacing w:before="101"/>
        <w:rPr>
          <w:rFonts w:ascii="Cambria"/>
          <w:b/>
          <w:sz w:val="48"/>
        </w:rPr>
      </w:pPr>
      <w:r>
        <w:rPr>
          <w:rFonts w:ascii="Cambria"/>
          <w:b/>
          <w:sz w:val="48"/>
        </w:rPr>
        <w:t>HOSPITAL-BASED HEALTH CARE</w:t>
      </w:r>
      <w:r>
        <w:rPr>
          <w:rFonts w:ascii="Cambria"/>
          <w:b/>
          <w:spacing w:val="-13"/>
          <w:sz w:val="48"/>
        </w:rPr>
        <w:t xml:space="preserve"> </w:t>
      </w:r>
      <w:r>
        <w:rPr>
          <w:rFonts w:ascii="Cambria"/>
          <w:b/>
          <w:sz w:val="48"/>
        </w:rPr>
        <w:t>STAFF</w:t>
      </w:r>
    </w:p>
    <w:p w:rsidR="006A18FD" w:rsidRDefault="006A18FD">
      <w:pPr>
        <w:rPr>
          <w:rFonts w:ascii="Cambria"/>
          <w:sz w:val="48"/>
        </w:rPr>
        <w:sectPr w:rsidR="006A18FD">
          <w:headerReference w:type="default" r:id="rId429"/>
          <w:pgSz w:w="11910" w:h="16840"/>
          <w:pgMar w:top="1580" w:right="1300" w:bottom="280" w:left="10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430"/>
          <w:pgSz w:w="11910" w:h="16840"/>
          <w:pgMar w:top="1580" w:right="1680" w:bottom="280" w:left="1680" w:header="0" w:footer="0" w:gutter="0"/>
          <w:cols w:space="720"/>
        </w:sectPr>
      </w:pPr>
    </w:p>
    <w:p w:rsidR="006A18FD" w:rsidRDefault="002D29FC">
      <w:pPr>
        <w:tabs>
          <w:tab w:val="right" w:pos="10080"/>
        </w:tabs>
        <w:spacing w:before="29"/>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141</w:t>
      </w:r>
    </w:p>
    <w:p w:rsidR="006A18FD" w:rsidRDefault="00E60AD2" w:rsidP="008E3FA8">
      <w:pPr>
        <w:pStyle w:val="Heading2"/>
        <w:numPr>
          <w:ilvl w:val="0"/>
          <w:numId w:val="9"/>
        </w:numPr>
      </w:pPr>
      <w:r>
        <w:rPr>
          <w:noProof/>
          <w:lang w:val="en-GB" w:eastAsia="en-GB"/>
        </w:rPr>
        <mc:AlternateContent>
          <mc:Choice Requires="wps">
            <w:drawing>
              <wp:anchor distT="0" distB="0" distL="114300" distR="114300" simplePos="0" relativeHeight="251597824" behindDoc="0" locked="0" layoutInCell="1" allowOverlap="1">
                <wp:simplePos x="0" y="0"/>
                <wp:positionH relativeFrom="page">
                  <wp:posOffset>701040</wp:posOffset>
                </wp:positionH>
                <wp:positionV relativeFrom="paragraph">
                  <wp:posOffset>15875</wp:posOffset>
                </wp:positionV>
                <wp:extent cx="6420485" cy="0"/>
                <wp:effectExtent l="5715" t="6350" r="12700" b="12700"/>
                <wp:wrapNone/>
                <wp:docPr id="1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0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3B912" id="Line 4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1.25pt" to="56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3q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" strokeweight=".48pt">
                <w10:wrap anchorx="page"/>
              </v:line>
            </w:pict>
          </mc:Fallback>
        </mc:AlternateContent>
      </w:r>
      <w:r w:rsidR="002D29FC">
        <w:t>Hospital-based scientific and professional</w:t>
      </w:r>
      <w:r w:rsidR="002D29FC">
        <w:rPr>
          <w:spacing w:val="-22"/>
        </w:rPr>
        <w:t xml:space="preserve"> </w:t>
      </w:r>
      <w:r w:rsidR="002D29FC">
        <w:t>staff</w:t>
      </w:r>
    </w:p>
    <w:p w:rsidR="006A18FD" w:rsidRDefault="002D29FC">
      <w:pPr>
        <w:spacing w:before="262" w:line="276" w:lineRule="auto"/>
        <w:ind w:left="152" w:right="154"/>
        <w:rPr>
          <w:rFonts w:ascii="Calibri"/>
          <w:sz w:val="20"/>
        </w:rPr>
      </w:pPr>
      <w:r>
        <w:rPr>
          <w:rFonts w:ascii="Calibri"/>
          <w:sz w:val="20"/>
        </w:rPr>
        <w:t xml:space="preserve">The table overleaf provides the unit costs for hospital-based scientific and professional staff, and replaces the individual schema previously found in this section. Each Agenda for Change (AfC) band can be matched to professionals using the AfC generic profiles: </w:t>
      </w:r>
      <w:hyperlink r:id="rId431">
        <w:r>
          <w:rPr>
            <w:rFonts w:ascii="Calibri"/>
            <w:sz w:val="20"/>
            <w:u w:val="single"/>
          </w:rPr>
          <w:t>http://www.nhsemployers.org/your-workforce/pay-and-reward/pay/job-evaluation/national-job-profiles</w:t>
        </w:r>
        <w:r>
          <w:rPr>
            <w:rFonts w:ascii="Calibri"/>
            <w:sz w:val="20"/>
          </w:rPr>
          <w:t>.</w:t>
        </w:r>
      </w:hyperlink>
      <w:r>
        <w:rPr>
          <w:rFonts w:ascii="Calibri"/>
          <w:sz w:val="20"/>
        </w:rPr>
        <w:t xml:space="preserve"> Examples of roles by band are shown below and in more detail by job type in Schema 17. Reference should also be made to the explanatory notes when interpreting the unit costs.</w:t>
      </w:r>
    </w:p>
    <w:p w:rsidR="006A18FD" w:rsidRDefault="006A18FD">
      <w:pPr>
        <w:rPr>
          <w:rFonts w:ascii="Calibri"/>
          <w:sz w:val="20"/>
        </w:rPr>
      </w:pPr>
    </w:p>
    <w:p w:rsidR="006A18FD" w:rsidRDefault="006A18FD">
      <w:pPr>
        <w:spacing w:before="6"/>
        <w:rPr>
          <w:rFonts w:ascii="Calibri"/>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8224"/>
      </w:tblGrid>
      <w:tr w:rsidR="006A18FD" w:rsidTr="00CA19E0">
        <w:trPr>
          <w:trHeight w:val="560"/>
          <w:tblHeader/>
        </w:trPr>
        <w:tc>
          <w:tcPr>
            <w:tcW w:w="10063" w:type="dxa"/>
            <w:gridSpan w:val="2"/>
          </w:tcPr>
          <w:p w:rsidR="006A18FD" w:rsidRDefault="002D29FC">
            <w:pPr>
              <w:spacing w:before="162"/>
              <w:ind w:left="4277" w:right="4277"/>
              <w:jc w:val="center"/>
              <w:rPr>
                <w:rFonts w:ascii="Calibri"/>
                <w:b/>
                <w:sz w:val="20"/>
              </w:rPr>
            </w:pPr>
            <w:r>
              <w:rPr>
                <w:rFonts w:ascii="Calibri"/>
                <w:b/>
                <w:sz w:val="20"/>
              </w:rPr>
              <w:t>Job titles by band</w:t>
            </w:r>
          </w:p>
        </w:tc>
      </w:tr>
      <w:tr w:rsidR="006A18FD">
        <w:trPr>
          <w:trHeight w:val="480"/>
        </w:trPr>
        <w:tc>
          <w:tcPr>
            <w:tcW w:w="1839" w:type="dxa"/>
          </w:tcPr>
          <w:p w:rsidR="006A18FD" w:rsidRDefault="002D29FC">
            <w:pPr>
              <w:spacing w:before="121"/>
              <w:ind w:left="105"/>
              <w:rPr>
                <w:rFonts w:ascii="Calibri"/>
                <w:b/>
                <w:sz w:val="20"/>
              </w:rPr>
            </w:pPr>
            <w:r>
              <w:rPr>
                <w:rFonts w:ascii="Calibri"/>
                <w:b/>
                <w:sz w:val="20"/>
              </w:rPr>
              <w:t>Band 2</w:t>
            </w:r>
          </w:p>
        </w:tc>
        <w:tc>
          <w:tcPr>
            <w:tcW w:w="8224" w:type="dxa"/>
          </w:tcPr>
          <w:p w:rsidR="006A18FD" w:rsidRDefault="002D29FC">
            <w:pPr>
              <w:spacing w:before="121"/>
              <w:ind w:left="103"/>
              <w:rPr>
                <w:rFonts w:ascii="Calibri"/>
                <w:sz w:val="20"/>
              </w:rPr>
            </w:pPr>
            <w:r>
              <w:rPr>
                <w:rFonts w:ascii="Calibri"/>
                <w:sz w:val="20"/>
              </w:rPr>
              <w:t>Clinical support worker (Physiotherapy, Occupational therapy, Speech and language therapy).</w:t>
            </w:r>
          </w:p>
        </w:tc>
      </w:tr>
      <w:tr w:rsidR="006A18FD">
        <w:trPr>
          <w:trHeight w:val="720"/>
        </w:trPr>
        <w:tc>
          <w:tcPr>
            <w:tcW w:w="1839" w:type="dxa"/>
          </w:tcPr>
          <w:p w:rsidR="006A18FD" w:rsidRDefault="002D29FC">
            <w:pPr>
              <w:spacing w:before="122"/>
              <w:ind w:left="105"/>
              <w:rPr>
                <w:rFonts w:ascii="Calibri"/>
                <w:b/>
                <w:sz w:val="20"/>
              </w:rPr>
            </w:pPr>
            <w:r>
              <w:rPr>
                <w:rFonts w:ascii="Calibri"/>
                <w:b/>
                <w:sz w:val="20"/>
              </w:rPr>
              <w:t>Band 3</w:t>
            </w:r>
          </w:p>
        </w:tc>
        <w:tc>
          <w:tcPr>
            <w:tcW w:w="8224" w:type="dxa"/>
          </w:tcPr>
          <w:p w:rsidR="006A18FD" w:rsidRDefault="002D29FC">
            <w:pPr>
              <w:spacing w:before="122"/>
              <w:ind w:left="103"/>
              <w:rPr>
                <w:rFonts w:ascii="Calibri"/>
                <w:sz w:val="20"/>
              </w:rPr>
            </w:pPr>
            <w:r>
              <w:rPr>
                <w:rFonts w:ascii="Calibri"/>
                <w:sz w:val="20"/>
              </w:rPr>
              <w:t>Clinical support worker, (higher level) (Physiotherapy, Occupational therapy, Speech and language therapy).</w:t>
            </w:r>
          </w:p>
        </w:tc>
      </w:tr>
      <w:tr w:rsidR="006A18FD">
        <w:trPr>
          <w:trHeight w:val="720"/>
        </w:trPr>
        <w:tc>
          <w:tcPr>
            <w:tcW w:w="1839" w:type="dxa"/>
          </w:tcPr>
          <w:p w:rsidR="006A18FD" w:rsidRDefault="002D29FC">
            <w:pPr>
              <w:spacing w:before="121"/>
              <w:ind w:left="105"/>
              <w:rPr>
                <w:rFonts w:ascii="Calibri"/>
                <w:b/>
                <w:sz w:val="20"/>
              </w:rPr>
            </w:pPr>
            <w:r>
              <w:rPr>
                <w:rFonts w:ascii="Calibri"/>
                <w:b/>
                <w:sz w:val="20"/>
              </w:rPr>
              <w:t>Band 4</w:t>
            </w:r>
          </w:p>
        </w:tc>
        <w:tc>
          <w:tcPr>
            <w:tcW w:w="8224" w:type="dxa"/>
          </w:tcPr>
          <w:p w:rsidR="006A18FD" w:rsidRDefault="002D29FC">
            <w:pPr>
              <w:spacing w:before="121"/>
              <w:ind w:left="103" w:right="326"/>
              <w:rPr>
                <w:rFonts w:ascii="Calibri"/>
                <w:sz w:val="20"/>
              </w:rPr>
            </w:pPr>
            <w:r>
              <w:rPr>
                <w:rFonts w:ascii="Calibri"/>
                <w:sz w:val="20"/>
              </w:rPr>
              <w:t>Occupational therapy technician, Speech and language therapy assistant/associate practitioner, Podiatry technician, Clinical psychology assistant practitioner, Pharmacy technician.</w:t>
            </w:r>
          </w:p>
        </w:tc>
      </w:tr>
      <w:tr w:rsidR="006A18FD">
        <w:trPr>
          <w:trHeight w:val="720"/>
        </w:trPr>
        <w:tc>
          <w:tcPr>
            <w:tcW w:w="1839" w:type="dxa"/>
          </w:tcPr>
          <w:p w:rsidR="006A18FD" w:rsidRDefault="002D29FC">
            <w:pPr>
              <w:spacing w:before="123"/>
              <w:ind w:left="105"/>
              <w:rPr>
                <w:rFonts w:ascii="Calibri"/>
                <w:b/>
                <w:sz w:val="20"/>
              </w:rPr>
            </w:pPr>
            <w:r>
              <w:rPr>
                <w:rFonts w:ascii="Calibri"/>
                <w:b/>
                <w:sz w:val="20"/>
              </w:rPr>
              <w:t>Band 5</w:t>
            </w:r>
          </w:p>
        </w:tc>
        <w:tc>
          <w:tcPr>
            <w:tcW w:w="8224" w:type="dxa"/>
          </w:tcPr>
          <w:p w:rsidR="006A18FD" w:rsidRDefault="002D29FC">
            <w:pPr>
              <w:spacing w:before="121"/>
              <w:ind w:left="103"/>
              <w:rPr>
                <w:rFonts w:ascii="Calibri"/>
                <w:sz w:val="20"/>
              </w:rPr>
            </w:pPr>
            <w:r>
              <w:rPr>
                <w:rFonts w:ascii="Calibri"/>
                <w:sz w:val="20"/>
              </w:rPr>
              <w:t>Physiotherapist, Occupational therapist, Speech and language therapist, Podiatrist, Clinical psychology assistant practitioner (higher level), Counsellor (entry level).</w:t>
            </w:r>
          </w:p>
        </w:tc>
      </w:tr>
      <w:tr w:rsidR="006A18FD">
        <w:trPr>
          <w:trHeight w:val="960"/>
        </w:trPr>
        <w:tc>
          <w:tcPr>
            <w:tcW w:w="1839" w:type="dxa"/>
          </w:tcPr>
          <w:p w:rsidR="006A18FD" w:rsidRDefault="002D29FC">
            <w:pPr>
              <w:spacing w:before="121"/>
              <w:ind w:left="105"/>
              <w:rPr>
                <w:rFonts w:ascii="Calibri"/>
                <w:b/>
                <w:sz w:val="20"/>
              </w:rPr>
            </w:pPr>
            <w:r>
              <w:rPr>
                <w:rFonts w:ascii="Calibri"/>
                <w:b/>
                <w:sz w:val="20"/>
              </w:rPr>
              <w:t>Band 6</w:t>
            </w:r>
          </w:p>
        </w:tc>
        <w:tc>
          <w:tcPr>
            <w:tcW w:w="8224" w:type="dxa"/>
          </w:tcPr>
          <w:p w:rsidR="006A18FD" w:rsidRDefault="002D29FC">
            <w:pPr>
              <w:spacing w:before="121"/>
              <w:ind w:left="103"/>
              <w:rPr>
                <w:rFonts w:ascii="Calibri"/>
                <w:sz w:val="20"/>
              </w:rPr>
            </w:pPr>
            <w:r>
              <w:rPr>
                <w:rFonts w:ascii="Calibri"/>
                <w:sz w:val="20"/>
              </w:rPr>
              <w:t>Physiotherapist specialist, Occupational therapist specialist, Speech and language therapist specialist, Podiatrist specialist, Clinical psychology trainee, Counsellor, Pharmacist, Arts therapist (entry level).</w:t>
            </w:r>
          </w:p>
        </w:tc>
      </w:tr>
      <w:tr w:rsidR="006A18FD">
        <w:trPr>
          <w:trHeight w:val="1200"/>
        </w:trPr>
        <w:tc>
          <w:tcPr>
            <w:tcW w:w="1839" w:type="dxa"/>
          </w:tcPr>
          <w:p w:rsidR="006A18FD" w:rsidRDefault="002D29FC">
            <w:pPr>
              <w:spacing w:before="124"/>
              <w:ind w:left="105"/>
              <w:rPr>
                <w:rFonts w:ascii="Calibri"/>
                <w:b/>
                <w:sz w:val="20"/>
              </w:rPr>
            </w:pPr>
            <w:r>
              <w:rPr>
                <w:rFonts w:ascii="Calibri"/>
                <w:b/>
                <w:sz w:val="20"/>
              </w:rPr>
              <w:t>Band 7</w:t>
            </w:r>
          </w:p>
        </w:tc>
        <w:tc>
          <w:tcPr>
            <w:tcW w:w="8224" w:type="dxa"/>
          </w:tcPr>
          <w:p w:rsidR="006A18FD" w:rsidRDefault="002D29FC">
            <w:pPr>
              <w:spacing w:before="121"/>
              <w:ind w:left="103"/>
              <w:rPr>
                <w:rFonts w:ascii="Calibri"/>
                <w:sz w:val="20"/>
              </w:rPr>
            </w:pPr>
            <w:r>
              <w:rPr>
                <w:rFonts w:ascii="Calibri"/>
                <w:sz w:val="20"/>
              </w:rPr>
              <w:t>Physiotherapist (advanced), Specialist physiotherapist (respiratory problems), Specialist physiotherapist (community), Physiotherapy team manager, Speech and language therapist (advanced), Podiatrist (advanced), Podiatry team manager, Clinical psychologist, Counsellor (specialist), Arts therapist.</w:t>
            </w:r>
          </w:p>
        </w:tc>
      </w:tr>
      <w:tr w:rsidR="006A18FD">
        <w:trPr>
          <w:trHeight w:val="720"/>
        </w:trPr>
        <w:tc>
          <w:tcPr>
            <w:tcW w:w="1839" w:type="dxa"/>
          </w:tcPr>
          <w:p w:rsidR="006A18FD" w:rsidRDefault="002D29FC">
            <w:pPr>
              <w:spacing w:before="123"/>
              <w:ind w:left="105"/>
              <w:rPr>
                <w:rFonts w:ascii="Calibri"/>
                <w:b/>
                <w:sz w:val="20"/>
              </w:rPr>
            </w:pPr>
            <w:r>
              <w:rPr>
                <w:rFonts w:ascii="Calibri"/>
                <w:b/>
                <w:sz w:val="20"/>
              </w:rPr>
              <w:t>Band 8a</w:t>
            </w:r>
          </w:p>
        </w:tc>
        <w:tc>
          <w:tcPr>
            <w:tcW w:w="8224" w:type="dxa"/>
          </w:tcPr>
          <w:p w:rsidR="006A18FD" w:rsidRDefault="002D29FC">
            <w:pPr>
              <w:spacing w:before="121"/>
              <w:ind w:left="103" w:right="326"/>
              <w:rPr>
                <w:rFonts w:ascii="Calibri"/>
                <w:sz w:val="20"/>
              </w:rPr>
            </w:pPr>
            <w:r>
              <w:rPr>
                <w:rFonts w:ascii="Calibri"/>
                <w:sz w:val="20"/>
              </w:rPr>
              <w:t>Physiotherapist principal, Occupational therapist principal, Speech and language therapist principal, Podiatrist principal.</w:t>
            </w:r>
          </w:p>
        </w:tc>
      </w:tr>
      <w:tr w:rsidR="006A18FD">
        <w:trPr>
          <w:trHeight w:val="720"/>
        </w:trPr>
        <w:tc>
          <w:tcPr>
            <w:tcW w:w="1839" w:type="dxa"/>
          </w:tcPr>
          <w:p w:rsidR="006A18FD" w:rsidRDefault="002D29FC">
            <w:pPr>
              <w:spacing w:before="121"/>
              <w:ind w:left="105"/>
              <w:rPr>
                <w:rFonts w:ascii="Calibri"/>
                <w:b/>
                <w:sz w:val="20"/>
              </w:rPr>
            </w:pPr>
            <w:r>
              <w:rPr>
                <w:rFonts w:ascii="Calibri"/>
                <w:b/>
                <w:sz w:val="20"/>
              </w:rPr>
              <w:t>Band 8a-b</w:t>
            </w:r>
          </w:p>
        </w:tc>
        <w:tc>
          <w:tcPr>
            <w:tcW w:w="8224" w:type="dxa"/>
          </w:tcPr>
          <w:p w:rsidR="006A18FD" w:rsidRDefault="002D29FC">
            <w:pPr>
              <w:spacing w:before="121"/>
              <w:ind w:left="103" w:right="326"/>
              <w:rPr>
                <w:rFonts w:ascii="Calibri"/>
                <w:sz w:val="20"/>
              </w:rPr>
            </w:pPr>
            <w:r>
              <w:rPr>
                <w:rFonts w:ascii="Calibri"/>
                <w:sz w:val="20"/>
              </w:rPr>
              <w:t>Physiotherapist consultant, Occupational therapist consultant, Clinical psychologist principal, Speech and language therapist principal, Podiatric consultant (surgery), Arts therapist principal.</w:t>
            </w:r>
          </w:p>
        </w:tc>
      </w:tr>
      <w:tr w:rsidR="006A18FD">
        <w:trPr>
          <w:trHeight w:val="720"/>
        </w:trPr>
        <w:tc>
          <w:tcPr>
            <w:tcW w:w="1839" w:type="dxa"/>
          </w:tcPr>
          <w:p w:rsidR="006A18FD" w:rsidRDefault="002D29FC">
            <w:pPr>
              <w:spacing w:before="121"/>
              <w:ind w:left="105"/>
              <w:rPr>
                <w:rFonts w:ascii="Calibri"/>
                <w:b/>
                <w:sz w:val="20"/>
              </w:rPr>
            </w:pPr>
            <w:r>
              <w:rPr>
                <w:rFonts w:ascii="Calibri"/>
                <w:b/>
                <w:sz w:val="20"/>
              </w:rPr>
              <w:t>Band 8a-c</w:t>
            </w:r>
          </w:p>
        </w:tc>
        <w:tc>
          <w:tcPr>
            <w:tcW w:w="8224" w:type="dxa"/>
          </w:tcPr>
          <w:p w:rsidR="006A18FD" w:rsidRDefault="002D29FC">
            <w:pPr>
              <w:spacing w:before="121"/>
              <w:ind w:left="103" w:right="326"/>
              <w:rPr>
                <w:rFonts w:ascii="Calibri"/>
                <w:sz w:val="20"/>
              </w:rPr>
            </w:pPr>
            <w:r>
              <w:rPr>
                <w:rFonts w:ascii="Calibri"/>
                <w:sz w:val="20"/>
              </w:rPr>
              <w:t>Counsellor professional manager, Counsellor consultant, Consultant speech and language therapist.</w:t>
            </w:r>
          </w:p>
        </w:tc>
      </w:tr>
      <w:tr w:rsidR="006A18FD">
        <w:trPr>
          <w:trHeight w:val="720"/>
        </w:trPr>
        <w:tc>
          <w:tcPr>
            <w:tcW w:w="1839" w:type="dxa"/>
          </w:tcPr>
          <w:p w:rsidR="006A18FD" w:rsidRDefault="002D29FC">
            <w:pPr>
              <w:spacing w:before="122"/>
              <w:ind w:left="105"/>
              <w:rPr>
                <w:rFonts w:ascii="Calibri"/>
                <w:b/>
                <w:sz w:val="20"/>
              </w:rPr>
            </w:pPr>
            <w:r>
              <w:rPr>
                <w:rFonts w:ascii="Calibri"/>
                <w:b/>
                <w:sz w:val="20"/>
              </w:rPr>
              <w:t>Band 8c-d</w:t>
            </w:r>
          </w:p>
        </w:tc>
        <w:tc>
          <w:tcPr>
            <w:tcW w:w="8224" w:type="dxa"/>
          </w:tcPr>
          <w:p w:rsidR="006A18FD" w:rsidRDefault="002D29FC">
            <w:pPr>
              <w:spacing w:before="122"/>
              <w:ind w:left="103" w:right="739"/>
              <w:rPr>
                <w:rFonts w:ascii="Calibri"/>
                <w:sz w:val="20"/>
              </w:rPr>
            </w:pPr>
            <w:r>
              <w:rPr>
                <w:rFonts w:ascii="Calibri"/>
                <w:sz w:val="20"/>
              </w:rPr>
              <w:t>Clinical psychologist consultant, Podiatric consultant (surgery), Head of arts therapies, Arts therapies consultant.</w:t>
            </w:r>
          </w:p>
        </w:tc>
      </w:tr>
      <w:tr w:rsidR="006A18FD">
        <w:trPr>
          <w:trHeight w:val="720"/>
        </w:trPr>
        <w:tc>
          <w:tcPr>
            <w:tcW w:w="1839" w:type="dxa"/>
          </w:tcPr>
          <w:p w:rsidR="006A18FD" w:rsidRDefault="002D29FC">
            <w:pPr>
              <w:spacing w:before="121"/>
              <w:ind w:left="105"/>
              <w:rPr>
                <w:rFonts w:ascii="Calibri"/>
                <w:b/>
                <w:sz w:val="20"/>
              </w:rPr>
            </w:pPr>
            <w:r>
              <w:rPr>
                <w:rFonts w:ascii="Calibri"/>
                <w:b/>
                <w:sz w:val="20"/>
              </w:rPr>
              <w:t>Band 8d-9</w:t>
            </w:r>
          </w:p>
        </w:tc>
        <w:tc>
          <w:tcPr>
            <w:tcW w:w="8224" w:type="dxa"/>
          </w:tcPr>
          <w:p w:rsidR="006A18FD" w:rsidRDefault="002D29FC">
            <w:pPr>
              <w:spacing w:before="121"/>
              <w:ind w:left="103" w:right="764"/>
              <w:rPr>
                <w:rFonts w:ascii="Calibri"/>
                <w:sz w:val="20"/>
              </w:rPr>
            </w:pPr>
            <w:r>
              <w:rPr>
                <w:rFonts w:ascii="Calibri"/>
                <w:sz w:val="20"/>
              </w:rPr>
              <w:t>Clinical psychologist consultant (professional), Lead/head of psychology services, Podiatric consultant (surgery), Head of service.</w:t>
            </w:r>
          </w:p>
        </w:tc>
      </w:tr>
    </w:tbl>
    <w:p w:rsidR="006A18FD" w:rsidRDefault="006A18FD">
      <w:pPr>
        <w:rPr>
          <w:rFonts w:ascii="Calibri"/>
          <w:sz w:val="20"/>
        </w:rPr>
        <w:sectPr w:rsidR="006A18FD">
          <w:headerReference w:type="default" r:id="rId432"/>
          <w:pgSz w:w="11910" w:h="16840"/>
          <w:pgMar w:top="660" w:right="580" w:bottom="280" w:left="980" w:header="0"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85" name="Line 42"/>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1E30C7" id="Group 41"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NLgYf18AgAAfwUAAA4A&#10;AAAAAAAAAAAAAAAALgIAAGRycy9lMm9Eb2MueG1sUEsBAi0AFAAGAAgAAAAhAC135FzaAAAABAEA&#10;AA8AAAAAAAAAAAAAAAAA1gQAAGRycy9kb3ducmV2LnhtbFBLBQYAAAAABAAEAPMAAADdBQAAAAA=&#10;">
                <v:line id="Line 42"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w10:anchorlock/>
              </v:group>
            </w:pict>
          </mc:Fallback>
        </mc:AlternateContent>
      </w:r>
    </w:p>
    <w:p w:rsidR="006A18FD" w:rsidRDefault="002D29FC">
      <w:pPr>
        <w:spacing w:before="182"/>
        <w:ind w:left="140"/>
        <w:rPr>
          <w:rFonts w:ascii="Calibri"/>
          <w:b/>
          <w:sz w:val="18"/>
        </w:rPr>
      </w:pPr>
      <w:r>
        <w:rPr>
          <w:rFonts w:ascii="Calibri"/>
          <w:b/>
          <w:sz w:val="18"/>
        </w:rPr>
        <w:t>A Wages/salary</w:t>
      </w:r>
    </w:p>
    <w:p w:rsidR="006A18FD" w:rsidRDefault="002D29FC">
      <w:pPr>
        <w:spacing w:before="151" w:line="276" w:lineRule="auto"/>
        <w:ind w:left="140" w:right="284"/>
        <w:rPr>
          <w:rFonts w:ascii="Calibri" w:hAnsi="Calibri"/>
          <w:sz w:val="18"/>
        </w:rPr>
      </w:pPr>
      <w:r>
        <w:rPr>
          <w:rFonts w:ascii="Calibri" w:hAnsi="Calibri"/>
          <w:sz w:val="18"/>
        </w:rPr>
        <w:t>Based on the mean full-time equivalent basic salary for Agenda for Change (AfC) bands 4-9 of the May 2018/April 2019 NHS staff earnings estimates for allied health professionals.</w:t>
      </w:r>
      <w:r>
        <w:rPr>
          <w:rFonts w:ascii="Calibri" w:hAnsi="Calibri"/>
          <w:position w:val="5"/>
          <w:sz w:val="12"/>
        </w:rPr>
        <w:t xml:space="preserve">1 </w:t>
      </w:r>
      <w:r>
        <w:rPr>
          <w:rFonts w:ascii="Calibri" w:hAnsi="Calibri"/>
          <w:sz w:val="18"/>
        </w:rPr>
        <w:t xml:space="preserve">See </w:t>
      </w:r>
      <w:r>
        <w:rPr>
          <w:rFonts w:ascii="Calibri" w:hAnsi="Calibri"/>
          <w:i/>
          <w:sz w:val="18"/>
        </w:rPr>
        <w:t xml:space="preserve">NHS terms and conditions of service handbook </w:t>
      </w:r>
      <w:r>
        <w:rPr>
          <w:rFonts w:ascii="Calibri" w:hAnsi="Calibri"/>
          <w:sz w:val="18"/>
        </w:rPr>
        <w:t>for information on payment for unsocial hours.</w:t>
      </w:r>
      <w:r>
        <w:rPr>
          <w:rFonts w:ascii="Calibri" w:hAnsi="Calibri"/>
          <w:position w:val="5"/>
          <w:sz w:val="12"/>
        </w:rPr>
        <w:t xml:space="preserve">2 </w:t>
      </w:r>
      <w:r>
        <w:rPr>
          <w:rFonts w:ascii="Calibri" w:hAnsi="Calibri"/>
          <w:sz w:val="18"/>
        </w:rPr>
        <w:t>The Electronic Staff Records (ESR) system shows that the mean basic salary for all physiotherapists is £34,731; occupational therapists, £33,442; speech and language therapists, £34,892; dietitians, £34,810; and radiographers (diagnostic and therapeutic), £34,386.</w:t>
      </w:r>
    </w:p>
    <w:p w:rsidR="006A18FD" w:rsidRDefault="002D29FC">
      <w:pPr>
        <w:spacing w:before="118"/>
        <w:ind w:left="140"/>
        <w:rPr>
          <w:rFonts w:ascii="Calibri"/>
          <w:b/>
          <w:sz w:val="18"/>
        </w:rPr>
      </w:pPr>
      <w:r>
        <w:rPr>
          <w:rFonts w:ascii="Calibri"/>
          <w:b/>
          <w:sz w:val="18"/>
        </w:rPr>
        <w:t>B Salary oncosts</w:t>
      </w:r>
    </w:p>
    <w:p w:rsidR="006A18FD" w:rsidRDefault="002D29FC">
      <w:pPr>
        <w:spacing w:before="154"/>
        <w:ind w:left="140"/>
        <w:rPr>
          <w:rFonts w:ascii="Calibri" w:hAnsi="Calibri"/>
          <w:sz w:val="18"/>
        </w:rPr>
      </w:pPr>
      <w:r>
        <w:rPr>
          <w:rFonts w:ascii="Calibri" w:hAnsi="Calibri"/>
          <w:sz w:val="18"/>
        </w:rPr>
        <w:t>Employer’s national insurance is included, plus 14.38 per cent of salary for employer’s contribution to superannuation.</w:t>
      </w:r>
    </w:p>
    <w:p w:rsidR="006A18FD" w:rsidRDefault="002D29FC">
      <w:pPr>
        <w:spacing w:before="152"/>
        <w:ind w:left="140"/>
        <w:rPr>
          <w:rFonts w:ascii="Calibri"/>
          <w:b/>
          <w:sz w:val="18"/>
        </w:rPr>
      </w:pPr>
      <w:r>
        <w:rPr>
          <w:rFonts w:ascii="Calibri"/>
          <w:b/>
          <w:sz w:val="18"/>
        </w:rPr>
        <w:t>C Qualification costs</w:t>
      </w:r>
    </w:p>
    <w:p w:rsidR="006A18FD" w:rsidRDefault="002D29FC">
      <w:pPr>
        <w:spacing w:before="152" w:line="276" w:lineRule="auto"/>
        <w:ind w:left="140" w:right="371"/>
        <w:rPr>
          <w:rFonts w:ascii="Calibri"/>
          <w:sz w:val="18"/>
        </w:rPr>
      </w:pPr>
      <w:r>
        <w:rPr>
          <w:rFonts w:ascii="Calibri"/>
          <w:sz w:val="18"/>
        </w:rPr>
        <w:t>See Section V for detailed information on qualifications for each category of scientific and professional staff. These costs have been calculated using the method described in Netten et al. (1998).</w:t>
      </w:r>
      <w:r>
        <w:rPr>
          <w:rFonts w:ascii="Calibri"/>
          <w:position w:val="5"/>
          <w:sz w:val="12"/>
        </w:rPr>
        <w:t xml:space="preserve">3 </w:t>
      </w:r>
      <w:r>
        <w:rPr>
          <w:rFonts w:ascii="Calibri"/>
          <w:sz w:val="18"/>
        </w:rPr>
        <w:t>Current cost information has been gathered from various sources (see Schema 18). To calculate the cost per hour including qualifications for each profession, the appropriate expected annual cost shown in Chapter 18 should be divided by the number of working hours. This can then be added to the cost per working hour.</w:t>
      </w:r>
    </w:p>
    <w:p w:rsidR="006A18FD" w:rsidRDefault="002D29FC">
      <w:pPr>
        <w:spacing w:before="119" w:line="276" w:lineRule="auto"/>
        <w:ind w:left="140" w:right="533"/>
        <w:rPr>
          <w:rFonts w:ascii="Calibri"/>
          <w:sz w:val="18"/>
        </w:rPr>
      </w:pPr>
      <w:r>
        <w:rPr>
          <w:rFonts w:ascii="Calibri"/>
          <w:sz w:val="18"/>
        </w:rPr>
        <w:t>Note that the cost of the clinical placement for pharmacists has been provided by Dr Lynne Bollington.</w:t>
      </w:r>
      <w:r>
        <w:rPr>
          <w:rFonts w:ascii="Calibri"/>
          <w:position w:val="5"/>
          <w:sz w:val="12"/>
        </w:rPr>
        <w:t xml:space="preserve">4 </w:t>
      </w:r>
      <w:r>
        <w:rPr>
          <w:rFonts w:ascii="Calibri"/>
          <w:sz w:val="18"/>
        </w:rPr>
        <w:t>These costs exclude external training courses that supplement work-based learning and may cover specific components of the General Pharmaceutical Council's performance standards and/or examination syllabus. See Schema 18 for more details on training.</w:t>
      </w:r>
    </w:p>
    <w:p w:rsidR="006A18FD" w:rsidRDefault="002D29FC">
      <w:pPr>
        <w:spacing w:before="119"/>
        <w:ind w:left="140"/>
        <w:rPr>
          <w:rFonts w:ascii="Calibri"/>
          <w:b/>
          <w:sz w:val="18"/>
        </w:rPr>
      </w:pPr>
      <w:r>
        <w:rPr>
          <w:rFonts w:ascii="Calibri"/>
          <w:b/>
          <w:sz w:val="18"/>
        </w:rPr>
        <w:t>D Overheads</w:t>
      </w:r>
    </w:p>
    <w:p w:rsidR="006A18FD" w:rsidRDefault="002D29FC">
      <w:pPr>
        <w:spacing w:before="152" w:line="276" w:lineRule="auto"/>
        <w:ind w:left="140" w:right="195"/>
        <w:rPr>
          <w:rFonts w:ascii="Calibri"/>
          <w:sz w:val="18"/>
        </w:rPr>
      </w:pPr>
      <w:r>
        <w:rPr>
          <w:rFonts w:ascii="Calibri"/>
          <w:sz w:val="18"/>
        </w:rPr>
        <w:t xml:space="preserve">Taken from </w:t>
      </w:r>
      <w:r>
        <w:rPr>
          <w:rFonts w:ascii="Calibri"/>
          <w:i/>
          <w:sz w:val="18"/>
        </w:rPr>
        <w:t>NHS foundation trusts accounts: consolidated (FTC) files 2014/2015</w:t>
      </w:r>
      <w:r>
        <w:rPr>
          <w:rFonts w:ascii="Calibri"/>
          <w:sz w:val="18"/>
        </w:rPr>
        <w:t>.</w:t>
      </w:r>
      <w:r>
        <w:rPr>
          <w:rFonts w:ascii="Calibri"/>
          <w:position w:val="5"/>
          <w:sz w:val="12"/>
        </w:rPr>
        <w:t xml:space="preserve">5 </w:t>
      </w:r>
      <w:r>
        <w:rPr>
          <w:rFonts w:ascii="Calibri"/>
          <w:sz w:val="18"/>
        </w:rPr>
        <w:t>Management and other non-care staff costs were 24.2 per cent of direct care salary costs and included administration and estates staff. Non-staff costs were 43.1 per cent of direct care salary costs. They include costs to the provider for drugs, office, travel/transport, publishing, training courses and conferences, supplies and services (clinical and general), and utilities such as water, gas and electricity.</w:t>
      </w:r>
    </w:p>
    <w:p w:rsidR="006A18FD" w:rsidRDefault="002D29FC">
      <w:pPr>
        <w:spacing w:before="121"/>
        <w:ind w:left="140"/>
        <w:rPr>
          <w:rFonts w:ascii="Calibri"/>
          <w:b/>
          <w:sz w:val="18"/>
        </w:rPr>
      </w:pPr>
      <w:r>
        <w:rPr>
          <w:rFonts w:ascii="Calibri"/>
          <w:b/>
          <w:sz w:val="18"/>
        </w:rPr>
        <w:t>E Capital overheads</w:t>
      </w:r>
    </w:p>
    <w:p w:rsidR="006A18FD" w:rsidRDefault="002D29FC">
      <w:pPr>
        <w:spacing w:before="151" w:line="276" w:lineRule="auto"/>
        <w:ind w:left="140" w:right="1035"/>
        <w:rPr>
          <w:rFonts w:ascii="Calibri"/>
          <w:sz w:val="12"/>
        </w:rPr>
      </w:pPr>
      <w:r>
        <w:rPr>
          <w:rFonts w:ascii="Calibri"/>
          <w:sz w:val="18"/>
        </w:rPr>
        <w:t>Based on the new-build and land requirements of NHS hospital facilities, but adjusted to reflect shared use of office space for administration, and recreational and changing facilities.</w:t>
      </w:r>
      <w:r>
        <w:rPr>
          <w:rFonts w:ascii="Calibri"/>
          <w:position w:val="5"/>
          <w:sz w:val="12"/>
        </w:rPr>
        <w:t>6,7</w:t>
      </w:r>
    </w:p>
    <w:p w:rsidR="006A18FD" w:rsidRDefault="002D29FC">
      <w:pPr>
        <w:spacing w:before="119"/>
        <w:ind w:left="140"/>
        <w:rPr>
          <w:rFonts w:ascii="Calibri"/>
          <w:b/>
          <w:sz w:val="18"/>
        </w:rPr>
      </w:pPr>
      <w:r>
        <w:rPr>
          <w:rFonts w:ascii="Calibri"/>
          <w:b/>
          <w:sz w:val="18"/>
        </w:rPr>
        <w:t>F Working time</w:t>
      </w:r>
    </w:p>
    <w:p w:rsidR="006A18FD" w:rsidRDefault="002D29FC">
      <w:pPr>
        <w:spacing w:before="155" w:line="276" w:lineRule="auto"/>
        <w:ind w:left="140" w:right="773"/>
        <w:rPr>
          <w:rFonts w:ascii="Calibri"/>
          <w:sz w:val="18"/>
        </w:rPr>
      </w:pPr>
      <w:r>
        <w:rPr>
          <w:rFonts w:ascii="Calibri"/>
          <w:sz w:val="18"/>
        </w:rPr>
        <w:t>Working hours for each AfC band have been calculated by deducting sickness absence days as reported for NHS staff groups</w:t>
      </w:r>
      <w:r>
        <w:rPr>
          <w:rFonts w:ascii="Calibri"/>
          <w:position w:val="5"/>
          <w:sz w:val="12"/>
        </w:rPr>
        <w:t xml:space="preserve">8 </w:t>
      </w:r>
      <w:r>
        <w:rPr>
          <w:rFonts w:ascii="Calibri"/>
          <w:sz w:val="18"/>
        </w:rPr>
        <w:t>and training/study days from 225 working days per annum.</w:t>
      </w:r>
    </w:p>
    <w:p w:rsidR="006A18FD" w:rsidRDefault="002D29FC">
      <w:pPr>
        <w:spacing w:before="119"/>
        <w:ind w:left="140"/>
        <w:rPr>
          <w:rFonts w:ascii="Calibri"/>
          <w:b/>
          <w:sz w:val="18"/>
        </w:rPr>
      </w:pPr>
      <w:r>
        <w:rPr>
          <w:rFonts w:ascii="Calibri"/>
          <w:b/>
          <w:sz w:val="18"/>
        </w:rPr>
        <w:t>H Ratio of direct to patient-related time</w:t>
      </w:r>
    </w:p>
    <w:p w:rsidR="006A18FD" w:rsidRDefault="002D29FC">
      <w:pPr>
        <w:spacing w:before="154" w:line="276" w:lineRule="auto"/>
        <w:ind w:left="140" w:right="506"/>
        <w:rPr>
          <w:rFonts w:ascii="Calibri"/>
          <w:sz w:val="18"/>
        </w:rPr>
      </w:pPr>
      <w:r>
        <w:rPr>
          <w:rFonts w:ascii="Calibri"/>
          <w:sz w:val="18"/>
        </w:rPr>
        <w:t>See previous editions for time spent on patient-related activities. See also Section V for information on a PSSRU survey carried out in 2014/2015 providing estimates of time use for hospital-based staff.</w:t>
      </w:r>
    </w:p>
    <w:p w:rsidR="006A18FD" w:rsidRDefault="002D29FC">
      <w:pPr>
        <w:spacing w:before="119"/>
        <w:ind w:left="140"/>
        <w:rPr>
          <w:rFonts w:ascii="Calibri"/>
          <w:b/>
          <w:sz w:val="18"/>
        </w:rPr>
      </w:pPr>
      <w:r>
        <w:rPr>
          <w:rFonts w:ascii="Calibri"/>
          <w:b/>
          <w:sz w:val="18"/>
        </w:rPr>
        <w:t>London and non-London multipliers</w:t>
      </w:r>
    </w:p>
    <w:p w:rsidR="006A18FD" w:rsidRDefault="002D29FC">
      <w:pPr>
        <w:spacing w:before="152" w:line="276" w:lineRule="auto"/>
        <w:ind w:left="140" w:right="229"/>
        <w:jc w:val="both"/>
        <w:rPr>
          <w:rFonts w:ascii="Calibri"/>
          <w:sz w:val="18"/>
        </w:rPr>
      </w:pPr>
      <w:r>
        <w:rPr>
          <w:rFonts w:ascii="Calibri"/>
          <w:sz w:val="18"/>
        </w:rPr>
        <w:t>See information produced by NHS Employers</w:t>
      </w:r>
      <w:r>
        <w:rPr>
          <w:rFonts w:ascii="Calibri"/>
          <w:position w:val="5"/>
          <w:sz w:val="12"/>
        </w:rPr>
        <w:t xml:space="preserve">9 </w:t>
      </w:r>
      <w:r>
        <w:rPr>
          <w:rFonts w:ascii="Calibri"/>
          <w:sz w:val="18"/>
        </w:rPr>
        <w:t>and NHS Improvement</w:t>
      </w:r>
      <w:r>
        <w:rPr>
          <w:rFonts w:ascii="Calibri"/>
          <w:position w:val="5"/>
          <w:sz w:val="12"/>
        </w:rPr>
        <w:t xml:space="preserve">10 </w:t>
      </w:r>
      <w:r>
        <w:rPr>
          <w:rFonts w:ascii="Calibri"/>
          <w:sz w:val="18"/>
        </w:rPr>
        <w:t>for information on Inner and Outer London supplements and the market forces factor (MFF) which estimates the unavoidable cost differences between healthcare providers, based on their geographical location.</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12" w:line="171" w:lineRule="exact"/>
        <w:ind w:left="140"/>
        <w:rPr>
          <w:rFonts w:ascii="Times New Roman" w:hAnsi="Times New Roman"/>
          <w:sz w:val="14"/>
        </w:rPr>
      </w:pPr>
      <w:r>
        <w:rPr>
          <w:rFonts w:ascii="Calibri" w:hAnsi="Calibri"/>
          <w:position w:val="4"/>
          <w:sz w:val="9"/>
        </w:rPr>
        <w:t xml:space="preserve">1 </w:t>
      </w:r>
      <w:r>
        <w:rPr>
          <w:rFonts w:ascii="Calibri" w:hAnsi="Calibri"/>
          <w:sz w:val="14"/>
        </w:rPr>
        <w:t xml:space="preserve">NHS Digital (2019) </w:t>
      </w:r>
      <w:r>
        <w:rPr>
          <w:rFonts w:ascii="Calibri" w:hAnsi="Calibri"/>
          <w:i/>
          <w:sz w:val="14"/>
        </w:rPr>
        <w:t xml:space="preserve">NHS staff earnings estimates, 12-month period from May 2018 – April 2019 </w:t>
      </w:r>
      <w:r>
        <w:rPr>
          <w:rFonts w:ascii="Calibri" w:hAnsi="Calibri"/>
          <w:sz w:val="14"/>
        </w:rPr>
        <w:t>(not publicly available), NHS Digital, Leeds</w:t>
      </w:r>
      <w:r>
        <w:rPr>
          <w:rFonts w:ascii="Times New Roman" w:hAnsi="Times New Roman"/>
          <w:sz w:val="14"/>
        </w:rPr>
        <w:t>.</w:t>
      </w:r>
    </w:p>
    <w:p w:rsidR="006A18FD" w:rsidRDefault="002D29FC">
      <w:pPr>
        <w:spacing w:line="170" w:lineRule="exact"/>
        <w:ind w:left="140"/>
        <w:rPr>
          <w:rFonts w:ascii="Calibri"/>
          <w:sz w:val="14"/>
        </w:rPr>
      </w:pPr>
      <w:r>
        <w:rPr>
          <w:rFonts w:ascii="Calibri"/>
          <w:position w:val="4"/>
          <w:sz w:val="9"/>
        </w:rPr>
        <w:t xml:space="preserve">2 </w:t>
      </w:r>
      <w:r>
        <w:rPr>
          <w:rFonts w:ascii="Calibri"/>
          <w:sz w:val="14"/>
        </w:rPr>
        <w:t xml:space="preserve">NHS Employers (2018) </w:t>
      </w:r>
      <w:r>
        <w:rPr>
          <w:rFonts w:ascii="Calibri"/>
          <w:i/>
          <w:sz w:val="14"/>
        </w:rPr>
        <w:t xml:space="preserve">NHS Terms and Conditions of Service Handbook, </w:t>
      </w:r>
      <w:r>
        <w:rPr>
          <w:rFonts w:ascii="Calibri"/>
          <w:sz w:val="14"/>
        </w:rPr>
        <w:t xml:space="preserve">NHS Employers, London. </w:t>
      </w:r>
      <w:hyperlink r:id="rId433">
        <w:r>
          <w:rPr>
            <w:rFonts w:ascii="Calibri"/>
            <w:sz w:val="14"/>
            <w:u w:val="single"/>
          </w:rPr>
          <w:t>http://www.nhsemployers.org/tchandbook</w:t>
        </w:r>
        <w:r>
          <w:rPr>
            <w:rFonts w:ascii="Calibri"/>
            <w:sz w:val="14"/>
          </w:rPr>
          <w:t xml:space="preserve"> </w:t>
        </w:r>
      </w:hyperlink>
      <w:r>
        <w:rPr>
          <w:rFonts w:ascii="Calibri"/>
          <w:sz w:val="14"/>
        </w:rPr>
        <w:t>[accessed 25 September 2018].</w:t>
      </w:r>
    </w:p>
    <w:p w:rsidR="006A18FD" w:rsidRDefault="002D29FC">
      <w:pPr>
        <w:ind w:left="423" w:right="343" w:hanging="284"/>
        <w:rPr>
          <w:rFonts w:ascii="Calibri"/>
          <w:sz w:val="14"/>
        </w:rPr>
      </w:pPr>
      <w:r>
        <w:rPr>
          <w:rFonts w:ascii="Calibri"/>
          <w:position w:val="4"/>
          <w:sz w:val="9"/>
        </w:rPr>
        <w:t xml:space="preserve">3 </w:t>
      </w:r>
      <w:r>
        <w:rPr>
          <w:rFonts w:ascii="Calibri"/>
          <w:sz w:val="14"/>
        </w:rPr>
        <w:t xml:space="preserve">Netten, A., Knight, J., Dennett, J., Cooley, R. &amp; Slight, A. (1998) </w:t>
      </w:r>
      <w:r>
        <w:rPr>
          <w:rFonts w:ascii="Calibri"/>
          <w:i/>
          <w:sz w:val="14"/>
        </w:rPr>
        <w:t>Development of a ready reckoner for staff costs in the NHS</w:t>
      </w:r>
      <w:r>
        <w:rPr>
          <w:rFonts w:ascii="Calibri"/>
          <w:sz w:val="14"/>
        </w:rPr>
        <w:t>, Vols 1 &amp; 2, Personal Social Services Research Unit, University of Kent, Canterbury.</w:t>
      </w:r>
    </w:p>
    <w:p w:rsidR="006A18FD" w:rsidRDefault="002D29FC">
      <w:pPr>
        <w:spacing w:before="1" w:line="171" w:lineRule="exact"/>
        <w:ind w:left="140"/>
        <w:rPr>
          <w:rFonts w:ascii="Calibri"/>
          <w:sz w:val="14"/>
        </w:rPr>
      </w:pPr>
      <w:r>
        <w:rPr>
          <w:rFonts w:ascii="Calibri"/>
          <w:position w:val="4"/>
          <w:sz w:val="9"/>
        </w:rPr>
        <w:t xml:space="preserve">4 </w:t>
      </w:r>
      <w:r>
        <w:rPr>
          <w:rFonts w:ascii="Calibri"/>
          <w:sz w:val="14"/>
        </w:rPr>
        <w:t xml:space="preserve">Bollington, L. &amp; John, D. (2012) </w:t>
      </w:r>
      <w:r>
        <w:rPr>
          <w:rFonts w:ascii="Calibri"/>
          <w:i/>
          <w:sz w:val="14"/>
        </w:rPr>
        <w:t>Pharmacy education and training in the hospital service in Wales: Identifying demand and developing capacity</w:t>
      </w:r>
      <w:r>
        <w:rPr>
          <w:rFonts w:ascii="Calibri"/>
          <w:sz w:val="14"/>
        </w:rPr>
        <w:t>. STS Publishing, Cardiff.</w:t>
      </w:r>
    </w:p>
    <w:p w:rsidR="006A18FD" w:rsidRDefault="002D29FC">
      <w:pPr>
        <w:ind w:left="423" w:hanging="284"/>
        <w:rPr>
          <w:rFonts w:ascii="Calibri"/>
          <w:sz w:val="14"/>
        </w:rPr>
      </w:pPr>
      <w:r>
        <w:rPr>
          <w:rFonts w:ascii="Calibri"/>
          <w:position w:val="4"/>
          <w:sz w:val="9"/>
        </w:rPr>
        <w:t xml:space="preserve">5 </w:t>
      </w:r>
      <w:r>
        <w:rPr>
          <w:rFonts w:ascii="Calibri"/>
          <w:sz w:val="14"/>
        </w:rPr>
        <w:t xml:space="preserve">Monitor (2016) </w:t>
      </w:r>
      <w:r>
        <w:rPr>
          <w:rFonts w:ascii="Calibri"/>
          <w:i/>
          <w:sz w:val="14"/>
        </w:rPr>
        <w:t>NHS Foundation Trusts: Consolidation (FTC) files 2014/15</w:t>
      </w:r>
      <w:r>
        <w:rPr>
          <w:rFonts w:ascii="Calibri"/>
          <w:sz w:val="14"/>
        </w:rPr>
        <w:t xml:space="preserve">, </w:t>
      </w:r>
      <w:hyperlink r:id="rId434">
        <w:r>
          <w:rPr>
            <w:rFonts w:ascii="Calibri"/>
            <w:sz w:val="14"/>
            <w:u w:val="single"/>
          </w:rPr>
          <w:t>https://www.gov.uk/government/publications/nhs-foundation-trust-accounts-consolidation-ftc-files-</w:t>
        </w:r>
      </w:hyperlink>
      <w:r>
        <w:rPr>
          <w:rFonts w:ascii="Calibri"/>
          <w:sz w:val="14"/>
        </w:rPr>
        <w:t xml:space="preserve"> </w:t>
      </w:r>
      <w:hyperlink r:id="rId435">
        <w:r>
          <w:rPr>
            <w:rFonts w:ascii="Calibri"/>
            <w:sz w:val="14"/>
            <w:u w:val="single"/>
          </w:rPr>
          <w:t>201415</w:t>
        </w:r>
        <w:r>
          <w:rPr>
            <w:rFonts w:ascii="Calibri"/>
            <w:sz w:val="14"/>
          </w:rPr>
          <w:t xml:space="preserve"> </w:t>
        </w:r>
      </w:hyperlink>
      <w:r>
        <w:rPr>
          <w:rFonts w:ascii="Calibri"/>
          <w:sz w:val="14"/>
        </w:rPr>
        <w:t>[accessed 9 October 2017]</w:t>
      </w:r>
    </w:p>
    <w:p w:rsidR="006A18FD" w:rsidRDefault="002D29FC">
      <w:pPr>
        <w:spacing w:line="170" w:lineRule="exact"/>
        <w:ind w:left="140"/>
        <w:rPr>
          <w:rFonts w:ascii="Calibri"/>
          <w:sz w:val="14"/>
        </w:rPr>
      </w:pPr>
      <w:r>
        <w:rPr>
          <w:rFonts w:ascii="Calibri"/>
          <w:position w:val="4"/>
          <w:sz w:val="9"/>
        </w:rPr>
        <w:t xml:space="preserve">6 </w:t>
      </w:r>
      <w:r>
        <w:rPr>
          <w:rFonts w:ascii="Calibri"/>
          <w:sz w:val="14"/>
        </w:rPr>
        <w:t xml:space="preserve">Building Cost Information Service (2017) </w:t>
      </w:r>
      <w:r>
        <w:rPr>
          <w:rFonts w:ascii="Calibri"/>
          <w:i/>
          <w:sz w:val="14"/>
        </w:rPr>
        <w:t>Surveys of tender prices</w:t>
      </w:r>
      <w:r>
        <w:rPr>
          <w:rFonts w:ascii="Calibri"/>
          <w:sz w:val="14"/>
        </w:rPr>
        <w:t>, Royal Institute of Chartered Surveyors, London.</w:t>
      </w:r>
    </w:p>
    <w:p w:rsidR="006A18FD" w:rsidRDefault="002D29FC">
      <w:pPr>
        <w:ind w:left="423" w:right="526" w:hanging="284"/>
        <w:rPr>
          <w:rFonts w:ascii="Calibri"/>
          <w:sz w:val="14"/>
        </w:rPr>
      </w:pPr>
      <w:r>
        <w:rPr>
          <w:rFonts w:ascii="Calibri"/>
          <w:position w:val="4"/>
          <w:sz w:val="9"/>
        </w:rPr>
        <w:t xml:space="preserve">7 </w:t>
      </w:r>
      <w:r>
        <w:rPr>
          <w:rFonts w:ascii="Calibri"/>
          <w:sz w:val="14"/>
        </w:rPr>
        <w:t xml:space="preserve">Ministry of Housing, Communities &amp; Local Government (2018) </w:t>
      </w:r>
      <w:r>
        <w:rPr>
          <w:rFonts w:ascii="Calibri"/>
          <w:i/>
          <w:sz w:val="14"/>
        </w:rPr>
        <w:t>Land value estimates for policy appraisal 2017</w:t>
      </w:r>
      <w:r>
        <w:rPr>
          <w:rFonts w:ascii="Calibri"/>
          <w:sz w:val="14"/>
        </w:rPr>
        <w:t xml:space="preserve">, </w:t>
      </w:r>
      <w:hyperlink r:id="rId436">
        <w:r>
          <w:rPr>
            <w:rFonts w:ascii="Calibri"/>
            <w:sz w:val="14"/>
            <w:u w:val="single"/>
          </w:rPr>
          <w:t>https://www.gov.uk/government/publications/land-value-</w:t>
        </w:r>
      </w:hyperlink>
      <w:r>
        <w:rPr>
          <w:rFonts w:ascii="Calibri"/>
          <w:sz w:val="14"/>
        </w:rPr>
        <w:t xml:space="preserve"> </w:t>
      </w:r>
      <w:hyperlink r:id="rId437">
        <w:r>
          <w:rPr>
            <w:rFonts w:ascii="Calibri"/>
            <w:sz w:val="14"/>
            <w:u w:val="single"/>
          </w:rPr>
          <w:t xml:space="preserve">estimates-for-policy-appraisal-2017 </w:t>
        </w:r>
      </w:hyperlink>
      <w:r>
        <w:rPr>
          <w:rFonts w:ascii="Calibri"/>
          <w:sz w:val="14"/>
          <w:u w:val="single"/>
        </w:rPr>
        <w:t>[accessed 25 September 2018]</w:t>
      </w:r>
    </w:p>
    <w:p w:rsidR="006A18FD" w:rsidRDefault="00E60AD2">
      <w:pPr>
        <w:ind w:left="140" w:right="708"/>
        <w:rPr>
          <w:rFonts w:ascii="Calibri"/>
          <w:sz w:val="14"/>
        </w:rPr>
      </w:pPr>
      <w:r>
        <w:rPr>
          <w:noProof/>
          <w:lang w:val="en-GB" w:eastAsia="en-GB"/>
        </w:rPr>
        <mc:AlternateContent>
          <mc:Choice Requires="wps">
            <w:drawing>
              <wp:anchor distT="0" distB="0" distL="114300" distR="114300" simplePos="0" relativeHeight="251617280" behindDoc="1" locked="0" layoutInCell="1" allowOverlap="1">
                <wp:simplePos x="0" y="0"/>
                <wp:positionH relativeFrom="page">
                  <wp:posOffset>457200</wp:posOffset>
                </wp:positionH>
                <wp:positionV relativeFrom="paragraph">
                  <wp:posOffset>206375</wp:posOffset>
                </wp:positionV>
                <wp:extent cx="4930775" cy="0"/>
                <wp:effectExtent l="9525" t="6350" r="12700" b="12700"/>
                <wp:wrapNone/>
                <wp:docPr id="18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0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6179" id="Line 4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6.25pt" to="424.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" strokeweight=".48pt">
                <w10:wrap anchorx="page"/>
              </v:line>
            </w:pict>
          </mc:Fallback>
        </mc:AlternateContent>
      </w:r>
      <w:r w:rsidR="002D29FC">
        <w:rPr>
          <w:rFonts w:ascii="Calibri"/>
          <w:position w:val="4"/>
          <w:sz w:val="9"/>
        </w:rPr>
        <w:t xml:space="preserve">8 </w:t>
      </w:r>
      <w:r w:rsidR="002D29FC">
        <w:rPr>
          <w:rFonts w:ascii="Calibri"/>
          <w:sz w:val="14"/>
        </w:rPr>
        <w:t xml:space="preserve">NHS Digital, NHS sickness absence rates, January 2019 to March 2019 and Annual Summary 2010-11 to 2018-19, NHS Digital, London. </w:t>
      </w:r>
      <w:hyperlink r:id="rId438">
        <w:r w:rsidR="002D29FC">
          <w:rPr>
            <w:rFonts w:ascii="Calibri"/>
            <w:sz w:val="14"/>
            <w:u w:val="single"/>
          </w:rPr>
          <w:t>https://digital.nhs.uk/data-and-</w:t>
        </w:r>
      </w:hyperlink>
      <w:r w:rsidR="002D29FC">
        <w:rPr>
          <w:rFonts w:ascii="Calibri"/>
          <w:sz w:val="14"/>
        </w:rPr>
        <w:t xml:space="preserve"> </w:t>
      </w:r>
      <w:hyperlink r:id="rId439">
        <w:r w:rsidR="002D29FC">
          <w:rPr>
            <w:rFonts w:ascii="Calibri"/>
            <w:sz w:val="14"/>
          </w:rPr>
          <w:t xml:space="preserve">information/publications/statistical/nhs-sickness-absence-rates/january-2019-to-march-2019-and-annual-summary-2010-11-to-2018-19 </w:t>
        </w:r>
      </w:hyperlink>
      <w:r w:rsidR="002D29FC">
        <w:rPr>
          <w:rFonts w:ascii="Calibri"/>
          <w:sz w:val="14"/>
        </w:rPr>
        <w:t>[accessed 1 October 2019]</w:t>
      </w:r>
    </w:p>
    <w:p w:rsidR="006A18FD" w:rsidRDefault="002D29FC" w:rsidP="008E3FA8">
      <w:pPr>
        <w:numPr>
          <w:ilvl w:val="0"/>
          <w:numId w:val="7"/>
        </w:numPr>
        <w:tabs>
          <w:tab w:val="left" w:pos="241"/>
        </w:tabs>
        <w:spacing w:line="170" w:lineRule="exact"/>
        <w:ind w:hanging="100"/>
        <w:rPr>
          <w:rFonts w:ascii="Calibri"/>
          <w:sz w:val="14"/>
        </w:rPr>
      </w:pPr>
      <w:r>
        <w:rPr>
          <w:rFonts w:ascii="Calibri"/>
          <w:sz w:val="14"/>
        </w:rPr>
        <w:t>NHS</w:t>
      </w:r>
      <w:r>
        <w:rPr>
          <w:rFonts w:ascii="Calibri"/>
          <w:spacing w:val="-6"/>
          <w:sz w:val="14"/>
        </w:rPr>
        <w:t xml:space="preserve"> </w:t>
      </w:r>
      <w:r>
        <w:rPr>
          <w:rFonts w:ascii="Calibri"/>
          <w:sz w:val="14"/>
        </w:rPr>
        <w:t>Employers</w:t>
      </w:r>
      <w:r>
        <w:rPr>
          <w:rFonts w:ascii="Calibri"/>
          <w:spacing w:val="-7"/>
          <w:sz w:val="14"/>
        </w:rPr>
        <w:t xml:space="preserve"> </w:t>
      </w:r>
      <w:r>
        <w:rPr>
          <w:rFonts w:ascii="Calibri"/>
          <w:sz w:val="14"/>
        </w:rPr>
        <w:t>(2019)</w:t>
      </w:r>
      <w:r>
        <w:rPr>
          <w:rFonts w:ascii="Calibri"/>
          <w:spacing w:val="-7"/>
          <w:sz w:val="14"/>
        </w:rPr>
        <w:t xml:space="preserve"> </w:t>
      </w:r>
      <w:r>
        <w:rPr>
          <w:rFonts w:ascii="Calibri"/>
          <w:sz w:val="14"/>
        </w:rPr>
        <w:t>Annex</w:t>
      </w:r>
      <w:r>
        <w:rPr>
          <w:rFonts w:ascii="Calibri"/>
          <w:spacing w:val="-7"/>
          <w:sz w:val="14"/>
        </w:rPr>
        <w:t xml:space="preserve"> </w:t>
      </w:r>
      <w:r>
        <w:rPr>
          <w:rFonts w:ascii="Calibri"/>
          <w:sz w:val="14"/>
        </w:rPr>
        <w:t>9:</w:t>
      </w:r>
      <w:r>
        <w:rPr>
          <w:rFonts w:ascii="Calibri"/>
          <w:spacing w:val="-7"/>
          <w:sz w:val="14"/>
        </w:rPr>
        <w:t xml:space="preserve"> </w:t>
      </w:r>
      <w:r>
        <w:rPr>
          <w:rFonts w:ascii="Calibri"/>
          <w:sz w:val="14"/>
        </w:rPr>
        <w:t>High</w:t>
      </w:r>
      <w:r>
        <w:rPr>
          <w:rFonts w:ascii="Calibri"/>
          <w:spacing w:val="-7"/>
          <w:sz w:val="14"/>
        </w:rPr>
        <w:t xml:space="preserve"> </w:t>
      </w:r>
      <w:r>
        <w:rPr>
          <w:rFonts w:ascii="Calibri"/>
          <w:sz w:val="14"/>
        </w:rPr>
        <w:t>cost</w:t>
      </w:r>
      <w:r>
        <w:rPr>
          <w:rFonts w:ascii="Calibri"/>
          <w:spacing w:val="-7"/>
          <w:sz w:val="14"/>
        </w:rPr>
        <w:t xml:space="preserve"> </w:t>
      </w:r>
      <w:r>
        <w:rPr>
          <w:rFonts w:ascii="Calibri"/>
          <w:sz w:val="14"/>
        </w:rPr>
        <w:t>area</w:t>
      </w:r>
      <w:r>
        <w:rPr>
          <w:rFonts w:ascii="Calibri"/>
          <w:spacing w:val="-7"/>
          <w:sz w:val="14"/>
        </w:rPr>
        <w:t xml:space="preserve"> </w:t>
      </w:r>
      <w:r>
        <w:rPr>
          <w:rFonts w:ascii="Calibri"/>
          <w:sz w:val="14"/>
        </w:rPr>
        <w:t>supplements,</w:t>
      </w:r>
      <w:r>
        <w:rPr>
          <w:rFonts w:ascii="Calibri"/>
          <w:spacing w:val="-3"/>
          <w:sz w:val="14"/>
        </w:rPr>
        <w:t xml:space="preserve"> </w:t>
      </w:r>
      <w:hyperlink r:id="rId440">
        <w:r>
          <w:rPr>
            <w:rFonts w:ascii="Calibri"/>
            <w:sz w:val="14"/>
            <w:u w:val="single"/>
          </w:rPr>
          <w:t>https://www.nhsemployers.org/tchandbook/annex-4-to-10/annex-9-high-cost-area-supplements</w:t>
        </w:r>
        <w:r>
          <w:rPr>
            <w:rFonts w:ascii="Calibri"/>
            <w:spacing w:val="-7"/>
            <w:sz w:val="14"/>
          </w:rPr>
          <w:t xml:space="preserve"> </w:t>
        </w:r>
        <w:r>
          <w:rPr>
            <w:rFonts w:ascii="Calibri"/>
            <w:sz w:val="14"/>
          </w:rPr>
          <w:t>[accessed</w:t>
        </w:r>
        <w:r>
          <w:rPr>
            <w:rFonts w:ascii="Calibri"/>
            <w:spacing w:val="-8"/>
            <w:sz w:val="14"/>
          </w:rPr>
          <w:t xml:space="preserve"> </w:t>
        </w:r>
      </w:hyperlink>
      <w:r>
        <w:rPr>
          <w:rFonts w:ascii="Calibri"/>
          <w:sz w:val="14"/>
        </w:rPr>
        <w:t>1</w:t>
      </w:r>
    </w:p>
    <w:p w:rsidR="006A18FD" w:rsidRDefault="002D29FC">
      <w:pPr>
        <w:spacing w:line="171" w:lineRule="exact"/>
        <w:ind w:left="140"/>
        <w:rPr>
          <w:rFonts w:ascii="Calibri"/>
          <w:sz w:val="14"/>
        </w:rPr>
      </w:pPr>
      <w:r>
        <w:rPr>
          <w:rFonts w:ascii="Calibri"/>
          <w:sz w:val="14"/>
        </w:rPr>
        <w:t>October 2019].</w:t>
      </w:r>
    </w:p>
    <w:p w:rsidR="006A18FD" w:rsidRDefault="002D29FC" w:rsidP="008E3FA8">
      <w:pPr>
        <w:numPr>
          <w:ilvl w:val="0"/>
          <w:numId w:val="7"/>
        </w:numPr>
        <w:tabs>
          <w:tab w:val="left" w:pos="311"/>
        </w:tabs>
        <w:spacing w:before="1"/>
        <w:ind w:left="310" w:hanging="170"/>
        <w:rPr>
          <w:rFonts w:ascii="Calibri"/>
          <w:sz w:val="14"/>
        </w:rPr>
      </w:pPr>
      <w:r>
        <w:rPr>
          <w:rFonts w:ascii="Calibri"/>
          <w:sz w:val="14"/>
        </w:rPr>
        <w:t>NHS</w:t>
      </w:r>
      <w:r>
        <w:rPr>
          <w:rFonts w:ascii="Calibri"/>
          <w:spacing w:val="-7"/>
          <w:sz w:val="14"/>
        </w:rPr>
        <w:t xml:space="preserve"> </w:t>
      </w:r>
      <w:r>
        <w:rPr>
          <w:rFonts w:ascii="Calibri"/>
          <w:sz w:val="14"/>
        </w:rPr>
        <w:t>Improvement</w:t>
      </w:r>
      <w:r>
        <w:rPr>
          <w:rFonts w:ascii="Calibri"/>
          <w:spacing w:val="-7"/>
          <w:sz w:val="14"/>
        </w:rPr>
        <w:t xml:space="preserve"> </w:t>
      </w:r>
      <w:r>
        <w:rPr>
          <w:rFonts w:ascii="Calibri"/>
          <w:sz w:val="14"/>
        </w:rPr>
        <w:t>(2019)</w:t>
      </w:r>
      <w:r>
        <w:rPr>
          <w:rFonts w:ascii="Calibri"/>
          <w:spacing w:val="-7"/>
          <w:sz w:val="14"/>
        </w:rPr>
        <w:t xml:space="preserve"> </w:t>
      </w:r>
      <w:r>
        <w:rPr>
          <w:rFonts w:ascii="Calibri"/>
          <w:sz w:val="14"/>
        </w:rPr>
        <w:t>2019/20</w:t>
      </w:r>
      <w:r>
        <w:rPr>
          <w:rFonts w:ascii="Calibri"/>
          <w:spacing w:val="-7"/>
          <w:sz w:val="14"/>
        </w:rPr>
        <w:t xml:space="preserve"> </w:t>
      </w:r>
      <w:r>
        <w:rPr>
          <w:rFonts w:ascii="Calibri"/>
          <w:sz w:val="14"/>
        </w:rPr>
        <w:t>payment</w:t>
      </w:r>
      <w:r>
        <w:rPr>
          <w:rFonts w:ascii="Calibri"/>
          <w:spacing w:val="-7"/>
          <w:sz w:val="14"/>
        </w:rPr>
        <w:t xml:space="preserve"> </w:t>
      </w:r>
      <w:r>
        <w:rPr>
          <w:rFonts w:ascii="Calibri"/>
          <w:sz w:val="14"/>
        </w:rPr>
        <w:t>reform</w:t>
      </w:r>
      <w:r>
        <w:rPr>
          <w:rFonts w:ascii="Calibri"/>
          <w:spacing w:val="-7"/>
          <w:sz w:val="14"/>
        </w:rPr>
        <w:t xml:space="preserve"> </w:t>
      </w:r>
      <w:r>
        <w:rPr>
          <w:rFonts w:ascii="Calibri"/>
          <w:sz w:val="14"/>
        </w:rPr>
        <w:t>proposals,</w:t>
      </w:r>
      <w:r>
        <w:rPr>
          <w:rFonts w:ascii="Calibri"/>
          <w:spacing w:val="-3"/>
          <w:sz w:val="14"/>
        </w:rPr>
        <w:t xml:space="preserve"> </w:t>
      </w:r>
      <w:hyperlink r:id="rId441">
        <w:r>
          <w:rPr>
            <w:rFonts w:ascii="Calibri"/>
            <w:sz w:val="14"/>
            <w:u w:val="single"/>
          </w:rPr>
          <w:t>https://improvement.nhs.uk/resources/201920-payment-reform-proposals/</w:t>
        </w:r>
        <w:r>
          <w:rPr>
            <w:rFonts w:ascii="Calibri"/>
            <w:spacing w:val="-8"/>
            <w:sz w:val="14"/>
          </w:rPr>
          <w:t xml:space="preserve"> </w:t>
        </w:r>
      </w:hyperlink>
      <w:r>
        <w:rPr>
          <w:rFonts w:ascii="Calibri"/>
          <w:sz w:val="14"/>
        </w:rPr>
        <w:t>[accessed</w:t>
      </w:r>
      <w:r>
        <w:rPr>
          <w:rFonts w:ascii="Calibri"/>
          <w:spacing w:val="-8"/>
          <w:sz w:val="14"/>
        </w:rPr>
        <w:t xml:space="preserve"> </w:t>
      </w:r>
      <w:r>
        <w:rPr>
          <w:rFonts w:ascii="Calibri"/>
          <w:sz w:val="14"/>
        </w:rPr>
        <w:t>1</w:t>
      </w:r>
      <w:r>
        <w:rPr>
          <w:rFonts w:ascii="Calibri"/>
          <w:spacing w:val="-7"/>
          <w:sz w:val="14"/>
        </w:rPr>
        <w:t xml:space="preserve"> </w:t>
      </w:r>
      <w:r>
        <w:rPr>
          <w:rFonts w:ascii="Calibri"/>
          <w:sz w:val="14"/>
        </w:rPr>
        <w:t>October</w:t>
      </w:r>
      <w:r>
        <w:rPr>
          <w:rFonts w:ascii="Calibri"/>
          <w:spacing w:val="-7"/>
          <w:sz w:val="14"/>
        </w:rPr>
        <w:t xml:space="preserve"> </w:t>
      </w:r>
      <w:r>
        <w:rPr>
          <w:rFonts w:ascii="Calibri"/>
          <w:sz w:val="14"/>
        </w:rPr>
        <w:t>2019].</w:t>
      </w:r>
    </w:p>
    <w:p w:rsidR="006A18FD" w:rsidRDefault="006A18FD">
      <w:pPr>
        <w:rPr>
          <w:rFonts w:ascii="Calibri"/>
          <w:sz w:val="14"/>
        </w:rPr>
        <w:sectPr w:rsidR="006A18FD">
          <w:headerReference w:type="even" r:id="rId442"/>
          <w:pgSz w:w="11910" w:h="16840"/>
          <w:pgMar w:top="960" w:right="980" w:bottom="280" w:left="580" w:header="751" w:footer="0" w:gutter="0"/>
          <w:cols w:space="720"/>
        </w:sectPr>
      </w:pPr>
    </w:p>
    <w:p w:rsidR="006A18FD" w:rsidRDefault="006A18FD">
      <w:pPr>
        <w:spacing w:before="3"/>
        <w:rPr>
          <w:rFonts w:ascii="Cambria"/>
          <w:b/>
          <w:sz w:val="36"/>
        </w:rPr>
      </w:pPr>
    </w:p>
    <w:p w:rsidR="006A18FD" w:rsidRDefault="002D29FC">
      <w:pPr>
        <w:spacing w:line="276" w:lineRule="auto"/>
        <w:ind w:left="100" w:right="851"/>
        <w:rPr>
          <w:rFonts w:ascii="Calibri"/>
          <w:b/>
          <w:sz w:val="24"/>
        </w:rPr>
      </w:pPr>
      <w:r>
        <w:rPr>
          <w:rFonts w:ascii="Calibri"/>
          <w:sz w:val="20"/>
        </w:rPr>
        <w:t xml:space="preserve">This table provides the annual and unit costs for hospital-based scientific and professional staff. See notes facing for assistance in interpreting each cost item and the beginning of this chapter for examples of roles in each band. See also Excel database on the PSSRU website. </w:t>
      </w:r>
      <w:r>
        <w:rPr>
          <w:rFonts w:ascii="Calibri"/>
          <w:b/>
        </w:rPr>
        <w:t>Please note that there are no staff on Bands 1-3 for this staff group</w:t>
      </w:r>
      <w:r>
        <w:rPr>
          <w:rFonts w:ascii="Calibri"/>
          <w:b/>
          <w:sz w:val="24"/>
        </w:rPr>
        <w:t>.</w:t>
      </w:r>
    </w:p>
    <w:p w:rsidR="006A18FD" w:rsidRDefault="006A18FD">
      <w:pPr>
        <w:spacing w:after="1"/>
        <w:rPr>
          <w:rFonts w:ascii="Calibri"/>
          <w:b/>
          <w:sz w:val="16"/>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6"/>
        <w:gridCol w:w="1248"/>
        <w:gridCol w:w="1246"/>
        <w:gridCol w:w="1248"/>
        <w:gridCol w:w="1246"/>
        <w:gridCol w:w="1248"/>
        <w:gridCol w:w="1249"/>
        <w:gridCol w:w="1303"/>
        <w:gridCol w:w="1248"/>
        <w:gridCol w:w="1246"/>
      </w:tblGrid>
      <w:tr w:rsidR="006A18FD" w:rsidTr="00CA19E0">
        <w:trPr>
          <w:trHeight w:val="580"/>
          <w:tblHeader/>
        </w:trPr>
        <w:tc>
          <w:tcPr>
            <w:tcW w:w="4146" w:type="dxa"/>
          </w:tcPr>
          <w:p w:rsidR="006A18FD" w:rsidRDefault="002D29FC">
            <w:pPr>
              <w:spacing w:before="1" w:line="290" w:lineRule="atLeast"/>
              <w:ind w:left="103" w:right="753"/>
              <w:rPr>
                <w:rFonts w:ascii="Calibri"/>
                <w:b/>
                <w:sz w:val="24"/>
              </w:rPr>
            </w:pPr>
            <w:r>
              <w:rPr>
                <w:rFonts w:ascii="Calibri"/>
                <w:b/>
                <w:sz w:val="24"/>
              </w:rPr>
              <w:t>Refer to notes on facing page for references</w:t>
            </w:r>
          </w:p>
        </w:tc>
        <w:tc>
          <w:tcPr>
            <w:tcW w:w="1248" w:type="dxa"/>
          </w:tcPr>
          <w:p w:rsidR="006A18FD" w:rsidRDefault="006A18FD">
            <w:pPr>
              <w:spacing w:before="1"/>
              <w:rPr>
                <w:rFonts w:ascii="Calibri"/>
                <w:b/>
                <w:sz w:val="24"/>
              </w:rPr>
            </w:pPr>
          </w:p>
          <w:p w:rsidR="006A18FD" w:rsidRDefault="002D29FC">
            <w:pPr>
              <w:spacing w:line="273" w:lineRule="exact"/>
              <w:ind w:left="92" w:right="92"/>
              <w:jc w:val="center"/>
              <w:rPr>
                <w:rFonts w:ascii="Calibri"/>
                <w:b/>
                <w:sz w:val="24"/>
              </w:rPr>
            </w:pPr>
            <w:r>
              <w:rPr>
                <w:rFonts w:ascii="Calibri"/>
                <w:b/>
                <w:sz w:val="24"/>
              </w:rPr>
              <w:t>Band 4</w:t>
            </w:r>
          </w:p>
        </w:tc>
        <w:tc>
          <w:tcPr>
            <w:tcW w:w="1246" w:type="dxa"/>
          </w:tcPr>
          <w:p w:rsidR="006A18FD" w:rsidRDefault="006A18FD">
            <w:pPr>
              <w:spacing w:before="1"/>
              <w:rPr>
                <w:rFonts w:ascii="Calibri"/>
                <w:b/>
                <w:sz w:val="24"/>
              </w:rPr>
            </w:pPr>
          </w:p>
          <w:p w:rsidR="006A18FD" w:rsidRDefault="002D29FC">
            <w:pPr>
              <w:spacing w:line="273" w:lineRule="exact"/>
              <w:ind w:left="90" w:right="87"/>
              <w:jc w:val="center"/>
              <w:rPr>
                <w:rFonts w:ascii="Calibri"/>
                <w:b/>
                <w:sz w:val="24"/>
              </w:rPr>
            </w:pPr>
            <w:r>
              <w:rPr>
                <w:rFonts w:ascii="Calibri"/>
                <w:b/>
                <w:sz w:val="24"/>
              </w:rPr>
              <w:t>Band 5</w:t>
            </w:r>
          </w:p>
        </w:tc>
        <w:tc>
          <w:tcPr>
            <w:tcW w:w="1248" w:type="dxa"/>
          </w:tcPr>
          <w:p w:rsidR="006A18FD" w:rsidRDefault="006A18FD">
            <w:pPr>
              <w:spacing w:before="1"/>
              <w:rPr>
                <w:rFonts w:ascii="Calibri"/>
                <w:b/>
                <w:sz w:val="24"/>
              </w:rPr>
            </w:pPr>
          </w:p>
          <w:p w:rsidR="006A18FD" w:rsidRDefault="002D29FC">
            <w:pPr>
              <w:spacing w:line="273" w:lineRule="exact"/>
              <w:ind w:left="91" w:right="91"/>
              <w:jc w:val="center"/>
              <w:rPr>
                <w:rFonts w:ascii="Calibri"/>
                <w:b/>
                <w:sz w:val="24"/>
              </w:rPr>
            </w:pPr>
            <w:r>
              <w:rPr>
                <w:rFonts w:ascii="Calibri"/>
                <w:b/>
                <w:sz w:val="24"/>
              </w:rPr>
              <w:t>Band 6</w:t>
            </w:r>
          </w:p>
        </w:tc>
        <w:tc>
          <w:tcPr>
            <w:tcW w:w="1246" w:type="dxa"/>
          </w:tcPr>
          <w:p w:rsidR="006A18FD" w:rsidRDefault="006A18FD">
            <w:pPr>
              <w:spacing w:before="1"/>
              <w:rPr>
                <w:rFonts w:ascii="Calibri"/>
                <w:b/>
                <w:sz w:val="24"/>
              </w:rPr>
            </w:pPr>
          </w:p>
          <w:p w:rsidR="006A18FD" w:rsidRDefault="002D29FC">
            <w:pPr>
              <w:spacing w:line="273" w:lineRule="exact"/>
              <w:ind w:left="90" w:right="91"/>
              <w:jc w:val="center"/>
              <w:rPr>
                <w:rFonts w:ascii="Calibri"/>
                <w:b/>
                <w:sz w:val="24"/>
              </w:rPr>
            </w:pPr>
            <w:r>
              <w:rPr>
                <w:rFonts w:ascii="Calibri"/>
                <w:b/>
                <w:sz w:val="24"/>
              </w:rPr>
              <w:t>Band 7</w:t>
            </w:r>
          </w:p>
        </w:tc>
        <w:tc>
          <w:tcPr>
            <w:tcW w:w="1248" w:type="dxa"/>
          </w:tcPr>
          <w:p w:rsidR="006A18FD" w:rsidRDefault="006A18FD">
            <w:pPr>
              <w:spacing w:before="1"/>
              <w:rPr>
                <w:rFonts w:ascii="Calibri"/>
                <w:b/>
                <w:sz w:val="24"/>
              </w:rPr>
            </w:pPr>
          </w:p>
          <w:p w:rsidR="006A18FD" w:rsidRDefault="002D29FC">
            <w:pPr>
              <w:spacing w:line="273" w:lineRule="exact"/>
              <w:ind w:left="92" w:right="92"/>
              <w:jc w:val="center"/>
              <w:rPr>
                <w:rFonts w:ascii="Calibri"/>
                <w:b/>
                <w:sz w:val="24"/>
              </w:rPr>
            </w:pPr>
            <w:r>
              <w:rPr>
                <w:rFonts w:ascii="Calibri"/>
                <w:b/>
                <w:sz w:val="24"/>
              </w:rPr>
              <w:t>Band 8a</w:t>
            </w:r>
          </w:p>
        </w:tc>
        <w:tc>
          <w:tcPr>
            <w:tcW w:w="1249" w:type="dxa"/>
          </w:tcPr>
          <w:p w:rsidR="006A18FD" w:rsidRDefault="006A18FD">
            <w:pPr>
              <w:spacing w:before="1"/>
              <w:rPr>
                <w:rFonts w:ascii="Calibri"/>
                <w:b/>
                <w:sz w:val="24"/>
              </w:rPr>
            </w:pPr>
          </w:p>
          <w:p w:rsidR="006A18FD" w:rsidRDefault="002D29FC">
            <w:pPr>
              <w:spacing w:line="273" w:lineRule="exact"/>
              <w:ind w:left="92" w:right="92"/>
              <w:jc w:val="center"/>
              <w:rPr>
                <w:rFonts w:ascii="Calibri"/>
                <w:b/>
                <w:sz w:val="24"/>
              </w:rPr>
            </w:pPr>
            <w:r>
              <w:rPr>
                <w:rFonts w:ascii="Calibri"/>
                <w:b/>
                <w:sz w:val="24"/>
              </w:rPr>
              <w:t>Band 8b</w:t>
            </w:r>
          </w:p>
        </w:tc>
        <w:tc>
          <w:tcPr>
            <w:tcW w:w="1303" w:type="dxa"/>
          </w:tcPr>
          <w:p w:rsidR="006A18FD" w:rsidRDefault="006A18FD">
            <w:pPr>
              <w:spacing w:before="1"/>
              <w:rPr>
                <w:rFonts w:ascii="Calibri"/>
                <w:b/>
                <w:sz w:val="24"/>
              </w:rPr>
            </w:pPr>
          </w:p>
          <w:p w:rsidR="006A18FD" w:rsidRDefault="002D29FC">
            <w:pPr>
              <w:spacing w:line="273" w:lineRule="exact"/>
              <w:ind w:left="119" w:right="120"/>
              <w:jc w:val="center"/>
              <w:rPr>
                <w:rFonts w:ascii="Calibri"/>
                <w:b/>
                <w:sz w:val="24"/>
              </w:rPr>
            </w:pPr>
            <w:r>
              <w:rPr>
                <w:rFonts w:ascii="Calibri"/>
                <w:b/>
                <w:sz w:val="24"/>
              </w:rPr>
              <w:t>Band 8c</w:t>
            </w:r>
          </w:p>
        </w:tc>
        <w:tc>
          <w:tcPr>
            <w:tcW w:w="1248" w:type="dxa"/>
          </w:tcPr>
          <w:p w:rsidR="006A18FD" w:rsidRDefault="006A18FD">
            <w:pPr>
              <w:spacing w:before="1"/>
              <w:rPr>
                <w:rFonts w:ascii="Calibri"/>
                <w:b/>
                <w:sz w:val="24"/>
              </w:rPr>
            </w:pPr>
          </w:p>
          <w:p w:rsidR="006A18FD" w:rsidRDefault="002D29FC">
            <w:pPr>
              <w:spacing w:line="273" w:lineRule="exact"/>
              <w:ind w:left="91" w:right="91"/>
              <w:jc w:val="center"/>
              <w:rPr>
                <w:rFonts w:ascii="Calibri"/>
                <w:b/>
                <w:sz w:val="24"/>
              </w:rPr>
            </w:pPr>
            <w:r>
              <w:rPr>
                <w:rFonts w:ascii="Calibri"/>
                <w:b/>
                <w:sz w:val="24"/>
              </w:rPr>
              <w:t>Band 8d</w:t>
            </w:r>
          </w:p>
        </w:tc>
        <w:tc>
          <w:tcPr>
            <w:tcW w:w="1246" w:type="dxa"/>
          </w:tcPr>
          <w:p w:rsidR="006A18FD" w:rsidRDefault="006A18FD">
            <w:pPr>
              <w:spacing w:before="1"/>
              <w:rPr>
                <w:rFonts w:ascii="Calibri"/>
                <w:b/>
                <w:sz w:val="24"/>
              </w:rPr>
            </w:pPr>
          </w:p>
          <w:p w:rsidR="006A18FD" w:rsidRDefault="002D29FC">
            <w:pPr>
              <w:spacing w:line="273" w:lineRule="exact"/>
              <w:ind w:left="90" w:right="91"/>
              <w:jc w:val="center"/>
              <w:rPr>
                <w:rFonts w:ascii="Calibri"/>
                <w:b/>
                <w:sz w:val="24"/>
              </w:rPr>
            </w:pPr>
            <w:r>
              <w:rPr>
                <w:rFonts w:ascii="Calibri"/>
                <w:b/>
                <w:sz w:val="24"/>
              </w:rPr>
              <w:t>Band 9</w:t>
            </w:r>
          </w:p>
        </w:tc>
      </w:tr>
      <w:tr w:rsidR="006A18FD">
        <w:trPr>
          <w:trHeight w:val="299"/>
        </w:trPr>
        <w:tc>
          <w:tcPr>
            <w:tcW w:w="4146" w:type="dxa"/>
          </w:tcPr>
          <w:p w:rsidR="006A18FD" w:rsidRDefault="002D29FC">
            <w:pPr>
              <w:spacing w:before="68" w:line="223" w:lineRule="exact"/>
              <w:ind w:left="103"/>
              <w:rPr>
                <w:rFonts w:ascii="Calibri"/>
                <w:b/>
                <w:sz w:val="20"/>
              </w:rPr>
            </w:pPr>
            <w:r>
              <w:rPr>
                <w:rFonts w:ascii="Calibri"/>
                <w:b/>
                <w:sz w:val="20"/>
              </w:rPr>
              <w:t>A Wages/salary</w:t>
            </w:r>
          </w:p>
        </w:tc>
        <w:tc>
          <w:tcPr>
            <w:tcW w:w="1248" w:type="dxa"/>
          </w:tcPr>
          <w:p w:rsidR="006A18FD" w:rsidRDefault="002D29FC">
            <w:pPr>
              <w:spacing w:before="35"/>
              <w:ind w:left="91" w:right="92"/>
              <w:jc w:val="center"/>
              <w:rPr>
                <w:rFonts w:ascii="Calibri" w:hAnsi="Calibri"/>
                <w:sz w:val="20"/>
              </w:rPr>
            </w:pPr>
            <w:r>
              <w:rPr>
                <w:rFonts w:ascii="Calibri" w:hAnsi="Calibri"/>
                <w:sz w:val="20"/>
              </w:rPr>
              <w:t>£22,256</w:t>
            </w:r>
          </w:p>
        </w:tc>
        <w:tc>
          <w:tcPr>
            <w:tcW w:w="1246" w:type="dxa"/>
          </w:tcPr>
          <w:p w:rsidR="006A18FD" w:rsidRDefault="002D29FC">
            <w:pPr>
              <w:spacing w:before="35"/>
              <w:ind w:left="90" w:right="90"/>
              <w:jc w:val="center"/>
              <w:rPr>
                <w:rFonts w:ascii="Calibri" w:hAnsi="Calibri"/>
                <w:sz w:val="20"/>
              </w:rPr>
            </w:pPr>
            <w:r>
              <w:rPr>
                <w:rFonts w:ascii="Calibri" w:hAnsi="Calibri"/>
                <w:sz w:val="20"/>
              </w:rPr>
              <w:t>£24,212</w:t>
            </w:r>
          </w:p>
        </w:tc>
        <w:tc>
          <w:tcPr>
            <w:tcW w:w="1248" w:type="dxa"/>
          </w:tcPr>
          <w:p w:rsidR="006A18FD" w:rsidRDefault="002D29FC">
            <w:pPr>
              <w:spacing w:before="35"/>
              <w:ind w:left="91" w:right="91"/>
              <w:jc w:val="center"/>
              <w:rPr>
                <w:rFonts w:ascii="Calibri" w:hAnsi="Calibri"/>
                <w:sz w:val="20"/>
              </w:rPr>
            </w:pPr>
            <w:r>
              <w:rPr>
                <w:rFonts w:ascii="Calibri" w:hAnsi="Calibri"/>
                <w:sz w:val="20"/>
              </w:rPr>
              <w:t>£32,686</w:t>
            </w:r>
          </w:p>
        </w:tc>
        <w:tc>
          <w:tcPr>
            <w:tcW w:w="1246" w:type="dxa"/>
          </w:tcPr>
          <w:p w:rsidR="006A18FD" w:rsidRDefault="002D29FC">
            <w:pPr>
              <w:spacing w:before="35"/>
              <w:ind w:left="90" w:right="90"/>
              <w:jc w:val="center"/>
              <w:rPr>
                <w:rFonts w:ascii="Calibri" w:hAnsi="Calibri"/>
                <w:sz w:val="20"/>
              </w:rPr>
            </w:pPr>
            <w:r>
              <w:rPr>
                <w:rFonts w:ascii="Calibri" w:hAnsi="Calibri"/>
                <w:sz w:val="20"/>
              </w:rPr>
              <w:t>£40,180</w:t>
            </w:r>
          </w:p>
        </w:tc>
        <w:tc>
          <w:tcPr>
            <w:tcW w:w="1248" w:type="dxa"/>
          </w:tcPr>
          <w:p w:rsidR="006A18FD" w:rsidRDefault="002D29FC">
            <w:pPr>
              <w:spacing w:before="35"/>
              <w:ind w:left="92" w:right="92"/>
              <w:jc w:val="center"/>
              <w:rPr>
                <w:rFonts w:ascii="Calibri" w:hAnsi="Calibri"/>
                <w:sz w:val="20"/>
              </w:rPr>
            </w:pPr>
            <w:r>
              <w:rPr>
                <w:rFonts w:ascii="Calibri" w:hAnsi="Calibri"/>
                <w:sz w:val="20"/>
              </w:rPr>
              <w:t>£47,987</w:t>
            </w:r>
          </w:p>
        </w:tc>
        <w:tc>
          <w:tcPr>
            <w:tcW w:w="1249" w:type="dxa"/>
          </w:tcPr>
          <w:p w:rsidR="006A18FD" w:rsidRDefault="002D29FC">
            <w:pPr>
              <w:spacing w:before="35"/>
              <w:ind w:left="92" w:right="93"/>
              <w:jc w:val="center"/>
              <w:rPr>
                <w:rFonts w:ascii="Calibri" w:hAnsi="Calibri"/>
                <w:sz w:val="20"/>
              </w:rPr>
            </w:pPr>
            <w:r>
              <w:rPr>
                <w:rFonts w:ascii="Calibri" w:hAnsi="Calibri"/>
                <w:sz w:val="20"/>
              </w:rPr>
              <w:t>£57,495</w:t>
            </w:r>
          </w:p>
        </w:tc>
        <w:tc>
          <w:tcPr>
            <w:tcW w:w="1303" w:type="dxa"/>
          </w:tcPr>
          <w:p w:rsidR="006A18FD" w:rsidRDefault="002D29FC">
            <w:pPr>
              <w:spacing w:before="1"/>
              <w:ind w:left="118" w:right="120"/>
              <w:jc w:val="center"/>
              <w:rPr>
                <w:rFonts w:ascii="Calibri" w:hAnsi="Calibri"/>
                <w:sz w:val="20"/>
              </w:rPr>
            </w:pPr>
            <w:r>
              <w:rPr>
                <w:rFonts w:ascii="Calibri" w:hAnsi="Calibri"/>
                <w:sz w:val="20"/>
              </w:rPr>
              <w:t>£67,818</w:t>
            </w:r>
          </w:p>
        </w:tc>
        <w:tc>
          <w:tcPr>
            <w:tcW w:w="1248" w:type="dxa"/>
          </w:tcPr>
          <w:p w:rsidR="006A18FD" w:rsidRDefault="002D29FC">
            <w:pPr>
              <w:spacing w:before="1"/>
              <w:ind w:left="91" w:right="91"/>
              <w:jc w:val="center"/>
              <w:rPr>
                <w:rFonts w:ascii="Calibri" w:hAnsi="Calibri"/>
                <w:sz w:val="20"/>
              </w:rPr>
            </w:pPr>
            <w:r>
              <w:rPr>
                <w:rFonts w:ascii="Calibri" w:hAnsi="Calibri"/>
                <w:sz w:val="20"/>
              </w:rPr>
              <w:t>£81,836</w:t>
            </w:r>
          </w:p>
        </w:tc>
        <w:tc>
          <w:tcPr>
            <w:tcW w:w="1246" w:type="dxa"/>
          </w:tcPr>
          <w:p w:rsidR="006A18FD" w:rsidRDefault="002D29FC">
            <w:pPr>
              <w:spacing w:before="1"/>
              <w:ind w:left="89" w:right="91"/>
              <w:jc w:val="center"/>
              <w:rPr>
                <w:rFonts w:ascii="Calibri" w:hAnsi="Calibri"/>
                <w:sz w:val="20"/>
              </w:rPr>
            </w:pPr>
            <w:r>
              <w:rPr>
                <w:rFonts w:ascii="Calibri" w:hAnsi="Calibri"/>
                <w:sz w:val="20"/>
              </w:rPr>
              <w:t>£100,075</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B Salary on-costs</w:t>
            </w:r>
          </w:p>
        </w:tc>
        <w:tc>
          <w:tcPr>
            <w:tcW w:w="1248" w:type="dxa"/>
          </w:tcPr>
          <w:p w:rsidR="006A18FD" w:rsidRDefault="002D29FC">
            <w:pPr>
              <w:spacing w:before="35"/>
              <w:ind w:left="92" w:right="92"/>
              <w:jc w:val="center"/>
              <w:rPr>
                <w:rFonts w:ascii="Calibri" w:hAnsi="Calibri"/>
                <w:sz w:val="20"/>
              </w:rPr>
            </w:pPr>
            <w:r>
              <w:rPr>
                <w:rFonts w:ascii="Calibri" w:hAnsi="Calibri"/>
                <w:sz w:val="20"/>
              </w:rPr>
              <w:t>£5,109</w:t>
            </w:r>
          </w:p>
        </w:tc>
        <w:tc>
          <w:tcPr>
            <w:tcW w:w="1246" w:type="dxa"/>
          </w:tcPr>
          <w:p w:rsidR="006A18FD" w:rsidRDefault="002D29FC">
            <w:pPr>
              <w:spacing w:before="35"/>
              <w:ind w:left="90" w:right="90"/>
              <w:jc w:val="center"/>
              <w:rPr>
                <w:rFonts w:ascii="Calibri" w:hAnsi="Calibri"/>
                <w:sz w:val="20"/>
              </w:rPr>
            </w:pPr>
            <w:r>
              <w:rPr>
                <w:rFonts w:ascii="Calibri" w:hAnsi="Calibri"/>
                <w:sz w:val="20"/>
              </w:rPr>
              <w:t>£5,660</w:t>
            </w:r>
          </w:p>
        </w:tc>
        <w:tc>
          <w:tcPr>
            <w:tcW w:w="1248" w:type="dxa"/>
          </w:tcPr>
          <w:p w:rsidR="006A18FD" w:rsidRDefault="002D29FC">
            <w:pPr>
              <w:spacing w:before="35"/>
              <w:ind w:left="91" w:right="91"/>
              <w:jc w:val="center"/>
              <w:rPr>
                <w:rFonts w:ascii="Calibri" w:hAnsi="Calibri"/>
                <w:sz w:val="20"/>
              </w:rPr>
            </w:pPr>
            <w:r>
              <w:rPr>
                <w:rFonts w:ascii="Calibri" w:hAnsi="Calibri"/>
                <w:sz w:val="20"/>
              </w:rPr>
              <w:t>£8,048</w:t>
            </w:r>
          </w:p>
        </w:tc>
        <w:tc>
          <w:tcPr>
            <w:tcW w:w="1246" w:type="dxa"/>
          </w:tcPr>
          <w:p w:rsidR="006A18FD" w:rsidRDefault="002D29FC">
            <w:pPr>
              <w:spacing w:before="35"/>
              <w:ind w:left="90" w:right="90"/>
              <w:jc w:val="center"/>
              <w:rPr>
                <w:rFonts w:ascii="Calibri" w:hAnsi="Calibri"/>
                <w:sz w:val="20"/>
              </w:rPr>
            </w:pPr>
            <w:r>
              <w:rPr>
                <w:rFonts w:ascii="Calibri" w:hAnsi="Calibri"/>
                <w:sz w:val="20"/>
              </w:rPr>
              <w:t>£10,160</w:t>
            </w:r>
          </w:p>
        </w:tc>
        <w:tc>
          <w:tcPr>
            <w:tcW w:w="1248" w:type="dxa"/>
          </w:tcPr>
          <w:p w:rsidR="006A18FD" w:rsidRDefault="002D29FC">
            <w:pPr>
              <w:spacing w:before="35"/>
              <w:ind w:left="91" w:right="92"/>
              <w:jc w:val="center"/>
              <w:rPr>
                <w:rFonts w:ascii="Calibri" w:hAnsi="Calibri"/>
                <w:sz w:val="20"/>
              </w:rPr>
            </w:pPr>
            <w:r>
              <w:rPr>
                <w:rFonts w:ascii="Calibri" w:hAnsi="Calibri"/>
                <w:sz w:val="20"/>
              </w:rPr>
              <w:t>£12,360</w:t>
            </w:r>
          </w:p>
        </w:tc>
        <w:tc>
          <w:tcPr>
            <w:tcW w:w="1249" w:type="dxa"/>
          </w:tcPr>
          <w:p w:rsidR="006A18FD" w:rsidRDefault="002D29FC">
            <w:pPr>
              <w:spacing w:before="35"/>
              <w:ind w:left="92" w:right="93"/>
              <w:jc w:val="center"/>
              <w:rPr>
                <w:rFonts w:ascii="Calibri" w:hAnsi="Calibri"/>
                <w:sz w:val="20"/>
              </w:rPr>
            </w:pPr>
            <w:r>
              <w:rPr>
                <w:rFonts w:ascii="Calibri" w:hAnsi="Calibri"/>
                <w:sz w:val="20"/>
              </w:rPr>
              <w:t>£15,040</w:t>
            </w:r>
          </w:p>
        </w:tc>
        <w:tc>
          <w:tcPr>
            <w:tcW w:w="1303" w:type="dxa"/>
          </w:tcPr>
          <w:p w:rsidR="006A18FD" w:rsidRDefault="002D29FC">
            <w:pPr>
              <w:spacing w:before="1"/>
              <w:ind w:left="118" w:right="120"/>
              <w:jc w:val="center"/>
              <w:rPr>
                <w:rFonts w:ascii="Calibri" w:hAnsi="Calibri"/>
                <w:sz w:val="20"/>
              </w:rPr>
            </w:pPr>
            <w:r>
              <w:rPr>
                <w:rFonts w:ascii="Calibri" w:hAnsi="Calibri"/>
                <w:sz w:val="20"/>
              </w:rPr>
              <w:t>£17,362</w:t>
            </w:r>
          </w:p>
        </w:tc>
        <w:tc>
          <w:tcPr>
            <w:tcW w:w="1248" w:type="dxa"/>
          </w:tcPr>
          <w:p w:rsidR="006A18FD" w:rsidRDefault="002D29FC">
            <w:pPr>
              <w:spacing w:before="1"/>
              <w:ind w:left="91" w:right="91"/>
              <w:jc w:val="center"/>
              <w:rPr>
                <w:rFonts w:ascii="Calibri" w:hAnsi="Calibri"/>
                <w:sz w:val="20"/>
              </w:rPr>
            </w:pPr>
            <w:r>
              <w:rPr>
                <w:rFonts w:ascii="Calibri" w:hAnsi="Calibri"/>
                <w:sz w:val="20"/>
              </w:rPr>
              <w:t>£21,899</w:t>
            </w:r>
          </w:p>
        </w:tc>
        <w:tc>
          <w:tcPr>
            <w:tcW w:w="1246" w:type="dxa"/>
          </w:tcPr>
          <w:p w:rsidR="006A18FD" w:rsidRDefault="002D29FC">
            <w:pPr>
              <w:spacing w:before="1"/>
              <w:ind w:left="89" w:right="91"/>
              <w:jc w:val="center"/>
              <w:rPr>
                <w:rFonts w:ascii="Calibri" w:hAnsi="Calibri"/>
                <w:sz w:val="20"/>
              </w:rPr>
            </w:pPr>
            <w:r>
              <w:rPr>
                <w:rFonts w:ascii="Calibri" w:hAnsi="Calibri"/>
                <w:sz w:val="20"/>
              </w:rPr>
              <w:t>£27,039</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C Qualifications (see notes)</w:t>
            </w: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9" w:type="dxa"/>
          </w:tcPr>
          <w:p w:rsidR="006A18FD" w:rsidRDefault="006A18FD">
            <w:pPr>
              <w:rPr>
                <w:rFonts w:ascii="Times New Roman"/>
                <w:sz w:val="20"/>
              </w:rPr>
            </w:pPr>
          </w:p>
        </w:tc>
        <w:tc>
          <w:tcPr>
            <w:tcW w:w="1303"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D Overheads</w:t>
            </w: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9" w:type="dxa"/>
          </w:tcPr>
          <w:p w:rsidR="006A18FD" w:rsidRDefault="006A18FD">
            <w:pPr>
              <w:rPr>
                <w:rFonts w:ascii="Times New Roman"/>
                <w:sz w:val="20"/>
              </w:rPr>
            </w:pPr>
          </w:p>
        </w:tc>
        <w:tc>
          <w:tcPr>
            <w:tcW w:w="1303"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r>
      <w:tr w:rsidR="006A18FD">
        <w:trPr>
          <w:trHeight w:val="300"/>
        </w:trPr>
        <w:tc>
          <w:tcPr>
            <w:tcW w:w="4146" w:type="dxa"/>
          </w:tcPr>
          <w:p w:rsidR="006A18FD" w:rsidRDefault="002D29FC">
            <w:pPr>
              <w:spacing w:before="71" w:line="223" w:lineRule="exact"/>
              <w:ind w:left="103"/>
              <w:rPr>
                <w:rFonts w:ascii="Calibri"/>
                <w:sz w:val="20"/>
              </w:rPr>
            </w:pPr>
            <w:r>
              <w:rPr>
                <w:rFonts w:ascii="Calibri"/>
                <w:sz w:val="20"/>
              </w:rPr>
              <w:t>Management, admin and estates staff</w:t>
            </w:r>
          </w:p>
        </w:tc>
        <w:tc>
          <w:tcPr>
            <w:tcW w:w="1248" w:type="dxa"/>
          </w:tcPr>
          <w:p w:rsidR="006A18FD" w:rsidRDefault="002D29FC">
            <w:pPr>
              <w:spacing w:before="35"/>
              <w:ind w:left="92" w:right="92"/>
              <w:jc w:val="center"/>
              <w:rPr>
                <w:rFonts w:ascii="Calibri" w:hAnsi="Calibri"/>
                <w:sz w:val="20"/>
              </w:rPr>
            </w:pPr>
            <w:r>
              <w:rPr>
                <w:rFonts w:ascii="Calibri" w:hAnsi="Calibri"/>
                <w:sz w:val="20"/>
              </w:rPr>
              <w:t>£6,622</w:t>
            </w:r>
          </w:p>
        </w:tc>
        <w:tc>
          <w:tcPr>
            <w:tcW w:w="1246" w:type="dxa"/>
          </w:tcPr>
          <w:p w:rsidR="006A18FD" w:rsidRDefault="002D29FC">
            <w:pPr>
              <w:spacing w:before="35"/>
              <w:ind w:left="90" w:right="90"/>
              <w:jc w:val="center"/>
              <w:rPr>
                <w:rFonts w:ascii="Calibri" w:hAnsi="Calibri"/>
                <w:sz w:val="20"/>
              </w:rPr>
            </w:pPr>
            <w:r>
              <w:rPr>
                <w:rFonts w:ascii="Calibri" w:hAnsi="Calibri"/>
                <w:sz w:val="20"/>
              </w:rPr>
              <w:t>£7,229</w:t>
            </w:r>
          </w:p>
        </w:tc>
        <w:tc>
          <w:tcPr>
            <w:tcW w:w="1248" w:type="dxa"/>
          </w:tcPr>
          <w:p w:rsidR="006A18FD" w:rsidRDefault="002D29FC">
            <w:pPr>
              <w:spacing w:before="35"/>
              <w:ind w:left="91" w:right="91"/>
              <w:jc w:val="center"/>
              <w:rPr>
                <w:rFonts w:ascii="Calibri" w:hAnsi="Calibri"/>
                <w:sz w:val="20"/>
              </w:rPr>
            </w:pPr>
            <w:r>
              <w:rPr>
                <w:rFonts w:ascii="Calibri" w:hAnsi="Calibri"/>
                <w:sz w:val="20"/>
              </w:rPr>
              <w:t>£9,858</w:t>
            </w:r>
          </w:p>
        </w:tc>
        <w:tc>
          <w:tcPr>
            <w:tcW w:w="1246" w:type="dxa"/>
          </w:tcPr>
          <w:p w:rsidR="006A18FD" w:rsidRDefault="002D29FC">
            <w:pPr>
              <w:spacing w:before="35"/>
              <w:ind w:left="90" w:right="90"/>
              <w:jc w:val="center"/>
              <w:rPr>
                <w:rFonts w:ascii="Calibri" w:hAnsi="Calibri"/>
                <w:sz w:val="20"/>
              </w:rPr>
            </w:pPr>
            <w:r>
              <w:rPr>
                <w:rFonts w:ascii="Calibri" w:hAnsi="Calibri"/>
                <w:sz w:val="20"/>
              </w:rPr>
              <w:t>£12,182</w:t>
            </w:r>
          </w:p>
        </w:tc>
        <w:tc>
          <w:tcPr>
            <w:tcW w:w="1248" w:type="dxa"/>
          </w:tcPr>
          <w:p w:rsidR="006A18FD" w:rsidRDefault="002D29FC">
            <w:pPr>
              <w:spacing w:before="35"/>
              <w:ind w:left="92" w:right="92"/>
              <w:jc w:val="center"/>
              <w:rPr>
                <w:rFonts w:ascii="Calibri" w:hAnsi="Calibri"/>
                <w:sz w:val="20"/>
              </w:rPr>
            </w:pPr>
            <w:r>
              <w:rPr>
                <w:rFonts w:ascii="Calibri" w:hAnsi="Calibri"/>
                <w:sz w:val="20"/>
              </w:rPr>
              <w:t>£14,604</w:t>
            </w:r>
          </w:p>
        </w:tc>
        <w:tc>
          <w:tcPr>
            <w:tcW w:w="1249" w:type="dxa"/>
          </w:tcPr>
          <w:p w:rsidR="006A18FD" w:rsidRDefault="002D29FC">
            <w:pPr>
              <w:spacing w:before="35"/>
              <w:ind w:left="92" w:right="93"/>
              <w:jc w:val="center"/>
              <w:rPr>
                <w:rFonts w:ascii="Calibri" w:hAnsi="Calibri"/>
                <w:sz w:val="20"/>
              </w:rPr>
            </w:pPr>
            <w:r>
              <w:rPr>
                <w:rFonts w:ascii="Calibri" w:hAnsi="Calibri"/>
                <w:sz w:val="20"/>
              </w:rPr>
              <w:t>£17,553</w:t>
            </w:r>
          </w:p>
        </w:tc>
        <w:tc>
          <w:tcPr>
            <w:tcW w:w="1303" w:type="dxa"/>
          </w:tcPr>
          <w:p w:rsidR="006A18FD" w:rsidRDefault="002D29FC">
            <w:pPr>
              <w:spacing w:before="1"/>
              <w:ind w:left="118" w:right="120"/>
              <w:jc w:val="center"/>
              <w:rPr>
                <w:rFonts w:ascii="Calibri" w:hAnsi="Calibri"/>
                <w:sz w:val="20"/>
              </w:rPr>
            </w:pPr>
            <w:r>
              <w:rPr>
                <w:rFonts w:ascii="Calibri" w:hAnsi="Calibri"/>
                <w:sz w:val="20"/>
              </w:rPr>
              <w:t>£20,614</w:t>
            </w:r>
          </w:p>
        </w:tc>
        <w:tc>
          <w:tcPr>
            <w:tcW w:w="1248" w:type="dxa"/>
          </w:tcPr>
          <w:p w:rsidR="006A18FD" w:rsidRDefault="002D29FC">
            <w:pPr>
              <w:spacing w:before="1"/>
              <w:ind w:left="91" w:right="91"/>
              <w:jc w:val="center"/>
              <w:rPr>
                <w:rFonts w:ascii="Calibri" w:hAnsi="Calibri"/>
                <w:sz w:val="20"/>
              </w:rPr>
            </w:pPr>
            <w:r>
              <w:rPr>
                <w:rFonts w:ascii="Calibri" w:hAnsi="Calibri"/>
                <w:sz w:val="20"/>
              </w:rPr>
              <w:t>£25,104</w:t>
            </w:r>
          </w:p>
        </w:tc>
        <w:tc>
          <w:tcPr>
            <w:tcW w:w="1246" w:type="dxa"/>
          </w:tcPr>
          <w:p w:rsidR="006A18FD" w:rsidRDefault="002D29FC">
            <w:pPr>
              <w:spacing w:before="1"/>
              <w:ind w:left="89" w:right="91"/>
              <w:jc w:val="center"/>
              <w:rPr>
                <w:rFonts w:ascii="Calibri" w:hAnsi="Calibri"/>
                <w:sz w:val="20"/>
              </w:rPr>
            </w:pPr>
            <w:r>
              <w:rPr>
                <w:rFonts w:ascii="Calibri" w:hAnsi="Calibri"/>
                <w:sz w:val="20"/>
              </w:rPr>
              <w:t>£30,761</w:t>
            </w:r>
          </w:p>
        </w:tc>
      </w:tr>
      <w:tr w:rsidR="006A18FD">
        <w:trPr>
          <w:trHeight w:val="300"/>
        </w:trPr>
        <w:tc>
          <w:tcPr>
            <w:tcW w:w="4146" w:type="dxa"/>
          </w:tcPr>
          <w:p w:rsidR="006A18FD" w:rsidRDefault="002D29FC">
            <w:pPr>
              <w:spacing w:before="68" w:line="223" w:lineRule="exact"/>
              <w:ind w:left="103"/>
              <w:rPr>
                <w:rFonts w:ascii="Calibri"/>
                <w:sz w:val="20"/>
              </w:rPr>
            </w:pPr>
            <w:r>
              <w:rPr>
                <w:rFonts w:ascii="Calibri"/>
                <w:sz w:val="20"/>
              </w:rPr>
              <w:t>Non-staff</w:t>
            </w:r>
          </w:p>
        </w:tc>
        <w:tc>
          <w:tcPr>
            <w:tcW w:w="1248" w:type="dxa"/>
          </w:tcPr>
          <w:p w:rsidR="006A18FD" w:rsidRDefault="002D29FC">
            <w:pPr>
              <w:spacing w:before="35"/>
              <w:ind w:left="92" w:right="92"/>
              <w:jc w:val="center"/>
              <w:rPr>
                <w:rFonts w:ascii="Calibri" w:hAnsi="Calibri"/>
                <w:sz w:val="20"/>
              </w:rPr>
            </w:pPr>
            <w:r>
              <w:rPr>
                <w:rFonts w:ascii="Calibri" w:hAnsi="Calibri"/>
                <w:sz w:val="20"/>
              </w:rPr>
              <w:t>£11,794</w:t>
            </w:r>
          </w:p>
        </w:tc>
        <w:tc>
          <w:tcPr>
            <w:tcW w:w="1246" w:type="dxa"/>
          </w:tcPr>
          <w:p w:rsidR="006A18FD" w:rsidRDefault="002D29FC">
            <w:pPr>
              <w:spacing w:before="35"/>
              <w:ind w:left="90" w:right="90"/>
              <w:jc w:val="center"/>
              <w:rPr>
                <w:rFonts w:ascii="Calibri" w:hAnsi="Calibri"/>
                <w:sz w:val="20"/>
              </w:rPr>
            </w:pPr>
            <w:r>
              <w:rPr>
                <w:rFonts w:ascii="Calibri" w:hAnsi="Calibri"/>
                <w:sz w:val="20"/>
              </w:rPr>
              <w:t>£12,875</w:t>
            </w:r>
          </w:p>
        </w:tc>
        <w:tc>
          <w:tcPr>
            <w:tcW w:w="1248" w:type="dxa"/>
          </w:tcPr>
          <w:p w:rsidR="006A18FD" w:rsidRDefault="002D29FC">
            <w:pPr>
              <w:spacing w:before="35"/>
              <w:ind w:left="91" w:right="91"/>
              <w:jc w:val="center"/>
              <w:rPr>
                <w:rFonts w:ascii="Calibri" w:hAnsi="Calibri"/>
                <w:sz w:val="20"/>
              </w:rPr>
            </w:pPr>
            <w:r>
              <w:rPr>
                <w:rFonts w:ascii="Calibri" w:hAnsi="Calibri"/>
                <w:sz w:val="20"/>
              </w:rPr>
              <w:t>£17,557</w:t>
            </w:r>
          </w:p>
        </w:tc>
        <w:tc>
          <w:tcPr>
            <w:tcW w:w="1246" w:type="dxa"/>
          </w:tcPr>
          <w:p w:rsidR="006A18FD" w:rsidRDefault="002D29FC">
            <w:pPr>
              <w:spacing w:before="35"/>
              <w:ind w:left="90" w:right="90"/>
              <w:jc w:val="center"/>
              <w:rPr>
                <w:rFonts w:ascii="Calibri" w:hAnsi="Calibri"/>
                <w:sz w:val="20"/>
              </w:rPr>
            </w:pPr>
            <w:r>
              <w:rPr>
                <w:rFonts w:ascii="Calibri" w:hAnsi="Calibri"/>
                <w:sz w:val="20"/>
              </w:rPr>
              <w:t>£21,697</w:t>
            </w:r>
          </w:p>
        </w:tc>
        <w:tc>
          <w:tcPr>
            <w:tcW w:w="1248" w:type="dxa"/>
          </w:tcPr>
          <w:p w:rsidR="006A18FD" w:rsidRDefault="002D29FC">
            <w:pPr>
              <w:spacing w:before="35"/>
              <w:ind w:left="92" w:right="92"/>
              <w:jc w:val="center"/>
              <w:rPr>
                <w:rFonts w:ascii="Calibri" w:hAnsi="Calibri"/>
                <w:sz w:val="20"/>
              </w:rPr>
            </w:pPr>
            <w:r>
              <w:rPr>
                <w:rFonts w:ascii="Calibri" w:hAnsi="Calibri"/>
                <w:sz w:val="20"/>
              </w:rPr>
              <w:t>£26,010</w:t>
            </w:r>
          </w:p>
        </w:tc>
        <w:tc>
          <w:tcPr>
            <w:tcW w:w="1249" w:type="dxa"/>
          </w:tcPr>
          <w:p w:rsidR="006A18FD" w:rsidRDefault="002D29FC">
            <w:pPr>
              <w:spacing w:before="35"/>
              <w:ind w:left="92" w:right="93"/>
              <w:jc w:val="center"/>
              <w:rPr>
                <w:rFonts w:ascii="Calibri" w:hAnsi="Calibri"/>
                <w:sz w:val="20"/>
              </w:rPr>
            </w:pPr>
            <w:r>
              <w:rPr>
                <w:rFonts w:ascii="Calibri" w:hAnsi="Calibri"/>
                <w:sz w:val="20"/>
              </w:rPr>
              <w:t>£31,262</w:t>
            </w:r>
          </w:p>
        </w:tc>
        <w:tc>
          <w:tcPr>
            <w:tcW w:w="1303" w:type="dxa"/>
          </w:tcPr>
          <w:p w:rsidR="006A18FD" w:rsidRDefault="002D29FC">
            <w:pPr>
              <w:spacing w:line="243" w:lineRule="exact"/>
              <w:ind w:left="118" w:right="120"/>
              <w:jc w:val="center"/>
              <w:rPr>
                <w:rFonts w:ascii="Calibri" w:hAnsi="Calibri"/>
                <w:sz w:val="20"/>
              </w:rPr>
            </w:pPr>
            <w:r>
              <w:rPr>
                <w:rFonts w:ascii="Calibri" w:hAnsi="Calibri"/>
                <w:sz w:val="20"/>
              </w:rPr>
              <w:t>£36,713</w:t>
            </w:r>
          </w:p>
        </w:tc>
        <w:tc>
          <w:tcPr>
            <w:tcW w:w="1248" w:type="dxa"/>
          </w:tcPr>
          <w:p w:rsidR="006A18FD" w:rsidRDefault="002D29FC">
            <w:pPr>
              <w:spacing w:line="243" w:lineRule="exact"/>
              <w:ind w:left="91" w:right="91"/>
              <w:jc w:val="center"/>
              <w:rPr>
                <w:rFonts w:ascii="Calibri" w:hAnsi="Calibri"/>
                <w:sz w:val="20"/>
              </w:rPr>
            </w:pPr>
            <w:r>
              <w:rPr>
                <w:rFonts w:ascii="Calibri" w:hAnsi="Calibri"/>
                <w:sz w:val="20"/>
              </w:rPr>
              <w:t>£44,710</w:t>
            </w:r>
          </w:p>
        </w:tc>
        <w:tc>
          <w:tcPr>
            <w:tcW w:w="1246" w:type="dxa"/>
          </w:tcPr>
          <w:p w:rsidR="006A18FD" w:rsidRDefault="002D29FC">
            <w:pPr>
              <w:spacing w:line="243" w:lineRule="exact"/>
              <w:ind w:left="89" w:right="91"/>
              <w:jc w:val="center"/>
              <w:rPr>
                <w:rFonts w:ascii="Calibri" w:hAnsi="Calibri"/>
                <w:sz w:val="20"/>
              </w:rPr>
            </w:pPr>
            <w:r>
              <w:rPr>
                <w:rFonts w:ascii="Calibri" w:hAnsi="Calibri"/>
                <w:sz w:val="20"/>
              </w:rPr>
              <w:t>£54,786</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E Capital overheads</w:t>
            </w: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9" w:type="dxa"/>
          </w:tcPr>
          <w:p w:rsidR="006A18FD" w:rsidRDefault="006A18FD">
            <w:pPr>
              <w:rPr>
                <w:rFonts w:ascii="Times New Roman"/>
                <w:sz w:val="20"/>
              </w:rPr>
            </w:pPr>
          </w:p>
        </w:tc>
        <w:tc>
          <w:tcPr>
            <w:tcW w:w="1303"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r>
      <w:tr w:rsidR="006A18FD">
        <w:trPr>
          <w:trHeight w:val="300"/>
        </w:trPr>
        <w:tc>
          <w:tcPr>
            <w:tcW w:w="4146" w:type="dxa"/>
          </w:tcPr>
          <w:p w:rsidR="006A18FD" w:rsidRDefault="002D29FC">
            <w:pPr>
              <w:spacing w:before="68" w:line="223" w:lineRule="exact"/>
              <w:ind w:left="103"/>
              <w:rPr>
                <w:rFonts w:ascii="Calibri"/>
                <w:sz w:val="20"/>
              </w:rPr>
            </w:pPr>
            <w:r>
              <w:rPr>
                <w:rFonts w:ascii="Calibri"/>
                <w:sz w:val="20"/>
              </w:rPr>
              <w:t>-physiotherapists/OTs</w:t>
            </w:r>
          </w:p>
        </w:tc>
        <w:tc>
          <w:tcPr>
            <w:tcW w:w="1248" w:type="dxa"/>
          </w:tcPr>
          <w:p w:rsidR="006A18FD" w:rsidRDefault="002D29FC">
            <w:pPr>
              <w:spacing w:before="35"/>
              <w:ind w:left="92" w:right="92"/>
              <w:jc w:val="center"/>
              <w:rPr>
                <w:rFonts w:ascii="Calibri" w:hAnsi="Calibri"/>
                <w:sz w:val="20"/>
              </w:rPr>
            </w:pPr>
            <w:r>
              <w:rPr>
                <w:rFonts w:ascii="Calibri" w:hAnsi="Calibri"/>
                <w:sz w:val="20"/>
              </w:rPr>
              <w:t>£6,582</w:t>
            </w:r>
          </w:p>
        </w:tc>
        <w:tc>
          <w:tcPr>
            <w:tcW w:w="1246" w:type="dxa"/>
          </w:tcPr>
          <w:p w:rsidR="006A18FD" w:rsidRDefault="002D29FC">
            <w:pPr>
              <w:spacing w:before="35"/>
              <w:ind w:left="90" w:right="90"/>
              <w:jc w:val="center"/>
              <w:rPr>
                <w:rFonts w:ascii="Calibri" w:hAnsi="Calibri"/>
                <w:sz w:val="20"/>
              </w:rPr>
            </w:pPr>
            <w:r>
              <w:rPr>
                <w:rFonts w:ascii="Calibri" w:hAnsi="Calibri"/>
                <w:sz w:val="20"/>
              </w:rPr>
              <w:t>£6,582</w:t>
            </w:r>
          </w:p>
        </w:tc>
        <w:tc>
          <w:tcPr>
            <w:tcW w:w="1248" w:type="dxa"/>
          </w:tcPr>
          <w:p w:rsidR="006A18FD" w:rsidRDefault="002D29FC">
            <w:pPr>
              <w:spacing w:before="35"/>
              <w:ind w:left="91" w:right="91"/>
              <w:jc w:val="center"/>
              <w:rPr>
                <w:rFonts w:ascii="Calibri" w:hAnsi="Calibri"/>
                <w:sz w:val="20"/>
              </w:rPr>
            </w:pPr>
            <w:r>
              <w:rPr>
                <w:rFonts w:ascii="Calibri" w:hAnsi="Calibri"/>
                <w:sz w:val="20"/>
              </w:rPr>
              <w:t>£6,582</w:t>
            </w:r>
          </w:p>
        </w:tc>
        <w:tc>
          <w:tcPr>
            <w:tcW w:w="1246" w:type="dxa"/>
          </w:tcPr>
          <w:p w:rsidR="006A18FD" w:rsidRDefault="002D29FC">
            <w:pPr>
              <w:spacing w:before="35"/>
              <w:ind w:left="90" w:right="90"/>
              <w:jc w:val="center"/>
              <w:rPr>
                <w:rFonts w:ascii="Calibri" w:hAnsi="Calibri"/>
                <w:sz w:val="20"/>
              </w:rPr>
            </w:pPr>
            <w:r>
              <w:rPr>
                <w:rFonts w:ascii="Calibri" w:hAnsi="Calibri"/>
                <w:sz w:val="20"/>
              </w:rPr>
              <w:t>£6,582</w:t>
            </w:r>
          </w:p>
        </w:tc>
        <w:tc>
          <w:tcPr>
            <w:tcW w:w="1248" w:type="dxa"/>
          </w:tcPr>
          <w:p w:rsidR="006A18FD" w:rsidRDefault="002D29FC">
            <w:pPr>
              <w:spacing w:before="35"/>
              <w:ind w:left="92" w:right="92"/>
              <w:jc w:val="center"/>
              <w:rPr>
                <w:rFonts w:ascii="Calibri" w:hAnsi="Calibri"/>
                <w:sz w:val="20"/>
              </w:rPr>
            </w:pPr>
            <w:r>
              <w:rPr>
                <w:rFonts w:ascii="Calibri" w:hAnsi="Calibri"/>
                <w:sz w:val="20"/>
              </w:rPr>
              <w:t>£6,582</w:t>
            </w:r>
          </w:p>
        </w:tc>
        <w:tc>
          <w:tcPr>
            <w:tcW w:w="1249" w:type="dxa"/>
          </w:tcPr>
          <w:p w:rsidR="006A18FD" w:rsidRDefault="002D29FC">
            <w:pPr>
              <w:spacing w:before="35"/>
              <w:ind w:left="92" w:right="93"/>
              <w:jc w:val="center"/>
              <w:rPr>
                <w:rFonts w:ascii="Calibri" w:hAnsi="Calibri"/>
                <w:sz w:val="20"/>
              </w:rPr>
            </w:pPr>
            <w:r>
              <w:rPr>
                <w:rFonts w:ascii="Calibri" w:hAnsi="Calibri"/>
                <w:sz w:val="20"/>
              </w:rPr>
              <w:t>£6,582</w:t>
            </w:r>
          </w:p>
        </w:tc>
        <w:tc>
          <w:tcPr>
            <w:tcW w:w="1303" w:type="dxa"/>
          </w:tcPr>
          <w:p w:rsidR="006A18FD" w:rsidRDefault="002D29FC">
            <w:pPr>
              <w:spacing w:before="1"/>
              <w:ind w:left="118" w:right="120"/>
              <w:jc w:val="center"/>
              <w:rPr>
                <w:rFonts w:ascii="Calibri" w:hAnsi="Calibri"/>
                <w:sz w:val="20"/>
              </w:rPr>
            </w:pPr>
            <w:r>
              <w:rPr>
                <w:rFonts w:ascii="Calibri" w:hAnsi="Calibri"/>
                <w:sz w:val="20"/>
              </w:rPr>
              <w:t>£6,582</w:t>
            </w:r>
          </w:p>
        </w:tc>
        <w:tc>
          <w:tcPr>
            <w:tcW w:w="1248" w:type="dxa"/>
          </w:tcPr>
          <w:p w:rsidR="006A18FD" w:rsidRDefault="002D29FC">
            <w:pPr>
              <w:spacing w:before="1"/>
              <w:ind w:left="91" w:right="91"/>
              <w:jc w:val="center"/>
              <w:rPr>
                <w:rFonts w:ascii="Calibri" w:hAnsi="Calibri"/>
                <w:sz w:val="20"/>
              </w:rPr>
            </w:pPr>
            <w:r>
              <w:rPr>
                <w:rFonts w:ascii="Calibri" w:hAnsi="Calibri"/>
                <w:sz w:val="20"/>
              </w:rPr>
              <w:t>£6,582</w:t>
            </w:r>
          </w:p>
        </w:tc>
        <w:tc>
          <w:tcPr>
            <w:tcW w:w="1246" w:type="dxa"/>
          </w:tcPr>
          <w:p w:rsidR="006A18FD" w:rsidRDefault="002D29FC">
            <w:pPr>
              <w:spacing w:before="1"/>
              <w:ind w:left="89" w:right="91"/>
              <w:jc w:val="center"/>
              <w:rPr>
                <w:rFonts w:ascii="Calibri" w:hAnsi="Calibri"/>
                <w:sz w:val="20"/>
              </w:rPr>
            </w:pPr>
            <w:r>
              <w:rPr>
                <w:rFonts w:ascii="Calibri" w:hAnsi="Calibri"/>
                <w:sz w:val="20"/>
              </w:rPr>
              <w:t>£6,582</w:t>
            </w:r>
          </w:p>
        </w:tc>
      </w:tr>
      <w:tr w:rsidR="006A18FD">
        <w:trPr>
          <w:trHeight w:val="240"/>
        </w:trPr>
        <w:tc>
          <w:tcPr>
            <w:tcW w:w="4146" w:type="dxa"/>
          </w:tcPr>
          <w:p w:rsidR="006A18FD" w:rsidRDefault="002D29FC">
            <w:pPr>
              <w:spacing w:before="1" w:line="223" w:lineRule="exact"/>
              <w:ind w:left="103"/>
              <w:rPr>
                <w:rFonts w:ascii="Calibri"/>
                <w:sz w:val="20"/>
              </w:rPr>
            </w:pPr>
            <w:r>
              <w:rPr>
                <w:rFonts w:ascii="Calibri"/>
                <w:sz w:val="20"/>
              </w:rPr>
              <w:t>-radiographers</w:t>
            </w:r>
          </w:p>
        </w:tc>
        <w:tc>
          <w:tcPr>
            <w:tcW w:w="1248" w:type="dxa"/>
          </w:tcPr>
          <w:p w:rsidR="006A18FD" w:rsidRDefault="002D29FC">
            <w:pPr>
              <w:spacing w:before="1" w:line="223" w:lineRule="exact"/>
              <w:ind w:left="92" w:right="92"/>
              <w:jc w:val="center"/>
              <w:rPr>
                <w:rFonts w:ascii="Calibri" w:hAnsi="Calibri"/>
                <w:sz w:val="20"/>
              </w:rPr>
            </w:pPr>
            <w:r>
              <w:rPr>
                <w:rFonts w:ascii="Calibri" w:hAnsi="Calibri"/>
                <w:sz w:val="20"/>
              </w:rPr>
              <w:t>£9,650</w:t>
            </w:r>
          </w:p>
        </w:tc>
        <w:tc>
          <w:tcPr>
            <w:tcW w:w="1246" w:type="dxa"/>
          </w:tcPr>
          <w:p w:rsidR="006A18FD" w:rsidRDefault="002D29FC">
            <w:pPr>
              <w:spacing w:before="1" w:line="223" w:lineRule="exact"/>
              <w:ind w:left="90" w:right="90"/>
              <w:jc w:val="center"/>
              <w:rPr>
                <w:rFonts w:ascii="Calibri" w:hAnsi="Calibri"/>
                <w:sz w:val="20"/>
              </w:rPr>
            </w:pPr>
            <w:r>
              <w:rPr>
                <w:rFonts w:ascii="Calibri" w:hAnsi="Calibri"/>
                <w:sz w:val="20"/>
              </w:rPr>
              <w:t>£9,650</w:t>
            </w:r>
          </w:p>
        </w:tc>
        <w:tc>
          <w:tcPr>
            <w:tcW w:w="1248" w:type="dxa"/>
          </w:tcPr>
          <w:p w:rsidR="006A18FD" w:rsidRDefault="002D29FC">
            <w:pPr>
              <w:spacing w:before="1" w:line="223" w:lineRule="exact"/>
              <w:ind w:left="91" w:right="91"/>
              <w:jc w:val="center"/>
              <w:rPr>
                <w:rFonts w:ascii="Calibri" w:hAnsi="Calibri"/>
                <w:sz w:val="20"/>
              </w:rPr>
            </w:pPr>
            <w:r>
              <w:rPr>
                <w:rFonts w:ascii="Calibri" w:hAnsi="Calibri"/>
                <w:sz w:val="20"/>
              </w:rPr>
              <w:t>£9,650</w:t>
            </w:r>
          </w:p>
        </w:tc>
        <w:tc>
          <w:tcPr>
            <w:tcW w:w="1246" w:type="dxa"/>
          </w:tcPr>
          <w:p w:rsidR="006A18FD" w:rsidRDefault="002D29FC">
            <w:pPr>
              <w:spacing w:before="1" w:line="223" w:lineRule="exact"/>
              <w:ind w:left="90" w:right="90"/>
              <w:jc w:val="center"/>
              <w:rPr>
                <w:rFonts w:ascii="Calibri" w:hAnsi="Calibri"/>
                <w:sz w:val="20"/>
              </w:rPr>
            </w:pPr>
            <w:r>
              <w:rPr>
                <w:rFonts w:ascii="Calibri" w:hAnsi="Calibri"/>
                <w:sz w:val="20"/>
              </w:rPr>
              <w:t>£9,650</w:t>
            </w:r>
          </w:p>
        </w:tc>
        <w:tc>
          <w:tcPr>
            <w:tcW w:w="1248" w:type="dxa"/>
          </w:tcPr>
          <w:p w:rsidR="006A18FD" w:rsidRDefault="002D29FC">
            <w:pPr>
              <w:spacing w:before="1" w:line="223" w:lineRule="exact"/>
              <w:ind w:left="92" w:right="92"/>
              <w:jc w:val="center"/>
              <w:rPr>
                <w:rFonts w:ascii="Calibri" w:hAnsi="Calibri"/>
                <w:sz w:val="20"/>
              </w:rPr>
            </w:pPr>
            <w:r>
              <w:rPr>
                <w:rFonts w:ascii="Calibri" w:hAnsi="Calibri"/>
                <w:sz w:val="20"/>
              </w:rPr>
              <w:t>£9,650</w:t>
            </w:r>
          </w:p>
        </w:tc>
        <w:tc>
          <w:tcPr>
            <w:tcW w:w="1249" w:type="dxa"/>
          </w:tcPr>
          <w:p w:rsidR="006A18FD" w:rsidRDefault="002D29FC">
            <w:pPr>
              <w:spacing w:before="1" w:line="223" w:lineRule="exact"/>
              <w:ind w:left="92" w:right="93"/>
              <w:jc w:val="center"/>
              <w:rPr>
                <w:rFonts w:ascii="Calibri" w:hAnsi="Calibri"/>
                <w:sz w:val="20"/>
              </w:rPr>
            </w:pPr>
            <w:r>
              <w:rPr>
                <w:rFonts w:ascii="Calibri" w:hAnsi="Calibri"/>
                <w:sz w:val="20"/>
              </w:rPr>
              <w:t>£9,650</w:t>
            </w:r>
          </w:p>
        </w:tc>
        <w:tc>
          <w:tcPr>
            <w:tcW w:w="1303" w:type="dxa"/>
          </w:tcPr>
          <w:p w:rsidR="006A18FD" w:rsidRDefault="002D29FC">
            <w:pPr>
              <w:spacing w:before="1" w:line="223" w:lineRule="exact"/>
              <w:ind w:left="118" w:right="120"/>
              <w:jc w:val="center"/>
              <w:rPr>
                <w:rFonts w:ascii="Calibri" w:hAnsi="Calibri"/>
                <w:sz w:val="20"/>
              </w:rPr>
            </w:pPr>
            <w:r>
              <w:rPr>
                <w:rFonts w:ascii="Calibri" w:hAnsi="Calibri"/>
                <w:sz w:val="20"/>
              </w:rPr>
              <w:t>£9,650</w:t>
            </w:r>
          </w:p>
        </w:tc>
        <w:tc>
          <w:tcPr>
            <w:tcW w:w="1248" w:type="dxa"/>
          </w:tcPr>
          <w:p w:rsidR="006A18FD" w:rsidRDefault="002D29FC">
            <w:pPr>
              <w:spacing w:before="1" w:line="223" w:lineRule="exact"/>
              <w:ind w:left="91" w:right="91"/>
              <w:jc w:val="center"/>
              <w:rPr>
                <w:rFonts w:ascii="Calibri" w:hAnsi="Calibri"/>
                <w:sz w:val="20"/>
              </w:rPr>
            </w:pPr>
            <w:r>
              <w:rPr>
                <w:rFonts w:ascii="Calibri" w:hAnsi="Calibri"/>
                <w:sz w:val="20"/>
              </w:rPr>
              <w:t>£9,650</w:t>
            </w:r>
          </w:p>
        </w:tc>
        <w:tc>
          <w:tcPr>
            <w:tcW w:w="1246" w:type="dxa"/>
          </w:tcPr>
          <w:p w:rsidR="006A18FD" w:rsidRDefault="002D29FC">
            <w:pPr>
              <w:spacing w:before="1" w:line="223" w:lineRule="exact"/>
              <w:ind w:left="89" w:right="91"/>
              <w:jc w:val="center"/>
              <w:rPr>
                <w:rFonts w:ascii="Calibri" w:hAnsi="Calibri"/>
                <w:sz w:val="20"/>
              </w:rPr>
            </w:pPr>
            <w:r>
              <w:rPr>
                <w:rFonts w:ascii="Calibri" w:hAnsi="Calibri"/>
                <w:sz w:val="20"/>
              </w:rPr>
              <w:t>£9,650</w:t>
            </w:r>
          </w:p>
        </w:tc>
      </w:tr>
      <w:tr w:rsidR="006A18FD">
        <w:trPr>
          <w:trHeight w:val="720"/>
        </w:trPr>
        <w:tc>
          <w:tcPr>
            <w:tcW w:w="4146" w:type="dxa"/>
          </w:tcPr>
          <w:p w:rsidR="006A18FD" w:rsidRDefault="002D29FC">
            <w:pPr>
              <w:spacing w:before="1"/>
              <w:ind w:left="103" w:right="277"/>
              <w:rPr>
                <w:rFonts w:ascii="Calibri"/>
                <w:sz w:val="20"/>
              </w:rPr>
            </w:pPr>
            <w:r>
              <w:rPr>
                <w:rFonts w:ascii="Calibri"/>
                <w:sz w:val="20"/>
              </w:rPr>
              <w:t>-dietitians/speech and language therapists (or other professionals with a small treatment</w:t>
            </w:r>
          </w:p>
          <w:p w:rsidR="006A18FD" w:rsidRDefault="002D29FC">
            <w:pPr>
              <w:spacing w:line="221" w:lineRule="exact"/>
              <w:ind w:left="103"/>
              <w:rPr>
                <w:rFonts w:ascii="Calibri"/>
                <w:sz w:val="20"/>
              </w:rPr>
            </w:pPr>
            <w:r>
              <w:rPr>
                <w:rFonts w:ascii="Calibri"/>
                <w:sz w:val="20"/>
              </w:rPr>
              <w:t>space or sharing facilities).</w:t>
            </w:r>
          </w:p>
        </w:tc>
        <w:tc>
          <w:tcPr>
            <w:tcW w:w="1248" w:type="dxa"/>
          </w:tcPr>
          <w:p w:rsidR="006A18FD" w:rsidRDefault="006A18FD">
            <w:pPr>
              <w:spacing w:before="2"/>
              <w:rPr>
                <w:rFonts w:ascii="Calibri"/>
                <w:b/>
                <w:sz w:val="20"/>
              </w:rPr>
            </w:pPr>
          </w:p>
          <w:p w:rsidR="006A18FD" w:rsidRDefault="002D29FC">
            <w:pPr>
              <w:ind w:left="92" w:right="92"/>
              <w:jc w:val="center"/>
              <w:rPr>
                <w:rFonts w:ascii="Calibri" w:hAnsi="Calibri"/>
                <w:sz w:val="20"/>
              </w:rPr>
            </w:pPr>
            <w:r>
              <w:rPr>
                <w:rFonts w:ascii="Calibri" w:hAnsi="Calibri"/>
                <w:sz w:val="20"/>
              </w:rPr>
              <w:t>£5,362</w:t>
            </w:r>
          </w:p>
        </w:tc>
        <w:tc>
          <w:tcPr>
            <w:tcW w:w="1246" w:type="dxa"/>
          </w:tcPr>
          <w:p w:rsidR="006A18FD" w:rsidRDefault="006A18FD">
            <w:pPr>
              <w:spacing w:before="2"/>
              <w:rPr>
                <w:rFonts w:ascii="Calibri"/>
                <w:b/>
                <w:sz w:val="20"/>
              </w:rPr>
            </w:pPr>
          </w:p>
          <w:p w:rsidR="006A18FD" w:rsidRDefault="002D29FC">
            <w:pPr>
              <w:ind w:left="90" w:right="90"/>
              <w:jc w:val="center"/>
              <w:rPr>
                <w:rFonts w:ascii="Calibri" w:hAnsi="Calibri"/>
                <w:sz w:val="20"/>
              </w:rPr>
            </w:pPr>
            <w:r>
              <w:rPr>
                <w:rFonts w:ascii="Calibri" w:hAnsi="Calibri"/>
                <w:sz w:val="20"/>
              </w:rPr>
              <w:t>£5,362</w:t>
            </w:r>
          </w:p>
        </w:tc>
        <w:tc>
          <w:tcPr>
            <w:tcW w:w="1248" w:type="dxa"/>
          </w:tcPr>
          <w:p w:rsidR="006A18FD" w:rsidRDefault="006A18FD">
            <w:pPr>
              <w:spacing w:before="2"/>
              <w:rPr>
                <w:rFonts w:ascii="Calibri"/>
                <w:b/>
                <w:sz w:val="20"/>
              </w:rPr>
            </w:pPr>
          </w:p>
          <w:p w:rsidR="006A18FD" w:rsidRDefault="002D29FC">
            <w:pPr>
              <w:ind w:left="91" w:right="91"/>
              <w:jc w:val="center"/>
              <w:rPr>
                <w:rFonts w:ascii="Calibri" w:hAnsi="Calibri"/>
                <w:sz w:val="20"/>
              </w:rPr>
            </w:pPr>
            <w:r>
              <w:rPr>
                <w:rFonts w:ascii="Calibri" w:hAnsi="Calibri"/>
                <w:sz w:val="20"/>
              </w:rPr>
              <w:t>£5,362</w:t>
            </w:r>
          </w:p>
        </w:tc>
        <w:tc>
          <w:tcPr>
            <w:tcW w:w="1246" w:type="dxa"/>
          </w:tcPr>
          <w:p w:rsidR="006A18FD" w:rsidRDefault="006A18FD">
            <w:pPr>
              <w:spacing w:before="2"/>
              <w:rPr>
                <w:rFonts w:ascii="Calibri"/>
                <w:b/>
                <w:sz w:val="20"/>
              </w:rPr>
            </w:pPr>
          </w:p>
          <w:p w:rsidR="006A18FD" w:rsidRDefault="002D29FC">
            <w:pPr>
              <w:ind w:left="90" w:right="90"/>
              <w:jc w:val="center"/>
              <w:rPr>
                <w:rFonts w:ascii="Calibri" w:hAnsi="Calibri"/>
                <w:sz w:val="20"/>
              </w:rPr>
            </w:pPr>
            <w:r>
              <w:rPr>
                <w:rFonts w:ascii="Calibri" w:hAnsi="Calibri"/>
                <w:sz w:val="20"/>
              </w:rPr>
              <w:t>£5,362</w:t>
            </w:r>
          </w:p>
        </w:tc>
        <w:tc>
          <w:tcPr>
            <w:tcW w:w="1248" w:type="dxa"/>
          </w:tcPr>
          <w:p w:rsidR="006A18FD" w:rsidRDefault="006A18FD">
            <w:pPr>
              <w:spacing w:before="2"/>
              <w:rPr>
                <w:rFonts w:ascii="Calibri"/>
                <w:b/>
                <w:sz w:val="20"/>
              </w:rPr>
            </w:pPr>
          </w:p>
          <w:p w:rsidR="006A18FD" w:rsidRDefault="002D29FC">
            <w:pPr>
              <w:ind w:left="92" w:right="92"/>
              <w:jc w:val="center"/>
              <w:rPr>
                <w:rFonts w:ascii="Calibri" w:hAnsi="Calibri"/>
                <w:sz w:val="20"/>
              </w:rPr>
            </w:pPr>
            <w:r>
              <w:rPr>
                <w:rFonts w:ascii="Calibri" w:hAnsi="Calibri"/>
                <w:sz w:val="20"/>
              </w:rPr>
              <w:t>£5,362</w:t>
            </w:r>
          </w:p>
        </w:tc>
        <w:tc>
          <w:tcPr>
            <w:tcW w:w="1249" w:type="dxa"/>
          </w:tcPr>
          <w:p w:rsidR="006A18FD" w:rsidRDefault="006A18FD">
            <w:pPr>
              <w:spacing w:before="2"/>
              <w:rPr>
                <w:rFonts w:ascii="Calibri"/>
                <w:b/>
                <w:sz w:val="20"/>
              </w:rPr>
            </w:pPr>
          </w:p>
          <w:p w:rsidR="006A18FD" w:rsidRDefault="002D29FC">
            <w:pPr>
              <w:ind w:left="92" w:right="93"/>
              <w:jc w:val="center"/>
              <w:rPr>
                <w:rFonts w:ascii="Calibri" w:hAnsi="Calibri"/>
                <w:sz w:val="20"/>
              </w:rPr>
            </w:pPr>
            <w:r>
              <w:rPr>
                <w:rFonts w:ascii="Calibri" w:hAnsi="Calibri"/>
                <w:sz w:val="20"/>
              </w:rPr>
              <w:t>£5,362</w:t>
            </w:r>
          </w:p>
        </w:tc>
        <w:tc>
          <w:tcPr>
            <w:tcW w:w="1303" w:type="dxa"/>
          </w:tcPr>
          <w:p w:rsidR="006A18FD" w:rsidRDefault="006A18FD">
            <w:pPr>
              <w:spacing w:before="2"/>
              <w:rPr>
                <w:rFonts w:ascii="Calibri"/>
                <w:b/>
                <w:sz w:val="20"/>
              </w:rPr>
            </w:pPr>
          </w:p>
          <w:p w:rsidR="006A18FD" w:rsidRDefault="002D29FC">
            <w:pPr>
              <w:ind w:left="118" w:right="120"/>
              <w:jc w:val="center"/>
              <w:rPr>
                <w:rFonts w:ascii="Calibri" w:hAnsi="Calibri"/>
                <w:sz w:val="20"/>
              </w:rPr>
            </w:pPr>
            <w:r>
              <w:rPr>
                <w:rFonts w:ascii="Calibri" w:hAnsi="Calibri"/>
                <w:sz w:val="20"/>
              </w:rPr>
              <w:t>£5,362</w:t>
            </w:r>
          </w:p>
        </w:tc>
        <w:tc>
          <w:tcPr>
            <w:tcW w:w="1248" w:type="dxa"/>
          </w:tcPr>
          <w:p w:rsidR="006A18FD" w:rsidRDefault="006A18FD">
            <w:pPr>
              <w:spacing w:before="2"/>
              <w:rPr>
                <w:rFonts w:ascii="Calibri"/>
                <w:b/>
                <w:sz w:val="20"/>
              </w:rPr>
            </w:pPr>
          </w:p>
          <w:p w:rsidR="006A18FD" w:rsidRDefault="002D29FC">
            <w:pPr>
              <w:ind w:left="91" w:right="91"/>
              <w:jc w:val="center"/>
              <w:rPr>
                <w:rFonts w:ascii="Calibri" w:hAnsi="Calibri"/>
                <w:sz w:val="20"/>
              </w:rPr>
            </w:pPr>
            <w:r>
              <w:rPr>
                <w:rFonts w:ascii="Calibri" w:hAnsi="Calibri"/>
                <w:sz w:val="20"/>
              </w:rPr>
              <w:t>£5,362</w:t>
            </w:r>
          </w:p>
        </w:tc>
        <w:tc>
          <w:tcPr>
            <w:tcW w:w="1246" w:type="dxa"/>
          </w:tcPr>
          <w:p w:rsidR="006A18FD" w:rsidRDefault="006A18FD">
            <w:pPr>
              <w:spacing w:before="2"/>
              <w:rPr>
                <w:rFonts w:ascii="Calibri"/>
                <w:b/>
                <w:sz w:val="20"/>
              </w:rPr>
            </w:pPr>
          </w:p>
          <w:p w:rsidR="006A18FD" w:rsidRDefault="002D29FC">
            <w:pPr>
              <w:ind w:left="89" w:right="91"/>
              <w:jc w:val="center"/>
              <w:rPr>
                <w:rFonts w:ascii="Calibri" w:hAnsi="Calibri"/>
                <w:sz w:val="20"/>
              </w:rPr>
            </w:pPr>
            <w:r>
              <w:rPr>
                <w:rFonts w:ascii="Calibri" w:hAnsi="Calibri"/>
                <w:sz w:val="20"/>
              </w:rPr>
              <w:t>£5,362</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F Travel</w:t>
            </w: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9" w:type="dxa"/>
          </w:tcPr>
          <w:p w:rsidR="006A18FD" w:rsidRDefault="006A18FD">
            <w:pPr>
              <w:rPr>
                <w:rFonts w:ascii="Times New Roman"/>
                <w:sz w:val="20"/>
              </w:rPr>
            </w:pPr>
          </w:p>
        </w:tc>
        <w:tc>
          <w:tcPr>
            <w:tcW w:w="1303"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r>
      <w:tr w:rsidR="006A18FD">
        <w:trPr>
          <w:trHeight w:val="440"/>
        </w:trPr>
        <w:tc>
          <w:tcPr>
            <w:tcW w:w="4146" w:type="dxa"/>
            <w:tcBorders>
              <w:bottom w:val="nil"/>
            </w:tcBorders>
          </w:tcPr>
          <w:p w:rsidR="006A18FD" w:rsidRDefault="002D29FC">
            <w:pPr>
              <w:spacing w:before="123"/>
              <w:ind w:left="103"/>
              <w:rPr>
                <w:rFonts w:ascii="Calibri"/>
                <w:b/>
                <w:sz w:val="20"/>
              </w:rPr>
            </w:pPr>
            <w:r>
              <w:rPr>
                <w:rFonts w:ascii="Calibri"/>
                <w:b/>
                <w:sz w:val="20"/>
              </w:rPr>
              <w:t>G Working time</w:t>
            </w:r>
          </w:p>
        </w:tc>
        <w:tc>
          <w:tcPr>
            <w:tcW w:w="1248" w:type="dxa"/>
            <w:tcBorders>
              <w:bottom w:val="nil"/>
            </w:tcBorders>
          </w:tcPr>
          <w:p w:rsidR="006A18FD" w:rsidRDefault="002D29FC">
            <w:pPr>
              <w:spacing w:before="1"/>
              <w:ind w:left="92" w:right="92"/>
              <w:jc w:val="center"/>
              <w:rPr>
                <w:rFonts w:ascii="Calibri"/>
                <w:sz w:val="18"/>
              </w:rPr>
            </w:pPr>
            <w:r>
              <w:rPr>
                <w:rFonts w:ascii="Calibri"/>
                <w:sz w:val="18"/>
              </w:rPr>
              <w:t>43.2</w:t>
            </w:r>
          </w:p>
          <w:p w:rsidR="006A18FD" w:rsidRDefault="002D29FC">
            <w:pPr>
              <w:spacing w:before="1" w:line="216" w:lineRule="exact"/>
              <w:ind w:left="91" w:right="92"/>
              <w:jc w:val="center"/>
              <w:rPr>
                <w:rFonts w:ascii="Calibri"/>
                <w:sz w:val="18"/>
              </w:rPr>
            </w:pPr>
            <w:r>
              <w:rPr>
                <w:rFonts w:ascii="Calibri"/>
                <w:sz w:val="18"/>
              </w:rPr>
              <w:t>(1,618 hours)</w:t>
            </w:r>
          </w:p>
        </w:tc>
        <w:tc>
          <w:tcPr>
            <w:tcW w:w="1246" w:type="dxa"/>
            <w:tcBorders>
              <w:bottom w:val="nil"/>
            </w:tcBorders>
          </w:tcPr>
          <w:p w:rsidR="006A18FD" w:rsidRDefault="002D29FC">
            <w:pPr>
              <w:spacing w:before="1"/>
              <w:ind w:left="90" w:right="90"/>
              <w:jc w:val="center"/>
              <w:rPr>
                <w:rFonts w:ascii="Calibri"/>
                <w:sz w:val="18"/>
              </w:rPr>
            </w:pPr>
            <w:r>
              <w:rPr>
                <w:rFonts w:ascii="Calibri"/>
                <w:sz w:val="18"/>
              </w:rPr>
              <w:t>42.6</w:t>
            </w:r>
          </w:p>
          <w:p w:rsidR="006A18FD" w:rsidRDefault="002D29FC">
            <w:pPr>
              <w:spacing w:before="1" w:line="216" w:lineRule="exact"/>
              <w:ind w:left="90" w:right="90"/>
              <w:jc w:val="center"/>
              <w:rPr>
                <w:rFonts w:ascii="Calibri"/>
                <w:sz w:val="18"/>
              </w:rPr>
            </w:pPr>
            <w:r>
              <w:rPr>
                <w:rFonts w:ascii="Calibri"/>
                <w:sz w:val="18"/>
              </w:rPr>
              <w:t>(1,599 hours)</w:t>
            </w:r>
          </w:p>
        </w:tc>
        <w:tc>
          <w:tcPr>
            <w:tcW w:w="1248" w:type="dxa"/>
            <w:tcBorders>
              <w:bottom w:val="nil"/>
            </w:tcBorders>
          </w:tcPr>
          <w:p w:rsidR="006A18FD" w:rsidRDefault="002D29FC">
            <w:pPr>
              <w:spacing w:before="1"/>
              <w:ind w:left="91" w:right="91"/>
              <w:jc w:val="center"/>
              <w:rPr>
                <w:rFonts w:ascii="Calibri"/>
                <w:sz w:val="18"/>
              </w:rPr>
            </w:pPr>
            <w:r>
              <w:rPr>
                <w:rFonts w:ascii="Calibri"/>
                <w:sz w:val="18"/>
              </w:rPr>
              <w:t>42.6</w:t>
            </w:r>
          </w:p>
          <w:p w:rsidR="006A18FD" w:rsidRDefault="002D29FC">
            <w:pPr>
              <w:spacing w:before="1" w:line="216" w:lineRule="exact"/>
              <w:ind w:left="90" w:right="91"/>
              <w:jc w:val="center"/>
              <w:rPr>
                <w:rFonts w:ascii="Calibri"/>
                <w:sz w:val="18"/>
              </w:rPr>
            </w:pPr>
            <w:r>
              <w:rPr>
                <w:rFonts w:ascii="Calibri"/>
                <w:sz w:val="18"/>
              </w:rPr>
              <w:t>(1,599 hours)</w:t>
            </w:r>
          </w:p>
        </w:tc>
        <w:tc>
          <w:tcPr>
            <w:tcW w:w="1246" w:type="dxa"/>
            <w:tcBorders>
              <w:bottom w:val="nil"/>
            </w:tcBorders>
          </w:tcPr>
          <w:p w:rsidR="006A18FD" w:rsidRDefault="002D29FC">
            <w:pPr>
              <w:spacing w:before="1"/>
              <w:ind w:left="90" w:right="90"/>
              <w:jc w:val="center"/>
              <w:rPr>
                <w:rFonts w:ascii="Calibri"/>
                <w:sz w:val="18"/>
              </w:rPr>
            </w:pPr>
            <w:r>
              <w:rPr>
                <w:rFonts w:ascii="Calibri"/>
                <w:sz w:val="18"/>
              </w:rPr>
              <w:t>42.6</w:t>
            </w:r>
          </w:p>
          <w:p w:rsidR="006A18FD" w:rsidRDefault="002D29FC">
            <w:pPr>
              <w:spacing w:before="1" w:line="216" w:lineRule="exact"/>
              <w:ind w:left="90" w:right="90"/>
              <w:jc w:val="center"/>
              <w:rPr>
                <w:rFonts w:ascii="Calibri"/>
                <w:sz w:val="18"/>
              </w:rPr>
            </w:pPr>
            <w:r>
              <w:rPr>
                <w:rFonts w:ascii="Calibri"/>
                <w:sz w:val="18"/>
              </w:rPr>
              <w:t>(1,599 hours)</w:t>
            </w:r>
          </w:p>
        </w:tc>
        <w:tc>
          <w:tcPr>
            <w:tcW w:w="1248" w:type="dxa"/>
            <w:tcBorders>
              <w:bottom w:val="nil"/>
            </w:tcBorders>
          </w:tcPr>
          <w:p w:rsidR="006A18FD" w:rsidRDefault="002D29FC">
            <w:pPr>
              <w:spacing w:before="1"/>
              <w:ind w:left="92" w:right="92"/>
              <w:jc w:val="center"/>
              <w:rPr>
                <w:rFonts w:ascii="Calibri"/>
                <w:sz w:val="18"/>
              </w:rPr>
            </w:pPr>
            <w:r>
              <w:rPr>
                <w:rFonts w:ascii="Calibri"/>
                <w:sz w:val="18"/>
              </w:rPr>
              <w:t>42.6</w:t>
            </w:r>
          </w:p>
          <w:p w:rsidR="006A18FD" w:rsidRDefault="002D29FC">
            <w:pPr>
              <w:spacing w:before="1" w:line="216" w:lineRule="exact"/>
              <w:ind w:left="91" w:right="92"/>
              <w:jc w:val="center"/>
              <w:rPr>
                <w:rFonts w:ascii="Calibri"/>
                <w:sz w:val="18"/>
              </w:rPr>
            </w:pPr>
            <w:r>
              <w:rPr>
                <w:rFonts w:ascii="Calibri"/>
                <w:sz w:val="18"/>
              </w:rPr>
              <w:t>(1,599 hours)</w:t>
            </w:r>
          </w:p>
        </w:tc>
        <w:tc>
          <w:tcPr>
            <w:tcW w:w="1249" w:type="dxa"/>
            <w:tcBorders>
              <w:bottom w:val="nil"/>
            </w:tcBorders>
          </w:tcPr>
          <w:p w:rsidR="006A18FD" w:rsidRDefault="002D29FC">
            <w:pPr>
              <w:spacing w:before="1"/>
              <w:ind w:left="92" w:right="93"/>
              <w:jc w:val="center"/>
              <w:rPr>
                <w:rFonts w:ascii="Calibri"/>
                <w:sz w:val="18"/>
              </w:rPr>
            </w:pPr>
            <w:r>
              <w:rPr>
                <w:rFonts w:ascii="Calibri"/>
                <w:sz w:val="18"/>
              </w:rPr>
              <w:t>42.6</w:t>
            </w:r>
          </w:p>
          <w:p w:rsidR="006A18FD" w:rsidRDefault="002D29FC">
            <w:pPr>
              <w:spacing w:before="1" w:line="216" w:lineRule="exact"/>
              <w:ind w:left="92" w:right="93"/>
              <w:jc w:val="center"/>
              <w:rPr>
                <w:rFonts w:ascii="Calibri"/>
                <w:sz w:val="18"/>
              </w:rPr>
            </w:pPr>
            <w:r>
              <w:rPr>
                <w:rFonts w:ascii="Calibri"/>
                <w:sz w:val="18"/>
              </w:rPr>
              <w:t>(1,599 hours)</w:t>
            </w:r>
          </w:p>
        </w:tc>
        <w:tc>
          <w:tcPr>
            <w:tcW w:w="1303" w:type="dxa"/>
            <w:tcBorders>
              <w:bottom w:val="nil"/>
            </w:tcBorders>
          </w:tcPr>
          <w:p w:rsidR="006A18FD" w:rsidRDefault="002D29FC">
            <w:pPr>
              <w:spacing w:before="1"/>
              <w:ind w:left="120" w:right="120"/>
              <w:jc w:val="center"/>
              <w:rPr>
                <w:rFonts w:ascii="Calibri"/>
                <w:sz w:val="18"/>
              </w:rPr>
            </w:pPr>
            <w:r>
              <w:rPr>
                <w:rFonts w:ascii="Calibri"/>
                <w:sz w:val="18"/>
              </w:rPr>
              <w:t>42.6</w:t>
            </w:r>
          </w:p>
          <w:p w:rsidR="006A18FD" w:rsidRDefault="002D29FC">
            <w:pPr>
              <w:spacing w:before="1" w:line="216" w:lineRule="exact"/>
              <w:ind w:left="120" w:right="120"/>
              <w:jc w:val="center"/>
              <w:rPr>
                <w:rFonts w:ascii="Calibri"/>
                <w:sz w:val="18"/>
              </w:rPr>
            </w:pPr>
            <w:r>
              <w:rPr>
                <w:rFonts w:ascii="Calibri"/>
                <w:sz w:val="18"/>
              </w:rPr>
              <w:t>(1,599 hours)</w:t>
            </w:r>
          </w:p>
        </w:tc>
        <w:tc>
          <w:tcPr>
            <w:tcW w:w="1248" w:type="dxa"/>
            <w:tcBorders>
              <w:bottom w:val="nil"/>
            </w:tcBorders>
          </w:tcPr>
          <w:p w:rsidR="006A18FD" w:rsidRDefault="002D29FC">
            <w:pPr>
              <w:spacing w:before="1"/>
              <w:ind w:left="91" w:right="91"/>
              <w:jc w:val="center"/>
              <w:rPr>
                <w:rFonts w:ascii="Calibri"/>
                <w:sz w:val="18"/>
              </w:rPr>
            </w:pPr>
            <w:r>
              <w:rPr>
                <w:rFonts w:ascii="Calibri"/>
                <w:sz w:val="18"/>
              </w:rPr>
              <w:t>42.6</w:t>
            </w:r>
          </w:p>
          <w:p w:rsidR="006A18FD" w:rsidRDefault="002D29FC">
            <w:pPr>
              <w:spacing w:before="1" w:line="216" w:lineRule="exact"/>
              <w:ind w:left="92" w:right="53"/>
              <w:jc w:val="center"/>
              <w:rPr>
                <w:rFonts w:ascii="Calibri"/>
                <w:sz w:val="18"/>
              </w:rPr>
            </w:pPr>
            <w:r>
              <w:rPr>
                <w:rFonts w:ascii="Calibri"/>
                <w:sz w:val="18"/>
              </w:rPr>
              <w:t>(1,599 hours)</w:t>
            </w:r>
          </w:p>
        </w:tc>
        <w:tc>
          <w:tcPr>
            <w:tcW w:w="1246" w:type="dxa"/>
            <w:tcBorders>
              <w:bottom w:val="nil"/>
            </w:tcBorders>
          </w:tcPr>
          <w:p w:rsidR="006A18FD" w:rsidRDefault="002D29FC">
            <w:pPr>
              <w:spacing w:before="1"/>
              <w:ind w:left="89" w:right="91"/>
              <w:jc w:val="center"/>
              <w:rPr>
                <w:rFonts w:ascii="Calibri"/>
                <w:sz w:val="18"/>
              </w:rPr>
            </w:pPr>
            <w:r>
              <w:rPr>
                <w:rFonts w:ascii="Calibri"/>
                <w:sz w:val="18"/>
              </w:rPr>
              <w:t>42.6</w:t>
            </w:r>
          </w:p>
          <w:p w:rsidR="006A18FD" w:rsidRDefault="002D29FC">
            <w:pPr>
              <w:spacing w:before="1" w:line="216" w:lineRule="exact"/>
              <w:ind w:left="88" w:right="91"/>
              <w:jc w:val="center"/>
              <w:rPr>
                <w:rFonts w:ascii="Calibri"/>
                <w:sz w:val="18"/>
              </w:rPr>
            </w:pPr>
            <w:r>
              <w:rPr>
                <w:rFonts w:ascii="Calibri"/>
                <w:sz w:val="18"/>
              </w:rPr>
              <w:t>(1,599 hours)</w:t>
            </w:r>
          </w:p>
        </w:tc>
      </w:tr>
      <w:tr w:rsidR="006A18FD">
        <w:trPr>
          <w:trHeight w:val="200"/>
        </w:trPr>
        <w:tc>
          <w:tcPr>
            <w:tcW w:w="4146" w:type="dxa"/>
            <w:tcBorders>
              <w:top w:val="nil"/>
              <w:bottom w:val="nil"/>
            </w:tcBorders>
          </w:tcPr>
          <w:p w:rsidR="006A18FD" w:rsidRDefault="006A18FD">
            <w:pPr>
              <w:rPr>
                <w:rFonts w:ascii="Times New Roman"/>
                <w:sz w:val="14"/>
              </w:rPr>
            </w:pPr>
          </w:p>
        </w:tc>
        <w:tc>
          <w:tcPr>
            <w:tcW w:w="1248" w:type="dxa"/>
            <w:tcBorders>
              <w:top w:val="nil"/>
              <w:bottom w:val="nil"/>
            </w:tcBorders>
          </w:tcPr>
          <w:p w:rsidR="006A18FD" w:rsidRDefault="002D29FC">
            <w:pPr>
              <w:spacing w:line="200" w:lineRule="exact"/>
              <w:ind w:left="92" w:right="92"/>
              <w:jc w:val="center"/>
              <w:rPr>
                <w:rFonts w:ascii="Calibri"/>
                <w:sz w:val="18"/>
              </w:rPr>
            </w:pPr>
            <w:r>
              <w:rPr>
                <w:rFonts w:ascii="Calibri"/>
                <w:sz w:val="18"/>
              </w:rPr>
              <w:t>per year, 37.5</w:t>
            </w:r>
          </w:p>
        </w:tc>
        <w:tc>
          <w:tcPr>
            <w:tcW w:w="1246" w:type="dxa"/>
            <w:tcBorders>
              <w:top w:val="nil"/>
              <w:bottom w:val="nil"/>
            </w:tcBorders>
          </w:tcPr>
          <w:p w:rsidR="006A18FD" w:rsidRDefault="002D29FC">
            <w:pPr>
              <w:spacing w:line="200" w:lineRule="exact"/>
              <w:ind w:left="90" w:right="90"/>
              <w:jc w:val="center"/>
              <w:rPr>
                <w:rFonts w:ascii="Calibri"/>
                <w:sz w:val="18"/>
              </w:rPr>
            </w:pPr>
            <w:r>
              <w:rPr>
                <w:rFonts w:ascii="Calibri"/>
                <w:sz w:val="18"/>
              </w:rPr>
              <w:t>per year, 37.5</w:t>
            </w:r>
          </w:p>
        </w:tc>
        <w:tc>
          <w:tcPr>
            <w:tcW w:w="1248" w:type="dxa"/>
            <w:tcBorders>
              <w:top w:val="nil"/>
              <w:bottom w:val="nil"/>
            </w:tcBorders>
          </w:tcPr>
          <w:p w:rsidR="006A18FD" w:rsidRDefault="002D29FC">
            <w:pPr>
              <w:spacing w:line="200" w:lineRule="exact"/>
              <w:ind w:left="90" w:right="91"/>
              <w:jc w:val="center"/>
              <w:rPr>
                <w:rFonts w:ascii="Calibri"/>
                <w:sz w:val="18"/>
              </w:rPr>
            </w:pPr>
            <w:r>
              <w:rPr>
                <w:rFonts w:ascii="Calibri"/>
                <w:sz w:val="18"/>
              </w:rPr>
              <w:t>per year, 37.5</w:t>
            </w:r>
          </w:p>
        </w:tc>
        <w:tc>
          <w:tcPr>
            <w:tcW w:w="1246" w:type="dxa"/>
            <w:tcBorders>
              <w:top w:val="nil"/>
              <w:bottom w:val="nil"/>
            </w:tcBorders>
          </w:tcPr>
          <w:p w:rsidR="006A18FD" w:rsidRDefault="002D29FC">
            <w:pPr>
              <w:spacing w:line="200" w:lineRule="exact"/>
              <w:ind w:left="90" w:right="90"/>
              <w:jc w:val="center"/>
              <w:rPr>
                <w:rFonts w:ascii="Calibri"/>
                <w:sz w:val="18"/>
              </w:rPr>
            </w:pPr>
            <w:r>
              <w:rPr>
                <w:rFonts w:ascii="Calibri"/>
                <w:sz w:val="18"/>
              </w:rPr>
              <w:t>per year, 37.5</w:t>
            </w:r>
          </w:p>
        </w:tc>
        <w:tc>
          <w:tcPr>
            <w:tcW w:w="1248" w:type="dxa"/>
            <w:tcBorders>
              <w:top w:val="nil"/>
              <w:bottom w:val="nil"/>
            </w:tcBorders>
          </w:tcPr>
          <w:p w:rsidR="006A18FD" w:rsidRDefault="002D29FC">
            <w:pPr>
              <w:spacing w:line="200" w:lineRule="exact"/>
              <w:ind w:left="92" w:right="92"/>
              <w:jc w:val="center"/>
              <w:rPr>
                <w:rFonts w:ascii="Calibri"/>
                <w:sz w:val="18"/>
              </w:rPr>
            </w:pPr>
            <w:r>
              <w:rPr>
                <w:rFonts w:ascii="Calibri"/>
                <w:sz w:val="18"/>
              </w:rPr>
              <w:t>per year, 37.5</w:t>
            </w:r>
          </w:p>
        </w:tc>
        <w:tc>
          <w:tcPr>
            <w:tcW w:w="1249" w:type="dxa"/>
            <w:tcBorders>
              <w:top w:val="nil"/>
              <w:bottom w:val="nil"/>
            </w:tcBorders>
          </w:tcPr>
          <w:p w:rsidR="006A18FD" w:rsidRDefault="002D29FC">
            <w:pPr>
              <w:spacing w:line="200" w:lineRule="exact"/>
              <w:ind w:left="92" w:right="93"/>
              <w:jc w:val="center"/>
              <w:rPr>
                <w:rFonts w:ascii="Calibri"/>
                <w:sz w:val="18"/>
              </w:rPr>
            </w:pPr>
            <w:r>
              <w:rPr>
                <w:rFonts w:ascii="Calibri"/>
                <w:sz w:val="18"/>
              </w:rPr>
              <w:t>per year, 37.5</w:t>
            </w:r>
          </w:p>
        </w:tc>
        <w:tc>
          <w:tcPr>
            <w:tcW w:w="1303" w:type="dxa"/>
            <w:tcBorders>
              <w:top w:val="nil"/>
              <w:bottom w:val="nil"/>
            </w:tcBorders>
          </w:tcPr>
          <w:p w:rsidR="006A18FD" w:rsidRDefault="002D29FC">
            <w:pPr>
              <w:spacing w:line="200" w:lineRule="exact"/>
              <w:ind w:left="120" w:right="120"/>
              <w:jc w:val="center"/>
              <w:rPr>
                <w:rFonts w:ascii="Calibri"/>
                <w:sz w:val="18"/>
              </w:rPr>
            </w:pPr>
            <w:r>
              <w:rPr>
                <w:rFonts w:ascii="Calibri"/>
                <w:sz w:val="18"/>
              </w:rPr>
              <w:t>per year, 37.5</w:t>
            </w:r>
          </w:p>
        </w:tc>
        <w:tc>
          <w:tcPr>
            <w:tcW w:w="1248" w:type="dxa"/>
            <w:tcBorders>
              <w:top w:val="nil"/>
              <w:bottom w:val="nil"/>
            </w:tcBorders>
          </w:tcPr>
          <w:p w:rsidR="006A18FD" w:rsidRDefault="002D29FC">
            <w:pPr>
              <w:spacing w:line="200" w:lineRule="exact"/>
              <w:ind w:left="90" w:right="91"/>
              <w:jc w:val="center"/>
              <w:rPr>
                <w:rFonts w:ascii="Calibri"/>
                <w:sz w:val="18"/>
              </w:rPr>
            </w:pPr>
            <w:r>
              <w:rPr>
                <w:rFonts w:ascii="Calibri"/>
                <w:sz w:val="18"/>
              </w:rPr>
              <w:t>per year, 37.5</w:t>
            </w:r>
          </w:p>
        </w:tc>
        <w:tc>
          <w:tcPr>
            <w:tcW w:w="1246" w:type="dxa"/>
            <w:tcBorders>
              <w:top w:val="nil"/>
              <w:bottom w:val="nil"/>
            </w:tcBorders>
          </w:tcPr>
          <w:p w:rsidR="006A18FD" w:rsidRDefault="002D29FC">
            <w:pPr>
              <w:spacing w:line="200" w:lineRule="exact"/>
              <w:ind w:left="88" w:right="91"/>
              <w:jc w:val="center"/>
              <w:rPr>
                <w:rFonts w:ascii="Calibri"/>
                <w:sz w:val="18"/>
              </w:rPr>
            </w:pPr>
            <w:r>
              <w:rPr>
                <w:rFonts w:ascii="Calibri"/>
                <w:sz w:val="18"/>
              </w:rPr>
              <w:t>per year, 37.5</w:t>
            </w:r>
          </w:p>
        </w:tc>
      </w:tr>
      <w:tr w:rsidR="006A18FD">
        <w:trPr>
          <w:trHeight w:val="200"/>
        </w:trPr>
        <w:tc>
          <w:tcPr>
            <w:tcW w:w="4146" w:type="dxa"/>
            <w:tcBorders>
              <w:top w:val="nil"/>
              <w:bottom w:val="nil"/>
            </w:tcBorders>
          </w:tcPr>
          <w:p w:rsidR="006A18FD" w:rsidRDefault="006A18FD">
            <w:pPr>
              <w:rPr>
                <w:rFonts w:ascii="Times New Roman"/>
                <w:sz w:val="14"/>
              </w:rPr>
            </w:pPr>
          </w:p>
        </w:tc>
        <w:tc>
          <w:tcPr>
            <w:tcW w:w="1248" w:type="dxa"/>
            <w:tcBorders>
              <w:top w:val="nil"/>
              <w:bottom w:val="nil"/>
            </w:tcBorders>
          </w:tcPr>
          <w:p w:rsidR="006A18FD" w:rsidRDefault="002D29FC">
            <w:pPr>
              <w:spacing w:line="200" w:lineRule="exact"/>
              <w:ind w:left="92" w:right="92"/>
              <w:jc w:val="center"/>
              <w:rPr>
                <w:rFonts w:ascii="Calibri"/>
                <w:sz w:val="18"/>
              </w:rPr>
            </w:pPr>
            <w:r>
              <w:rPr>
                <w:rFonts w:ascii="Calibri"/>
                <w:sz w:val="18"/>
              </w:rPr>
              <w:t>hours per</w:t>
            </w:r>
          </w:p>
        </w:tc>
        <w:tc>
          <w:tcPr>
            <w:tcW w:w="1246" w:type="dxa"/>
            <w:tcBorders>
              <w:top w:val="nil"/>
              <w:bottom w:val="nil"/>
            </w:tcBorders>
          </w:tcPr>
          <w:p w:rsidR="006A18FD" w:rsidRDefault="002D29FC">
            <w:pPr>
              <w:spacing w:line="200" w:lineRule="exact"/>
              <w:ind w:left="90" w:right="90"/>
              <w:jc w:val="center"/>
              <w:rPr>
                <w:rFonts w:ascii="Calibri"/>
                <w:sz w:val="18"/>
              </w:rPr>
            </w:pPr>
            <w:r>
              <w:rPr>
                <w:rFonts w:ascii="Calibri"/>
                <w:sz w:val="18"/>
              </w:rPr>
              <w:t>hours per</w:t>
            </w:r>
          </w:p>
        </w:tc>
        <w:tc>
          <w:tcPr>
            <w:tcW w:w="1248" w:type="dxa"/>
            <w:tcBorders>
              <w:top w:val="nil"/>
              <w:bottom w:val="nil"/>
            </w:tcBorders>
          </w:tcPr>
          <w:p w:rsidR="006A18FD" w:rsidRDefault="002D29FC">
            <w:pPr>
              <w:spacing w:line="200" w:lineRule="exact"/>
              <w:ind w:left="91" w:right="91"/>
              <w:jc w:val="center"/>
              <w:rPr>
                <w:rFonts w:ascii="Calibri"/>
                <w:sz w:val="18"/>
              </w:rPr>
            </w:pPr>
            <w:r>
              <w:rPr>
                <w:rFonts w:ascii="Calibri"/>
                <w:sz w:val="18"/>
              </w:rPr>
              <w:t>hours per</w:t>
            </w:r>
          </w:p>
        </w:tc>
        <w:tc>
          <w:tcPr>
            <w:tcW w:w="1246" w:type="dxa"/>
            <w:tcBorders>
              <w:top w:val="nil"/>
              <w:bottom w:val="nil"/>
            </w:tcBorders>
          </w:tcPr>
          <w:p w:rsidR="006A18FD" w:rsidRDefault="002D29FC">
            <w:pPr>
              <w:spacing w:line="200" w:lineRule="exact"/>
              <w:ind w:left="90" w:right="90"/>
              <w:jc w:val="center"/>
              <w:rPr>
                <w:rFonts w:ascii="Calibri"/>
                <w:sz w:val="18"/>
              </w:rPr>
            </w:pPr>
            <w:r>
              <w:rPr>
                <w:rFonts w:ascii="Calibri"/>
                <w:sz w:val="18"/>
              </w:rPr>
              <w:t>hours per</w:t>
            </w:r>
          </w:p>
        </w:tc>
        <w:tc>
          <w:tcPr>
            <w:tcW w:w="1248" w:type="dxa"/>
            <w:tcBorders>
              <w:top w:val="nil"/>
              <w:bottom w:val="nil"/>
            </w:tcBorders>
          </w:tcPr>
          <w:p w:rsidR="006A18FD" w:rsidRDefault="002D29FC">
            <w:pPr>
              <w:spacing w:line="200" w:lineRule="exact"/>
              <w:ind w:left="92" w:right="92"/>
              <w:jc w:val="center"/>
              <w:rPr>
                <w:rFonts w:ascii="Calibri"/>
                <w:sz w:val="18"/>
              </w:rPr>
            </w:pPr>
            <w:r>
              <w:rPr>
                <w:rFonts w:ascii="Calibri"/>
                <w:sz w:val="18"/>
              </w:rPr>
              <w:t>hours per</w:t>
            </w:r>
          </w:p>
        </w:tc>
        <w:tc>
          <w:tcPr>
            <w:tcW w:w="1249" w:type="dxa"/>
            <w:tcBorders>
              <w:top w:val="nil"/>
              <w:bottom w:val="nil"/>
            </w:tcBorders>
          </w:tcPr>
          <w:p w:rsidR="006A18FD" w:rsidRDefault="002D29FC">
            <w:pPr>
              <w:spacing w:line="200" w:lineRule="exact"/>
              <w:ind w:left="92" w:right="93"/>
              <w:jc w:val="center"/>
              <w:rPr>
                <w:rFonts w:ascii="Calibri"/>
                <w:sz w:val="18"/>
              </w:rPr>
            </w:pPr>
            <w:r>
              <w:rPr>
                <w:rFonts w:ascii="Calibri"/>
                <w:sz w:val="18"/>
              </w:rPr>
              <w:t>hours per</w:t>
            </w:r>
          </w:p>
        </w:tc>
        <w:tc>
          <w:tcPr>
            <w:tcW w:w="1303" w:type="dxa"/>
            <w:tcBorders>
              <w:top w:val="nil"/>
              <w:bottom w:val="nil"/>
            </w:tcBorders>
          </w:tcPr>
          <w:p w:rsidR="006A18FD" w:rsidRDefault="002D29FC">
            <w:pPr>
              <w:spacing w:line="200" w:lineRule="exact"/>
              <w:ind w:left="120" w:right="120"/>
              <w:jc w:val="center"/>
              <w:rPr>
                <w:rFonts w:ascii="Calibri"/>
                <w:sz w:val="18"/>
              </w:rPr>
            </w:pPr>
            <w:r>
              <w:rPr>
                <w:rFonts w:ascii="Calibri"/>
                <w:sz w:val="18"/>
              </w:rPr>
              <w:t>hours per</w:t>
            </w:r>
          </w:p>
        </w:tc>
        <w:tc>
          <w:tcPr>
            <w:tcW w:w="1248" w:type="dxa"/>
            <w:tcBorders>
              <w:top w:val="nil"/>
              <w:bottom w:val="nil"/>
            </w:tcBorders>
          </w:tcPr>
          <w:p w:rsidR="006A18FD" w:rsidRDefault="002D29FC">
            <w:pPr>
              <w:spacing w:line="200" w:lineRule="exact"/>
              <w:ind w:left="91" w:right="91"/>
              <w:jc w:val="center"/>
              <w:rPr>
                <w:rFonts w:ascii="Calibri"/>
                <w:sz w:val="18"/>
              </w:rPr>
            </w:pPr>
            <w:r>
              <w:rPr>
                <w:rFonts w:ascii="Calibri"/>
                <w:sz w:val="18"/>
              </w:rPr>
              <w:t>hours per</w:t>
            </w:r>
          </w:p>
        </w:tc>
        <w:tc>
          <w:tcPr>
            <w:tcW w:w="1246" w:type="dxa"/>
            <w:tcBorders>
              <w:top w:val="nil"/>
              <w:bottom w:val="nil"/>
            </w:tcBorders>
          </w:tcPr>
          <w:p w:rsidR="006A18FD" w:rsidRDefault="002D29FC">
            <w:pPr>
              <w:spacing w:line="200" w:lineRule="exact"/>
              <w:ind w:left="89" w:right="91"/>
              <w:jc w:val="center"/>
              <w:rPr>
                <w:rFonts w:ascii="Calibri"/>
                <w:sz w:val="18"/>
              </w:rPr>
            </w:pPr>
            <w:r>
              <w:rPr>
                <w:rFonts w:ascii="Calibri"/>
                <w:sz w:val="18"/>
              </w:rPr>
              <w:t>hours per</w:t>
            </w:r>
          </w:p>
        </w:tc>
      </w:tr>
      <w:tr w:rsidR="006A18FD">
        <w:trPr>
          <w:trHeight w:val="200"/>
        </w:trPr>
        <w:tc>
          <w:tcPr>
            <w:tcW w:w="4146" w:type="dxa"/>
            <w:tcBorders>
              <w:top w:val="nil"/>
            </w:tcBorders>
          </w:tcPr>
          <w:p w:rsidR="006A18FD" w:rsidRDefault="006A18FD">
            <w:pPr>
              <w:rPr>
                <w:rFonts w:ascii="Times New Roman"/>
                <w:sz w:val="14"/>
              </w:rPr>
            </w:pPr>
          </w:p>
        </w:tc>
        <w:tc>
          <w:tcPr>
            <w:tcW w:w="1248" w:type="dxa"/>
            <w:tcBorders>
              <w:top w:val="nil"/>
            </w:tcBorders>
          </w:tcPr>
          <w:p w:rsidR="006A18FD" w:rsidRDefault="002D29FC">
            <w:pPr>
              <w:spacing w:line="182" w:lineRule="exact"/>
              <w:ind w:left="92" w:right="92"/>
              <w:jc w:val="center"/>
              <w:rPr>
                <w:rFonts w:ascii="Calibri"/>
                <w:sz w:val="18"/>
              </w:rPr>
            </w:pPr>
            <w:r>
              <w:rPr>
                <w:rFonts w:ascii="Calibri"/>
                <w:sz w:val="18"/>
              </w:rPr>
              <w:t>week</w:t>
            </w:r>
          </w:p>
        </w:tc>
        <w:tc>
          <w:tcPr>
            <w:tcW w:w="1246" w:type="dxa"/>
            <w:tcBorders>
              <w:top w:val="nil"/>
            </w:tcBorders>
          </w:tcPr>
          <w:p w:rsidR="006A18FD" w:rsidRDefault="002D29FC">
            <w:pPr>
              <w:spacing w:line="182" w:lineRule="exact"/>
              <w:ind w:left="90" w:right="88"/>
              <w:jc w:val="center"/>
              <w:rPr>
                <w:rFonts w:ascii="Calibri"/>
                <w:sz w:val="18"/>
              </w:rPr>
            </w:pPr>
            <w:r>
              <w:rPr>
                <w:rFonts w:ascii="Calibri"/>
                <w:sz w:val="18"/>
              </w:rPr>
              <w:t>week</w:t>
            </w:r>
          </w:p>
        </w:tc>
        <w:tc>
          <w:tcPr>
            <w:tcW w:w="1248" w:type="dxa"/>
            <w:tcBorders>
              <w:top w:val="nil"/>
            </w:tcBorders>
          </w:tcPr>
          <w:p w:rsidR="006A18FD" w:rsidRDefault="002D29FC">
            <w:pPr>
              <w:spacing w:line="182" w:lineRule="exact"/>
              <w:ind w:left="91" w:right="91"/>
              <w:jc w:val="center"/>
              <w:rPr>
                <w:rFonts w:ascii="Calibri"/>
                <w:sz w:val="18"/>
              </w:rPr>
            </w:pPr>
            <w:r>
              <w:rPr>
                <w:rFonts w:ascii="Calibri"/>
                <w:sz w:val="18"/>
              </w:rPr>
              <w:t>week</w:t>
            </w:r>
          </w:p>
        </w:tc>
        <w:tc>
          <w:tcPr>
            <w:tcW w:w="1246" w:type="dxa"/>
            <w:tcBorders>
              <w:top w:val="nil"/>
            </w:tcBorders>
          </w:tcPr>
          <w:p w:rsidR="006A18FD" w:rsidRDefault="002D29FC">
            <w:pPr>
              <w:spacing w:line="182" w:lineRule="exact"/>
              <w:ind w:left="90" w:right="88"/>
              <w:jc w:val="center"/>
              <w:rPr>
                <w:rFonts w:ascii="Calibri"/>
                <w:sz w:val="18"/>
              </w:rPr>
            </w:pPr>
            <w:r>
              <w:rPr>
                <w:rFonts w:ascii="Calibri"/>
                <w:sz w:val="18"/>
              </w:rPr>
              <w:t>week</w:t>
            </w:r>
          </w:p>
        </w:tc>
        <w:tc>
          <w:tcPr>
            <w:tcW w:w="1248" w:type="dxa"/>
            <w:tcBorders>
              <w:top w:val="nil"/>
            </w:tcBorders>
          </w:tcPr>
          <w:p w:rsidR="006A18FD" w:rsidRDefault="002D29FC">
            <w:pPr>
              <w:spacing w:line="182" w:lineRule="exact"/>
              <w:ind w:left="92" w:right="92"/>
              <w:jc w:val="center"/>
              <w:rPr>
                <w:rFonts w:ascii="Calibri"/>
                <w:sz w:val="18"/>
              </w:rPr>
            </w:pPr>
            <w:r>
              <w:rPr>
                <w:rFonts w:ascii="Calibri"/>
                <w:sz w:val="18"/>
              </w:rPr>
              <w:t>week</w:t>
            </w:r>
          </w:p>
        </w:tc>
        <w:tc>
          <w:tcPr>
            <w:tcW w:w="1249" w:type="dxa"/>
            <w:tcBorders>
              <w:top w:val="nil"/>
            </w:tcBorders>
          </w:tcPr>
          <w:p w:rsidR="006A18FD" w:rsidRDefault="002D29FC">
            <w:pPr>
              <w:spacing w:line="182" w:lineRule="exact"/>
              <w:ind w:left="92" w:right="92"/>
              <w:jc w:val="center"/>
              <w:rPr>
                <w:rFonts w:ascii="Calibri"/>
                <w:sz w:val="18"/>
              </w:rPr>
            </w:pPr>
            <w:r>
              <w:rPr>
                <w:rFonts w:ascii="Calibri"/>
                <w:sz w:val="18"/>
              </w:rPr>
              <w:t>week</w:t>
            </w:r>
          </w:p>
        </w:tc>
        <w:tc>
          <w:tcPr>
            <w:tcW w:w="1303" w:type="dxa"/>
            <w:tcBorders>
              <w:top w:val="nil"/>
            </w:tcBorders>
          </w:tcPr>
          <w:p w:rsidR="006A18FD" w:rsidRDefault="002D29FC">
            <w:pPr>
              <w:spacing w:line="182" w:lineRule="exact"/>
              <w:ind w:left="120" w:right="120"/>
              <w:jc w:val="center"/>
              <w:rPr>
                <w:rFonts w:ascii="Calibri"/>
                <w:sz w:val="18"/>
              </w:rPr>
            </w:pPr>
            <w:r>
              <w:rPr>
                <w:rFonts w:ascii="Calibri"/>
                <w:sz w:val="18"/>
              </w:rPr>
              <w:t>week</w:t>
            </w:r>
          </w:p>
        </w:tc>
        <w:tc>
          <w:tcPr>
            <w:tcW w:w="1248" w:type="dxa"/>
            <w:tcBorders>
              <w:top w:val="nil"/>
            </w:tcBorders>
          </w:tcPr>
          <w:p w:rsidR="006A18FD" w:rsidRDefault="002D29FC">
            <w:pPr>
              <w:spacing w:line="182" w:lineRule="exact"/>
              <w:ind w:left="91" w:right="91"/>
              <w:jc w:val="center"/>
              <w:rPr>
                <w:rFonts w:ascii="Calibri"/>
                <w:sz w:val="18"/>
              </w:rPr>
            </w:pPr>
            <w:r>
              <w:rPr>
                <w:rFonts w:ascii="Calibri"/>
                <w:sz w:val="18"/>
              </w:rPr>
              <w:t>week</w:t>
            </w:r>
          </w:p>
        </w:tc>
        <w:tc>
          <w:tcPr>
            <w:tcW w:w="1246" w:type="dxa"/>
            <w:tcBorders>
              <w:top w:val="nil"/>
            </w:tcBorders>
          </w:tcPr>
          <w:p w:rsidR="006A18FD" w:rsidRDefault="002D29FC">
            <w:pPr>
              <w:spacing w:line="182" w:lineRule="exact"/>
              <w:ind w:left="90" w:right="90"/>
              <w:jc w:val="center"/>
              <w:rPr>
                <w:rFonts w:ascii="Calibri"/>
                <w:sz w:val="18"/>
              </w:rPr>
            </w:pPr>
            <w:r>
              <w:rPr>
                <w:rFonts w:ascii="Calibri"/>
                <w:sz w:val="18"/>
              </w:rPr>
              <w:t>week</w:t>
            </w:r>
          </w:p>
        </w:tc>
      </w:tr>
      <w:tr w:rsidR="006A18FD">
        <w:trPr>
          <w:trHeight w:val="300"/>
        </w:trPr>
        <w:tc>
          <w:tcPr>
            <w:tcW w:w="4146" w:type="dxa"/>
          </w:tcPr>
          <w:p w:rsidR="006A18FD" w:rsidRDefault="002D29FC">
            <w:pPr>
              <w:spacing w:before="71" w:line="223" w:lineRule="exact"/>
              <w:ind w:left="103"/>
              <w:rPr>
                <w:rFonts w:ascii="Calibri"/>
                <w:b/>
                <w:sz w:val="20"/>
              </w:rPr>
            </w:pPr>
            <w:r>
              <w:rPr>
                <w:rFonts w:ascii="Calibri"/>
                <w:b/>
                <w:sz w:val="20"/>
              </w:rPr>
              <w:t>H Ratio of direct to indirect time</w:t>
            </w:r>
          </w:p>
        </w:tc>
        <w:tc>
          <w:tcPr>
            <w:tcW w:w="1248" w:type="dxa"/>
          </w:tcPr>
          <w:p w:rsidR="006A18FD" w:rsidRDefault="002D29FC">
            <w:pPr>
              <w:spacing w:before="35"/>
              <w:ind w:left="89" w:right="92"/>
              <w:jc w:val="center"/>
              <w:rPr>
                <w:rFonts w:ascii="Calibri"/>
                <w:sz w:val="20"/>
              </w:rPr>
            </w:pPr>
            <w:r>
              <w:rPr>
                <w:rFonts w:ascii="Calibri"/>
                <w:sz w:val="20"/>
              </w:rPr>
              <w:t>See note</w:t>
            </w:r>
          </w:p>
        </w:tc>
        <w:tc>
          <w:tcPr>
            <w:tcW w:w="1246" w:type="dxa"/>
          </w:tcPr>
          <w:p w:rsidR="006A18FD" w:rsidRDefault="002D29FC">
            <w:pPr>
              <w:spacing w:before="35"/>
              <w:ind w:left="90" w:right="90"/>
              <w:jc w:val="center"/>
              <w:rPr>
                <w:rFonts w:ascii="Calibri"/>
                <w:sz w:val="20"/>
              </w:rPr>
            </w:pPr>
            <w:r>
              <w:rPr>
                <w:rFonts w:ascii="Calibri"/>
                <w:sz w:val="20"/>
              </w:rPr>
              <w:t>See note</w:t>
            </w:r>
          </w:p>
        </w:tc>
        <w:tc>
          <w:tcPr>
            <w:tcW w:w="1248" w:type="dxa"/>
          </w:tcPr>
          <w:p w:rsidR="006A18FD" w:rsidRDefault="002D29FC">
            <w:pPr>
              <w:spacing w:before="35"/>
              <w:ind w:left="88" w:right="91"/>
              <w:jc w:val="center"/>
              <w:rPr>
                <w:rFonts w:ascii="Calibri"/>
                <w:sz w:val="20"/>
              </w:rPr>
            </w:pPr>
            <w:r>
              <w:rPr>
                <w:rFonts w:ascii="Calibri"/>
                <w:sz w:val="20"/>
              </w:rPr>
              <w:t>See note</w:t>
            </w:r>
          </w:p>
        </w:tc>
        <w:tc>
          <w:tcPr>
            <w:tcW w:w="1246" w:type="dxa"/>
          </w:tcPr>
          <w:p w:rsidR="006A18FD" w:rsidRDefault="002D29FC">
            <w:pPr>
              <w:spacing w:before="35"/>
              <w:ind w:left="90" w:right="90"/>
              <w:jc w:val="center"/>
              <w:rPr>
                <w:rFonts w:ascii="Calibri"/>
                <w:sz w:val="20"/>
              </w:rPr>
            </w:pPr>
            <w:r>
              <w:rPr>
                <w:rFonts w:ascii="Calibri"/>
                <w:sz w:val="20"/>
              </w:rPr>
              <w:t>See note</w:t>
            </w:r>
          </w:p>
        </w:tc>
        <w:tc>
          <w:tcPr>
            <w:tcW w:w="1248" w:type="dxa"/>
          </w:tcPr>
          <w:p w:rsidR="006A18FD" w:rsidRDefault="002D29FC">
            <w:pPr>
              <w:spacing w:before="35"/>
              <w:ind w:left="89" w:right="92"/>
              <w:jc w:val="center"/>
              <w:rPr>
                <w:rFonts w:ascii="Calibri"/>
                <w:sz w:val="20"/>
              </w:rPr>
            </w:pPr>
            <w:r>
              <w:rPr>
                <w:rFonts w:ascii="Calibri"/>
                <w:sz w:val="20"/>
              </w:rPr>
              <w:t>See note</w:t>
            </w:r>
          </w:p>
        </w:tc>
        <w:tc>
          <w:tcPr>
            <w:tcW w:w="1249" w:type="dxa"/>
          </w:tcPr>
          <w:p w:rsidR="006A18FD" w:rsidRDefault="002D29FC">
            <w:pPr>
              <w:spacing w:before="35"/>
              <w:ind w:left="91" w:right="93"/>
              <w:jc w:val="center"/>
              <w:rPr>
                <w:rFonts w:ascii="Calibri"/>
                <w:sz w:val="20"/>
              </w:rPr>
            </w:pPr>
            <w:r>
              <w:rPr>
                <w:rFonts w:ascii="Calibri"/>
                <w:sz w:val="20"/>
              </w:rPr>
              <w:t>See note</w:t>
            </w:r>
          </w:p>
        </w:tc>
        <w:tc>
          <w:tcPr>
            <w:tcW w:w="1303" w:type="dxa"/>
          </w:tcPr>
          <w:p w:rsidR="006A18FD" w:rsidRDefault="002D29FC">
            <w:pPr>
              <w:spacing w:before="35"/>
              <w:ind w:left="120" w:right="120"/>
              <w:jc w:val="center"/>
              <w:rPr>
                <w:rFonts w:ascii="Calibri"/>
                <w:sz w:val="20"/>
              </w:rPr>
            </w:pPr>
            <w:r>
              <w:rPr>
                <w:rFonts w:ascii="Calibri"/>
                <w:sz w:val="20"/>
              </w:rPr>
              <w:t>See note</w:t>
            </w:r>
          </w:p>
        </w:tc>
        <w:tc>
          <w:tcPr>
            <w:tcW w:w="1248" w:type="dxa"/>
          </w:tcPr>
          <w:p w:rsidR="006A18FD" w:rsidRDefault="002D29FC">
            <w:pPr>
              <w:spacing w:before="35"/>
              <w:ind w:left="88" w:right="91"/>
              <w:jc w:val="center"/>
              <w:rPr>
                <w:rFonts w:ascii="Calibri"/>
                <w:sz w:val="20"/>
              </w:rPr>
            </w:pPr>
            <w:r>
              <w:rPr>
                <w:rFonts w:ascii="Calibri"/>
                <w:sz w:val="20"/>
              </w:rPr>
              <w:t>See note</w:t>
            </w:r>
          </w:p>
        </w:tc>
        <w:tc>
          <w:tcPr>
            <w:tcW w:w="1246" w:type="dxa"/>
          </w:tcPr>
          <w:p w:rsidR="006A18FD" w:rsidRDefault="002D29FC">
            <w:pPr>
              <w:spacing w:before="35"/>
              <w:ind w:left="86" w:right="91"/>
              <w:jc w:val="center"/>
              <w:rPr>
                <w:rFonts w:ascii="Calibri"/>
                <w:sz w:val="20"/>
              </w:rPr>
            </w:pPr>
            <w:r>
              <w:rPr>
                <w:rFonts w:ascii="Calibri"/>
                <w:sz w:val="20"/>
              </w:rPr>
              <w:t>See note</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London/non-London multiplier</w:t>
            </w:r>
          </w:p>
        </w:tc>
        <w:tc>
          <w:tcPr>
            <w:tcW w:w="1248" w:type="dxa"/>
          </w:tcPr>
          <w:p w:rsidR="006A18FD" w:rsidRDefault="002D29FC">
            <w:pPr>
              <w:spacing w:before="35"/>
              <w:ind w:left="89" w:right="92"/>
              <w:jc w:val="center"/>
              <w:rPr>
                <w:rFonts w:ascii="Calibri"/>
                <w:sz w:val="20"/>
              </w:rPr>
            </w:pPr>
            <w:r>
              <w:rPr>
                <w:rFonts w:ascii="Calibri"/>
                <w:sz w:val="20"/>
              </w:rPr>
              <w:t>See note</w:t>
            </w:r>
          </w:p>
        </w:tc>
        <w:tc>
          <w:tcPr>
            <w:tcW w:w="1246" w:type="dxa"/>
          </w:tcPr>
          <w:p w:rsidR="006A18FD" w:rsidRDefault="002D29FC">
            <w:pPr>
              <w:spacing w:before="35"/>
              <w:ind w:left="90" w:right="90"/>
              <w:jc w:val="center"/>
              <w:rPr>
                <w:rFonts w:ascii="Calibri"/>
                <w:sz w:val="20"/>
              </w:rPr>
            </w:pPr>
            <w:r>
              <w:rPr>
                <w:rFonts w:ascii="Calibri"/>
                <w:sz w:val="20"/>
              </w:rPr>
              <w:t>See note</w:t>
            </w:r>
          </w:p>
        </w:tc>
        <w:tc>
          <w:tcPr>
            <w:tcW w:w="1248" w:type="dxa"/>
          </w:tcPr>
          <w:p w:rsidR="006A18FD" w:rsidRDefault="002D29FC">
            <w:pPr>
              <w:spacing w:before="35"/>
              <w:ind w:left="88" w:right="91"/>
              <w:jc w:val="center"/>
              <w:rPr>
                <w:rFonts w:ascii="Calibri"/>
                <w:sz w:val="20"/>
              </w:rPr>
            </w:pPr>
            <w:r>
              <w:rPr>
                <w:rFonts w:ascii="Calibri"/>
                <w:sz w:val="20"/>
              </w:rPr>
              <w:t>See note</w:t>
            </w:r>
          </w:p>
        </w:tc>
        <w:tc>
          <w:tcPr>
            <w:tcW w:w="1246" w:type="dxa"/>
          </w:tcPr>
          <w:p w:rsidR="006A18FD" w:rsidRDefault="002D29FC">
            <w:pPr>
              <w:spacing w:before="35"/>
              <w:ind w:left="90" w:right="90"/>
              <w:jc w:val="center"/>
              <w:rPr>
                <w:rFonts w:ascii="Calibri"/>
                <w:sz w:val="20"/>
              </w:rPr>
            </w:pPr>
            <w:r>
              <w:rPr>
                <w:rFonts w:ascii="Calibri"/>
                <w:sz w:val="20"/>
              </w:rPr>
              <w:t>See note</w:t>
            </w:r>
          </w:p>
        </w:tc>
        <w:tc>
          <w:tcPr>
            <w:tcW w:w="1248" w:type="dxa"/>
          </w:tcPr>
          <w:p w:rsidR="006A18FD" w:rsidRDefault="002D29FC">
            <w:pPr>
              <w:spacing w:before="35"/>
              <w:ind w:left="89" w:right="92"/>
              <w:jc w:val="center"/>
              <w:rPr>
                <w:rFonts w:ascii="Calibri"/>
                <w:sz w:val="20"/>
              </w:rPr>
            </w:pPr>
            <w:r>
              <w:rPr>
                <w:rFonts w:ascii="Calibri"/>
                <w:sz w:val="20"/>
              </w:rPr>
              <w:t>See note</w:t>
            </w:r>
          </w:p>
        </w:tc>
        <w:tc>
          <w:tcPr>
            <w:tcW w:w="1249" w:type="dxa"/>
          </w:tcPr>
          <w:p w:rsidR="006A18FD" w:rsidRDefault="002D29FC">
            <w:pPr>
              <w:spacing w:before="35"/>
              <w:ind w:left="91" w:right="93"/>
              <w:jc w:val="center"/>
              <w:rPr>
                <w:rFonts w:ascii="Calibri"/>
                <w:sz w:val="20"/>
              </w:rPr>
            </w:pPr>
            <w:r>
              <w:rPr>
                <w:rFonts w:ascii="Calibri"/>
                <w:sz w:val="20"/>
              </w:rPr>
              <w:t>See note</w:t>
            </w:r>
          </w:p>
        </w:tc>
        <w:tc>
          <w:tcPr>
            <w:tcW w:w="1303" w:type="dxa"/>
          </w:tcPr>
          <w:p w:rsidR="006A18FD" w:rsidRDefault="002D29FC">
            <w:pPr>
              <w:spacing w:before="35"/>
              <w:ind w:left="120" w:right="120"/>
              <w:jc w:val="center"/>
              <w:rPr>
                <w:rFonts w:ascii="Calibri"/>
                <w:sz w:val="20"/>
              </w:rPr>
            </w:pPr>
            <w:r>
              <w:rPr>
                <w:rFonts w:ascii="Calibri"/>
                <w:sz w:val="20"/>
              </w:rPr>
              <w:t>See note</w:t>
            </w:r>
          </w:p>
        </w:tc>
        <w:tc>
          <w:tcPr>
            <w:tcW w:w="1248" w:type="dxa"/>
          </w:tcPr>
          <w:p w:rsidR="006A18FD" w:rsidRDefault="002D29FC">
            <w:pPr>
              <w:spacing w:before="35"/>
              <w:ind w:left="88" w:right="91"/>
              <w:jc w:val="center"/>
              <w:rPr>
                <w:rFonts w:ascii="Calibri"/>
                <w:sz w:val="20"/>
              </w:rPr>
            </w:pPr>
            <w:r>
              <w:rPr>
                <w:rFonts w:ascii="Calibri"/>
                <w:sz w:val="20"/>
              </w:rPr>
              <w:t>See note</w:t>
            </w:r>
          </w:p>
        </w:tc>
        <w:tc>
          <w:tcPr>
            <w:tcW w:w="1246" w:type="dxa"/>
          </w:tcPr>
          <w:p w:rsidR="006A18FD" w:rsidRDefault="002D29FC">
            <w:pPr>
              <w:spacing w:before="35"/>
              <w:ind w:left="86" w:right="91"/>
              <w:jc w:val="center"/>
              <w:rPr>
                <w:rFonts w:ascii="Calibri"/>
                <w:sz w:val="20"/>
              </w:rPr>
            </w:pPr>
            <w:r>
              <w:rPr>
                <w:rFonts w:ascii="Calibri"/>
                <w:sz w:val="20"/>
              </w:rPr>
              <w:t>See note</w:t>
            </w:r>
          </w:p>
        </w:tc>
      </w:tr>
      <w:tr w:rsidR="006A18FD">
        <w:trPr>
          <w:trHeight w:val="300"/>
        </w:trPr>
        <w:tc>
          <w:tcPr>
            <w:tcW w:w="4146" w:type="dxa"/>
          </w:tcPr>
          <w:p w:rsidR="006A18FD" w:rsidRDefault="002D29FC">
            <w:pPr>
              <w:spacing w:before="68" w:line="223" w:lineRule="exact"/>
              <w:ind w:left="103"/>
              <w:rPr>
                <w:rFonts w:ascii="Calibri"/>
                <w:b/>
                <w:sz w:val="20"/>
              </w:rPr>
            </w:pPr>
            <w:r>
              <w:rPr>
                <w:rFonts w:ascii="Calibri"/>
                <w:b/>
                <w:sz w:val="20"/>
              </w:rPr>
              <w:t>Unit costs available 2018/2019</w:t>
            </w: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9" w:type="dxa"/>
          </w:tcPr>
          <w:p w:rsidR="006A18FD" w:rsidRDefault="006A18FD">
            <w:pPr>
              <w:rPr>
                <w:rFonts w:ascii="Times New Roman"/>
                <w:sz w:val="20"/>
              </w:rPr>
            </w:pPr>
          </w:p>
        </w:tc>
        <w:tc>
          <w:tcPr>
            <w:tcW w:w="1303" w:type="dxa"/>
          </w:tcPr>
          <w:p w:rsidR="006A18FD" w:rsidRDefault="006A18FD">
            <w:pPr>
              <w:rPr>
                <w:rFonts w:ascii="Times New Roman"/>
                <w:sz w:val="20"/>
              </w:rPr>
            </w:pPr>
          </w:p>
        </w:tc>
        <w:tc>
          <w:tcPr>
            <w:tcW w:w="1248" w:type="dxa"/>
          </w:tcPr>
          <w:p w:rsidR="006A18FD" w:rsidRDefault="006A18FD">
            <w:pPr>
              <w:rPr>
                <w:rFonts w:ascii="Times New Roman"/>
                <w:sz w:val="20"/>
              </w:rPr>
            </w:pPr>
          </w:p>
        </w:tc>
        <w:tc>
          <w:tcPr>
            <w:tcW w:w="1246" w:type="dxa"/>
          </w:tcPr>
          <w:p w:rsidR="006A18FD" w:rsidRDefault="006A18FD">
            <w:pPr>
              <w:rPr>
                <w:rFonts w:ascii="Times New Roman"/>
                <w:sz w:val="20"/>
              </w:rPr>
            </w:pPr>
          </w:p>
        </w:tc>
      </w:tr>
      <w:tr w:rsidR="006A18FD">
        <w:trPr>
          <w:trHeight w:val="260"/>
        </w:trPr>
        <w:tc>
          <w:tcPr>
            <w:tcW w:w="4146" w:type="dxa"/>
            <w:tcBorders>
              <w:bottom w:val="nil"/>
            </w:tcBorders>
          </w:tcPr>
          <w:p w:rsidR="006A18FD" w:rsidRDefault="002D29FC">
            <w:pPr>
              <w:spacing w:before="1" w:line="243" w:lineRule="exact"/>
              <w:ind w:left="103"/>
              <w:rPr>
                <w:rFonts w:ascii="Calibri"/>
                <w:b/>
                <w:sz w:val="20"/>
              </w:rPr>
            </w:pPr>
            <w:r>
              <w:rPr>
                <w:rFonts w:ascii="Calibri"/>
                <w:b/>
                <w:sz w:val="20"/>
              </w:rPr>
              <w:t>Cost per working hour</w:t>
            </w:r>
          </w:p>
        </w:tc>
        <w:tc>
          <w:tcPr>
            <w:tcW w:w="1248" w:type="dxa"/>
            <w:tcBorders>
              <w:bottom w:val="nil"/>
            </w:tcBorders>
          </w:tcPr>
          <w:p w:rsidR="006A18FD" w:rsidRDefault="006A18FD">
            <w:pPr>
              <w:rPr>
                <w:rFonts w:ascii="Times New Roman"/>
                <w:sz w:val="18"/>
              </w:rPr>
            </w:pPr>
          </w:p>
        </w:tc>
        <w:tc>
          <w:tcPr>
            <w:tcW w:w="1246" w:type="dxa"/>
            <w:tcBorders>
              <w:bottom w:val="nil"/>
            </w:tcBorders>
          </w:tcPr>
          <w:p w:rsidR="006A18FD" w:rsidRDefault="006A18FD">
            <w:pPr>
              <w:rPr>
                <w:rFonts w:ascii="Times New Roman"/>
                <w:sz w:val="18"/>
              </w:rPr>
            </w:pPr>
          </w:p>
        </w:tc>
        <w:tc>
          <w:tcPr>
            <w:tcW w:w="1248" w:type="dxa"/>
            <w:tcBorders>
              <w:bottom w:val="nil"/>
            </w:tcBorders>
          </w:tcPr>
          <w:p w:rsidR="006A18FD" w:rsidRDefault="006A18FD">
            <w:pPr>
              <w:rPr>
                <w:rFonts w:ascii="Times New Roman"/>
                <w:sz w:val="18"/>
              </w:rPr>
            </w:pPr>
          </w:p>
        </w:tc>
        <w:tc>
          <w:tcPr>
            <w:tcW w:w="1246" w:type="dxa"/>
            <w:tcBorders>
              <w:bottom w:val="nil"/>
            </w:tcBorders>
          </w:tcPr>
          <w:p w:rsidR="006A18FD" w:rsidRDefault="006A18FD">
            <w:pPr>
              <w:rPr>
                <w:rFonts w:ascii="Times New Roman"/>
                <w:sz w:val="18"/>
              </w:rPr>
            </w:pPr>
          </w:p>
        </w:tc>
        <w:tc>
          <w:tcPr>
            <w:tcW w:w="1248" w:type="dxa"/>
            <w:tcBorders>
              <w:bottom w:val="nil"/>
            </w:tcBorders>
          </w:tcPr>
          <w:p w:rsidR="006A18FD" w:rsidRDefault="006A18FD">
            <w:pPr>
              <w:rPr>
                <w:rFonts w:ascii="Times New Roman"/>
                <w:sz w:val="18"/>
              </w:rPr>
            </w:pPr>
          </w:p>
        </w:tc>
        <w:tc>
          <w:tcPr>
            <w:tcW w:w="1249" w:type="dxa"/>
            <w:tcBorders>
              <w:bottom w:val="nil"/>
            </w:tcBorders>
          </w:tcPr>
          <w:p w:rsidR="006A18FD" w:rsidRDefault="006A18FD">
            <w:pPr>
              <w:rPr>
                <w:rFonts w:ascii="Times New Roman"/>
                <w:sz w:val="18"/>
              </w:rPr>
            </w:pPr>
          </w:p>
        </w:tc>
        <w:tc>
          <w:tcPr>
            <w:tcW w:w="1303" w:type="dxa"/>
            <w:tcBorders>
              <w:bottom w:val="nil"/>
            </w:tcBorders>
          </w:tcPr>
          <w:p w:rsidR="006A18FD" w:rsidRDefault="006A18FD">
            <w:pPr>
              <w:rPr>
                <w:rFonts w:ascii="Times New Roman"/>
                <w:sz w:val="18"/>
              </w:rPr>
            </w:pPr>
          </w:p>
        </w:tc>
        <w:tc>
          <w:tcPr>
            <w:tcW w:w="1248" w:type="dxa"/>
            <w:tcBorders>
              <w:bottom w:val="nil"/>
            </w:tcBorders>
          </w:tcPr>
          <w:p w:rsidR="006A18FD" w:rsidRDefault="006A18FD">
            <w:pPr>
              <w:rPr>
                <w:rFonts w:ascii="Times New Roman"/>
                <w:sz w:val="18"/>
              </w:rPr>
            </w:pPr>
          </w:p>
        </w:tc>
        <w:tc>
          <w:tcPr>
            <w:tcW w:w="1246" w:type="dxa"/>
            <w:tcBorders>
              <w:bottom w:val="nil"/>
            </w:tcBorders>
          </w:tcPr>
          <w:p w:rsidR="006A18FD" w:rsidRDefault="006A18FD">
            <w:pPr>
              <w:rPr>
                <w:rFonts w:ascii="Times New Roman"/>
                <w:sz w:val="18"/>
              </w:rPr>
            </w:pPr>
          </w:p>
        </w:tc>
      </w:tr>
      <w:tr w:rsidR="006A18FD">
        <w:trPr>
          <w:trHeight w:val="240"/>
        </w:trPr>
        <w:tc>
          <w:tcPr>
            <w:tcW w:w="4146" w:type="dxa"/>
            <w:tcBorders>
              <w:top w:val="nil"/>
              <w:bottom w:val="nil"/>
            </w:tcBorders>
          </w:tcPr>
          <w:p w:rsidR="006A18FD" w:rsidRDefault="002D29FC">
            <w:pPr>
              <w:spacing w:line="224" w:lineRule="exact"/>
              <w:ind w:left="103"/>
              <w:rPr>
                <w:rFonts w:ascii="Calibri"/>
                <w:sz w:val="20"/>
              </w:rPr>
            </w:pPr>
            <w:r>
              <w:rPr>
                <w:rFonts w:ascii="Calibri"/>
                <w:sz w:val="20"/>
              </w:rPr>
              <w:t>-physiotherapists/OTs</w:t>
            </w:r>
          </w:p>
        </w:tc>
        <w:tc>
          <w:tcPr>
            <w:tcW w:w="1248" w:type="dxa"/>
            <w:tcBorders>
              <w:top w:val="nil"/>
              <w:bottom w:val="nil"/>
            </w:tcBorders>
          </w:tcPr>
          <w:p w:rsidR="006A18FD" w:rsidRDefault="002D29FC">
            <w:pPr>
              <w:spacing w:line="224" w:lineRule="exact"/>
              <w:ind w:left="90" w:right="92"/>
              <w:jc w:val="center"/>
              <w:rPr>
                <w:rFonts w:ascii="Calibri" w:hAnsi="Calibri"/>
                <w:b/>
                <w:sz w:val="20"/>
              </w:rPr>
            </w:pPr>
            <w:r>
              <w:rPr>
                <w:rFonts w:ascii="Calibri" w:hAnsi="Calibri"/>
                <w:b/>
                <w:sz w:val="20"/>
              </w:rPr>
              <w:t>£32</w:t>
            </w:r>
          </w:p>
        </w:tc>
        <w:tc>
          <w:tcPr>
            <w:tcW w:w="1246" w:type="dxa"/>
            <w:tcBorders>
              <w:top w:val="nil"/>
              <w:bottom w:val="nil"/>
            </w:tcBorders>
          </w:tcPr>
          <w:p w:rsidR="006A18FD" w:rsidRDefault="002D29FC">
            <w:pPr>
              <w:spacing w:line="224" w:lineRule="exact"/>
              <w:ind w:left="90" w:right="90"/>
              <w:jc w:val="center"/>
              <w:rPr>
                <w:rFonts w:ascii="Calibri" w:hAnsi="Calibri"/>
                <w:b/>
                <w:sz w:val="20"/>
              </w:rPr>
            </w:pPr>
            <w:r>
              <w:rPr>
                <w:rFonts w:ascii="Calibri" w:hAnsi="Calibri"/>
                <w:b/>
                <w:sz w:val="20"/>
              </w:rPr>
              <w:t>£35</w:t>
            </w:r>
          </w:p>
        </w:tc>
        <w:tc>
          <w:tcPr>
            <w:tcW w:w="1248" w:type="dxa"/>
            <w:tcBorders>
              <w:top w:val="nil"/>
              <w:bottom w:val="nil"/>
            </w:tcBorders>
          </w:tcPr>
          <w:p w:rsidR="006A18FD" w:rsidRDefault="002D29FC">
            <w:pPr>
              <w:spacing w:line="224" w:lineRule="exact"/>
              <w:ind w:left="88" w:right="91"/>
              <w:jc w:val="center"/>
              <w:rPr>
                <w:rFonts w:ascii="Calibri" w:hAnsi="Calibri"/>
                <w:b/>
                <w:sz w:val="20"/>
              </w:rPr>
            </w:pPr>
            <w:r>
              <w:rPr>
                <w:rFonts w:ascii="Calibri" w:hAnsi="Calibri"/>
                <w:b/>
                <w:sz w:val="20"/>
              </w:rPr>
              <w:t>£47</w:t>
            </w:r>
          </w:p>
        </w:tc>
        <w:tc>
          <w:tcPr>
            <w:tcW w:w="1246" w:type="dxa"/>
            <w:tcBorders>
              <w:top w:val="nil"/>
              <w:bottom w:val="nil"/>
            </w:tcBorders>
          </w:tcPr>
          <w:p w:rsidR="006A18FD" w:rsidRDefault="002D29FC">
            <w:pPr>
              <w:spacing w:line="224" w:lineRule="exact"/>
              <w:ind w:left="90" w:right="90"/>
              <w:jc w:val="center"/>
              <w:rPr>
                <w:rFonts w:ascii="Calibri" w:hAnsi="Calibri"/>
                <w:b/>
                <w:sz w:val="20"/>
              </w:rPr>
            </w:pPr>
            <w:r>
              <w:rPr>
                <w:rFonts w:ascii="Calibri" w:hAnsi="Calibri"/>
                <w:b/>
                <w:sz w:val="20"/>
              </w:rPr>
              <w:t>£57</w:t>
            </w:r>
          </w:p>
        </w:tc>
        <w:tc>
          <w:tcPr>
            <w:tcW w:w="1248" w:type="dxa"/>
            <w:tcBorders>
              <w:top w:val="nil"/>
              <w:bottom w:val="nil"/>
            </w:tcBorders>
          </w:tcPr>
          <w:p w:rsidR="006A18FD" w:rsidRDefault="002D29FC">
            <w:pPr>
              <w:spacing w:line="224" w:lineRule="exact"/>
              <w:ind w:left="90" w:right="92"/>
              <w:jc w:val="center"/>
              <w:rPr>
                <w:rFonts w:ascii="Calibri" w:hAnsi="Calibri"/>
                <w:b/>
                <w:sz w:val="20"/>
              </w:rPr>
            </w:pPr>
            <w:r>
              <w:rPr>
                <w:rFonts w:ascii="Calibri" w:hAnsi="Calibri"/>
                <w:b/>
                <w:sz w:val="20"/>
              </w:rPr>
              <w:t>£67</w:t>
            </w:r>
          </w:p>
        </w:tc>
        <w:tc>
          <w:tcPr>
            <w:tcW w:w="1249" w:type="dxa"/>
            <w:tcBorders>
              <w:top w:val="nil"/>
              <w:bottom w:val="nil"/>
            </w:tcBorders>
          </w:tcPr>
          <w:p w:rsidR="006A18FD" w:rsidRDefault="002D29FC">
            <w:pPr>
              <w:spacing w:line="224" w:lineRule="exact"/>
              <w:ind w:left="91" w:right="93"/>
              <w:jc w:val="center"/>
              <w:rPr>
                <w:rFonts w:ascii="Calibri" w:hAnsi="Calibri"/>
                <w:b/>
                <w:sz w:val="20"/>
              </w:rPr>
            </w:pPr>
            <w:r>
              <w:rPr>
                <w:rFonts w:ascii="Calibri" w:hAnsi="Calibri"/>
                <w:b/>
                <w:sz w:val="20"/>
              </w:rPr>
              <w:t>£80</w:t>
            </w:r>
          </w:p>
        </w:tc>
        <w:tc>
          <w:tcPr>
            <w:tcW w:w="1303" w:type="dxa"/>
            <w:tcBorders>
              <w:top w:val="nil"/>
              <w:bottom w:val="nil"/>
            </w:tcBorders>
          </w:tcPr>
          <w:p w:rsidR="006A18FD" w:rsidRDefault="002D29FC">
            <w:pPr>
              <w:spacing w:line="224" w:lineRule="exact"/>
              <w:ind w:left="120" w:right="120"/>
              <w:jc w:val="center"/>
              <w:rPr>
                <w:rFonts w:ascii="Calibri" w:hAnsi="Calibri"/>
                <w:b/>
                <w:sz w:val="20"/>
              </w:rPr>
            </w:pPr>
            <w:r>
              <w:rPr>
                <w:rFonts w:ascii="Calibri" w:hAnsi="Calibri"/>
                <w:b/>
                <w:sz w:val="20"/>
              </w:rPr>
              <w:t>£93</w:t>
            </w:r>
          </w:p>
        </w:tc>
        <w:tc>
          <w:tcPr>
            <w:tcW w:w="1248" w:type="dxa"/>
            <w:tcBorders>
              <w:top w:val="nil"/>
              <w:bottom w:val="nil"/>
            </w:tcBorders>
          </w:tcPr>
          <w:p w:rsidR="006A18FD" w:rsidRDefault="002D29FC">
            <w:pPr>
              <w:spacing w:line="224" w:lineRule="exact"/>
              <w:ind w:left="88" w:right="91"/>
              <w:jc w:val="center"/>
              <w:rPr>
                <w:rFonts w:ascii="Calibri" w:hAnsi="Calibri"/>
                <w:b/>
                <w:sz w:val="20"/>
              </w:rPr>
            </w:pPr>
            <w:r>
              <w:rPr>
                <w:rFonts w:ascii="Calibri" w:hAnsi="Calibri"/>
                <w:b/>
                <w:sz w:val="20"/>
              </w:rPr>
              <w:t>£113</w:t>
            </w:r>
          </w:p>
        </w:tc>
        <w:tc>
          <w:tcPr>
            <w:tcW w:w="1246" w:type="dxa"/>
            <w:tcBorders>
              <w:top w:val="nil"/>
              <w:bottom w:val="nil"/>
            </w:tcBorders>
          </w:tcPr>
          <w:p w:rsidR="006A18FD" w:rsidRDefault="002D29FC">
            <w:pPr>
              <w:spacing w:line="224" w:lineRule="exact"/>
              <w:ind w:left="86" w:right="91"/>
              <w:jc w:val="center"/>
              <w:rPr>
                <w:rFonts w:ascii="Calibri" w:hAnsi="Calibri"/>
                <w:b/>
                <w:sz w:val="20"/>
              </w:rPr>
            </w:pPr>
            <w:r>
              <w:rPr>
                <w:rFonts w:ascii="Calibri" w:hAnsi="Calibri"/>
                <w:b/>
                <w:sz w:val="20"/>
              </w:rPr>
              <w:t>£137</w:t>
            </w:r>
          </w:p>
        </w:tc>
      </w:tr>
      <w:tr w:rsidR="006A18FD">
        <w:trPr>
          <w:trHeight w:val="240"/>
        </w:trPr>
        <w:tc>
          <w:tcPr>
            <w:tcW w:w="4146" w:type="dxa"/>
            <w:tcBorders>
              <w:top w:val="nil"/>
              <w:bottom w:val="nil"/>
            </w:tcBorders>
          </w:tcPr>
          <w:p w:rsidR="006A18FD" w:rsidRDefault="002D29FC">
            <w:pPr>
              <w:spacing w:line="224" w:lineRule="exact"/>
              <w:ind w:left="103"/>
              <w:rPr>
                <w:rFonts w:ascii="Calibri"/>
                <w:sz w:val="20"/>
              </w:rPr>
            </w:pPr>
            <w:r>
              <w:rPr>
                <w:rFonts w:ascii="Calibri"/>
                <w:sz w:val="20"/>
              </w:rPr>
              <w:t>-radiographers</w:t>
            </w:r>
          </w:p>
        </w:tc>
        <w:tc>
          <w:tcPr>
            <w:tcW w:w="1248" w:type="dxa"/>
            <w:tcBorders>
              <w:top w:val="nil"/>
              <w:bottom w:val="nil"/>
            </w:tcBorders>
          </w:tcPr>
          <w:p w:rsidR="006A18FD" w:rsidRDefault="002D29FC">
            <w:pPr>
              <w:spacing w:line="224" w:lineRule="exact"/>
              <w:ind w:left="90" w:right="92"/>
              <w:jc w:val="center"/>
              <w:rPr>
                <w:rFonts w:ascii="Calibri" w:hAnsi="Calibri"/>
                <w:b/>
                <w:sz w:val="20"/>
              </w:rPr>
            </w:pPr>
            <w:r>
              <w:rPr>
                <w:rFonts w:ascii="Calibri" w:hAnsi="Calibri"/>
                <w:b/>
                <w:sz w:val="20"/>
              </w:rPr>
              <w:t>£34</w:t>
            </w:r>
          </w:p>
        </w:tc>
        <w:tc>
          <w:tcPr>
            <w:tcW w:w="1246" w:type="dxa"/>
            <w:tcBorders>
              <w:top w:val="nil"/>
              <w:bottom w:val="nil"/>
            </w:tcBorders>
          </w:tcPr>
          <w:p w:rsidR="006A18FD" w:rsidRDefault="002D29FC">
            <w:pPr>
              <w:spacing w:line="224" w:lineRule="exact"/>
              <w:ind w:left="90" w:right="90"/>
              <w:jc w:val="center"/>
              <w:rPr>
                <w:rFonts w:ascii="Calibri" w:hAnsi="Calibri"/>
                <w:b/>
                <w:sz w:val="20"/>
              </w:rPr>
            </w:pPr>
            <w:r>
              <w:rPr>
                <w:rFonts w:ascii="Calibri" w:hAnsi="Calibri"/>
                <w:b/>
                <w:sz w:val="20"/>
              </w:rPr>
              <w:t>£37</w:t>
            </w:r>
          </w:p>
        </w:tc>
        <w:tc>
          <w:tcPr>
            <w:tcW w:w="1248" w:type="dxa"/>
            <w:tcBorders>
              <w:top w:val="nil"/>
              <w:bottom w:val="nil"/>
            </w:tcBorders>
          </w:tcPr>
          <w:p w:rsidR="006A18FD" w:rsidRDefault="002D29FC">
            <w:pPr>
              <w:spacing w:line="224" w:lineRule="exact"/>
              <w:ind w:left="88" w:right="91"/>
              <w:jc w:val="center"/>
              <w:rPr>
                <w:rFonts w:ascii="Calibri" w:hAnsi="Calibri"/>
                <w:b/>
                <w:sz w:val="20"/>
              </w:rPr>
            </w:pPr>
            <w:r>
              <w:rPr>
                <w:rFonts w:ascii="Calibri" w:hAnsi="Calibri"/>
                <w:b/>
                <w:sz w:val="20"/>
              </w:rPr>
              <w:t>£49</w:t>
            </w:r>
          </w:p>
        </w:tc>
        <w:tc>
          <w:tcPr>
            <w:tcW w:w="1246" w:type="dxa"/>
            <w:tcBorders>
              <w:top w:val="nil"/>
              <w:bottom w:val="nil"/>
            </w:tcBorders>
          </w:tcPr>
          <w:p w:rsidR="006A18FD" w:rsidRDefault="002D29FC">
            <w:pPr>
              <w:spacing w:line="224" w:lineRule="exact"/>
              <w:ind w:left="90" w:right="90"/>
              <w:jc w:val="center"/>
              <w:rPr>
                <w:rFonts w:ascii="Calibri" w:hAnsi="Calibri"/>
                <w:b/>
                <w:sz w:val="20"/>
              </w:rPr>
            </w:pPr>
            <w:r>
              <w:rPr>
                <w:rFonts w:ascii="Calibri" w:hAnsi="Calibri"/>
                <w:b/>
                <w:sz w:val="20"/>
              </w:rPr>
              <w:t>£59</w:t>
            </w:r>
          </w:p>
        </w:tc>
        <w:tc>
          <w:tcPr>
            <w:tcW w:w="1248" w:type="dxa"/>
            <w:tcBorders>
              <w:top w:val="nil"/>
              <w:bottom w:val="nil"/>
            </w:tcBorders>
          </w:tcPr>
          <w:p w:rsidR="006A18FD" w:rsidRDefault="002D29FC">
            <w:pPr>
              <w:spacing w:line="224" w:lineRule="exact"/>
              <w:ind w:left="90" w:right="92"/>
              <w:jc w:val="center"/>
              <w:rPr>
                <w:rFonts w:ascii="Calibri" w:hAnsi="Calibri"/>
                <w:b/>
                <w:sz w:val="20"/>
              </w:rPr>
            </w:pPr>
            <w:r>
              <w:rPr>
                <w:rFonts w:ascii="Calibri" w:hAnsi="Calibri"/>
                <w:b/>
                <w:sz w:val="20"/>
              </w:rPr>
              <w:t>£69</w:t>
            </w:r>
          </w:p>
        </w:tc>
        <w:tc>
          <w:tcPr>
            <w:tcW w:w="1249" w:type="dxa"/>
            <w:tcBorders>
              <w:top w:val="nil"/>
              <w:bottom w:val="nil"/>
            </w:tcBorders>
          </w:tcPr>
          <w:p w:rsidR="006A18FD" w:rsidRDefault="002D29FC">
            <w:pPr>
              <w:spacing w:line="224" w:lineRule="exact"/>
              <w:ind w:left="91" w:right="93"/>
              <w:jc w:val="center"/>
              <w:rPr>
                <w:rFonts w:ascii="Calibri" w:hAnsi="Calibri"/>
                <w:b/>
                <w:sz w:val="20"/>
              </w:rPr>
            </w:pPr>
            <w:r>
              <w:rPr>
                <w:rFonts w:ascii="Calibri" w:hAnsi="Calibri"/>
                <w:b/>
                <w:sz w:val="20"/>
              </w:rPr>
              <w:t>£82</w:t>
            </w:r>
          </w:p>
        </w:tc>
        <w:tc>
          <w:tcPr>
            <w:tcW w:w="1303" w:type="dxa"/>
            <w:tcBorders>
              <w:top w:val="nil"/>
              <w:bottom w:val="nil"/>
            </w:tcBorders>
          </w:tcPr>
          <w:p w:rsidR="006A18FD" w:rsidRDefault="002D29FC">
            <w:pPr>
              <w:spacing w:line="224" w:lineRule="exact"/>
              <w:ind w:left="120" w:right="120"/>
              <w:jc w:val="center"/>
              <w:rPr>
                <w:rFonts w:ascii="Calibri" w:hAnsi="Calibri"/>
                <w:b/>
                <w:sz w:val="20"/>
              </w:rPr>
            </w:pPr>
            <w:r>
              <w:rPr>
                <w:rFonts w:ascii="Calibri" w:hAnsi="Calibri"/>
                <w:b/>
                <w:sz w:val="20"/>
              </w:rPr>
              <w:t>£95</w:t>
            </w:r>
          </w:p>
        </w:tc>
        <w:tc>
          <w:tcPr>
            <w:tcW w:w="1248" w:type="dxa"/>
            <w:tcBorders>
              <w:top w:val="nil"/>
              <w:bottom w:val="nil"/>
            </w:tcBorders>
          </w:tcPr>
          <w:p w:rsidR="006A18FD" w:rsidRDefault="002D29FC">
            <w:pPr>
              <w:spacing w:line="224" w:lineRule="exact"/>
              <w:ind w:left="88" w:right="91"/>
              <w:jc w:val="center"/>
              <w:rPr>
                <w:rFonts w:ascii="Calibri" w:hAnsi="Calibri"/>
                <w:b/>
                <w:sz w:val="20"/>
              </w:rPr>
            </w:pPr>
            <w:r>
              <w:rPr>
                <w:rFonts w:ascii="Calibri" w:hAnsi="Calibri"/>
                <w:b/>
                <w:sz w:val="20"/>
              </w:rPr>
              <w:t>£115</w:t>
            </w:r>
          </w:p>
        </w:tc>
        <w:tc>
          <w:tcPr>
            <w:tcW w:w="1246" w:type="dxa"/>
            <w:tcBorders>
              <w:top w:val="nil"/>
              <w:bottom w:val="nil"/>
            </w:tcBorders>
          </w:tcPr>
          <w:p w:rsidR="006A18FD" w:rsidRDefault="002D29FC">
            <w:pPr>
              <w:spacing w:line="224" w:lineRule="exact"/>
              <w:ind w:left="86" w:right="91"/>
              <w:jc w:val="center"/>
              <w:rPr>
                <w:rFonts w:ascii="Calibri" w:hAnsi="Calibri"/>
                <w:b/>
                <w:sz w:val="20"/>
              </w:rPr>
            </w:pPr>
            <w:r>
              <w:rPr>
                <w:rFonts w:ascii="Calibri" w:hAnsi="Calibri"/>
                <w:b/>
                <w:sz w:val="20"/>
              </w:rPr>
              <w:t>£139</w:t>
            </w:r>
          </w:p>
        </w:tc>
      </w:tr>
      <w:tr w:rsidR="006A18FD">
        <w:trPr>
          <w:trHeight w:val="220"/>
        </w:trPr>
        <w:tc>
          <w:tcPr>
            <w:tcW w:w="4146" w:type="dxa"/>
            <w:tcBorders>
              <w:top w:val="nil"/>
            </w:tcBorders>
          </w:tcPr>
          <w:p w:rsidR="006A18FD" w:rsidRDefault="002D29FC">
            <w:pPr>
              <w:spacing w:line="205" w:lineRule="exact"/>
              <w:ind w:left="103"/>
              <w:rPr>
                <w:rFonts w:ascii="Calibri"/>
                <w:sz w:val="20"/>
              </w:rPr>
            </w:pPr>
            <w:r>
              <w:rPr>
                <w:rFonts w:ascii="Calibri"/>
                <w:sz w:val="20"/>
              </w:rPr>
              <w:t>-dietitians/speech and language therapists</w:t>
            </w:r>
          </w:p>
        </w:tc>
        <w:tc>
          <w:tcPr>
            <w:tcW w:w="1248" w:type="dxa"/>
            <w:tcBorders>
              <w:top w:val="nil"/>
            </w:tcBorders>
          </w:tcPr>
          <w:p w:rsidR="006A18FD" w:rsidRDefault="002D29FC">
            <w:pPr>
              <w:spacing w:line="205" w:lineRule="exact"/>
              <w:ind w:left="90" w:right="92"/>
              <w:jc w:val="center"/>
              <w:rPr>
                <w:rFonts w:ascii="Calibri" w:hAnsi="Calibri"/>
                <w:b/>
                <w:sz w:val="20"/>
              </w:rPr>
            </w:pPr>
            <w:r>
              <w:rPr>
                <w:rFonts w:ascii="Calibri" w:hAnsi="Calibri"/>
                <w:b/>
                <w:sz w:val="20"/>
              </w:rPr>
              <w:t>£32</w:t>
            </w:r>
          </w:p>
        </w:tc>
        <w:tc>
          <w:tcPr>
            <w:tcW w:w="1246" w:type="dxa"/>
            <w:tcBorders>
              <w:top w:val="nil"/>
            </w:tcBorders>
          </w:tcPr>
          <w:p w:rsidR="006A18FD" w:rsidRDefault="002D29FC">
            <w:pPr>
              <w:spacing w:line="205" w:lineRule="exact"/>
              <w:ind w:left="90" w:right="90"/>
              <w:jc w:val="center"/>
              <w:rPr>
                <w:rFonts w:ascii="Calibri" w:hAnsi="Calibri"/>
                <w:b/>
                <w:sz w:val="20"/>
              </w:rPr>
            </w:pPr>
            <w:r>
              <w:rPr>
                <w:rFonts w:ascii="Calibri" w:hAnsi="Calibri"/>
                <w:b/>
                <w:sz w:val="20"/>
              </w:rPr>
              <w:t>£35</w:t>
            </w:r>
          </w:p>
        </w:tc>
        <w:tc>
          <w:tcPr>
            <w:tcW w:w="1248" w:type="dxa"/>
            <w:tcBorders>
              <w:top w:val="nil"/>
            </w:tcBorders>
          </w:tcPr>
          <w:p w:rsidR="006A18FD" w:rsidRDefault="002D29FC">
            <w:pPr>
              <w:spacing w:line="205" w:lineRule="exact"/>
              <w:ind w:left="88" w:right="91"/>
              <w:jc w:val="center"/>
              <w:rPr>
                <w:rFonts w:ascii="Calibri" w:hAnsi="Calibri"/>
                <w:b/>
                <w:sz w:val="20"/>
              </w:rPr>
            </w:pPr>
            <w:r>
              <w:rPr>
                <w:rFonts w:ascii="Calibri" w:hAnsi="Calibri"/>
                <w:b/>
                <w:sz w:val="20"/>
              </w:rPr>
              <w:t>£46</w:t>
            </w:r>
          </w:p>
        </w:tc>
        <w:tc>
          <w:tcPr>
            <w:tcW w:w="1246" w:type="dxa"/>
            <w:tcBorders>
              <w:top w:val="nil"/>
            </w:tcBorders>
          </w:tcPr>
          <w:p w:rsidR="006A18FD" w:rsidRDefault="002D29FC">
            <w:pPr>
              <w:spacing w:line="205" w:lineRule="exact"/>
              <w:ind w:left="90" w:right="90"/>
              <w:jc w:val="center"/>
              <w:rPr>
                <w:rFonts w:ascii="Calibri" w:hAnsi="Calibri"/>
                <w:b/>
                <w:sz w:val="20"/>
              </w:rPr>
            </w:pPr>
            <w:r>
              <w:rPr>
                <w:rFonts w:ascii="Calibri" w:hAnsi="Calibri"/>
                <w:b/>
                <w:sz w:val="20"/>
              </w:rPr>
              <w:t>£56</w:t>
            </w:r>
          </w:p>
        </w:tc>
        <w:tc>
          <w:tcPr>
            <w:tcW w:w="1248" w:type="dxa"/>
            <w:tcBorders>
              <w:top w:val="nil"/>
            </w:tcBorders>
          </w:tcPr>
          <w:p w:rsidR="006A18FD" w:rsidRDefault="002D29FC">
            <w:pPr>
              <w:spacing w:line="205" w:lineRule="exact"/>
              <w:ind w:left="90" w:right="92"/>
              <w:jc w:val="center"/>
              <w:rPr>
                <w:rFonts w:ascii="Calibri" w:hAnsi="Calibri"/>
                <w:b/>
                <w:sz w:val="20"/>
              </w:rPr>
            </w:pPr>
            <w:r>
              <w:rPr>
                <w:rFonts w:ascii="Calibri" w:hAnsi="Calibri"/>
                <w:b/>
                <w:sz w:val="20"/>
              </w:rPr>
              <w:t>£66</w:t>
            </w:r>
          </w:p>
        </w:tc>
        <w:tc>
          <w:tcPr>
            <w:tcW w:w="1249" w:type="dxa"/>
            <w:tcBorders>
              <w:top w:val="nil"/>
            </w:tcBorders>
          </w:tcPr>
          <w:p w:rsidR="006A18FD" w:rsidRDefault="002D29FC">
            <w:pPr>
              <w:spacing w:line="205" w:lineRule="exact"/>
              <w:ind w:left="91" w:right="93"/>
              <w:jc w:val="center"/>
              <w:rPr>
                <w:rFonts w:ascii="Calibri" w:hAnsi="Calibri"/>
                <w:b/>
                <w:sz w:val="20"/>
              </w:rPr>
            </w:pPr>
            <w:r>
              <w:rPr>
                <w:rFonts w:ascii="Calibri" w:hAnsi="Calibri"/>
                <w:b/>
                <w:sz w:val="20"/>
              </w:rPr>
              <w:t>£79</w:t>
            </w:r>
          </w:p>
        </w:tc>
        <w:tc>
          <w:tcPr>
            <w:tcW w:w="1303" w:type="dxa"/>
            <w:tcBorders>
              <w:top w:val="nil"/>
            </w:tcBorders>
          </w:tcPr>
          <w:p w:rsidR="006A18FD" w:rsidRDefault="002D29FC">
            <w:pPr>
              <w:spacing w:line="205" w:lineRule="exact"/>
              <w:ind w:left="120" w:right="120"/>
              <w:jc w:val="center"/>
              <w:rPr>
                <w:rFonts w:ascii="Calibri" w:hAnsi="Calibri"/>
                <w:b/>
                <w:sz w:val="20"/>
              </w:rPr>
            </w:pPr>
            <w:r>
              <w:rPr>
                <w:rFonts w:ascii="Calibri" w:hAnsi="Calibri"/>
                <w:b/>
                <w:sz w:val="20"/>
              </w:rPr>
              <w:t>£92</w:t>
            </w:r>
          </w:p>
        </w:tc>
        <w:tc>
          <w:tcPr>
            <w:tcW w:w="1248" w:type="dxa"/>
            <w:tcBorders>
              <w:top w:val="nil"/>
            </w:tcBorders>
          </w:tcPr>
          <w:p w:rsidR="006A18FD" w:rsidRDefault="002D29FC">
            <w:pPr>
              <w:spacing w:line="205" w:lineRule="exact"/>
              <w:ind w:left="88" w:right="91"/>
              <w:jc w:val="center"/>
              <w:rPr>
                <w:rFonts w:ascii="Calibri" w:hAnsi="Calibri"/>
                <w:b/>
                <w:sz w:val="20"/>
              </w:rPr>
            </w:pPr>
            <w:r>
              <w:rPr>
                <w:rFonts w:ascii="Calibri" w:hAnsi="Calibri"/>
                <w:b/>
                <w:sz w:val="20"/>
              </w:rPr>
              <w:t>£112</w:t>
            </w:r>
          </w:p>
        </w:tc>
        <w:tc>
          <w:tcPr>
            <w:tcW w:w="1246" w:type="dxa"/>
            <w:tcBorders>
              <w:top w:val="nil"/>
            </w:tcBorders>
          </w:tcPr>
          <w:p w:rsidR="006A18FD" w:rsidRDefault="002D29FC">
            <w:pPr>
              <w:spacing w:line="205" w:lineRule="exact"/>
              <w:ind w:left="86" w:right="91"/>
              <w:jc w:val="center"/>
              <w:rPr>
                <w:rFonts w:ascii="Calibri" w:hAnsi="Calibri"/>
                <w:b/>
                <w:sz w:val="20"/>
              </w:rPr>
            </w:pPr>
            <w:r>
              <w:rPr>
                <w:rFonts w:ascii="Calibri" w:hAnsi="Calibri"/>
                <w:b/>
                <w:sz w:val="20"/>
              </w:rPr>
              <w:t>£136</w:t>
            </w:r>
          </w:p>
        </w:tc>
      </w:tr>
    </w:tbl>
    <w:p w:rsidR="006A18FD" w:rsidRDefault="006A18FD">
      <w:pPr>
        <w:spacing w:line="205" w:lineRule="exact"/>
        <w:jc w:val="center"/>
        <w:rPr>
          <w:rFonts w:ascii="Calibri" w:hAnsi="Calibri"/>
          <w:sz w:val="20"/>
        </w:rPr>
        <w:sectPr w:rsidR="006A18FD">
          <w:headerReference w:type="default" r:id="rId443"/>
          <w:pgSz w:w="16840" w:h="11910" w:orient="landscape"/>
          <w:pgMar w:top="1100" w:right="460" w:bottom="280" w:left="6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444"/>
          <w:pgSz w:w="11910" w:h="16840"/>
          <w:pgMar w:top="1580" w:right="1680" w:bottom="280" w:left="1680" w:header="0" w:footer="0" w:gutter="0"/>
          <w:cols w:space="720"/>
        </w:sectPr>
      </w:pPr>
    </w:p>
    <w:p w:rsidR="006A18FD" w:rsidRDefault="002D29FC">
      <w:pPr>
        <w:tabs>
          <w:tab w:val="right" w:pos="10080"/>
        </w:tabs>
        <w:spacing w:before="29" w:after="19"/>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145</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8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82" name="Line 3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C4EE5E" id="Group 3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C4YACqfQIAAH8FAAAO&#10;AAAAAAAAAAAAAAAAAC4CAABkcnMvZTJvRG9jLnhtbFBLAQItABQABgAIAAAAIQAtd+Rc2gAAAAQB&#10;AAAPAAAAAAAAAAAAAAAAANcEAABkcnMvZG93bnJldi54bWxQSwUGAAAAAAQABADzAAAA3gUAAAAA&#10;">
                <v:line id="Line 3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w10:anchorlock/>
              </v:group>
            </w:pict>
          </mc:Fallback>
        </mc:AlternateContent>
      </w:r>
    </w:p>
    <w:p w:rsidR="006A18FD" w:rsidRDefault="006A18FD">
      <w:pPr>
        <w:rPr>
          <w:rFonts w:ascii="Calibri"/>
          <w:sz w:val="42"/>
        </w:rPr>
      </w:pPr>
    </w:p>
    <w:p w:rsidR="006A18FD" w:rsidRDefault="006A18FD">
      <w:pPr>
        <w:spacing w:before="9"/>
        <w:rPr>
          <w:rFonts w:ascii="Calibri"/>
          <w:sz w:val="45"/>
        </w:rPr>
      </w:pPr>
    </w:p>
    <w:p w:rsidR="006A18FD" w:rsidRDefault="002D29FC" w:rsidP="008E3FA8">
      <w:pPr>
        <w:pStyle w:val="Heading1"/>
        <w:numPr>
          <w:ilvl w:val="0"/>
          <w:numId w:val="9"/>
        </w:numPr>
      </w:pPr>
      <w:r>
        <w:t>Hospital-based</w:t>
      </w:r>
      <w:r>
        <w:rPr>
          <w:spacing w:val="-14"/>
        </w:rPr>
        <w:t xml:space="preserve"> </w:t>
      </w:r>
      <w:r>
        <w:t>nurses</w:t>
      </w:r>
    </w:p>
    <w:p w:rsidR="006A18FD" w:rsidRDefault="002D29FC">
      <w:pPr>
        <w:spacing w:before="305" w:line="276" w:lineRule="auto"/>
        <w:ind w:left="152" w:right="368"/>
        <w:rPr>
          <w:rFonts w:ascii="Calibri"/>
          <w:sz w:val="18"/>
        </w:rPr>
      </w:pPr>
      <w:r>
        <w:rPr>
          <w:rFonts w:ascii="Calibri"/>
          <w:sz w:val="20"/>
        </w:rPr>
        <w:t xml:space="preserve">The table overleaf provides the unit costs for hospital nurses bands 2-9 and replaces the individual schema previously found in this section. Each Agenda for Change (AfC) band can be matched to professionals using the AfC generic profiles: </w:t>
      </w:r>
      <w:hyperlink r:id="rId445">
        <w:r>
          <w:rPr>
            <w:rFonts w:ascii="Calibri"/>
            <w:sz w:val="20"/>
            <w:u w:val="single"/>
          </w:rPr>
          <w:t>http://www.nhsemployers.org/your-workforce/pay-and-reward/pay/job-evaluation/national-job-profiles</w:t>
        </w:r>
        <w:r>
          <w:rPr>
            <w:rFonts w:ascii="Calibri"/>
            <w:sz w:val="20"/>
          </w:rPr>
          <w:t xml:space="preserve">. </w:t>
        </w:r>
      </w:hyperlink>
      <w:r>
        <w:rPr>
          <w:rFonts w:ascii="Calibri"/>
          <w:sz w:val="20"/>
        </w:rPr>
        <w:t>Reference should be made to the explanatory notes when interpreting the unit costs. See below for examples of roles in each band</w:t>
      </w:r>
      <w:r>
        <w:rPr>
          <w:rFonts w:ascii="Calibri"/>
          <w:sz w:val="18"/>
        </w:rPr>
        <w:t>.</w:t>
      </w:r>
    </w:p>
    <w:p w:rsidR="006A18FD" w:rsidRDefault="006A18FD">
      <w:pPr>
        <w:rPr>
          <w:rFonts w:ascii="Calibri"/>
          <w:sz w:val="20"/>
        </w:rPr>
      </w:pPr>
    </w:p>
    <w:p w:rsidR="006A18FD" w:rsidRDefault="006A18FD">
      <w:pPr>
        <w:spacing w:before="1" w:after="1"/>
        <w:rPr>
          <w:rFonts w:ascii="Calibri"/>
          <w:sz w:val="20"/>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6695"/>
      </w:tblGrid>
      <w:tr w:rsidR="006A18FD" w:rsidTr="00CA19E0">
        <w:trPr>
          <w:trHeight w:val="500"/>
          <w:tblHeader/>
        </w:trPr>
        <w:tc>
          <w:tcPr>
            <w:tcW w:w="10044" w:type="dxa"/>
            <w:gridSpan w:val="2"/>
          </w:tcPr>
          <w:p w:rsidR="006A18FD" w:rsidRDefault="002D29FC">
            <w:pPr>
              <w:spacing w:before="133"/>
              <w:ind w:left="4268" w:right="4268"/>
              <w:jc w:val="center"/>
              <w:rPr>
                <w:rFonts w:ascii="Calibri"/>
                <w:b/>
                <w:sz w:val="20"/>
              </w:rPr>
            </w:pPr>
            <w:r>
              <w:rPr>
                <w:rFonts w:ascii="Calibri"/>
                <w:b/>
                <w:sz w:val="20"/>
              </w:rPr>
              <w:t>Job titles by band</w:t>
            </w:r>
          </w:p>
        </w:tc>
      </w:tr>
      <w:tr w:rsidR="006A18FD">
        <w:trPr>
          <w:trHeight w:val="380"/>
        </w:trPr>
        <w:tc>
          <w:tcPr>
            <w:tcW w:w="3349" w:type="dxa"/>
          </w:tcPr>
          <w:p w:rsidR="006A18FD" w:rsidRDefault="002D29FC">
            <w:pPr>
              <w:spacing w:before="75"/>
              <w:ind w:left="105"/>
              <w:rPr>
                <w:rFonts w:ascii="Calibri"/>
                <w:b/>
                <w:sz w:val="20"/>
              </w:rPr>
            </w:pPr>
            <w:r>
              <w:rPr>
                <w:rFonts w:ascii="Calibri"/>
                <w:b/>
                <w:sz w:val="20"/>
              </w:rPr>
              <w:t>Band 2</w:t>
            </w:r>
          </w:p>
        </w:tc>
        <w:tc>
          <w:tcPr>
            <w:tcW w:w="6695" w:type="dxa"/>
          </w:tcPr>
          <w:p w:rsidR="006A18FD" w:rsidRDefault="002D29FC">
            <w:pPr>
              <w:spacing w:before="75"/>
              <w:ind w:left="102"/>
              <w:rPr>
                <w:rFonts w:ascii="Calibri"/>
                <w:sz w:val="20"/>
              </w:rPr>
            </w:pPr>
            <w:r>
              <w:rPr>
                <w:rFonts w:ascii="Calibri"/>
                <w:sz w:val="20"/>
              </w:rPr>
              <w:t>Clinical support worker nursing (hospital)</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 3</w:t>
            </w:r>
          </w:p>
        </w:tc>
        <w:tc>
          <w:tcPr>
            <w:tcW w:w="6695" w:type="dxa"/>
          </w:tcPr>
          <w:p w:rsidR="006A18FD" w:rsidRDefault="002D29FC">
            <w:pPr>
              <w:spacing w:before="78"/>
              <w:ind w:left="102"/>
              <w:rPr>
                <w:rFonts w:ascii="Calibri"/>
                <w:sz w:val="20"/>
              </w:rPr>
            </w:pPr>
            <w:r>
              <w:rPr>
                <w:rFonts w:ascii="Calibri"/>
                <w:sz w:val="20"/>
              </w:rPr>
              <w:t>Clinical support worker higher level nursing (hospital/mental health)</w:t>
            </w:r>
          </w:p>
        </w:tc>
      </w:tr>
      <w:tr w:rsidR="006A18FD">
        <w:trPr>
          <w:trHeight w:val="380"/>
        </w:trPr>
        <w:tc>
          <w:tcPr>
            <w:tcW w:w="3349" w:type="dxa"/>
          </w:tcPr>
          <w:p w:rsidR="006A18FD" w:rsidRDefault="002D29FC">
            <w:pPr>
              <w:spacing w:before="75"/>
              <w:ind w:left="105"/>
              <w:rPr>
                <w:rFonts w:ascii="Calibri"/>
                <w:b/>
                <w:sz w:val="20"/>
              </w:rPr>
            </w:pPr>
            <w:r>
              <w:rPr>
                <w:rFonts w:ascii="Calibri"/>
                <w:b/>
                <w:sz w:val="20"/>
              </w:rPr>
              <w:t>Band 4</w:t>
            </w:r>
          </w:p>
        </w:tc>
        <w:tc>
          <w:tcPr>
            <w:tcW w:w="6695" w:type="dxa"/>
          </w:tcPr>
          <w:p w:rsidR="006A18FD" w:rsidRDefault="002D29FC">
            <w:pPr>
              <w:spacing w:before="75"/>
              <w:ind w:left="102"/>
              <w:rPr>
                <w:rFonts w:ascii="Calibri"/>
                <w:sz w:val="20"/>
              </w:rPr>
            </w:pPr>
            <w:r>
              <w:rPr>
                <w:rFonts w:ascii="Calibri"/>
                <w:sz w:val="20"/>
              </w:rPr>
              <w:t>Nurse associate practitioner acute, Nursery nurse (neonatal)</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 5</w:t>
            </w:r>
          </w:p>
        </w:tc>
        <w:tc>
          <w:tcPr>
            <w:tcW w:w="6695" w:type="dxa"/>
          </w:tcPr>
          <w:p w:rsidR="006A18FD" w:rsidRDefault="002D29FC">
            <w:pPr>
              <w:spacing w:before="78"/>
              <w:ind w:left="102"/>
              <w:rPr>
                <w:rFonts w:ascii="Calibri"/>
                <w:sz w:val="20"/>
              </w:rPr>
            </w:pPr>
            <w:r>
              <w:rPr>
                <w:rFonts w:ascii="Calibri"/>
                <w:sz w:val="20"/>
              </w:rPr>
              <w:t>Nurse, Nurse (mental health)</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 6</w:t>
            </w:r>
          </w:p>
        </w:tc>
        <w:tc>
          <w:tcPr>
            <w:tcW w:w="6695" w:type="dxa"/>
          </w:tcPr>
          <w:p w:rsidR="006A18FD" w:rsidRDefault="002D29FC">
            <w:pPr>
              <w:spacing w:before="78"/>
              <w:ind w:left="102"/>
              <w:rPr>
                <w:rFonts w:ascii="Calibri"/>
                <w:sz w:val="20"/>
              </w:rPr>
            </w:pPr>
            <w:r>
              <w:rPr>
                <w:rFonts w:ascii="Calibri"/>
                <w:sz w:val="20"/>
              </w:rPr>
              <w:t>Nurse specialist/team leader</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 7</w:t>
            </w:r>
          </w:p>
        </w:tc>
        <w:tc>
          <w:tcPr>
            <w:tcW w:w="6695" w:type="dxa"/>
          </w:tcPr>
          <w:p w:rsidR="006A18FD" w:rsidRDefault="002D29FC">
            <w:pPr>
              <w:spacing w:before="78"/>
              <w:ind w:left="102"/>
              <w:rPr>
                <w:rFonts w:ascii="Calibri"/>
                <w:sz w:val="20"/>
              </w:rPr>
            </w:pPr>
            <w:r>
              <w:rPr>
                <w:rFonts w:ascii="Calibri"/>
                <w:sz w:val="20"/>
              </w:rPr>
              <w:t>Nurse advanced/team manager</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 8a</w:t>
            </w:r>
          </w:p>
        </w:tc>
        <w:tc>
          <w:tcPr>
            <w:tcW w:w="6695" w:type="dxa"/>
          </w:tcPr>
          <w:p w:rsidR="006A18FD" w:rsidRDefault="002D29FC">
            <w:pPr>
              <w:spacing w:before="78"/>
              <w:ind w:left="102"/>
              <w:rPr>
                <w:rFonts w:ascii="Calibri"/>
                <w:sz w:val="20"/>
              </w:rPr>
            </w:pPr>
            <w:r>
              <w:rPr>
                <w:rFonts w:ascii="Calibri"/>
                <w:sz w:val="20"/>
              </w:rPr>
              <w:t>Modern matron</w:t>
            </w:r>
          </w:p>
        </w:tc>
      </w:tr>
      <w:tr w:rsidR="006A18FD">
        <w:trPr>
          <w:trHeight w:val="380"/>
        </w:trPr>
        <w:tc>
          <w:tcPr>
            <w:tcW w:w="3349" w:type="dxa"/>
          </w:tcPr>
          <w:p w:rsidR="006A18FD" w:rsidRDefault="002D29FC">
            <w:pPr>
              <w:spacing w:before="75"/>
              <w:ind w:left="105"/>
              <w:rPr>
                <w:rFonts w:ascii="Calibri"/>
                <w:b/>
                <w:sz w:val="20"/>
              </w:rPr>
            </w:pPr>
            <w:r>
              <w:rPr>
                <w:rFonts w:ascii="Calibri"/>
                <w:b/>
                <w:sz w:val="20"/>
              </w:rPr>
              <w:t>Bands 8a-c</w:t>
            </w:r>
          </w:p>
        </w:tc>
        <w:tc>
          <w:tcPr>
            <w:tcW w:w="6695" w:type="dxa"/>
          </w:tcPr>
          <w:p w:rsidR="006A18FD" w:rsidRDefault="002D29FC">
            <w:pPr>
              <w:spacing w:before="75"/>
              <w:ind w:left="102"/>
              <w:rPr>
                <w:rFonts w:ascii="Calibri"/>
                <w:sz w:val="20"/>
              </w:rPr>
            </w:pPr>
            <w:r>
              <w:rPr>
                <w:rFonts w:ascii="Calibri"/>
                <w:sz w:val="20"/>
              </w:rPr>
              <w:t>Nurse consultant</w:t>
            </w:r>
          </w:p>
        </w:tc>
      </w:tr>
      <w:tr w:rsidR="006A18FD">
        <w:trPr>
          <w:trHeight w:val="380"/>
        </w:trPr>
        <w:tc>
          <w:tcPr>
            <w:tcW w:w="3349" w:type="dxa"/>
          </w:tcPr>
          <w:p w:rsidR="006A18FD" w:rsidRDefault="002D29FC">
            <w:pPr>
              <w:spacing w:before="78"/>
              <w:ind w:left="105"/>
              <w:rPr>
                <w:rFonts w:ascii="Calibri"/>
                <w:b/>
                <w:sz w:val="20"/>
              </w:rPr>
            </w:pPr>
            <w:r>
              <w:rPr>
                <w:rFonts w:ascii="Calibri"/>
                <w:b/>
                <w:sz w:val="20"/>
              </w:rPr>
              <w:t>Bands 8c-8d &amp; 9</w:t>
            </w:r>
          </w:p>
        </w:tc>
        <w:tc>
          <w:tcPr>
            <w:tcW w:w="6695" w:type="dxa"/>
          </w:tcPr>
          <w:p w:rsidR="006A18FD" w:rsidRDefault="002D29FC">
            <w:pPr>
              <w:spacing w:before="78"/>
              <w:ind w:left="102"/>
              <w:rPr>
                <w:rFonts w:ascii="Calibri"/>
                <w:sz w:val="20"/>
              </w:rPr>
            </w:pPr>
            <w:r>
              <w:rPr>
                <w:rFonts w:ascii="Calibri"/>
                <w:sz w:val="20"/>
              </w:rPr>
              <w:t>Nurse/Midwife consultant higher level</w:t>
            </w:r>
          </w:p>
        </w:tc>
      </w:tr>
    </w:tbl>
    <w:p w:rsidR="006A18FD" w:rsidRDefault="006A18FD">
      <w:pPr>
        <w:rPr>
          <w:rFonts w:ascii="Calibri"/>
          <w:sz w:val="20"/>
        </w:rPr>
        <w:sectPr w:rsidR="006A18FD">
          <w:headerReference w:type="default" r:id="rId446"/>
          <w:pgSz w:w="11910" w:h="16840"/>
          <w:pgMar w:top="660" w:right="580" w:bottom="280" w:left="980" w:header="0" w:footer="0" w:gutter="0"/>
          <w:cols w:space="720"/>
        </w:sect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7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80" name="Line 3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96EDC7" id="Group 3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">
                <v:line id="Line 3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anchorlock/>
              </v:group>
            </w:pict>
          </mc:Fallback>
        </mc:AlternateContent>
      </w:r>
    </w:p>
    <w:p w:rsidR="006A18FD" w:rsidRDefault="002D29FC">
      <w:pPr>
        <w:spacing w:before="185"/>
        <w:ind w:left="140"/>
        <w:rPr>
          <w:rFonts w:ascii="Calibri"/>
          <w:b/>
          <w:sz w:val="19"/>
        </w:rPr>
      </w:pPr>
      <w:r>
        <w:rPr>
          <w:rFonts w:ascii="Calibri"/>
          <w:b/>
          <w:sz w:val="19"/>
        </w:rPr>
        <w:t>A Wages/salary</w:t>
      </w:r>
    </w:p>
    <w:p w:rsidR="006A18FD" w:rsidRDefault="002D29FC">
      <w:pPr>
        <w:spacing w:before="152"/>
        <w:ind w:left="140" w:right="270"/>
        <w:rPr>
          <w:rFonts w:ascii="Calibri" w:hAnsi="Calibri"/>
          <w:sz w:val="19"/>
        </w:rPr>
      </w:pPr>
      <w:r>
        <w:rPr>
          <w:rFonts w:ascii="Calibri" w:hAnsi="Calibri"/>
          <w:sz w:val="19"/>
        </w:rPr>
        <w:t>Based on the mean full-time equivalent basic salary for Agenda for Change (AfC) bands 2-9 of the May 2018/April 2019 NHS staff earnings estimates for nurses.</w:t>
      </w:r>
      <w:r>
        <w:rPr>
          <w:rFonts w:ascii="Calibri" w:hAnsi="Calibri"/>
          <w:position w:val="6"/>
          <w:sz w:val="12"/>
        </w:rPr>
        <w:t xml:space="preserve">1 </w:t>
      </w:r>
      <w:r>
        <w:rPr>
          <w:rFonts w:ascii="Calibri" w:hAnsi="Calibri"/>
          <w:sz w:val="19"/>
        </w:rPr>
        <w:t xml:space="preserve">See </w:t>
      </w:r>
      <w:r>
        <w:rPr>
          <w:rFonts w:ascii="Calibri" w:hAnsi="Calibri"/>
          <w:i/>
          <w:sz w:val="19"/>
        </w:rPr>
        <w:t xml:space="preserve">NHS terms and conditions of service handbook </w:t>
      </w:r>
      <w:r>
        <w:rPr>
          <w:rFonts w:ascii="Calibri" w:hAnsi="Calibri"/>
          <w:sz w:val="19"/>
        </w:rPr>
        <w:t>for information on payment for unsocial hours.</w:t>
      </w:r>
      <w:r>
        <w:rPr>
          <w:rFonts w:ascii="Calibri" w:hAnsi="Calibri"/>
          <w:position w:val="6"/>
          <w:sz w:val="12"/>
        </w:rPr>
        <w:t xml:space="preserve">2 </w:t>
      </w:r>
      <w:r>
        <w:rPr>
          <w:rFonts w:ascii="Calibri" w:hAnsi="Calibri"/>
          <w:sz w:val="19"/>
        </w:rPr>
        <w:t>The Electronic Staff Records (ESR) system shows that the mean basic salary for all staff nurses is £31,117; matrons is</w:t>
      </w:r>
    </w:p>
    <w:p w:rsidR="006A18FD" w:rsidRDefault="002D29FC">
      <w:pPr>
        <w:spacing w:line="230" w:lineRule="exact"/>
        <w:ind w:left="140"/>
        <w:rPr>
          <w:rFonts w:ascii="Calibri" w:hAnsi="Calibri"/>
          <w:sz w:val="19"/>
        </w:rPr>
      </w:pPr>
      <w:r>
        <w:rPr>
          <w:rFonts w:ascii="Calibri" w:hAnsi="Calibri"/>
          <w:sz w:val="19"/>
        </w:rPr>
        <w:t>£47,576; and nurse managers is £49,612.</w:t>
      </w:r>
    </w:p>
    <w:p w:rsidR="006A18FD" w:rsidRDefault="002D29FC">
      <w:pPr>
        <w:spacing w:before="120"/>
        <w:ind w:left="140"/>
        <w:rPr>
          <w:rFonts w:ascii="Calibri"/>
          <w:b/>
          <w:sz w:val="19"/>
        </w:rPr>
      </w:pPr>
      <w:r>
        <w:rPr>
          <w:rFonts w:ascii="Calibri"/>
          <w:b/>
          <w:sz w:val="19"/>
        </w:rPr>
        <w:t>B Salary oncosts</w:t>
      </w:r>
    </w:p>
    <w:p w:rsidR="006A18FD" w:rsidRDefault="002D29FC">
      <w:pPr>
        <w:spacing w:before="153"/>
        <w:ind w:left="140"/>
        <w:rPr>
          <w:rFonts w:ascii="Calibri" w:hAnsi="Calibri"/>
          <w:sz w:val="19"/>
        </w:rPr>
      </w:pPr>
      <w:r>
        <w:rPr>
          <w:rFonts w:ascii="Calibri" w:hAnsi="Calibri"/>
          <w:sz w:val="19"/>
        </w:rPr>
        <w:t>Employer’s national insurance is included, plus 14.38 per cent of salary for employer’s contribution to superannuation</w:t>
      </w:r>
    </w:p>
    <w:p w:rsidR="006A18FD" w:rsidRDefault="002D29FC">
      <w:pPr>
        <w:spacing w:before="120"/>
        <w:ind w:left="140"/>
        <w:rPr>
          <w:rFonts w:ascii="Calibri"/>
          <w:b/>
          <w:sz w:val="19"/>
        </w:rPr>
      </w:pPr>
      <w:r>
        <w:rPr>
          <w:rFonts w:ascii="Calibri"/>
          <w:b/>
          <w:sz w:val="19"/>
        </w:rPr>
        <w:t>C Qualification costs</w:t>
      </w:r>
    </w:p>
    <w:p w:rsidR="006A18FD" w:rsidRDefault="002D29FC">
      <w:pPr>
        <w:spacing w:before="154"/>
        <w:ind w:left="140" w:right="181"/>
        <w:rPr>
          <w:rFonts w:ascii="Calibri"/>
          <w:sz w:val="19"/>
        </w:rPr>
      </w:pPr>
      <w:r>
        <w:rPr>
          <w:rFonts w:ascii="Calibri"/>
          <w:sz w:val="19"/>
        </w:rPr>
        <w:t>See Section V for detailed information on qualifications for each grade of hospital-based nurses. These costs have been calculated using the method described in Netten et al. (1998).</w:t>
      </w:r>
      <w:r>
        <w:rPr>
          <w:rFonts w:ascii="Calibri"/>
          <w:position w:val="6"/>
          <w:sz w:val="12"/>
        </w:rPr>
        <w:t xml:space="preserve">3 </w:t>
      </w:r>
      <w:r>
        <w:rPr>
          <w:rFonts w:ascii="Calibri"/>
          <w:sz w:val="18"/>
        </w:rPr>
        <w:t xml:space="preserve">Current cost information has been gathered from various sources (see Schema 18). </w:t>
      </w:r>
      <w:r>
        <w:rPr>
          <w:rFonts w:ascii="Calibri"/>
          <w:sz w:val="19"/>
        </w:rPr>
        <w:t>To calculate the cost per hour including qualifications for each grade, the appropriate expected annual cost shown in Chapter 18 should be divided by the number of working hours. This can then be added to the cost per working hour.</w:t>
      </w:r>
    </w:p>
    <w:p w:rsidR="006A18FD" w:rsidRDefault="002D29FC">
      <w:pPr>
        <w:spacing w:before="120"/>
        <w:ind w:left="140"/>
        <w:rPr>
          <w:rFonts w:ascii="Calibri"/>
          <w:b/>
          <w:sz w:val="19"/>
        </w:rPr>
      </w:pPr>
      <w:r>
        <w:rPr>
          <w:rFonts w:ascii="Calibri"/>
          <w:b/>
          <w:sz w:val="19"/>
        </w:rPr>
        <w:t>D Overheads</w:t>
      </w:r>
    </w:p>
    <w:p w:rsidR="006A18FD" w:rsidRDefault="002D29FC">
      <w:pPr>
        <w:spacing w:before="154"/>
        <w:ind w:left="140"/>
        <w:rPr>
          <w:rFonts w:ascii="Calibri"/>
          <w:sz w:val="12"/>
        </w:rPr>
      </w:pPr>
      <w:r>
        <w:rPr>
          <w:rFonts w:ascii="Calibri"/>
          <w:sz w:val="19"/>
        </w:rPr>
        <w:t xml:space="preserve">Taken from </w:t>
      </w:r>
      <w:r>
        <w:rPr>
          <w:rFonts w:ascii="Calibri"/>
          <w:i/>
          <w:sz w:val="19"/>
        </w:rPr>
        <w:t>NHS foundation trusts accounts: consolidated (FTC) files 2014/15</w:t>
      </w:r>
      <w:r>
        <w:rPr>
          <w:rFonts w:ascii="Calibri"/>
          <w:sz w:val="19"/>
        </w:rPr>
        <w:t>.</w:t>
      </w:r>
      <w:r>
        <w:rPr>
          <w:rFonts w:ascii="Calibri"/>
          <w:position w:val="6"/>
          <w:sz w:val="12"/>
        </w:rPr>
        <w:t>4</w:t>
      </w:r>
    </w:p>
    <w:p w:rsidR="006A18FD" w:rsidRDefault="002D29FC">
      <w:pPr>
        <w:spacing w:before="118"/>
        <w:ind w:left="140" w:right="151"/>
        <w:rPr>
          <w:rFonts w:ascii="Calibri"/>
          <w:sz w:val="19"/>
        </w:rPr>
      </w:pPr>
      <w:r>
        <w:rPr>
          <w:rFonts w:ascii="Calibri"/>
          <w:sz w:val="19"/>
        </w:rPr>
        <w:t>Management and other non-care staff costs were 24.2 per cent of direct care salary costs and included administration and estates staff.</w:t>
      </w:r>
    </w:p>
    <w:p w:rsidR="006A18FD" w:rsidRDefault="002D29FC">
      <w:pPr>
        <w:spacing w:before="118"/>
        <w:ind w:left="140" w:right="473"/>
        <w:rPr>
          <w:rFonts w:ascii="Calibri"/>
          <w:sz w:val="19"/>
        </w:rPr>
      </w:pPr>
      <w:r>
        <w:rPr>
          <w:rFonts w:ascii="Calibri"/>
          <w:sz w:val="19"/>
        </w:rPr>
        <w:t>Non-staff costs were 43.1 per cent of direct care salary costs. They include costs to the provider for drugs, office, travel/transport, publishing, training courses and conferences, supplies and services (clinical and general), and utilities such as water, gas and electricity.</w:t>
      </w:r>
    </w:p>
    <w:p w:rsidR="006A18FD" w:rsidRDefault="002D29FC">
      <w:pPr>
        <w:spacing w:before="121"/>
        <w:ind w:left="140"/>
        <w:rPr>
          <w:rFonts w:ascii="Calibri"/>
          <w:b/>
          <w:sz w:val="19"/>
        </w:rPr>
      </w:pPr>
      <w:r>
        <w:rPr>
          <w:rFonts w:ascii="Calibri"/>
          <w:b/>
          <w:sz w:val="19"/>
        </w:rPr>
        <w:t>E Capital overheads</w:t>
      </w:r>
    </w:p>
    <w:p w:rsidR="006A18FD" w:rsidRDefault="002D29FC">
      <w:pPr>
        <w:spacing w:before="154"/>
        <w:ind w:left="140" w:right="526"/>
        <w:rPr>
          <w:rFonts w:ascii="Calibri"/>
          <w:sz w:val="12"/>
        </w:rPr>
      </w:pPr>
      <w:r>
        <w:rPr>
          <w:rFonts w:ascii="Calibri"/>
          <w:sz w:val="19"/>
        </w:rPr>
        <w:t>Based on the new-build and land requirements of NHS hospital facilities, but adjusted to reflect shared use of office space for administration, and recreational and changing facilities.</w:t>
      </w:r>
      <w:r>
        <w:rPr>
          <w:rFonts w:ascii="Calibri"/>
          <w:position w:val="6"/>
          <w:sz w:val="12"/>
        </w:rPr>
        <w:t>5,6</w:t>
      </w:r>
    </w:p>
    <w:p w:rsidR="006A18FD" w:rsidRDefault="002D29FC">
      <w:pPr>
        <w:spacing w:before="120"/>
        <w:ind w:left="140"/>
        <w:rPr>
          <w:rFonts w:ascii="Calibri"/>
          <w:b/>
          <w:sz w:val="19"/>
        </w:rPr>
      </w:pPr>
      <w:r>
        <w:rPr>
          <w:rFonts w:ascii="Calibri"/>
          <w:b/>
          <w:sz w:val="19"/>
        </w:rPr>
        <w:t>F Working time</w:t>
      </w:r>
    </w:p>
    <w:p w:rsidR="006A18FD" w:rsidRDefault="002D29FC">
      <w:pPr>
        <w:spacing w:before="153"/>
        <w:ind w:left="140"/>
        <w:rPr>
          <w:rFonts w:ascii="Calibri"/>
          <w:sz w:val="19"/>
        </w:rPr>
      </w:pPr>
      <w:r>
        <w:rPr>
          <w:rFonts w:ascii="Calibri"/>
          <w:sz w:val="19"/>
        </w:rPr>
        <w:t>Working hours for each AfC band have been calculated by deducting sickness absence days as reported for NHS staff groups</w:t>
      </w:r>
      <w:r>
        <w:rPr>
          <w:rFonts w:ascii="Calibri"/>
          <w:position w:val="6"/>
          <w:sz w:val="12"/>
        </w:rPr>
        <w:t xml:space="preserve">7 </w:t>
      </w:r>
      <w:r>
        <w:rPr>
          <w:rFonts w:ascii="Calibri"/>
          <w:sz w:val="19"/>
        </w:rPr>
        <w:t>and training/study days from 225 working days per annum.</w:t>
      </w:r>
    </w:p>
    <w:p w:rsidR="006A18FD" w:rsidRDefault="002D29FC">
      <w:pPr>
        <w:spacing w:before="120"/>
        <w:ind w:left="140"/>
        <w:rPr>
          <w:rFonts w:ascii="Calibri"/>
          <w:b/>
          <w:sz w:val="19"/>
        </w:rPr>
      </w:pPr>
      <w:r>
        <w:rPr>
          <w:rFonts w:ascii="Calibri"/>
          <w:b/>
          <w:sz w:val="19"/>
        </w:rPr>
        <w:t>G Ratio of direct to patient-related time</w:t>
      </w:r>
    </w:p>
    <w:p w:rsidR="006A18FD" w:rsidRDefault="002D29FC">
      <w:pPr>
        <w:spacing w:before="152"/>
        <w:ind w:left="140" w:right="240"/>
        <w:rPr>
          <w:rFonts w:ascii="Calibri"/>
          <w:sz w:val="18"/>
        </w:rPr>
      </w:pPr>
      <w:r>
        <w:rPr>
          <w:rFonts w:ascii="Calibri"/>
          <w:sz w:val="19"/>
        </w:rPr>
        <w:t>Taken from the McKinsey report commissioned by the Department of Health in 2009,</w:t>
      </w:r>
      <w:r>
        <w:rPr>
          <w:rFonts w:ascii="Calibri"/>
          <w:position w:val="6"/>
          <w:sz w:val="12"/>
        </w:rPr>
        <w:t xml:space="preserve">8 </w:t>
      </w:r>
      <w:r>
        <w:rPr>
          <w:rFonts w:ascii="Calibri"/>
          <w:sz w:val="19"/>
        </w:rPr>
        <w:t>hospital nurses are estimated to spend 41 per cent of their time on patient care, and 59 per cent of their time spent on non-patient activities, such as paperwork and administration, handing over and co-ordination, discussion with other nurses, and preparing medication (away from patients). When the ratio of time spent on patient care to other activities is 1:1:44, each hour spent with a client requires 2.44 paid hours. As this report did not specify which AfC Bands these ratios apply to, the cost per hour of patient contact has been calculated only for Bands 5 and 6</w:t>
      </w:r>
      <w:r>
        <w:rPr>
          <w:rFonts w:ascii="Calibri"/>
          <w:sz w:val="18"/>
        </w:rPr>
        <w:t>.</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2D29FC">
      <w:pPr>
        <w:spacing w:before="131"/>
        <w:ind w:left="140"/>
        <w:rPr>
          <w:rFonts w:ascii="Times New Roman" w:hAnsi="Times New Roman"/>
          <w:sz w:val="16"/>
        </w:rPr>
      </w:pPr>
      <w:r>
        <w:rPr>
          <w:rFonts w:ascii="Calibri" w:hAnsi="Calibri"/>
          <w:position w:val="5"/>
          <w:sz w:val="10"/>
        </w:rPr>
        <w:t xml:space="preserve">1 </w:t>
      </w:r>
      <w:r>
        <w:rPr>
          <w:rFonts w:ascii="Calibri" w:hAnsi="Calibri"/>
          <w:sz w:val="16"/>
        </w:rPr>
        <w:t xml:space="preserve">NHS Digital (2019) </w:t>
      </w:r>
      <w:r>
        <w:rPr>
          <w:rFonts w:ascii="Calibri" w:hAnsi="Calibri"/>
          <w:i/>
          <w:sz w:val="16"/>
        </w:rPr>
        <w:t xml:space="preserve">NHS staff earnings estimates, 12-month period from May 2018 – April 2019 </w:t>
      </w:r>
      <w:r>
        <w:rPr>
          <w:rFonts w:ascii="Calibri" w:hAnsi="Calibri"/>
          <w:sz w:val="16"/>
        </w:rPr>
        <w:t>(not publicly available), NHS Digital, Leeds</w:t>
      </w:r>
      <w:r>
        <w:rPr>
          <w:rFonts w:ascii="Times New Roman" w:hAnsi="Times New Roman"/>
          <w:sz w:val="16"/>
        </w:rPr>
        <w:t>.</w:t>
      </w:r>
    </w:p>
    <w:p w:rsidR="006A18FD" w:rsidRDefault="002D29FC">
      <w:pPr>
        <w:spacing w:before="1"/>
        <w:ind w:left="423" w:right="284" w:hanging="284"/>
        <w:rPr>
          <w:rFonts w:ascii="Calibri"/>
          <w:sz w:val="16"/>
        </w:rPr>
      </w:pPr>
      <w:r>
        <w:rPr>
          <w:rFonts w:ascii="Calibri"/>
          <w:position w:val="5"/>
          <w:sz w:val="10"/>
        </w:rPr>
        <w:t xml:space="preserve">2 </w:t>
      </w:r>
      <w:r>
        <w:rPr>
          <w:rFonts w:ascii="Calibri"/>
          <w:sz w:val="16"/>
        </w:rPr>
        <w:t xml:space="preserve">NHS Employers (2018) </w:t>
      </w:r>
      <w:r>
        <w:rPr>
          <w:rFonts w:ascii="Calibri"/>
          <w:i/>
          <w:sz w:val="16"/>
        </w:rPr>
        <w:t xml:space="preserve">NHS Terms and Conditions of Service Handbook, </w:t>
      </w:r>
      <w:r>
        <w:rPr>
          <w:rFonts w:ascii="Calibri"/>
          <w:sz w:val="16"/>
        </w:rPr>
        <w:t xml:space="preserve">NHS Employers, London. </w:t>
      </w:r>
      <w:hyperlink r:id="rId447">
        <w:r>
          <w:rPr>
            <w:rFonts w:ascii="Calibri"/>
            <w:sz w:val="16"/>
            <w:u w:val="single"/>
          </w:rPr>
          <w:t>http://www.nhsemployers.org/tchandbook</w:t>
        </w:r>
        <w:r>
          <w:rPr>
            <w:rFonts w:ascii="Calibri"/>
            <w:sz w:val="16"/>
          </w:rPr>
          <w:t xml:space="preserve"> </w:t>
        </w:r>
      </w:hyperlink>
      <w:r>
        <w:rPr>
          <w:rFonts w:ascii="Calibri"/>
          <w:sz w:val="16"/>
        </w:rPr>
        <w:t>[accessed 25 September 2018].</w:t>
      </w:r>
    </w:p>
    <w:p w:rsidR="006A18FD" w:rsidRDefault="002D29FC">
      <w:pPr>
        <w:ind w:left="423" w:hanging="284"/>
        <w:rPr>
          <w:rFonts w:ascii="Calibri"/>
          <w:sz w:val="16"/>
        </w:rPr>
      </w:pPr>
      <w:r>
        <w:rPr>
          <w:rFonts w:ascii="Calibri"/>
          <w:position w:val="5"/>
          <w:sz w:val="10"/>
        </w:rPr>
        <w:t xml:space="preserve">3 </w:t>
      </w:r>
      <w:r>
        <w:rPr>
          <w:rFonts w:ascii="Calibri"/>
          <w:sz w:val="16"/>
        </w:rPr>
        <w:t xml:space="preserve">Netten, A., Knight, J., Dennett, J., Cooley, R. &amp; Slight, A. (1998) </w:t>
      </w:r>
      <w:r>
        <w:rPr>
          <w:rFonts w:ascii="Calibri"/>
          <w:i/>
          <w:sz w:val="16"/>
        </w:rPr>
        <w:t>Development of a ready reckoner for staff costs in the NHS</w:t>
      </w:r>
      <w:r>
        <w:rPr>
          <w:rFonts w:ascii="Calibri"/>
          <w:sz w:val="16"/>
        </w:rPr>
        <w:t>, Vols 1 &amp; 2, Personal Social Services Research Unit, University of Kent, Canterbury.</w:t>
      </w:r>
    </w:p>
    <w:p w:rsidR="006A18FD" w:rsidRDefault="002D29FC">
      <w:pPr>
        <w:ind w:left="423" w:right="185" w:hanging="284"/>
        <w:rPr>
          <w:rFonts w:ascii="Calibri"/>
          <w:sz w:val="16"/>
        </w:rPr>
      </w:pPr>
      <w:r>
        <w:rPr>
          <w:rFonts w:ascii="Calibri"/>
          <w:position w:val="5"/>
          <w:sz w:val="10"/>
        </w:rPr>
        <w:t xml:space="preserve">4 </w:t>
      </w:r>
      <w:r>
        <w:rPr>
          <w:rFonts w:ascii="Calibri"/>
          <w:sz w:val="16"/>
        </w:rPr>
        <w:t xml:space="preserve">Monitor (2016) </w:t>
      </w:r>
      <w:r>
        <w:rPr>
          <w:rFonts w:ascii="Calibri"/>
          <w:i/>
          <w:sz w:val="16"/>
        </w:rPr>
        <w:t>NHS Foundation Trusts: Consolidation (FTC) files 2014/15</w:t>
      </w:r>
      <w:r>
        <w:rPr>
          <w:rFonts w:ascii="Calibri"/>
          <w:sz w:val="16"/>
        </w:rPr>
        <w:t xml:space="preserve">, </w:t>
      </w:r>
      <w:hyperlink r:id="rId448">
        <w:r>
          <w:rPr>
            <w:rFonts w:ascii="Calibri"/>
            <w:sz w:val="16"/>
            <w:u w:val="single"/>
          </w:rPr>
          <w:t>https://www.gov.uk/government/publications/nhs-foundation-trust-accounts-</w:t>
        </w:r>
      </w:hyperlink>
      <w:r>
        <w:rPr>
          <w:rFonts w:ascii="Calibri"/>
          <w:sz w:val="16"/>
        </w:rPr>
        <w:t xml:space="preserve"> </w:t>
      </w:r>
      <w:hyperlink r:id="rId449">
        <w:r>
          <w:rPr>
            <w:rFonts w:ascii="Calibri"/>
            <w:sz w:val="16"/>
            <w:u w:val="single"/>
          </w:rPr>
          <w:t>consolidation-ftc-files-201415</w:t>
        </w:r>
        <w:r>
          <w:rPr>
            <w:rFonts w:ascii="Calibri"/>
            <w:sz w:val="16"/>
          </w:rPr>
          <w:t xml:space="preserve"> </w:t>
        </w:r>
      </w:hyperlink>
      <w:r>
        <w:rPr>
          <w:rFonts w:ascii="Calibri"/>
          <w:sz w:val="16"/>
        </w:rPr>
        <w:t>[accessed 17 October 2016]</w:t>
      </w:r>
    </w:p>
    <w:p w:rsidR="006A18FD" w:rsidRDefault="002D29FC">
      <w:pPr>
        <w:spacing w:before="1" w:line="195" w:lineRule="exact"/>
        <w:ind w:left="140"/>
        <w:rPr>
          <w:rFonts w:ascii="Calibri"/>
          <w:sz w:val="16"/>
        </w:rPr>
      </w:pPr>
      <w:r>
        <w:rPr>
          <w:rFonts w:ascii="Calibri"/>
          <w:position w:val="5"/>
          <w:sz w:val="10"/>
        </w:rPr>
        <w:t xml:space="preserve">5 </w:t>
      </w:r>
      <w:r>
        <w:rPr>
          <w:rFonts w:ascii="Calibri"/>
          <w:sz w:val="16"/>
        </w:rPr>
        <w:t xml:space="preserve">Building Cost Information Service (2017) </w:t>
      </w:r>
      <w:r>
        <w:rPr>
          <w:rFonts w:ascii="Calibri"/>
          <w:i/>
          <w:sz w:val="16"/>
        </w:rPr>
        <w:t>Surveys of tender prices</w:t>
      </w:r>
      <w:r>
        <w:rPr>
          <w:rFonts w:ascii="Calibri"/>
          <w:sz w:val="16"/>
        </w:rPr>
        <w:t>, Royal Institute of Chartered Surveyors, London</w:t>
      </w:r>
    </w:p>
    <w:p w:rsidR="006A18FD" w:rsidRDefault="002D29FC">
      <w:pPr>
        <w:ind w:left="423" w:right="1717" w:hanging="284"/>
        <w:rPr>
          <w:rFonts w:ascii="Calibri"/>
          <w:sz w:val="16"/>
        </w:rPr>
      </w:pPr>
      <w:r>
        <w:rPr>
          <w:rFonts w:ascii="Calibri"/>
          <w:position w:val="5"/>
          <w:sz w:val="10"/>
        </w:rPr>
        <w:t xml:space="preserve">6 </w:t>
      </w:r>
      <w:r>
        <w:rPr>
          <w:rFonts w:ascii="Calibri"/>
          <w:sz w:val="16"/>
        </w:rPr>
        <w:t xml:space="preserve">Ministry of Housing, Communities &amp; Local Government (2018) </w:t>
      </w:r>
      <w:r>
        <w:rPr>
          <w:rFonts w:ascii="Calibri"/>
          <w:i/>
          <w:sz w:val="16"/>
        </w:rPr>
        <w:t>Land value estimates for policy appraisal 2017</w:t>
      </w:r>
      <w:r>
        <w:rPr>
          <w:rFonts w:ascii="Calibri"/>
          <w:sz w:val="16"/>
        </w:rPr>
        <w:t xml:space="preserve">, </w:t>
      </w:r>
      <w:hyperlink r:id="rId450">
        <w:r>
          <w:rPr>
            <w:rFonts w:ascii="Calibri"/>
            <w:sz w:val="16"/>
            <w:u w:val="single"/>
          </w:rPr>
          <w:t>https://www.gov.uk/government/publications/land-value-estimates-for-policy-appraisal-2017</w:t>
        </w:r>
        <w:r>
          <w:rPr>
            <w:rFonts w:ascii="Calibri"/>
            <w:sz w:val="16"/>
          </w:rPr>
          <w:t xml:space="preserve"> </w:t>
        </w:r>
      </w:hyperlink>
      <w:r>
        <w:rPr>
          <w:rFonts w:ascii="Calibri"/>
          <w:sz w:val="16"/>
        </w:rPr>
        <w:t>[accessed 25 September 2018].</w:t>
      </w:r>
    </w:p>
    <w:p w:rsidR="006A18FD" w:rsidRDefault="002D29FC">
      <w:pPr>
        <w:ind w:left="423" w:right="279" w:hanging="284"/>
        <w:rPr>
          <w:rFonts w:ascii="Calibri"/>
          <w:sz w:val="16"/>
        </w:rPr>
      </w:pPr>
      <w:r>
        <w:rPr>
          <w:rFonts w:ascii="Calibri"/>
          <w:position w:val="5"/>
          <w:sz w:val="10"/>
        </w:rPr>
        <w:t xml:space="preserve">7 </w:t>
      </w:r>
      <w:r>
        <w:rPr>
          <w:rFonts w:ascii="Calibri"/>
          <w:sz w:val="16"/>
        </w:rPr>
        <w:t xml:space="preserve">NHS Digital, NHS sickness absence rates, January 2019 to March 2019 and Annual Summary 2010-11 to 2018-19, NHS Digital, London. </w:t>
      </w:r>
      <w:hyperlink r:id="rId451">
        <w:r>
          <w:rPr>
            <w:rFonts w:ascii="Calibri"/>
            <w:sz w:val="16"/>
            <w:u w:val="single"/>
          </w:rPr>
          <w:t>https://digital.nhs.uk/data-and-information/publications/statistical/nhs-sickness-absence-rates/january-2019-to-march-2019-and-annual-summary-</w:t>
        </w:r>
      </w:hyperlink>
      <w:r>
        <w:rPr>
          <w:rFonts w:ascii="Calibri"/>
          <w:sz w:val="16"/>
        </w:rPr>
        <w:t xml:space="preserve"> </w:t>
      </w:r>
      <w:hyperlink r:id="rId452">
        <w:r>
          <w:rPr>
            <w:rFonts w:ascii="Calibri"/>
            <w:sz w:val="16"/>
            <w:u w:val="single"/>
          </w:rPr>
          <w:t>2010-11-to-2018-19</w:t>
        </w:r>
        <w:r>
          <w:rPr>
            <w:rFonts w:ascii="Calibri"/>
            <w:sz w:val="16"/>
          </w:rPr>
          <w:t xml:space="preserve"> </w:t>
        </w:r>
      </w:hyperlink>
      <w:r>
        <w:rPr>
          <w:rFonts w:ascii="Calibri"/>
          <w:sz w:val="16"/>
        </w:rPr>
        <w:t>[accessed 1 October 2019]</w:t>
      </w:r>
    </w:p>
    <w:p w:rsidR="006A18FD" w:rsidRDefault="002D29FC">
      <w:pPr>
        <w:spacing w:line="194" w:lineRule="exact"/>
        <w:ind w:left="140"/>
        <w:rPr>
          <w:rFonts w:ascii="Calibri"/>
          <w:sz w:val="16"/>
        </w:rPr>
      </w:pPr>
      <w:r>
        <w:rPr>
          <w:rFonts w:ascii="Calibri"/>
          <w:position w:val="5"/>
          <w:sz w:val="10"/>
        </w:rPr>
        <w:t xml:space="preserve">8 </w:t>
      </w:r>
      <w:r>
        <w:rPr>
          <w:rFonts w:ascii="Calibri"/>
          <w:sz w:val="16"/>
        </w:rPr>
        <w:t xml:space="preserve">Department of Health (2010) </w:t>
      </w:r>
      <w:r>
        <w:rPr>
          <w:rFonts w:ascii="Calibri"/>
          <w:i/>
          <w:sz w:val="16"/>
        </w:rPr>
        <w:t>Achieving a world class productivity in the NHS, 2009/10-2013/14: the McKinsey report</w:t>
      </w:r>
      <w:r>
        <w:rPr>
          <w:rFonts w:ascii="Calibri"/>
          <w:sz w:val="16"/>
        </w:rPr>
        <w:t>, Department of Health, London.</w:t>
      </w:r>
    </w:p>
    <w:p w:rsidR="006A18FD" w:rsidRDefault="006A18FD">
      <w:pPr>
        <w:spacing w:line="194" w:lineRule="exact"/>
        <w:rPr>
          <w:rFonts w:ascii="Calibri"/>
          <w:sz w:val="16"/>
        </w:rPr>
        <w:sectPr w:rsidR="006A18FD">
          <w:headerReference w:type="even" r:id="rId453"/>
          <w:pgSz w:w="11910" w:h="16840"/>
          <w:pgMar w:top="960" w:right="980" w:bottom="280" w:left="580" w:header="751" w:footer="0" w:gutter="0"/>
          <w:pgNumType w:start="146"/>
          <w:cols w:space="720"/>
        </w:sectPr>
      </w:pPr>
    </w:p>
    <w:p w:rsidR="006A18FD" w:rsidRDefault="002D29FC">
      <w:pPr>
        <w:spacing w:before="65" w:line="276" w:lineRule="auto"/>
        <w:ind w:left="100" w:right="84"/>
        <w:rPr>
          <w:rFonts w:ascii="Calibri"/>
          <w:b/>
          <w:sz w:val="24"/>
        </w:rPr>
      </w:pPr>
      <w:r>
        <w:rPr>
          <w:rFonts w:ascii="Calibri"/>
          <w:sz w:val="20"/>
        </w:rPr>
        <w:t xml:space="preserve">This table provides the annual and unit costs for hospital-based nurses (see the notes facing for assistance in interpreting each cost item). See also the beginning of this chapter for examples of roles in each band. See also Excel database on the PSSRU website. </w:t>
      </w:r>
      <w:r>
        <w:rPr>
          <w:rFonts w:ascii="Calibri"/>
          <w:b/>
        </w:rPr>
        <w:t>Please note that there are no staff on Bands 1-3 for this staff group</w:t>
      </w:r>
      <w:r>
        <w:rPr>
          <w:rFonts w:ascii="Calibri"/>
          <w:b/>
          <w:sz w:val="24"/>
        </w:rPr>
        <w:t>.</w:t>
      </w:r>
    </w:p>
    <w:p w:rsidR="006A18FD" w:rsidRDefault="006A18FD">
      <w:pPr>
        <w:rPr>
          <w:rFonts w:ascii="Calibri"/>
          <w:b/>
          <w:sz w:val="16"/>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1"/>
        <w:gridCol w:w="1361"/>
        <w:gridCol w:w="1361"/>
        <w:gridCol w:w="1363"/>
        <w:gridCol w:w="1361"/>
        <w:gridCol w:w="1361"/>
        <w:gridCol w:w="1361"/>
        <w:gridCol w:w="1361"/>
        <w:gridCol w:w="1361"/>
        <w:gridCol w:w="1361"/>
      </w:tblGrid>
      <w:tr w:rsidR="006A18FD" w:rsidTr="00CA19E0">
        <w:trPr>
          <w:trHeight w:val="440"/>
          <w:tblHeader/>
        </w:trPr>
        <w:tc>
          <w:tcPr>
            <w:tcW w:w="14822" w:type="dxa"/>
            <w:gridSpan w:val="10"/>
          </w:tcPr>
          <w:p w:rsidR="006A18FD" w:rsidRDefault="002D29FC">
            <w:pPr>
              <w:ind w:left="5923" w:right="5926"/>
              <w:jc w:val="center"/>
              <w:rPr>
                <w:rFonts w:ascii="Calibri"/>
                <w:b/>
                <w:sz w:val="32"/>
              </w:rPr>
            </w:pPr>
            <w:r>
              <w:rPr>
                <w:rFonts w:ascii="Calibri"/>
                <w:b/>
                <w:sz w:val="32"/>
              </w:rPr>
              <w:t>Hospital-based</w:t>
            </w:r>
            <w:r>
              <w:rPr>
                <w:rFonts w:ascii="Calibri"/>
                <w:b/>
                <w:spacing w:val="-12"/>
                <w:sz w:val="32"/>
              </w:rPr>
              <w:t xml:space="preserve"> </w:t>
            </w:r>
            <w:r>
              <w:rPr>
                <w:rFonts w:ascii="Calibri"/>
                <w:b/>
                <w:sz w:val="32"/>
              </w:rPr>
              <w:t>nurses</w:t>
            </w:r>
          </w:p>
        </w:tc>
      </w:tr>
      <w:tr w:rsidR="006A18FD" w:rsidTr="00CA19E0">
        <w:trPr>
          <w:trHeight w:val="580"/>
          <w:tblHeader/>
        </w:trPr>
        <w:tc>
          <w:tcPr>
            <w:tcW w:w="2571" w:type="dxa"/>
          </w:tcPr>
          <w:p w:rsidR="006A18FD" w:rsidRDefault="002D29FC">
            <w:pPr>
              <w:spacing w:before="96" w:line="242" w:lineRule="exact"/>
              <w:ind w:left="103" w:right="455"/>
              <w:rPr>
                <w:rFonts w:ascii="Calibri"/>
                <w:b/>
                <w:sz w:val="20"/>
              </w:rPr>
            </w:pPr>
            <w:r>
              <w:rPr>
                <w:rFonts w:ascii="Calibri"/>
                <w:b/>
                <w:sz w:val="20"/>
              </w:rPr>
              <w:t>Refer to notes on facing page for references</w:t>
            </w:r>
          </w:p>
        </w:tc>
        <w:tc>
          <w:tcPr>
            <w:tcW w:w="1361" w:type="dxa"/>
          </w:tcPr>
          <w:p w:rsidR="006A18FD" w:rsidRDefault="006A18FD">
            <w:pPr>
              <w:spacing w:before="11"/>
              <w:rPr>
                <w:rFonts w:ascii="Calibri"/>
                <w:b/>
                <w:sz w:val="23"/>
              </w:rPr>
            </w:pPr>
          </w:p>
          <w:p w:rsidR="006A18FD" w:rsidRDefault="002D29FC">
            <w:pPr>
              <w:spacing w:line="273" w:lineRule="exact"/>
              <w:ind w:left="330"/>
              <w:rPr>
                <w:rFonts w:ascii="Calibri"/>
                <w:b/>
                <w:sz w:val="24"/>
              </w:rPr>
            </w:pPr>
            <w:r>
              <w:rPr>
                <w:rFonts w:ascii="Calibri"/>
                <w:b/>
                <w:sz w:val="24"/>
              </w:rPr>
              <w:t>Band 4</w:t>
            </w:r>
          </w:p>
        </w:tc>
        <w:tc>
          <w:tcPr>
            <w:tcW w:w="1361" w:type="dxa"/>
          </w:tcPr>
          <w:p w:rsidR="006A18FD" w:rsidRDefault="006A18FD">
            <w:pPr>
              <w:spacing w:before="11"/>
              <w:rPr>
                <w:rFonts w:ascii="Calibri"/>
                <w:b/>
                <w:sz w:val="23"/>
              </w:rPr>
            </w:pPr>
          </w:p>
          <w:p w:rsidR="006A18FD" w:rsidRDefault="002D29FC">
            <w:pPr>
              <w:spacing w:line="273" w:lineRule="exact"/>
              <w:ind w:left="112" w:right="112"/>
              <w:jc w:val="center"/>
              <w:rPr>
                <w:rFonts w:ascii="Calibri"/>
                <w:b/>
                <w:sz w:val="24"/>
              </w:rPr>
            </w:pPr>
            <w:r>
              <w:rPr>
                <w:rFonts w:ascii="Calibri"/>
                <w:b/>
                <w:sz w:val="24"/>
              </w:rPr>
              <w:t>Band 5</w:t>
            </w:r>
          </w:p>
        </w:tc>
        <w:tc>
          <w:tcPr>
            <w:tcW w:w="1363" w:type="dxa"/>
          </w:tcPr>
          <w:p w:rsidR="006A18FD" w:rsidRDefault="006A18FD">
            <w:pPr>
              <w:spacing w:before="11"/>
              <w:rPr>
                <w:rFonts w:ascii="Calibri"/>
                <w:b/>
                <w:sz w:val="23"/>
              </w:rPr>
            </w:pPr>
          </w:p>
          <w:p w:rsidR="006A18FD" w:rsidRDefault="002D29FC">
            <w:pPr>
              <w:spacing w:line="273" w:lineRule="exact"/>
              <w:ind w:left="113" w:right="114"/>
              <w:jc w:val="center"/>
              <w:rPr>
                <w:rFonts w:ascii="Calibri"/>
                <w:b/>
                <w:sz w:val="24"/>
              </w:rPr>
            </w:pPr>
            <w:r>
              <w:rPr>
                <w:rFonts w:ascii="Calibri"/>
                <w:b/>
                <w:sz w:val="24"/>
              </w:rPr>
              <w:t>Band 6</w:t>
            </w:r>
          </w:p>
        </w:tc>
        <w:tc>
          <w:tcPr>
            <w:tcW w:w="1361" w:type="dxa"/>
          </w:tcPr>
          <w:p w:rsidR="006A18FD" w:rsidRDefault="006A18FD">
            <w:pPr>
              <w:spacing w:before="11"/>
              <w:rPr>
                <w:rFonts w:ascii="Calibri"/>
                <w:b/>
                <w:sz w:val="23"/>
              </w:rPr>
            </w:pPr>
          </w:p>
          <w:p w:rsidR="006A18FD" w:rsidRDefault="002D29FC">
            <w:pPr>
              <w:spacing w:line="273" w:lineRule="exact"/>
              <w:ind w:left="110" w:right="111"/>
              <w:jc w:val="center"/>
              <w:rPr>
                <w:rFonts w:ascii="Calibri"/>
                <w:b/>
                <w:sz w:val="24"/>
              </w:rPr>
            </w:pPr>
            <w:r>
              <w:rPr>
                <w:rFonts w:ascii="Calibri"/>
                <w:b/>
                <w:sz w:val="24"/>
              </w:rPr>
              <w:t>Band 7</w:t>
            </w:r>
          </w:p>
        </w:tc>
        <w:tc>
          <w:tcPr>
            <w:tcW w:w="1361" w:type="dxa"/>
          </w:tcPr>
          <w:p w:rsidR="006A18FD" w:rsidRDefault="006A18FD">
            <w:pPr>
              <w:spacing w:before="11"/>
              <w:rPr>
                <w:rFonts w:ascii="Calibri"/>
                <w:b/>
                <w:sz w:val="23"/>
              </w:rPr>
            </w:pPr>
          </w:p>
          <w:p w:rsidR="006A18FD" w:rsidRDefault="002D29FC">
            <w:pPr>
              <w:spacing w:line="273" w:lineRule="exact"/>
              <w:ind w:left="273"/>
              <w:rPr>
                <w:rFonts w:ascii="Calibri"/>
                <w:b/>
                <w:sz w:val="24"/>
              </w:rPr>
            </w:pPr>
            <w:r>
              <w:rPr>
                <w:rFonts w:ascii="Calibri"/>
                <w:b/>
                <w:sz w:val="24"/>
              </w:rPr>
              <w:t>Band 8a</w:t>
            </w:r>
          </w:p>
        </w:tc>
        <w:tc>
          <w:tcPr>
            <w:tcW w:w="1361" w:type="dxa"/>
          </w:tcPr>
          <w:p w:rsidR="006A18FD" w:rsidRDefault="006A18FD">
            <w:pPr>
              <w:spacing w:before="11"/>
              <w:rPr>
                <w:rFonts w:ascii="Calibri"/>
                <w:b/>
                <w:sz w:val="23"/>
              </w:rPr>
            </w:pPr>
          </w:p>
          <w:p w:rsidR="006A18FD" w:rsidRDefault="002D29FC">
            <w:pPr>
              <w:spacing w:line="273" w:lineRule="exact"/>
              <w:ind w:left="112" w:right="112"/>
              <w:jc w:val="center"/>
              <w:rPr>
                <w:rFonts w:ascii="Calibri"/>
                <w:b/>
                <w:sz w:val="24"/>
              </w:rPr>
            </w:pPr>
            <w:r>
              <w:rPr>
                <w:rFonts w:ascii="Calibri"/>
                <w:b/>
                <w:sz w:val="24"/>
              </w:rPr>
              <w:t>Band 8b</w:t>
            </w:r>
          </w:p>
        </w:tc>
        <w:tc>
          <w:tcPr>
            <w:tcW w:w="1361" w:type="dxa"/>
          </w:tcPr>
          <w:p w:rsidR="006A18FD" w:rsidRDefault="006A18FD">
            <w:pPr>
              <w:spacing w:before="11"/>
              <w:rPr>
                <w:rFonts w:ascii="Calibri"/>
                <w:b/>
                <w:sz w:val="23"/>
              </w:rPr>
            </w:pPr>
          </w:p>
          <w:p w:rsidR="006A18FD" w:rsidRDefault="002D29FC">
            <w:pPr>
              <w:spacing w:line="273" w:lineRule="exact"/>
              <w:ind w:left="280"/>
              <w:rPr>
                <w:rFonts w:ascii="Calibri"/>
                <w:b/>
                <w:sz w:val="24"/>
              </w:rPr>
            </w:pPr>
            <w:r>
              <w:rPr>
                <w:rFonts w:ascii="Calibri"/>
                <w:b/>
                <w:sz w:val="24"/>
              </w:rPr>
              <w:t>Band 8c</w:t>
            </w:r>
          </w:p>
        </w:tc>
        <w:tc>
          <w:tcPr>
            <w:tcW w:w="1361" w:type="dxa"/>
          </w:tcPr>
          <w:p w:rsidR="006A18FD" w:rsidRDefault="006A18FD">
            <w:pPr>
              <w:spacing w:before="11"/>
              <w:rPr>
                <w:rFonts w:ascii="Calibri"/>
                <w:b/>
                <w:sz w:val="23"/>
              </w:rPr>
            </w:pPr>
          </w:p>
          <w:p w:rsidR="006A18FD" w:rsidRDefault="002D29FC">
            <w:pPr>
              <w:spacing w:line="273" w:lineRule="exact"/>
              <w:ind w:left="110" w:right="110"/>
              <w:jc w:val="center"/>
              <w:rPr>
                <w:rFonts w:ascii="Calibri"/>
                <w:b/>
                <w:sz w:val="24"/>
              </w:rPr>
            </w:pPr>
            <w:r>
              <w:rPr>
                <w:rFonts w:ascii="Calibri"/>
                <w:b/>
                <w:sz w:val="24"/>
              </w:rPr>
              <w:t>Band 8d</w:t>
            </w:r>
          </w:p>
        </w:tc>
        <w:tc>
          <w:tcPr>
            <w:tcW w:w="1361" w:type="dxa"/>
          </w:tcPr>
          <w:p w:rsidR="006A18FD" w:rsidRDefault="006A18FD">
            <w:pPr>
              <w:spacing w:before="11"/>
              <w:rPr>
                <w:rFonts w:ascii="Calibri"/>
                <w:b/>
                <w:sz w:val="23"/>
              </w:rPr>
            </w:pPr>
          </w:p>
          <w:p w:rsidR="006A18FD" w:rsidRDefault="002D29FC">
            <w:pPr>
              <w:spacing w:line="273" w:lineRule="exact"/>
              <w:ind w:right="330"/>
              <w:jc w:val="right"/>
              <w:rPr>
                <w:rFonts w:ascii="Calibri"/>
                <w:b/>
                <w:sz w:val="24"/>
              </w:rPr>
            </w:pPr>
            <w:r>
              <w:rPr>
                <w:rFonts w:ascii="Calibri"/>
                <w:b/>
                <w:sz w:val="24"/>
              </w:rPr>
              <w:t>Band 9</w:t>
            </w:r>
          </w:p>
        </w:tc>
      </w:tr>
      <w:tr w:rsidR="006A18FD">
        <w:trPr>
          <w:trHeight w:val="240"/>
        </w:trPr>
        <w:tc>
          <w:tcPr>
            <w:tcW w:w="257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240"/>
        </w:trPr>
        <w:tc>
          <w:tcPr>
            <w:tcW w:w="2571" w:type="dxa"/>
          </w:tcPr>
          <w:p w:rsidR="006A18FD" w:rsidRDefault="002D29FC">
            <w:pPr>
              <w:spacing w:before="11" w:line="223" w:lineRule="exact"/>
              <w:ind w:left="103"/>
              <w:rPr>
                <w:rFonts w:ascii="Calibri"/>
                <w:b/>
                <w:sz w:val="20"/>
              </w:rPr>
            </w:pPr>
            <w:r>
              <w:rPr>
                <w:rFonts w:ascii="Calibri"/>
                <w:b/>
                <w:sz w:val="20"/>
              </w:rPr>
              <w:t>A Wages/salary</w:t>
            </w:r>
          </w:p>
        </w:tc>
        <w:tc>
          <w:tcPr>
            <w:tcW w:w="1361" w:type="dxa"/>
          </w:tcPr>
          <w:p w:rsidR="006A18FD" w:rsidRDefault="002D29FC">
            <w:pPr>
              <w:spacing w:before="11" w:line="223" w:lineRule="exact"/>
              <w:ind w:left="345"/>
              <w:rPr>
                <w:rFonts w:ascii="Calibri" w:hAnsi="Calibri"/>
                <w:sz w:val="20"/>
              </w:rPr>
            </w:pPr>
            <w:r>
              <w:rPr>
                <w:rFonts w:ascii="Calibri" w:hAnsi="Calibri"/>
                <w:sz w:val="20"/>
              </w:rPr>
              <w:t>£20,628</w:t>
            </w:r>
          </w:p>
        </w:tc>
        <w:tc>
          <w:tcPr>
            <w:tcW w:w="1361" w:type="dxa"/>
          </w:tcPr>
          <w:p w:rsidR="006A18FD" w:rsidRDefault="002D29FC">
            <w:pPr>
              <w:spacing w:before="11" w:line="223" w:lineRule="exact"/>
              <w:ind w:left="111" w:right="112"/>
              <w:jc w:val="center"/>
              <w:rPr>
                <w:rFonts w:ascii="Calibri" w:hAnsi="Calibri"/>
                <w:sz w:val="20"/>
              </w:rPr>
            </w:pPr>
            <w:r>
              <w:rPr>
                <w:rFonts w:ascii="Calibri" w:hAnsi="Calibri"/>
                <w:sz w:val="20"/>
              </w:rPr>
              <w:t>£26,894</w:t>
            </w:r>
          </w:p>
        </w:tc>
        <w:tc>
          <w:tcPr>
            <w:tcW w:w="1363" w:type="dxa"/>
          </w:tcPr>
          <w:p w:rsidR="006A18FD" w:rsidRDefault="002D29FC">
            <w:pPr>
              <w:spacing w:before="11" w:line="223" w:lineRule="exact"/>
              <w:ind w:left="110" w:right="114"/>
              <w:jc w:val="center"/>
              <w:rPr>
                <w:rFonts w:ascii="Calibri" w:hAnsi="Calibri"/>
                <w:sz w:val="20"/>
              </w:rPr>
            </w:pPr>
            <w:r>
              <w:rPr>
                <w:rFonts w:ascii="Calibri" w:hAnsi="Calibri"/>
                <w:sz w:val="20"/>
              </w:rPr>
              <w:t>£33,411</w:t>
            </w:r>
          </w:p>
        </w:tc>
        <w:tc>
          <w:tcPr>
            <w:tcW w:w="1361" w:type="dxa"/>
          </w:tcPr>
          <w:p w:rsidR="006A18FD" w:rsidRDefault="002D29FC">
            <w:pPr>
              <w:spacing w:before="11" w:line="223" w:lineRule="exact"/>
              <w:ind w:left="110" w:right="112"/>
              <w:jc w:val="center"/>
              <w:rPr>
                <w:rFonts w:ascii="Calibri" w:hAnsi="Calibri"/>
                <w:sz w:val="20"/>
              </w:rPr>
            </w:pPr>
            <w:r>
              <w:rPr>
                <w:rFonts w:ascii="Calibri" w:hAnsi="Calibri"/>
                <w:sz w:val="20"/>
              </w:rPr>
              <w:t>£39,994</w:t>
            </w:r>
          </w:p>
        </w:tc>
        <w:tc>
          <w:tcPr>
            <w:tcW w:w="1361" w:type="dxa"/>
          </w:tcPr>
          <w:p w:rsidR="006A18FD" w:rsidRDefault="002D29FC">
            <w:pPr>
              <w:spacing w:before="11" w:line="223" w:lineRule="exact"/>
              <w:ind w:left="345"/>
              <w:rPr>
                <w:rFonts w:ascii="Calibri" w:hAnsi="Calibri"/>
                <w:sz w:val="20"/>
              </w:rPr>
            </w:pPr>
            <w:r>
              <w:rPr>
                <w:rFonts w:ascii="Calibri" w:hAnsi="Calibri"/>
                <w:sz w:val="20"/>
              </w:rPr>
              <w:t>£47,176</w:t>
            </w:r>
          </w:p>
        </w:tc>
        <w:tc>
          <w:tcPr>
            <w:tcW w:w="1361" w:type="dxa"/>
          </w:tcPr>
          <w:p w:rsidR="006A18FD" w:rsidRDefault="002D29FC">
            <w:pPr>
              <w:spacing w:before="2" w:line="233" w:lineRule="exact"/>
              <w:ind w:left="110" w:right="112"/>
              <w:jc w:val="center"/>
              <w:rPr>
                <w:rFonts w:ascii="Calibri" w:hAnsi="Calibri"/>
                <w:sz w:val="20"/>
              </w:rPr>
            </w:pPr>
            <w:r>
              <w:rPr>
                <w:rFonts w:ascii="Calibri" w:hAnsi="Calibri"/>
                <w:sz w:val="20"/>
              </w:rPr>
              <w:t>£56,102</w:t>
            </w:r>
          </w:p>
        </w:tc>
        <w:tc>
          <w:tcPr>
            <w:tcW w:w="1361" w:type="dxa"/>
          </w:tcPr>
          <w:p w:rsidR="006A18FD" w:rsidRDefault="002D29FC">
            <w:pPr>
              <w:spacing w:before="2" w:line="233" w:lineRule="exact"/>
              <w:ind w:left="345"/>
              <w:rPr>
                <w:rFonts w:ascii="Calibri" w:hAnsi="Calibri"/>
                <w:sz w:val="20"/>
              </w:rPr>
            </w:pPr>
            <w:r>
              <w:rPr>
                <w:rFonts w:ascii="Calibri" w:hAnsi="Calibri"/>
                <w:sz w:val="20"/>
              </w:rPr>
              <w:t>£65,739</w:t>
            </w:r>
          </w:p>
        </w:tc>
        <w:tc>
          <w:tcPr>
            <w:tcW w:w="1361" w:type="dxa"/>
          </w:tcPr>
          <w:p w:rsidR="006A18FD" w:rsidRDefault="002D29FC">
            <w:pPr>
              <w:spacing w:before="2" w:line="233" w:lineRule="exact"/>
              <w:ind w:left="110" w:right="112"/>
              <w:jc w:val="center"/>
              <w:rPr>
                <w:rFonts w:ascii="Calibri" w:hAnsi="Calibri"/>
                <w:sz w:val="20"/>
              </w:rPr>
            </w:pPr>
            <w:r>
              <w:rPr>
                <w:rFonts w:ascii="Calibri" w:hAnsi="Calibri"/>
                <w:sz w:val="20"/>
              </w:rPr>
              <w:t>£77,494</w:t>
            </w:r>
          </w:p>
        </w:tc>
        <w:tc>
          <w:tcPr>
            <w:tcW w:w="1361" w:type="dxa"/>
          </w:tcPr>
          <w:p w:rsidR="006A18FD" w:rsidRDefault="002D29FC">
            <w:pPr>
              <w:spacing w:before="2" w:line="233" w:lineRule="exact"/>
              <w:ind w:right="347"/>
              <w:jc w:val="right"/>
              <w:rPr>
                <w:rFonts w:ascii="Calibri" w:hAnsi="Calibri"/>
                <w:sz w:val="20"/>
              </w:rPr>
            </w:pPr>
            <w:r>
              <w:rPr>
                <w:rFonts w:ascii="Calibri" w:hAnsi="Calibri"/>
                <w:w w:val="95"/>
                <w:sz w:val="20"/>
              </w:rPr>
              <w:t>£92,329</w:t>
            </w:r>
          </w:p>
        </w:tc>
      </w:tr>
      <w:tr w:rsidR="006A18FD">
        <w:trPr>
          <w:trHeight w:val="240"/>
        </w:trPr>
        <w:tc>
          <w:tcPr>
            <w:tcW w:w="257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240"/>
        </w:trPr>
        <w:tc>
          <w:tcPr>
            <w:tcW w:w="2571" w:type="dxa"/>
          </w:tcPr>
          <w:p w:rsidR="006A18FD" w:rsidRDefault="002D29FC">
            <w:pPr>
              <w:spacing w:before="11" w:line="223" w:lineRule="exact"/>
              <w:ind w:left="103"/>
              <w:rPr>
                <w:rFonts w:ascii="Calibri"/>
                <w:b/>
                <w:sz w:val="20"/>
              </w:rPr>
            </w:pPr>
            <w:r>
              <w:rPr>
                <w:rFonts w:ascii="Calibri"/>
                <w:b/>
                <w:sz w:val="20"/>
              </w:rPr>
              <w:t>B Salary oncosts</w:t>
            </w:r>
          </w:p>
        </w:tc>
        <w:tc>
          <w:tcPr>
            <w:tcW w:w="1361" w:type="dxa"/>
          </w:tcPr>
          <w:p w:rsidR="006A18FD" w:rsidRDefault="002D29FC">
            <w:pPr>
              <w:spacing w:before="11" w:line="223" w:lineRule="exact"/>
              <w:ind w:left="395"/>
              <w:rPr>
                <w:rFonts w:ascii="Calibri" w:hAnsi="Calibri"/>
                <w:sz w:val="20"/>
              </w:rPr>
            </w:pPr>
            <w:r>
              <w:rPr>
                <w:rFonts w:ascii="Calibri" w:hAnsi="Calibri"/>
                <w:sz w:val="20"/>
              </w:rPr>
              <w:t>£4,650</w:t>
            </w:r>
          </w:p>
        </w:tc>
        <w:tc>
          <w:tcPr>
            <w:tcW w:w="1361" w:type="dxa"/>
          </w:tcPr>
          <w:p w:rsidR="006A18FD" w:rsidRDefault="002D29FC">
            <w:pPr>
              <w:spacing w:before="11" w:line="223" w:lineRule="exact"/>
              <w:ind w:left="110" w:right="112"/>
              <w:jc w:val="center"/>
              <w:rPr>
                <w:rFonts w:ascii="Calibri" w:hAnsi="Calibri"/>
                <w:sz w:val="20"/>
              </w:rPr>
            </w:pPr>
            <w:r>
              <w:rPr>
                <w:rFonts w:ascii="Calibri" w:hAnsi="Calibri"/>
                <w:sz w:val="20"/>
              </w:rPr>
              <w:t>£6,416</w:t>
            </w:r>
          </w:p>
        </w:tc>
        <w:tc>
          <w:tcPr>
            <w:tcW w:w="1363" w:type="dxa"/>
          </w:tcPr>
          <w:p w:rsidR="006A18FD" w:rsidRDefault="002D29FC">
            <w:pPr>
              <w:spacing w:before="11" w:line="223" w:lineRule="exact"/>
              <w:ind w:left="110" w:right="114"/>
              <w:jc w:val="center"/>
              <w:rPr>
                <w:rFonts w:ascii="Calibri" w:hAnsi="Calibri"/>
                <w:sz w:val="20"/>
              </w:rPr>
            </w:pPr>
            <w:r>
              <w:rPr>
                <w:rFonts w:ascii="Calibri" w:hAnsi="Calibri"/>
                <w:sz w:val="20"/>
              </w:rPr>
              <w:t>£8,252</w:t>
            </w:r>
          </w:p>
        </w:tc>
        <w:tc>
          <w:tcPr>
            <w:tcW w:w="1361" w:type="dxa"/>
          </w:tcPr>
          <w:p w:rsidR="006A18FD" w:rsidRDefault="002D29FC">
            <w:pPr>
              <w:spacing w:before="11" w:line="223" w:lineRule="exact"/>
              <w:ind w:left="110" w:right="112"/>
              <w:jc w:val="center"/>
              <w:rPr>
                <w:rFonts w:ascii="Calibri" w:hAnsi="Calibri"/>
                <w:sz w:val="20"/>
              </w:rPr>
            </w:pPr>
            <w:r>
              <w:rPr>
                <w:rFonts w:ascii="Calibri" w:hAnsi="Calibri"/>
                <w:sz w:val="20"/>
              </w:rPr>
              <w:t>£10,108</w:t>
            </w:r>
          </w:p>
        </w:tc>
        <w:tc>
          <w:tcPr>
            <w:tcW w:w="1361" w:type="dxa"/>
          </w:tcPr>
          <w:p w:rsidR="006A18FD" w:rsidRDefault="002D29FC">
            <w:pPr>
              <w:spacing w:before="11" w:line="223" w:lineRule="exact"/>
              <w:ind w:left="345"/>
              <w:rPr>
                <w:rFonts w:ascii="Calibri" w:hAnsi="Calibri"/>
                <w:sz w:val="20"/>
              </w:rPr>
            </w:pPr>
            <w:r>
              <w:rPr>
                <w:rFonts w:ascii="Calibri" w:hAnsi="Calibri"/>
                <w:sz w:val="20"/>
              </w:rPr>
              <w:t>£12,132</w:t>
            </w:r>
          </w:p>
        </w:tc>
        <w:tc>
          <w:tcPr>
            <w:tcW w:w="1361" w:type="dxa"/>
          </w:tcPr>
          <w:p w:rsidR="006A18FD" w:rsidRDefault="002D29FC">
            <w:pPr>
              <w:spacing w:line="234" w:lineRule="exact"/>
              <w:ind w:left="110" w:right="112"/>
              <w:jc w:val="center"/>
              <w:rPr>
                <w:rFonts w:ascii="Calibri" w:hAnsi="Calibri"/>
                <w:sz w:val="20"/>
              </w:rPr>
            </w:pPr>
            <w:r>
              <w:rPr>
                <w:rFonts w:ascii="Calibri" w:hAnsi="Calibri"/>
                <w:sz w:val="20"/>
              </w:rPr>
              <w:t>£14,647</w:t>
            </w:r>
          </w:p>
        </w:tc>
        <w:tc>
          <w:tcPr>
            <w:tcW w:w="1361" w:type="dxa"/>
          </w:tcPr>
          <w:p w:rsidR="006A18FD" w:rsidRDefault="002D29FC">
            <w:pPr>
              <w:spacing w:line="234" w:lineRule="exact"/>
              <w:ind w:left="345"/>
              <w:rPr>
                <w:rFonts w:ascii="Calibri" w:hAnsi="Calibri"/>
                <w:sz w:val="20"/>
              </w:rPr>
            </w:pPr>
            <w:r>
              <w:rPr>
                <w:rFonts w:ascii="Calibri" w:hAnsi="Calibri"/>
                <w:sz w:val="20"/>
              </w:rPr>
              <w:t>£17,363</w:t>
            </w:r>
          </w:p>
        </w:tc>
        <w:tc>
          <w:tcPr>
            <w:tcW w:w="1361" w:type="dxa"/>
          </w:tcPr>
          <w:p w:rsidR="006A18FD" w:rsidRDefault="002D29FC">
            <w:pPr>
              <w:spacing w:line="234" w:lineRule="exact"/>
              <w:ind w:left="110" w:right="112"/>
              <w:jc w:val="center"/>
              <w:rPr>
                <w:rFonts w:ascii="Calibri" w:hAnsi="Calibri"/>
                <w:sz w:val="20"/>
              </w:rPr>
            </w:pPr>
            <w:r>
              <w:rPr>
                <w:rFonts w:ascii="Calibri" w:hAnsi="Calibri"/>
                <w:sz w:val="20"/>
              </w:rPr>
              <w:t>£20,675</w:t>
            </w:r>
          </w:p>
        </w:tc>
        <w:tc>
          <w:tcPr>
            <w:tcW w:w="1361" w:type="dxa"/>
          </w:tcPr>
          <w:p w:rsidR="006A18FD" w:rsidRDefault="002D29FC">
            <w:pPr>
              <w:spacing w:line="234" w:lineRule="exact"/>
              <w:ind w:right="347"/>
              <w:jc w:val="right"/>
              <w:rPr>
                <w:rFonts w:ascii="Calibri" w:hAnsi="Calibri"/>
                <w:sz w:val="20"/>
              </w:rPr>
            </w:pPr>
            <w:r>
              <w:rPr>
                <w:rFonts w:ascii="Calibri" w:hAnsi="Calibri"/>
                <w:w w:val="95"/>
                <w:sz w:val="20"/>
              </w:rPr>
              <w:t>£24,856</w:t>
            </w:r>
          </w:p>
        </w:tc>
      </w:tr>
      <w:tr w:rsidR="006A18FD">
        <w:trPr>
          <w:trHeight w:val="240"/>
        </w:trPr>
        <w:tc>
          <w:tcPr>
            <w:tcW w:w="257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240"/>
        </w:trPr>
        <w:tc>
          <w:tcPr>
            <w:tcW w:w="2571" w:type="dxa"/>
          </w:tcPr>
          <w:p w:rsidR="006A18FD" w:rsidRDefault="002D29FC">
            <w:pPr>
              <w:spacing w:before="13" w:line="223" w:lineRule="exact"/>
              <w:ind w:left="103"/>
              <w:rPr>
                <w:rFonts w:ascii="Calibri"/>
                <w:b/>
                <w:sz w:val="20"/>
              </w:rPr>
            </w:pPr>
            <w:r>
              <w:rPr>
                <w:rFonts w:ascii="Calibri"/>
                <w:b/>
                <w:sz w:val="20"/>
              </w:rPr>
              <w:t>C Qualifications (see notes)</w:t>
            </w: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240"/>
        </w:trPr>
        <w:tc>
          <w:tcPr>
            <w:tcW w:w="257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240"/>
        </w:trPr>
        <w:tc>
          <w:tcPr>
            <w:tcW w:w="2571" w:type="dxa"/>
          </w:tcPr>
          <w:p w:rsidR="006A18FD" w:rsidRDefault="002D29FC">
            <w:pPr>
              <w:spacing w:before="13" w:line="223" w:lineRule="exact"/>
              <w:ind w:left="103"/>
              <w:rPr>
                <w:rFonts w:ascii="Calibri"/>
                <w:b/>
                <w:sz w:val="20"/>
              </w:rPr>
            </w:pPr>
            <w:r>
              <w:rPr>
                <w:rFonts w:ascii="Calibri"/>
                <w:b/>
                <w:sz w:val="20"/>
              </w:rPr>
              <w:t>D Overheads</w:t>
            </w: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3"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c>
          <w:tcPr>
            <w:tcW w:w="1361" w:type="dxa"/>
          </w:tcPr>
          <w:p w:rsidR="006A18FD" w:rsidRDefault="006A18FD">
            <w:pPr>
              <w:rPr>
                <w:rFonts w:ascii="Times New Roman"/>
                <w:sz w:val="18"/>
              </w:rPr>
            </w:pPr>
          </w:p>
        </w:tc>
      </w:tr>
      <w:tr w:rsidR="006A18FD">
        <w:trPr>
          <w:trHeight w:val="480"/>
        </w:trPr>
        <w:tc>
          <w:tcPr>
            <w:tcW w:w="2571" w:type="dxa"/>
          </w:tcPr>
          <w:p w:rsidR="006A18FD" w:rsidRDefault="002D29FC">
            <w:pPr>
              <w:spacing w:before="1" w:line="243" w:lineRule="exact"/>
              <w:ind w:left="103"/>
              <w:rPr>
                <w:rFonts w:ascii="Calibri"/>
                <w:sz w:val="20"/>
              </w:rPr>
            </w:pPr>
            <w:r>
              <w:rPr>
                <w:rFonts w:ascii="Calibri"/>
                <w:sz w:val="20"/>
              </w:rPr>
              <w:t>Management, admin and</w:t>
            </w:r>
          </w:p>
          <w:p w:rsidR="006A18FD" w:rsidRDefault="002D29FC">
            <w:pPr>
              <w:spacing w:line="222" w:lineRule="exact"/>
              <w:ind w:left="103"/>
              <w:rPr>
                <w:rFonts w:ascii="Calibri"/>
                <w:sz w:val="20"/>
              </w:rPr>
            </w:pPr>
            <w:r>
              <w:rPr>
                <w:rFonts w:ascii="Calibri"/>
                <w:sz w:val="20"/>
              </w:rPr>
              <w:t>estates staff</w:t>
            </w:r>
          </w:p>
        </w:tc>
        <w:tc>
          <w:tcPr>
            <w:tcW w:w="1361" w:type="dxa"/>
          </w:tcPr>
          <w:p w:rsidR="006A18FD" w:rsidRDefault="006A18FD">
            <w:pPr>
              <w:spacing w:before="11"/>
              <w:rPr>
                <w:rFonts w:ascii="Calibri"/>
                <w:b/>
                <w:sz w:val="19"/>
              </w:rPr>
            </w:pPr>
          </w:p>
          <w:p w:rsidR="006A18FD" w:rsidRDefault="002D29FC">
            <w:pPr>
              <w:spacing w:before="1" w:line="223" w:lineRule="exact"/>
              <w:ind w:left="395"/>
              <w:rPr>
                <w:rFonts w:ascii="Calibri" w:hAnsi="Calibri"/>
                <w:sz w:val="20"/>
              </w:rPr>
            </w:pPr>
            <w:r>
              <w:rPr>
                <w:rFonts w:ascii="Calibri" w:hAnsi="Calibri"/>
                <w:sz w:val="20"/>
              </w:rPr>
              <w:t>£6,117</w:t>
            </w:r>
          </w:p>
        </w:tc>
        <w:tc>
          <w:tcPr>
            <w:tcW w:w="1361" w:type="dxa"/>
          </w:tcPr>
          <w:p w:rsidR="006A18FD" w:rsidRDefault="006A18FD">
            <w:pPr>
              <w:spacing w:before="11"/>
              <w:rPr>
                <w:rFonts w:ascii="Calibri"/>
                <w:b/>
                <w:sz w:val="19"/>
              </w:rPr>
            </w:pPr>
          </w:p>
          <w:p w:rsidR="006A18FD" w:rsidRDefault="002D29FC">
            <w:pPr>
              <w:spacing w:before="1" w:line="223" w:lineRule="exact"/>
              <w:ind w:left="111" w:right="112"/>
              <w:jc w:val="center"/>
              <w:rPr>
                <w:rFonts w:ascii="Calibri" w:hAnsi="Calibri"/>
                <w:sz w:val="20"/>
              </w:rPr>
            </w:pPr>
            <w:r>
              <w:rPr>
                <w:rFonts w:ascii="Calibri" w:hAnsi="Calibri"/>
                <w:sz w:val="20"/>
              </w:rPr>
              <w:t>£7,864</w:t>
            </w:r>
          </w:p>
        </w:tc>
        <w:tc>
          <w:tcPr>
            <w:tcW w:w="1363" w:type="dxa"/>
          </w:tcPr>
          <w:p w:rsidR="006A18FD" w:rsidRDefault="006A18FD">
            <w:pPr>
              <w:spacing w:before="11"/>
              <w:rPr>
                <w:rFonts w:ascii="Calibri"/>
                <w:b/>
                <w:sz w:val="19"/>
              </w:rPr>
            </w:pPr>
          </w:p>
          <w:p w:rsidR="006A18FD" w:rsidRDefault="002D29FC">
            <w:pPr>
              <w:spacing w:before="1" w:line="223" w:lineRule="exact"/>
              <w:ind w:left="109" w:right="114"/>
              <w:jc w:val="center"/>
              <w:rPr>
                <w:rFonts w:ascii="Calibri" w:hAnsi="Calibri"/>
                <w:sz w:val="20"/>
              </w:rPr>
            </w:pPr>
            <w:r>
              <w:rPr>
                <w:rFonts w:ascii="Calibri" w:hAnsi="Calibri"/>
                <w:sz w:val="20"/>
              </w:rPr>
              <w:t>£9,828</w:t>
            </w:r>
          </w:p>
        </w:tc>
        <w:tc>
          <w:tcPr>
            <w:tcW w:w="1361" w:type="dxa"/>
          </w:tcPr>
          <w:p w:rsidR="006A18FD" w:rsidRDefault="006A18FD">
            <w:pPr>
              <w:spacing w:before="11"/>
              <w:rPr>
                <w:rFonts w:ascii="Calibri"/>
                <w:b/>
                <w:sz w:val="19"/>
              </w:rPr>
            </w:pPr>
          </w:p>
          <w:p w:rsidR="006A18FD" w:rsidRDefault="002D29FC">
            <w:pPr>
              <w:spacing w:before="1" w:line="223" w:lineRule="exact"/>
              <w:ind w:left="110" w:right="112"/>
              <w:jc w:val="center"/>
              <w:rPr>
                <w:rFonts w:ascii="Calibri" w:hAnsi="Calibri"/>
                <w:sz w:val="20"/>
              </w:rPr>
            </w:pPr>
            <w:r>
              <w:rPr>
                <w:rFonts w:ascii="Calibri" w:hAnsi="Calibri"/>
                <w:sz w:val="20"/>
              </w:rPr>
              <w:t>£11,837</w:t>
            </w:r>
          </w:p>
        </w:tc>
        <w:tc>
          <w:tcPr>
            <w:tcW w:w="1361" w:type="dxa"/>
          </w:tcPr>
          <w:p w:rsidR="006A18FD" w:rsidRDefault="006A18FD">
            <w:pPr>
              <w:spacing w:before="11"/>
              <w:rPr>
                <w:rFonts w:ascii="Calibri"/>
                <w:b/>
                <w:sz w:val="19"/>
              </w:rPr>
            </w:pPr>
          </w:p>
          <w:p w:rsidR="006A18FD" w:rsidRDefault="002D29FC">
            <w:pPr>
              <w:spacing w:before="1" w:line="223" w:lineRule="exact"/>
              <w:ind w:left="345"/>
              <w:rPr>
                <w:rFonts w:ascii="Calibri" w:hAnsi="Calibri"/>
                <w:sz w:val="20"/>
              </w:rPr>
            </w:pPr>
            <w:r>
              <w:rPr>
                <w:rFonts w:ascii="Calibri" w:hAnsi="Calibri"/>
                <w:sz w:val="20"/>
              </w:rPr>
              <w:t>£13,990</w:t>
            </w:r>
          </w:p>
        </w:tc>
        <w:tc>
          <w:tcPr>
            <w:tcW w:w="1361" w:type="dxa"/>
          </w:tcPr>
          <w:p w:rsidR="006A18FD" w:rsidRDefault="006A18FD">
            <w:pPr>
              <w:spacing w:before="11"/>
              <w:rPr>
                <w:rFonts w:ascii="Calibri"/>
                <w:b/>
                <w:sz w:val="19"/>
              </w:rPr>
            </w:pPr>
          </w:p>
          <w:p w:rsidR="006A18FD" w:rsidRDefault="002D29FC">
            <w:pPr>
              <w:spacing w:before="1" w:line="223" w:lineRule="exact"/>
              <w:ind w:left="110" w:right="112"/>
              <w:jc w:val="center"/>
              <w:rPr>
                <w:rFonts w:ascii="Calibri" w:hAnsi="Calibri"/>
                <w:sz w:val="20"/>
              </w:rPr>
            </w:pPr>
            <w:r>
              <w:rPr>
                <w:rFonts w:ascii="Calibri" w:hAnsi="Calibri"/>
                <w:sz w:val="20"/>
              </w:rPr>
              <w:t>£16,716</w:t>
            </w:r>
          </w:p>
        </w:tc>
        <w:tc>
          <w:tcPr>
            <w:tcW w:w="1361" w:type="dxa"/>
          </w:tcPr>
          <w:p w:rsidR="006A18FD" w:rsidRDefault="006A18FD">
            <w:pPr>
              <w:spacing w:before="11"/>
              <w:rPr>
                <w:rFonts w:ascii="Calibri"/>
                <w:b/>
                <w:sz w:val="19"/>
              </w:rPr>
            </w:pPr>
          </w:p>
          <w:p w:rsidR="006A18FD" w:rsidRDefault="002D29FC">
            <w:pPr>
              <w:spacing w:before="1" w:line="223" w:lineRule="exact"/>
              <w:ind w:left="345"/>
              <w:rPr>
                <w:rFonts w:ascii="Calibri" w:hAnsi="Calibri"/>
                <w:sz w:val="20"/>
              </w:rPr>
            </w:pPr>
            <w:r>
              <w:rPr>
                <w:rFonts w:ascii="Calibri" w:hAnsi="Calibri"/>
                <w:sz w:val="20"/>
              </w:rPr>
              <w:t>£19,610</w:t>
            </w:r>
          </w:p>
        </w:tc>
        <w:tc>
          <w:tcPr>
            <w:tcW w:w="1361" w:type="dxa"/>
          </w:tcPr>
          <w:p w:rsidR="006A18FD" w:rsidRDefault="006A18FD">
            <w:pPr>
              <w:spacing w:before="11"/>
              <w:rPr>
                <w:rFonts w:ascii="Calibri"/>
                <w:b/>
                <w:sz w:val="19"/>
              </w:rPr>
            </w:pPr>
          </w:p>
          <w:p w:rsidR="006A18FD" w:rsidRDefault="002D29FC">
            <w:pPr>
              <w:spacing w:before="1" w:line="223" w:lineRule="exact"/>
              <w:ind w:left="110" w:right="112"/>
              <w:jc w:val="center"/>
              <w:rPr>
                <w:rFonts w:ascii="Calibri" w:hAnsi="Calibri"/>
                <w:sz w:val="20"/>
              </w:rPr>
            </w:pPr>
            <w:r>
              <w:rPr>
                <w:rFonts w:ascii="Calibri" w:hAnsi="Calibri"/>
                <w:sz w:val="20"/>
              </w:rPr>
              <w:t>£23,111</w:t>
            </w:r>
          </w:p>
        </w:tc>
        <w:tc>
          <w:tcPr>
            <w:tcW w:w="1361" w:type="dxa"/>
          </w:tcPr>
          <w:p w:rsidR="006A18FD" w:rsidRDefault="006A18FD">
            <w:pPr>
              <w:spacing w:before="11"/>
              <w:rPr>
                <w:rFonts w:ascii="Calibri"/>
                <w:b/>
                <w:sz w:val="19"/>
              </w:rPr>
            </w:pPr>
          </w:p>
          <w:p w:rsidR="006A18FD" w:rsidRDefault="002D29FC">
            <w:pPr>
              <w:spacing w:before="1" w:line="223" w:lineRule="exact"/>
              <w:ind w:right="348"/>
              <w:jc w:val="right"/>
              <w:rPr>
                <w:rFonts w:ascii="Calibri" w:hAnsi="Calibri"/>
                <w:sz w:val="20"/>
              </w:rPr>
            </w:pPr>
            <w:r>
              <w:rPr>
                <w:rFonts w:ascii="Calibri" w:hAnsi="Calibri"/>
                <w:w w:val="95"/>
                <w:sz w:val="20"/>
              </w:rPr>
              <w:t>£27,528</w:t>
            </w:r>
          </w:p>
        </w:tc>
      </w:tr>
      <w:tr w:rsidR="006A18FD">
        <w:trPr>
          <w:trHeight w:val="240"/>
        </w:trPr>
        <w:tc>
          <w:tcPr>
            <w:tcW w:w="2571" w:type="dxa"/>
          </w:tcPr>
          <w:p w:rsidR="006A18FD" w:rsidRDefault="002D29FC">
            <w:pPr>
              <w:spacing w:before="13" w:line="223" w:lineRule="exact"/>
              <w:ind w:left="103"/>
              <w:rPr>
                <w:rFonts w:ascii="Calibri"/>
                <w:sz w:val="20"/>
              </w:rPr>
            </w:pPr>
            <w:r>
              <w:rPr>
                <w:rFonts w:ascii="Calibri"/>
                <w:sz w:val="20"/>
              </w:rPr>
              <w:t>Non-staff</w:t>
            </w:r>
          </w:p>
        </w:tc>
        <w:tc>
          <w:tcPr>
            <w:tcW w:w="1361" w:type="dxa"/>
          </w:tcPr>
          <w:p w:rsidR="006A18FD" w:rsidRDefault="002D29FC">
            <w:pPr>
              <w:spacing w:before="13" w:line="223" w:lineRule="exact"/>
              <w:ind w:left="345"/>
              <w:rPr>
                <w:rFonts w:ascii="Calibri" w:hAnsi="Calibri"/>
                <w:sz w:val="20"/>
              </w:rPr>
            </w:pPr>
            <w:r>
              <w:rPr>
                <w:rFonts w:ascii="Calibri" w:hAnsi="Calibri"/>
                <w:sz w:val="20"/>
              </w:rPr>
              <w:t>£10,895</w:t>
            </w:r>
          </w:p>
        </w:tc>
        <w:tc>
          <w:tcPr>
            <w:tcW w:w="1361" w:type="dxa"/>
          </w:tcPr>
          <w:p w:rsidR="006A18FD" w:rsidRDefault="002D29FC">
            <w:pPr>
              <w:spacing w:before="13" w:line="223" w:lineRule="exact"/>
              <w:ind w:left="111" w:right="112"/>
              <w:jc w:val="center"/>
              <w:rPr>
                <w:rFonts w:ascii="Calibri" w:hAnsi="Calibri"/>
                <w:sz w:val="20"/>
              </w:rPr>
            </w:pPr>
            <w:r>
              <w:rPr>
                <w:rFonts w:ascii="Calibri" w:hAnsi="Calibri"/>
                <w:sz w:val="20"/>
              </w:rPr>
              <w:t>£14,006</w:t>
            </w:r>
          </w:p>
        </w:tc>
        <w:tc>
          <w:tcPr>
            <w:tcW w:w="1363" w:type="dxa"/>
          </w:tcPr>
          <w:p w:rsidR="006A18FD" w:rsidRDefault="002D29FC">
            <w:pPr>
              <w:spacing w:before="13" w:line="223" w:lineRule="exact"/>
              <w:ind w:left="109" w:right="114"/>
              <w:jc w:val="center"/>
              <w:rPr>
                <w:rFonts w:ascii="Calibri" w:hAnsi="Calibri"/>
                <w:sz w:val="20"/>
              </w:rPr>
            </w:pPr>
            <w:r>
              <w:rPr>
                <w:rFonts w:ascii="Calibri" w:hAnsi="Calibri"/>
                <w:sz w:val="20"/>
              </w:rPr>
              <w:t>£17,504</w:t>
            </w:r>
          </w:p>
        </w:tc>
        <w:tc>
          <w:tcPr>
            <w:tcW w:w="1361" w:type="dxa"/>
          </w:tcPr>
          <w:p w:rsidR="006A18FD" w:rsidRDefault="002D29FC">
            <w:pPr>
              <w:spacing w:before="13" w:line="223" w:lineRule="exact"/>
              <w:ind w:left="110" w:right="112"/>
              <w:jc w:val="center"/>
              <w:rPr>
                <w:rFonts w:ascii="Calibri" w:hAnsi="Calibri"/>
                <w:sz w:val="20"/>
              </w:rPr>
            </w:pPr>
            <w:r>
              <w:rPr>
                <w:rFonts w:ascii="Calibri" w:hAnsi="Calibri"/>
                <w:sz w:val="20"/>
              </w:rPr>
              <w:t>£21,082</w:t>
            </w:r>
          </w:p>
        </w:tc>
        <w:tc>
          <w:tcPr>
            <w:tcW w:w="1361" w:type="dxa"/>
          </w:tcPr>
          <w:p w:rsidR="006A18FD" w:rsidRDefault="002D29FC">
            <w:pPr>
              <w:spacing w:before="13" w:line="223" w:lineRule="exact"/>
              <w:ind w:left="345"/>
              <w:rPr>
                <w:rFonts w:ascii="Calibri" w:hAnsi="Calibri"/>
                <w:sz w:val="20"/>
              </w:rPr>
            </w:pPr>
            <w:r>
              <w:rPr>
                <w:rFonts w:ascii="Calibri" w:hAnsi="Calibri"/>
                <w:sz w:val="20"/>
              </w:rPr>
              <w:t>£24,917</w:t>
            </w:r>
          </w:p>
        </w:tc>
        <w:tc>
          <w:tcPr>
            <w:tcW w:w="1361" w:type="dxa"/>
          </w:tcPr>
          <w:p w:rsidR="006A18FD" w:rsidRDefault="002D29FC">
            <w:pPr>
              <w:spacing w:before="1" w:line="235" w:lineRule="exact"/>
              <w:ind w:left="110" w:right="112"/>
              <w:jc w:val="center"/>
              <w:rPr>
                <w:rFonts w:ascii="Calibri" w:hAnsi="Calibri"/>
                <w:sz w:val="20"/>
              </w:rPr>
            </w:pPr>
            <w:r>
              <w:rPr>
                <w:rFonts w:ascii="Calibri" w:hAnsi="Calibri"/>
                <w:sz w:val="20"/>
              </w:rPr>
              <w:t>£29,770</w:t>
            </w:r>
          </w:p>
        </w:tc>
        <w:tc>
          <w:tcPr>
            <w:tcW w:w="1361" w:type="dxa"/>
          </w:tcPr>
          <w:p w:rsidR="006A18FD" w:rsidRDefault="002D29FC">
            <w:pPr>
              <w:spacing w:before="1" w:line="235" w:lineRule="exact"/>
              <w:ind w:left="345"/>
              <w:rPr>
                <w:rFonts w:ascii="Calibri" w:hAnsi="Calibri"/>
                <w:sz w:val="20"/>
              </w:rPr>
            </w:pPr>
            <w:r>
              <w:rPr>
                <w:rFonts w:ascii="Calibri" w:hAnsi="Calibri"/>
                <w:sz w:val="20"/>
              </w:rPr>
              <w:t>£34,926</w:t>
            </w:r>
          </w:p>
        </w:tc>
        <w:tc>
          <w:tcPr>
            <w:tcW w:w="1361" w:type="dxa"/>
          </w:tcPr>
          <w:p w:rsidR="006A18FD" w:rsidRDefault="002D29FC">
            <w:pPr>
              <w:spacing w:before="1" w:line="235" w:lineRule="exact"/>
              <w:ind w:left="110" w:right="112"/>
              <w:jc w:val="center"/>
              <w:rPr>
                <w:rFonts w:ascii="Calibri" w:hAnsi="Calibri"/>
                <w:sz w:val="20"/>
              </w:rPr>
            </w:pPr>
            <w:r>
              <w:rPr>
                <w:rFonts w:ascii="Calibri" w:hAnsi="Calibri"/>
                <w:sz w:val="20"/>
              </w:rPr>
              <w:t>£41,161</w:t>
            </w:r>
          </w:p>
        </w:tc>
        <w:tc>
          <w:tcPr>
            <w:tcW w:w="1361" w:type="dxa"/>
          </w:tcPr>
          <w:p w:rsidR="006A18FD" w:rsidRDefault="002D29FC">
            <w:pPr>
              <w:spacing w:before="1" w:line="235" w:lineRule="exact"/>
              <w:ind w:right="347"/>
              <w:jc w:val="right"/>
              <w:rPr>
                <w:rFonts w:ascii="Calibri" w:hAnsi="Calibri"/>
                <w:sz w:val="20"/>
              </w:rPr>
            </w:pPr>
            <w:r>
              <w:rPr>
                <w:rFonts w:ascii="Calibri" w:hAnsi="Calibri"/>
                <w:w w:val="95"/>
                <w:sz w:val="20"/>
              </w:rPr>
              <w:t>£49,028</w:t>
            </w:r>
          </w:p>
        </w:tc>
      </w:tr>
      <w:tr w:rsidR="006A18FD">
        <w:trPr>
          <w:trHeight w:val="240"/>
        </w:trPr>
        <w:tc>
          <w:tcPr>
            <w:tcW w:w="257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3"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c>
          <w:tcPr>
            <w:tcW w:w="1361" w:type="dxa"/>
          </w:tcPr>
          <w:p w:rsidR="006A18FD" w:rsidRDefault="006A18FD">
            <w:pPr>
              <w:rPr>
                <w:rFonts w:ascii="Times New Roman"/>
                <w:sz w:val="16"/>
              </w:rPr>
            </w:pPr>
          </w:p>
        </w:tc>
      </w:tr>
      <w:tr w:rsidR="006A18FD">
        <w:trPr>
          <w:trHeight w:val="240"/>
        </w:trPr>
        <w:tc>
          <w:tcPr>
            <w:tcW w:w="2571" w:type="dxa"/>
          </w:tcPr>
          <w:p w:rsidR="006A18FD" w:rsidRDefault="002D29FC">
            <w:pPr>
              <w:spacing w:line="222" w:lineRule="exact"/>
              <w:ind w:left="103"/>
              <w:rPr>
                <w:rFonts w:ascii="Calibri"/>
                <w:b/>
                <w:sz w:val="20"/>
              </w:rPr>
            </w:pPr>
            <w:r>
              <w:rPr>
                <w:rFonts w:ascii="Calibri"/>
                <w:b/>
                <w:sz w:val="20"/>
              </w:rPr>
              <w:t>E Capital overheads</w:t>
            </w:r>
          </w:p>
        </w:tc>
        <w:tc>
          <w:tcPr>
            <w:tcW w:w="1361" w:type="dxa"/>
          </w:tcPr>
          <w:p w:rsidR="006A18FD" w:rsidRDefault="002D29FC">
            <w:pPr>
              <w:spacing w:line="222" w:lineRule="exact"/>
              <w:ind w:left="395"/>
              <w:rPr>
                <w:rFonts w:ascii="Calibri" w:hAnsi="Calibri"/>
                <w:sz w:val="20"/>
              </w:rPr>
            </w:pPr>
            <w:r>
              <w:rPr>
                <w:rFonts w:ascii="Calibri" w:hAnsi="Calibri"/>
                <w:sz w:val="20"/>
              </w:rPr>
              <w:t>£2,339</w:t>
            </w:r>
          </w:p>
        </w:tc>
        <w:tc>
          <w:tcPr>
            <w:tcW w:w="1361" w:type="dxa"/>
          </w:tcPr>
          <w:p w:rsidR="006A18FD" w:rsidRDefault="002D29FC">
            <w:pPr>
              <w:spacing w:line="222" w:lineRule="exact"/>
              <w:ind w:left="110" w:right="112"/>
              <w:jc w:val="center"/>
              <w:rPr>
                <w:rFonts w:ascii="Calibri" w:hAnsi="Calibri"/>
                <w:sz w:val="20"/>
              </w:rPr>
            </w:pPr>
            <w:r>
              <w:rPr>
                <w:rFonts w:ascii="Calibri" w:hAnsi="Calibri"/>
                <w:sz w:val="20"/>
              </w:rPr>
              <w:t>£3,462</w:t>
            </w:r>
          </w:p>
        </w:tc>
        <w:tc>
          <w:tcPr>
            <w:tcW w:w="1363" w:type="dxa"/>
          </w:tcPr>
          <w:p w:rsidR="006A18FD" w:rsidRDefault="002D29FC">
            <w:pPr>
              <w:spacing w:line="222" w:lineRule="exact"/>
              <w:ind w:left="109" w:right="114"/>
              <w:jc w:val="center"/>
              <w:rPr>
                <w:rFonts w:ascii="Calibri" w:hAnsi="Calibri"/>
                <w:sz w:val="20"/>
              </w:rPr>
            </w:pPr>
            <w:r>
              <w:rPr>
                <w:rFonts w:ascii="Calibri" w:hAnsi="Calibri"/>
                <w:sz w:val="20"/>
              </w:rPr>
              <w:t>£3,462</w:t>
            </w:r>
          </w:p>
        </w:tc>
        <w:tc>
          <w:tcPr>
            <w:tcW w:w="1361" w:type="dxa"/>
          </w:tcPr>
          <w:p w:rsidR="006A18FD" w:rsidRDefault="002D29FC">
            <w:pPr>
              <w:spacing w:line="222" w:lineRule="exact"/>
              <w:ind w:left="109" w:right="112"/>
              <w:jc w:val="center"/>
              <w:rPr>
                <w:rFonts w:ascii="Calibri" w:hAnsi="Calibri"/>
                <w:sz w:val="20"/>
              </w:rPr>
            </w:pPr>
            <w:r>
              <w:rPr>
                <w:rFonts w:ascii="Calibri" w:hAnsi="Calibri"/>
                <w:sz w:val="20"/>
              </w:rPr>
              <w:t>£3,462</w:t>
            </w:r>
          </w:p>
        </w:tc>
        <w:tc>
          <w:tcPr>
            <w:tcW w:w="1361" w:type="dxa"/>
          </w:tcPr>
          <w:p w:rsidR="006A18FD" w:rsidRDefault="002D29FC">
            <w:pPr>
              <w:spacing w:line="222" w:lineRule="exact"/>
              <w:ind w:left="395"/>
              <w:rPr>
                <w:rFonts w:ascii="Calibri" w:hAnsi="Calibri"/>
                <w:sz w:val="20"/>
              </w:rPr>
            </w:pPr>
            <w:r>
              <w:rPr>
                <w:rFonts w:ascii="Calibri" w:hAnsi="Calibri"/>
                <w:sz w:val="20"/>
              </w:rPr>
              <w:t>£3,462</w:t>
            </w:r>
          </w:p>
        </w:tc>
        <w:tc>
          <w:tcPr>
            <w:tcW w:w="1361" w:type="dxa"/>
          </w:tcPr>
          <w:p w:rsidR="006A18FD" w:rsidRDefault="002D29FC">
            <w:pPr>
              <w:spacing w:line="222" w:lineRule="exact"/>
              <w:ind w:left="109" w:right="112"/>
              <w:jc w:val="center"/>
              <w:rPr>
                <w:rFonts w:ascii="Calibri" w:hAnsi="Calibri"/>
                <w:sz w:val="20"/>
              </w:rPr>
            </w:pPr>
            <w:r>
              <w:rPr>
                <w:rFonts w:ascii="Calibri" w:hAnsi="Calibri"/>
                <w:sz w:val="20"/>
              </w:rPr>
              <w:t>£3,462</w:t>
            </w:r>
          </w:p>
        </w:tc>
        <w:tc>
          <w:tcPr>
            <w:tcW w:w="1361" w:type="dxa"/>
          </w:tcPr>
          <w:p w:rsidR="006A18FD" w:rsidRDefault="002D29FC">
            <w:pPr>
              <w:spacing w:line="222" w:lineRule="exact"/>
              <w:ind w:left="395"/>
              <w:rPr>
                <w:rFonts w:ascii="Calibri" w:hAnsi="Calibri"/>
                <w:sz w:val="20"/>
              </w:rPr>
            </w:pPr>
            <w:r>
              <w:rPr>
                <w:rFonts w:ascii="Calibri" w:hAnsi="Calibri"/>
                <w:sz w:val="20"/>
              </w:rPr>
              <w:t>£3,462</w:t>
            </w:r>
          </w:p>
        </w:tc>
        <w:tc>
          <w:tcPr>
            <w:tcW w:w="1361" w:type="dxa"/>
          </w:tcPr>
          <w:p w:rsidR="006A18FD" w:rsidRDefault="002D29FC">
            <w:pPr>
              <w:spacing w:line="222" w:lineRule="exact"/>
              <w:ind w:left="110" w:right="112"/>
              <w:jc w:val="center"/>
              <w:rPr>
                <w:rFonts w:ascii="Calibri" w:hAnsi="Calibri"/>
                <w:sz w:val="20"/>
              </w:rPr>
            </w:pPr>
            <w:r>
              <w:rPr>
                <w:rFonts w:ascii="Calibri" w:hAnsi="Calibri"/>
                <w:sz w:val="20"/>
              </w:rPr>
              <w:t>£3,462</w:t>
            </w:r>
          </w:p>
        </w:tc>
        <w:tc>
          <w:tcPr>
            <w:tcW w:w="1361" w:type="dxa"/>
          </w:tcPr>
          <w:p w:rsidR="006A18FD" w:rsidRDefault="002D29FC">
            <w:pPr>
              <w:spacing w:line="222" w:lineRule="exact"/>
              <w:ind w:right="398"/>
              <w:jc w:val="right"/>
              <w:rPr>
                <w:rFonts w:ascii="Calibri" w:hAnsi="Calibri"/>
                <w:sz w:val="20"/>
              </w:rPr>
            </w:pPr>
            <w:r>
              <w:rPr>
                <w:rFonts w:ascii="Calibri" w:hAnsi="Calibri"/>
                <w:w w:val="95"/>
                <w:sz w:val="20"/>
              </w:rPr>
              <w:t>£3,462</w:t>
            </w:r>
          </w:p>
        </w:tc>
      </w:tr>
      <w:tr w:rsidR="006A18FD">
        <w:trPr>
          <w:trHeight w:val="1480"/>
        </w:trPr>
        <w:tc>
          <w:tcPr>
            <w:tcW w:w="2571" w:type="dxa"/>
          </w:tcPr>
          <w:p w:rsidR="006A18FD" w:rsidRDefault="006A18FD">
            <w:pPr>
              <w:spacing w:before="1"/>
              <w:rPr>
                <w:rFonts w:ascii="Calibri"/>
                <w:b/>
              </w:rPr>
            </w:pPr>
          </w:p>
          <w:p w:rsidR="006A18FD" w:rsidRDefault="002D29FC">
            <w:pPr>
              <w:ind w:left="103"/>
              <w:rPr>
                <w:rFonts w:ascii="Calibri"/>
                <w:b/>
                <w:sz w:val="20"/>
              </w:rPr>
            </w:pPr>
            <w:r>
              <w:rPr>
                <w:rFonts w:ascii="Calibri"/>
                <w:b/>
                <w:sz w:val="20"/>
              </w:rPr>
              <w:t>F Working time</w:t>
            </w:r>
          </w:p>
        </w:tc>
        <w:tc>
          <w:tcPr>
            <w:tcW w:w="1361" w:type="dxa"/>
          </w:tcPr>
          <w:p w:rsidR="006A18FD" w:rsidRDefault="006A18FD">
            <w:pPr>
              <w:spacing w:before="1"/>
              <w:rPr>
                <w:rFonts w:ascii="Calibri"/>
                <w:b/>
              </w:rPr>
            </w:pPr>
          </w:p>
          <w:p w:rsidR="006A18FD" w:rsidRDefault="002D29FC">
            <w:pPr>
              <w:ind w:left="134" w:firstLine="86"/>
              <w:rPr>
                <w:rFonts w:ascii="Calibri"/>
                <w:sz w:val="20"/>
              </w:rPr>
            </w:pPr>
            <w:r>
              <w:rPr>
                <w:rFonts w:ascii="Calibri"/>
                <w:sz w:val="20"/>
              </w:rPr>
              <w:t>42.3 weeks (1,589 hours)</w:t>
            </w:r>
          </w:p>
          <w:p w:rsidR="006A18FD" w:rsidRDefault="002D29FC">
            <w:pPr>
              <w:ind w:left="311"/>
              <w:rPr>
                <w:rFonts w:ascii="Calibri"/>
                <w:sz w:val="20"/>
              </w:rPr>
            </w:pPr>
            <w:r>
              <w:rPr>
                <w:rFonts w:ascii="Calibri"/>
                <w:sz w:val="20"/>
              </w:rPr>
              <w:t>per year,</w:t>
            </w:r>
          </w:p>
          <w:p w:rsidR="006A18FD" w:rsidRDefault="002D29FC">
            <w:pPr>
              <w:spacing w:line="240" w:lineRule="atLeast"/>
              <w:ind w:left="297" w:right="223"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13" w:right="112"/>
              <w:jc w:val="center"/>
              <w:rPr>
                <w:rFonts w:ascii="Calibri"/>
                <w:sz w:val="20"/>
              </w:rPr>
            </w:pPr>
            <w:r>
              <w:rPr>
                <w:rFonts w:ascii="Calibri"/>
                <w:sz w:val="20"/>
              </w:rPr>
              <w:t>(1,573 hours) per year,</w:t>
            </w:r>
          </w:p>
          <w:p w:rsidR="006A18FD" w:rsidRDefault="002D29FC">
            <w:pPr>
              <w:spacing w:before="2" w:line="240" w:lineRule="atLeast"/>
              <w:ind w:left="297" w:right="224" w:hanging="53"/>
              <w:rPr>
                <w:rFonts w:ascii="Calibri"/>
                <w:sz w:val="20"/>
              </w:rPr>
            </w:pPr>
            <w:r>
              <w:rPr>
                <w:rFonts w:ascii="Calibri"/>
                <w:sz w:val="20"/>
              </w:rPr>
              <w:t>37.5 hours per week</w:t>
            </w:r>
          </w:p>
        </w:tc>
        <w:tc>
          <w:tcPr>
            <w:tcW w:w="1363"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13" w:right="114"/>
              <w:jc w:val="center"/>
              <w:rPr>
                <w:rFonts w:ascii="Calibri"/>
                <w:sz w:val="20"/>
              </w:rPr>
            </w:pPr>
            <w:r>
              <w:rPr>
                <w:rFonts w:ascii="Calibri"/>
                <w:sz w:val="20"/>
              </w:rPr>
              <w:t>(1,573 hours) per year,</w:t>
            </w:r>
          </w:p>
          <w:p w:rsidR="006A18FD" w:rsidRDefault="002D29FC">
            <w:pPr>
              <w:spacing w:before="2" w:line="240" w:lineRule="atLeast"/>
              <w:ind w:left="297" w:right="225"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10" w:right="109"/>
              <w:jc w:val="center"/>
              <w:rPr>
                <w:rFonts w:ascii="Calibri"/>
                <w:sz w:val="20"/>
              </w:rPr>
            </w:pPr>
            <w:r>
              <w:rPr>
                <w:rFonts w:ascii="Calibri"/>
                <w:sz w:val="20"/>
              </w:rPr>
              <w:t>(1,573 hours) per year,</w:t>
            </w:r>
          </w:p>
          <w:p w:rsidR="006A18FD" w:rsidRDefault="002D29FC">
            <w:pPr>
              <w:spacing w:before="2" w:line="240" w:lineRule="atLeast"/>
              <w:ind w:left="297" w:right="223"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10" w:right="109"/>
              <w:jc w:val="center"/>
              <w:rPr>
                <w:rFonts w:ascii="Calibri"/>
                <w:sz w:val="20"/>
              </w:rPr>
            </w:pPr>
            <w:r>
              <w:rPr>
                <w:rFonts w:ascii="Calibri"/>
                <w:sz w:val="20"/>
              </w:rPr>
              <w:t>(1,573 hours) per year,</w:t>
            </w:r>
          </w:p>
          <w:p w:rsidR="006A18FD" w:rsidRDefault="002D29FC">
            <w:pPr>
              <w:spacing w:before="2" w:line="240" w:lineRule="atLeast"/>
              <w:ind w:left="297" w:right="223"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13" w:right="112"/>
              <w:jc w:val="center"/>
              <w:rPr>
                <w:rFonts w:ascii="Calibri"/>
                <w:sz w:val="20"/>
              </w:rPr>
            </w:pPr>
            <w:r>
              <w:rPr>
                <w:rFonts w:ascii="Calibri"/>
                <w:sz w:val="20"/>
              </w:rPr>
              <w:t>(1,573 hours) per year,</w:t>
            </w:r>
          </w:p>
          <w:p w:rsidR="006A18FD" w:rsidRDefault="002D29FC">
            <w:pPr>
              <w:spacing w:before="2" w:line="240" w:lineRule="atLeast"/>
              <w:ind w:left="297" w:right="224"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08" w:right="112"/>
              <w:jc w:val="center"/>
              <w:rPr>
                <w:rFonts w:ascii="Calibri"/>
                <w:sz w:val="20"/>
              </w:rPr>
            </w:pPr>
            <w:r>
              <w:rPr>
                <w:rFonts w:ascii="Calibri"/>
                <w:sz w:val="20"/>
              </w:rPr>
              <w:t>(1,573 hours) per year,</w:t>
            </w:r>
          </w:p>
          <w:p w:rsidR="006A18FD" w:rsidRDefault="002D29FC">
            <w:pPr>
              <w:spacing w:before="2" w:line="240" w:lineRule="atLeast"/>
              <w:ind w:left="297" w:right="223"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08" w:right="112"/>
              <w:jc w:val="center"/>
              <w:rPr>
                <w:rFonts w:ascii="Calibri"/>
                <w:sz w:val="20"/>
              </w:rPr>
            </w:pPr>
            <w:r>
              <w:rPr>
                <w:rFonts w:ascii="Calibri"/>
                <w:sz w:val="20"/>
              </w:rPr>
              <w:t>(1,573 hours) per year,</w:t>
            </w:r>
          </w:p>
          <w:p w:rsidR="006A18FD" w:rsidRDefault="002D29FC">
            <w:pPr>
              <w:spacing w:before="2" w:line="240" w:lineRule="atLeast"/>
              <w:ind w:left="297" w:right="223" w:hanging="53"/>
              <w:rPr>
                <w:rFonts w:ascii="Calibri"/>
                <w:sz w:val="20"/>
              </w:rPr>
            </w:pPr>
            <w:r>
              <w:rPr>
                <w:rFonts w:ascii="Calibri"/>
                <w:sz w:val="20"/>
              </w:rPr>
              <w:t>37.5 hours per week</w:t>
            </w:r>
          </w:p>
        </w:tc>
        <w:tc>
          <w:tcPr>
            <w:tcW w:w="1361" w:type="dxa"/>
          </w:tcPr>
          <w:p w:rsidR="006A18FD" w:rsidRDefault="006A18FD">
            <w:pPr>
              <w:spacing w:before="1"/>
              <w:rPr>
                <w:rFonts w:ascii="Calibri"/>
                <w:b/>
              </w:rPr>
            </w:pPr>
          </w:p>
          <w:p w:rsidR="006A18FD" w:rsidRDefault="002D29FC">
            <w:pPr>
              <w:spacing w:line="243" w:lineRule="exact"/>
              <w:ind w:left="297"/>
              <w:rPr>
                <w:rFonts w:ascii="Calibri"/>
                <w:sz w:val="20"/>
              </w:rPr>
            </w:pPr>
            <w:r>
              <w:rPr>
                <w:rFonts w:ascii="Calibri"/>
                <w:sz w:val="20"/>
              </w:rPr>
              <w:t>42 weeks</w:t>
            </w:r>
          </w:p>
          <w:p w:rsidR="006A18FD" w:rsidRDefault="002D29FC">
            <w:pPr>
              <w:ind w:left="108" w:right="112"/>
              <w:jc w:val="center"/>
              <w:rPr>
                <w:rFonts w:ascii="Calibri"/>
                <w:sz w:val="20"/>
              </w:rPr>
            </w:pPr>
            <w:r>
              <w:rPr>
                <w:rFonts w:ascii="Calibri"/>
                <w:sz w:val="20"/>
              </w:rPr>
              <w:t>(1,573 hours) per year,</w:t>
            </w:r>
          </w:p>
          <w:p w:rsidR="006A18FD" w:rsidRDefault="002D29FC">
            <w:pPr>
              <w:spacing w:before="2" w:line="240" w:lineRule="atLeast"/>
              <w:ind w:left="297" w:right="223" w:hanging="53"/>
              <w:rPr>
                <w:rFonts w:ascii="Calibri"/>
                <w:sz w:val="20"/>
              </w:rPr>
            </w:pPr>
            <w:r>
              <w:rPr>
                <w:rFonts w:ascii="Calibri"/>
                <w:sz w:val="20"/>
              </w:rPr>
              <w:t>37.5 hours per week</w:t>
            </w:r>
          </w:p>
        </w:tc>
      </w:tr>
      <w:tr w:rsidR="006A18FD">
        <w:trPr>
          <w:trHeight w:val="738"/>
        </w:trPr>
        <w:tc>
          <w:tcPr>
            <w:tcW w:w="2571" w:type="dxa"/>
          </w:tcPr>
          <w:p w:rsidR="006A18FD" w:rsidRDefault="002D29FC">
            <w:pPr>
              <w:ind w:left="103" w:right="180"/>
              <w:rPr>
                <w:rFonts w:ascii="Calibri"/>
                <w:b/>
                <w:sz w:val="20"/>
              </w:rPr>
            </w:pPr>
            <w:r>
              <w:rPr>
                <w:rFonts w:ascii="Calibri"/>
                <w:b/>
                <w:sz w:val="20"/>
              </w:rPr>
              <w:t>G Ratio of direct to indirect time on :</w:t>
            </w:r>
          </w:p>
          <w:p w:rsidR="006A18FD" w:rsidRDefault="002D29FC">
            <w:pPr>
              <w:spacing w:before="13" w:line="223" w:lineRule="exact"/>
              <w:ind w:left="103"/>
              <w:rPr>
                <w:rFonts w:ascii="Calibri"/>
                <w:sz w:val="20"/>
              </w:rPr>
            </w:pPr>
            <w:r>
              <w:rPr>
                <w:rFonts w:ascii="Calibri"/>
                <w:sz w:val="20"/>
              </w:rPr>
              <w:t>Face to face contacts</w:t>
            </w:r>
          </w:p>
        </w:tc>
        <w:tc>
          <w:tcPr>
            <w:tcW w:w="1361" w:type="dxa"/>
          </w:tcPr>
          <w:p w:rsidR="006A18FD" w:rsidRDefault="006A18FD">
            <w:pPr>
              <w:rPr>
                <w:rFonts w:ascii="Calibri"/>
                <w:b/>
                <w:sz w:val="20"/>
              </w:rPr>
            </w:pPr>
          </w:p>
          <w:p w:rsidR="006A18FD" w:rsidRDefault="006A18FD">
            <w:pPr>
              <w:spacing w:before="11"/>
              <w:rPr>
                <w:rFonts w:ascii="Calibri"/>
                <w:b/>
                <w:sz w:val="20"/>
              </w:rPr>
            </w:pPr>
          </w:p>
          <w:p w:rsidR="006A18FD" w:rsidRDefault="002D29FC">
            <w:pPr>
              <w:spacing w:line="223" w:lineRule="exact"/>
              <w:ind w:left="110" w:right="110"/>
              <w:jc w:val="center"/>
              <w:rPr>
                <w:rFonts w:ascii="Calibri"/>
                <w:sz w:val="20"/>
              </w:rPr>
            </w:pPr>
            <w:r>
              <w:rPr>
                <w:rFonts w:ascii="Calibri"/>
                <w:sz w:val="20"/>
              </w:rPr>
              <w:t>N/A</w:t>
            </w:r>
          </w:p>
        </w:tc>
        <w:tc>
          <w:tcPr>
            <w:tcW w:w="1361" w:type="dxa"/>
          </w:tcPr>
          <w:p w:rsidR="006A18FD" w:rsidRDefault="006A18FD">
            <w:pPr>
              <w:rPr>
                <w:rFonts w:ascii="Calibri"/>
                <w:b/>
                <w:sz w:val="20"/>
              </w:rPr>
            </w:pPr>
          </w:p>
          <w:p w:rsidR="006A18FD" w:rsidRDefault="006A18FD">
            <w:pPr>
              <w:spacing w:before="11"/>
              <w:rPr>
                <w:rFonts w:ascii="Calibri"/>
                <w:b/>
                <w:sz w:val="20"/>
              </w:rPr>
            </w:pPr>
          </w:p>
          <w:p w:rsidR="006A18FD" w:rsidRDefault="002D29FC">
            <w:pPr>
              <w:spacing w:line="223" w:lineRule="exact"/>
              <w:ind w:left="111" w:right="112"/>
              <w:jc w:val="center"/>
              <w:rPr>
                <w:rFonts w:ascii="Calibri"/>
                <w:sz w:val="20"/>
              </w:rPr>
            </w:pPr>
            <w:r>
              <w:rPr>
                <w:rFonts w:ascii="Calibri"/>
                <w:sz w:val="20"/>
              </w:rPr>
              <w:t>1:1.44</w:t>
            </w:r>
          </w:p>
        </w:tc>
        <w:tc>
          <w:tcPr>
            <w:tcW w:w="1363" w:type="dxa"/>
          </w:tcPr>
          <w:p w:rsidR="006A18FD" w:rsidRDefault="006A18FD">
            <w:pPr>
              <w:rPr>
                <w:rFonts w:ascii="Calibri"/>
                <w:b/>
                <w:sz w:val="20"/>
              </w:rPr>
            </w:pPr>
          </w:p>
          <w:p w:rsidR="006A18FD" w:rsidRDefault="006A18FD">
            <w:pPr>
              <w:spacing w:before="11"/>
              <w:rPr>
                <w:rFonts w:ascii="Calibri"/>
                <w:b/>
                <w:sz w:val="20"/>
              </w:rPr>
            </w:pPr>
          </w:p>
          <w:p w:rsidR="006A18FD" w:rsidRDefault="002D29FC">
            <w:pPr>
              <w:spacing w:line="223" w:lineRule="exact"/>
              <w:ind w:left="110" w:right="114"/>
              <w:jc w:val="center"/>
              <w:rPr>
                <w:rFonts w:ascii="Calibri"/>
                <w:sz w:val="20"/>
              </w:rPr>
            </w:pPr>
            <w:r>
              <w:rPr>
                <w:rFonts w:ascii="Calibri"/>
                <w:sz w:val="20"/>
              </w:rPr>
              <w:t>1:1.44</w:t>
            </w:r>
          </w:p>
        </w:tc>
        <w:tc>
          <w:tcPr>
            <w:tcW w:w="1361" w:type="dxa"/>
          </w:tcPr>
          <w:p w:rsidR="006A18FD" w:rsidRDefault="006A18FD">
            <w:pPr>
              <w:rPr>
                <w:rFonts w:ascii="Calibri"/>
                <w:b/>
                <w:sz w:val="20"/>
              </w:rPr>
            </w:pPr>
          </w:p>
          <w:p w:rsidR="006A18FD" w:rsidRDefault="006A18FD">
            <w:pPr>
              <w:spacing w:before="11"/>
              <w:rPr>
                <w:rFonts w:ascii="Calibri"/>
                <w:b/>
                <w:sz w:val="20"/>
              </w:rPr>
            </w:pPr>
          </w:p>
          <w:p w:rsidR="006A18FD" w:rsidRDefault="002D29FC">
            <w:pPr>
              <w:spacing w:line="223" w:lineRule="exact"/>
              <w:ind w:left="110" w:right="112"/>
              <w:jc w:val="center"/>
              <w:rPr>
                <w:rFonts w:ascii="Calibri"/>
                <w:sz w:val="20"/>
              </w:rPr>
            </w:pPr>
            <w:r>
              <w:rPr>
                <w:rFonts w:ascii="Calibri"/>
                <w:sz w:val="20"/>
              </w:rPr>
              <w:t>1:1.44</w:t>
            </w:r>
          </w:p>
        </w:tc>
        <w:tc>
          <w:tcPr>
            <w:tcW w:w="1361" w:type="dxa"/>
          </w:tcPr>
          <w:p w:rsidR="006A18FD" w:rsidRDefault="006A18FD">
            <w:pPr>
              <w:rPr>
                <w:rFonts w:ascii="Calibri"/>
                <w:b/>
                <w:sz w:val="20"/>
              </w:rPr>
            </w:pPr>
          </w:p>
          <w:p w:rsidR="006A18FD" w:rsidRDefault="006A18FD">
            <w:pPr>
              <w:spacing w:before="11"/>
              <w:rPr>
                <w:rFonts w:ascii="Calibri"/>
                <w:b/>
                <w:sz w:val="20"/>
              </w:rPr>
            </w:pPr>
          </w:p>
          <w:p w:rsidR="006A18FD" w:rsidRDefault="002D29FC">
            <w:pPr>
              <w:spacing w:line="223" w:lineRule="exact"/>
              <w:ind w:left="110" w:right="110"/>
              <w:jc w:val="center"/>
              <w:rPr>
                <w:rFonts w:ascii="Calibri"/>
                <w:sz w:val="20"/>
              </w:rPr>
            </w:pPr>
            <w:r>
              <w:rPr>
                <w:rFonts w:ascii="Calibri"/>
                <w:sz w:val="20"/>
              </w:rPr>
              <w:t>N/A</w:t>
            </w:r>
          </w:p>
        </w:tc>
        <w:tc>
          <w:tcPr>
            <w:tcW w:w="1361" w:type="dxa"/>
          </w:tcPr>
          <w:p w:rsidR="006A18FD" w:rsidRDefault="006A18FD">
            <w:pPr>
              <w:rPr>
                <w:rFonts w:ascii="Calibri"/>
                <w:b/>
                <w:sz w:val="20"/>
              </w:rPr>
            </w:pPr>
          </w:p>
          <w:p w:rsidR="006A18FD" w:rsidRDefault="006A18FD">
            <w:pPr>
              <w:spacing w:before="11"/>
              <w:rPr>
                <w:rFonts w:ascii="Calibri"/>
                <w:b/>
                <w:sz w:val="19"/>
              </w:rPr>
            </w:pPr>
          </w:p>
          <w:p w:rsidR="006A18FD" w:rsidRDefault="002D29FC">
            <w:pPr>
              <w:spacing w:line="235" w:lineRule="exact"/>
              <w:ind w:left="111" w:right="112"/>
              <w:jc w:val="center"/>
              <w:rPr>
                <w:rFonts w:ascii="Calibri"/>
                <w:sz w:val="20"/>
              </w:rPr>
            </w:pPr>
            <w:r>
              <w:rPr>
                <w:rFonts w:ascii="Calibri"/>
                <w:sz w:val="20"/>
              </w:rPr>
              <w:t>N/A</w:t>
            </w:r>
          </w:p>
        </w:tc>
        <w:tc>
          <w:tcPr>
            <w:tcW w:w="1361" w:type="dxa"/>
          </w:tcPr>
          <w:p w:rsidR="006A18FD" w:rsidRDefault="006A18FD">
            <w:pPr>
              <w:rPr>
                <w:rFonts w:ascii="Calibri"/>
                <w:b/>
                <w:sz w:val="20"/>
              </w:rPr>
            </w:pPr>
          </w:p>
          <w:p w:rsidR="006A18FD" w:rsidRDefault="006A18FD">
            <w:pPr>
              <w:spacing w:before="11"/>
              <w:rPr>
                <w:rFonts w:ascii="Calibri"/>
                <w:b/>
                <w:sz w:val="19"/>
              </w:rPr>
            </w:pPr>
          </w:p>
          <w:p w:rsidR="006A18FD" w:rsidRDefault="002D29FC">
            <w:pPr>
              <w:spacing w:line="235" w:lineRule="exact"/>
              <w:ind w:left="110" w:right="110"/>
              <w:jc w:val="center"/>
              <w:rPr>
                <w:rFonts w:ascii="Calibri"/>
                <w:sz w:val="20"/>
              </w:rPr>
            </w:pPr>
            <w:r>
              <w:rPr>
                <w:rFonts w:ascii="Calibri"/>
                <w:sz w:val="20"/>
              </w:rPr>
              <w:t>N/A</w:t>
            </w:r>
          </w:p>
        </w:tc>
        <w:tc>
          <w:tcPr>
            <w:tcW w:w="1361" w:type="dxa"/>
          </w:tcPr>
          <w:p w:rsidR="006A18FD" w:rsidRDefault="006A18FD">
            <w:pPr>
              <w:rPr>
                <w:rFonts w:ascii="Calibri"/>
                <w:b/>
                <w:sz w:val="20"/>
              </w:rPr>
            </w:pPr>
          </w:p>
          <w:p w:rsidR="006A18FD" w:rsidRDefault="006A18FD">
            <w:pPr>
              <w:spacing w:before="11"/>
              <w:rPr>
                <w:rFonts w:ascii="Calibri"/>
                <w:b/>
                <w:sz w:val="19"/>
              </w:rPr>
            </w:pPr>
          </w:p>
          <w:p w:rsidR="006A18FD" w:rsidRDefault="002D29FC">
            <w:pPr>
              <w:spacing w:line="235" w:lineRule="exact"/>
              <w:ind w:left="110" w:right="110"/>
              <w:jc w:val="center"/>
              <w:rPr>
                <w:rFonts w:ascii="Calibri"/>
                <w:sz w:val="20"/>
              </w:rPr>
            </w:pPr>
            <w:r>
              <w:rPr>
                <w:rFonts w:ascii="Calibri"/>
                <w:sz w:val="20"/>
              </w:rPr>
              <w:t>N/A</w:t>
            </w:r>
          </w:p>
        </w:tc>
        <w:tc>
          <w:tcPr>
            <w:tcW w:w="1361" w:type="dxa"/>
          </w:tcPr>
          <w:p w:rsidR="006A18FD" w:rsidRDefault="006A18FD">
            <w:pPr>
              <w:rPr>
                <w:rFonts w:ascii="Calibri"/>
                <w:b/>
                <w:sz w:val="20"/>
              </w:rPr>
            </w:pPr>
          </w:p>
          <w:p w:rsidR="006A18FD" w:rsidRDefault="006A18FD">
            <w:pPr>
              <w:spacing w:before="11"/>
              <w:rPr>
                <w:rFonts w:ascii="Calibri"/>
                <w:b/>
                <w:sz w:val="19"/>
              </w:rPr>
            </w:pPr>
          </w:p>
          <w:p w:rsidR="006A18FD" w:rsidRDefault="002D29FC">
            <w:pPr>
              <w:spacing w:line="235" w:lineRule="exact"/>
              <w:ind w:left="110" w:right="111"/>
              <w:jc w:val="center"/>
              <w:rPr>
                <w:rFonts w:ascii="Calibri"/>
                <w:sz w:val="20"/>
              </w:rPr>
            </w:pPr>
            <w:r>
              <w:rPr>
                <w:rFonts w:ascii="Calibri"/>
                <w:sz w:val="20"/>
              </w:rPr>
              <w:t>N/A</w:t>
            </w:r>
          </w:p>
        </w:tc>
      </w:tr>
      <w:tr w:rsidR="006A18FD">
        <w:trPr>
          <w:trHeight w:val="240"/>
        </w:trPr>
        <w:tc>
          <w:tcPr>
            <w:tcW w:w="2571" w:type="dxa"/>
          </w:tcPr>
          <w:p w:rsidR="006A18FD" w:rsidRDefault="002D29FC">
            <w:pPr>
              <w:spacing w:before="11" w:line="223" w:lineRule="exact"/>
              <w:ind w:left="103"/>
              <w:rPr>
                <w:rFonts w:ascii="Calibri"/>
                <w:sz w:val="20"/>
              </w:rPr>
            </w:pPr>
            <w:r>
              <w:rPr>
                <w:rFonts w:ascii="Calibri"/>
                <w:sz w:val="20"/>
              </w:rPr>
              <w:t>Cost per working hour</w:t>
            </w:r>
          </w:p>
        </w:tc>
        <w:tc>
          <w:tcPr>
            <w:tcW w:w="1361" w:type="dxa"/>
          </w:tcPr>
          <w:p w:rsidR="006A18FD" w:rsidRDefault="002D29FC">
            <w:pPr>
              <w:spacing w:before="11" w:line="223" w:lineRule="exact"/>
              <w:ind w:left="110" w:right="110"/>
              <w:jc w:val="center"/>
              <w:rPr>
                <w:rFonts w:ascii="Calibri" w:hAnsi="Calibri"/>
                <w:sz w:val="20"/>
              </w:rPr>
            </w:pPr>
            <w:r>
              <w:rPr>
                <w:rFonts w:ascii="Calibri" w:hAnsi="Calibri"/>
                <w:sz w:val="20"/>
              </w:rPr>
              <w:t>£28</w:t>
            </w:r>
          </w:p>
        </w:tc>
        <w:tc>
          <w:tcPr>
            <w:tcW w:w="1361" w:type="dxa"/>
          </w:tcPr>
          <w:p w:rsidR="006A18FD" w:rsidRDefault="002D29FC">
            <w:pPr>
              <w:spacing w:before="11" w:line="223" w:lineRule="exact"/>
              <w:ind w:left="111" w:right="112"/>
              <w:jc w:val="center"/>
              <w:rPr>
                <w:rFonts w:ascii="Calibri" w:hAnsi="Calibri"/>
                <w:sz w:val="20"/>
              </w:rPr>
            </w:pPr>
            <w:r>
              <w:rPr>
                <w:rFonts w:ascii="Calibri" w:hAnsi="Calibri"/>
                <w:sz w:val="20"/>
              </w:rPr>
              <w:t>£38</w:t>
            </w:r>
          </w:p>
        </w:tc>
        <w:tc>
          <w:tcPr>
            <w:tcW w:w="1363" w:type="dxa"/>
          </w:tcPr>
          <w:p w:rsidR="006A18FD" w:rsidRDefault="002D29FC">
            <w:pPr>
              <w:spacing w:before="11" w:line="223" w:lineRule="exact"/>
              <w:ind w:left="112" w:right="114"/>
              <w:jc w:val="center"/>
              <w:rPr>
                <w:rFonts w:ascii="Calibri" w:hAnsi="Calibri"/>
                <w:sz w:val="20"/>
              </w:rPr>
            </w:pPr>
            <w:r>
              <w:rPr>
                <w:rFonts w:ascii="Calibri" w:hAnsi="Calibri"/>
                <w:sz w:val="20"/>
              </w:rPr>
              <w:t>£47</w:t>
            </w:r>
          </w:p>
        </w:tc>
        <w:tc>
          <w:tcPr>
            <w:tcW w:w="1361" w:type="dxa"/>
          </w:tcPr>
          <w:p w:rsidR="006A18FD" w:rsidRDefault="002D29FC">
            <w:pPr>
              <w:spacing w:before="11" w:line="223" w:lineRule="exact"/>
              <w:ind w:left="110" w:right="110"/>
              <w:jc w:val="center"/>
              <w:rPr>
                <w:rFonts w:ascii="Calibri" w:hAnsi="Calibri"/>
                <w:sz w:val="20"/>
              </w:rPr>
            </w:pPr>
            <w:r>
              <w:rPr>
                <w:rFonts w:ascii="Calibri" w:hAnsi="Calibri"/>
                <w:sz w:val="20"/>
              </w:rPr>
              <w:t>£55</w:t>
            </w:r>
          </w:p>
        </w:tc>
        <w:tc>
          <w:tcPr>
            <w:tcW w:w="1361" w:type="dxa"/>
          </w:tcPr>
          <w:p w:rsidR="006A18FD" w:rsidRDefault="002D29FC">
            <w:pPr>
              <w:spacing w:before="11" w:line="223" w:lineRule="exact"/>
              <w:ind w:left="110" w:right="110"/>
              <w:jc w:val="center"/>
              <w:rPr>
                <w:rFonts w:ascii="Calibri" w:hAnsi="Calibri"/>
                <w:sz w:val="20"/>
              </w:rPr>
            </w:pPr>
            <w:r>
              <w:rPr>
                <w:rFonts w:ascii="Calibri" w:hAnsi="Calibri"/>
                <w:sz w:val="20"/>
              </w:rPr>
              <w:t>£65</w:t>
            </w:r>
          </w:p>
        </w:tc>
        <w:tc>
          <w:tcPr>
            <w:tcW w:w="1361" w:type="dxa"/>
          </w:tcPr>
          <w:p w:rsidR="006A18FD" w:rsidRDefault="002D29FC">
            <w:pPr>
              <w:spacing w:line="234" w:lineRule="exact"/>
              <w:ind w:left="111" w:right="112"/>
              <w:jc w:val="center"/>
              <w:rPr>
                <w:rFonts w:ascii="Calibri" w:hAnsi="Calibri"/>
                <w:sz w:val="20"/>
              </w:rPr>
            </w:pPr>
            <w:r>
              <w:rPr>
                <w:rFonts w:ascii="Calibri" w:hAnsi="Calibri"/>
                <w:sz w:val="20"/>
              </w:rPr>
              <w:t>£77</w:t>
            </w:r>
          </w:p>
        </w:tc>
        <w:tc>
          <w:tcPr>
            <w:tcW w:w="1361" w:type="dxa"/>
          </w:tcPr>
          <w:p w:rsidR="006A18FD" w:rsidRDefault="002D29FC">
            <w:pPr>
              <w:spacing w:line="234" w:lineRule="exact"/>
              <w:ind w:left="110" w:right="110"/>
              <w:jc w:val="center"/>
              <w:rPr>
                <w:rFonts w:ascii="Calibri" w:hAnsi="Calibri"/>
                <w:sz w:val="20"/>
              </w:rPr>
            </w:pPr>
            <w:r>
              <w:rPr>
                <w:rFonts w:ascii="Calibri" w:hAnsi="Calibri"/>
                <w:sz w:val="20"/>
              </w:rPr>
              <w:t>£91</w:t>
            </w:r>
          </w:p>
        </w:tc>
        <w:tc>
          <w:tcPr>
            <w:tcW w:w="1361" w:type="dxa"/>
          </w:tcPr>
          <w:p w:rsidR="006A18FD" w:rsidRDefault="002D29FC">
            <w:pPr>
              <w:spacing w:line="234" w:lineRule="exact"/>
              <w:ind w:left="110" w:right="110"/>
              <w:jc w:val="center"/>
              <w:rPr>
                <w:rFonts w:ascii="Calibri" w:hAnsi="Calibri"/>
                <w:sz w:val="20"/>
              </w:rPr>
            </w:pPr>
            <w:r>
              <w:rPr>
                <w:rFonts w:ascii="Calibri" w:hAnsi="Calibri"/>
                <w:sz w:val="20"/>
              </w:rPr>
              <w:t>£107</w:t>
            </w:r>
          </w:p>
        </w:tc>
        <w:tc>
          <w:tcPr>
            <w:tcW w:w="1361" w:type="dxa"/>
          </w:tcPr>
          <w:p w:rsidR="006A18FD" w:rsidRDefault="002D29FC">
            <w:pPr>
              <w:spacing w:line="234" w:lineRule="exact"/>
              <w:ind w:left="110" w:right="111"/>
              <w:jc w:val="center"/>
              <w:rPr>
                <w:rFonts w:ascii="Calibri" w:hAnsi="Calibri"/>
                <w:sz w:val="20"/>
              </w:rPr>
            </w:pPr>
            <w:r>
              <w:rPr>
                <w:rFonts w:ascii="Calibri" w:hAnsi="Calibri"/>
                <w:sz w:val="20"/>
              </w:rPr>
              <w:t>£127</w:t>
            </w:r>
          </w:p>
        </w:tc>
      </w:tr>
      <w:tr w:rsidR="006A18FD">
        <w:trPr>
          <w:trHeight w:val="480"/>
        </w:trPr>
        <w:tc>
          <w:tcPr>
            <w:tcW w:w="2571" w:type="dxa"/>
          </w:tcPr>
          <w:p w:rsidR="006A18FD" w:rsidRDefault="002D29FC">
            <w:pPr>
              <w:spacing w:before="1" w:line="240" w:lineRule="atLeast"/>
              <w:ind w:left="103" w:right="488"/>
              <w:rPr>
                <w:rFonts w:ascii="Calibri"/>
                <w:sz w:val="20"/>
              </w:rPr>
            </w:pPr>
            <w:r>
              <w:rPr>
                <w:rFonts w:ascii="Calibri"/>
                <w:sz w:val="20"/>
              </w:rPr>
              <w:t>Cost per hour of patient contact</w:t>
            </w:r>
          </w:p>
        </w:tc>
        <w:tc>
          <w:tcPr>
            <w:tcW w:w="1361" w:type="dxa"/>
          </w:tcPr>
          <w:p w:rsidR="006A18FD" w:rsidRDefault="006A18FD">
            <w:pPr>
              <w:spacing w:before="2"/>
              <w:rPr>
                <w:rFonts w:ascii="Calibri"/>
                <w:b/>
                <w:sz w:val="20"/>
              </w:rPr>
            </w:pPr>
          </w:p>
          <w:p w:rsidR="006A18FD" w:rsidRDefault="002D29FC">
            <w:pPr>
              <w:spacing w:line="223" w:lineRule="exact"/>
              <w:ind w:right="1"/>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left="111" w:right="112"/>
              <w:jc w:val="center"/>
              <w:rPr>
                <w:rFonts w:ascii="Calibri" w:hAnsi="Calibri"/>
                <w:sz w:val="20"/>
              </w:rPr>
            </w:pPr>
            <w:r>
              <w:rPr>
                <w:rFonts w:ascii="Calibri" w:hAnsi="Calibri"/>
                <w:sz w:val="20"/>
              </w:rPr>
              <w:t>£92</w:t>
            </w:r>
          </w:p>
        </w:tc>
        <w:tc>
          <w:tcPr>
            <w:tcW w:w="1363" w:type="dxa"/>
          </w:tcPr>
          <w:p w:rsidR="006A18FD" w:rsidRDefault="006A18FD">
            <w:pPr>
              <w:spacing w:before="2"/>
              <w:rPr>
                <w:rFonts w:ascii="Calibri"/>
                <w:b/>
                <w:sz w:val="20"/>
              </w:rPr>
            </w:pPr>
          </w:p>
          <w:p w:rsidR="006A18FD" w:rsidRDefault="002D29FC">
            <w:pPr>
              <w:spacing w:line="223" w:lineRule="exact"/>
              <w:ind w:left="112" w:right="114"/>
              <w:jc w:val="center"/>
              <w:rPr>
                <w:rFonts w:ascii="Calibri" w:hAnsi="Calibri"/>
                <w:sz w:val="20"/>
              </w:rPr>
            </w:pPr>
            <w:r>
              <w:rPr>
                <w:rFonts w:ascii="Calibri" w:hAnsi="Calibri"/>
                <w:sz w:val="20"/>
              </w:rPr>
              <w:t>£113</w:t>
            </w:r>
          </w:p>
        </w:tc>
        <w:tc>
          <w:tcPr>
            <w:tcW w:w="1361" w:type="dxa"/>
          </w:tcPr>
          <w:p w:rsidR="006A18FD" w:rsidRDefault="006A18FD">
            <w:pPr>
              <w:spacing w:before="2"/>
              <w:rPr>
                <w:rFonts w:ascii="Calibri"/>
                <w:b/>
                <w:sz w:val="20"/>
              </w:rPr>
            </w:pPr>
          </w:p>
          <w:p w:rsidR="006A18FD" w:rsidRDefault="002D29FC">
            <w:pPr>
              <w:spacing w:line="223" w:lineRule="exact"/>
              <w:ind w:right="2"/>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right="1"/>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right="2"/>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right="1"/>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right="1"/>
              <w:jc w:val="center"/>
              <w:rPr>
                <w:rFonts w:ascii="Calibri"/>
                <w:sz w:val="20"/>
              </w:rPr>
            </w:pPr>
            <w:r>
              <w:rPr>
                <w:rFonts w:ascii="Calibri"/>
                <w:w w:val="99"/>
                <w:sz w:val="20"/>
              </w:rPr>
              <w:t>-</w:t>
            </w:r>
          </w:p>
        </w:tc>
        <w:tc>
          <w:tcPr>
            <w:tcW w:w="1361" w:type="dxa"/>
          </w:tcPr>
          <w:p w:rsidR="006A18FD" w:rsidRDefault="006A18FD">
            <w:pPr>
              <w:spacing w:before="2"/>
              <w:rPr>
                <w:rFonts w:ascii="Calibri"/>
                <w:b/>
                <w:sz w:val="20"/>
              </w:rPr>
            </w:pPr>
          </w:p>
          <w:p w:rsidR="006A18FD" w:rsidRDefault="002D29FC">
            <w:pPr>
              <w:spacing w:line="223" w:lineRule="exact"/>
              <w:ind w:right="1"/>
              <w:jc w:val="center"/>
              <w:rPr>
                <w:rFonts w:ascii="Calibri"/>
                <w:sz w:val="20"/>
              </w:rPr>
            </w:pPr>
            <w:r>
              <w:rPr>
                <w:rFonts w:ascii="Calibri"/>
                <w:w w:val="99"/>
                <w:sz w:val="20"/>
              </w:rPr>
              <w:t>-</w:t>
            </w:r>
          </w:p>
        </w:tc>
      </w:tr>
    </w:tbl>
    <w:p w:rsidR="006A18FD" w:rsidRDefault="006A18FD">
      <w:pPr>
        <w:spacing w:line="223" w:lineRule="exact"/>
        <w:jc w:val="center"/>
        <w:rPr>
          <w:rFonts w:ascii="Calibri"/>
          <w:sz w:val="20"/>
        </w:rPr>
        <w:sectPr w:rsidR="006A18FD">
          <w:headerReference w:type="default" r:id="rId454"/>
          <w:pgSz w:w="16840" w:h="11910" w:orient="landscape"/>
          <w:pgMar w:top="1040" w:right="660" w:bottom="280" w:left="620" w:header="0" w:footer="0" w:gutter="0"/>
          <w:cols w:space="720"/>
        </w:sectPr>
      </w:pPr>
    </w:p>
    <w:p w:rsidR="006A18FD" w:rsidRDefault="006A18FD">
      <w:pPr>
        <w:spacing w:before="1"/>
        <w:rPr>
          <w:rFonts w:ascii="Calibri"/>
          <w:b/>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78" name="Line 3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04393" id="Group 3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i5B+jX4CAAB/BQAA&#10;DgAAAAAAAAAAAAAAAAAuAgAAZHJzL2Uyb0RvYy54bWxQSwECLQAUAAYACAAAACEALXfkXNoAAAAE&#10;AQAADwAAAAAAAAAAAAAAAADYBAAAZHJzL2Rvd25yZXYueG1sUEsFBgAAAAAEAAQA8wAAAN8FAAAA&#10;AA==&#10;">
                <v:line id="Line 3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anchorlock/>
              </v:group>
            </w:pict>
          </mc:Fallback>
        </mc:AlternateContent>
      </w:r>
    </w:p>
    <w:p w:rsidR="006A18FD" w:rsidRDefault="002D29FC" w:rsidP="008E3FA8">
      <w:pPr>
        <w:pStyle w:val="Heading1"/>
        <w:numPr>
          <w:ilvl w:val="0"/>
          <w:numId w:val="9"/>
        </w:numPr>
      </w:pPr>
      <w:r>
        <w:t>Hospital-based</w:t>
      </w:r>
      <w:r>
        <w:rPr>
          <w:spacing w:val="-15"/>
        </w:rPr>
        <w:t xml:space="preserve"> </w:t>
      </w:r>
      <w:r>
        <w:t>doctors</w:t>
      </w:r>
    </w:p>
    <w:p w:rsidR="006A18FD" w:rsidRDefault="002D29FC">
      <w:pPr>
        <w:spacing w:before="303" w:line="276" w:lineRule="auto"/>
        <w:ind w:left="140" w:right="372"/>
        <w:jc w:val="both"/>
        <w:rPr>
          <w:rFonts w:ascii="Calibri"/>
          <w:sz w:val="20"/>
        </w:rPr>
      </w:pPr>
      <w:r>
        <w:rPr>
          <w:rFonts w:ascii="Calibri"/>
          <w:sz w:val="20"/>
        </w:rPr>
        <w:t>The table overleaf provides the unit costs for hospital doctors and replaces the individual schema previously found in this section. Reference should be made to the explanatory notes when interpreting the unit costs. See below for examples of work performed under each title.</w:t>
      </w:r>
    </w:p>
    <w:p w:rsidR="006A18FD" w:rsidRDefault="006A18FD">
      <w:pPr>
        <w:spacing w:before="2"/>
        <w:rPr>
          <w:rFonts w:ascii="Calibri"/>
          <w:sz w:val="16"/>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7"/>
        <w:gridCol w:w="6692"/>
      </w:tblGrid>
      <w:tr w:rsidR="006A18FD" w:rsidTr="00CA19E0">
        <w:trPr>
          <w:trHeight w:val="500"/>
          <w:tblHeader/>
        </w:trPr>
        <w:tc>
          <w:tcPr>
            <w:tcW w:w="10039" w:type="dxa"/>
            <w:gridSpan w:val="2"/>
          </w:tcPr>
          <w:p w:rsidR="006A18FD" w:rsidRDefault="002D29FC">
            <w:pPr>
              <w:spacing w:before="135"/>
              <w:ind w:left="3461" w:right="3465"/>
              <w:jc w:val="center"/>
              <w:rPr>
                <w:rFonts w:ascii="Calibri"/>
                <w:b/>
                <w:sz w:val="20"/>
              </w:rPr>
            </w:pPr>
            <w:r>
              <w:rPr>
                <w:rFonts w:ascii="Calibri"/>
                <w:b/>
                <w:sz w:val="20"/>
              </w:rPr>
              <w:t>Work performed under each job title</w:t>
            </w:r>
          </w:p>
        </w:tc>
      </w:tr>
      <w:tr w:rsidR="006A18FD">
        <w:trPr>
          <w:trHeight w:val="1220"/>
        </w:trPr>
        <w:tc>
          <w:tcPr>
            <w:tcW w:w="3347" w:type="dxa"/>
          </w:tcPr>
          <w:p w:rsidR="006A18FD" w:rsidRDefault="002D29FC">
            <w:pPr>
              <w:spacing w:before="1" w:line="480" w:lineRule="auto"/>
              <w:ind w:left="102" w:right="1327"/>
              <w:rPr>
                <w:rFonts w:ascii="Calibri"/>
                <w:b/>
                <w:sz w:val="20"/>
              </w:rPr>
            </w:pPr>
            <w:r>
              <w:rPr>
                <w:rFonts w:ascii="Calibri"/>
                <w:b/>
                <w:sz w:val="20"/>
              </w:rPr>
              <w:t>Foundation doctor FY1 Foundation doctor FY2</w:t>
            </w:r>
          </w:p>
        </w:tc>
        <w:tc>
          <w:tcPr>
            <w:tcW w:w="6692" w:type="dxa"/>
          </w:tcPr>
          <w:p w:rsidR="006A18FD" w:rsidRDefault="002D29FC">
            <w:pPr>
              <w:spacing w:before="1"/>
              <w:ind w:left="102" w:right="110"/>
              <w:rPr>
                <w:rFonts w:ascii="Calibri"/>
                <w:sz w:val="20"/>
              </w:rPr>
            </w:pPr>
            <w:r>
              <w:rPr>
                <w:rFonts w:ascii="Calibri"/>
                <w:sz w:val="20"/>
              </w:rPr>
              <w:t>Foundation doctors are a grade of medical practitioner undertaking a two-year, general postgraduate medical training programme which forms the bridge between medical school and specialist/general practice training. They have the opportunity to gain experience in a series of posts in a variety of specialty and</w:t>
            </w:r>
          </w:p>
          <w:p w:rsidR="006A18FD" w:rsidRDefault="002D29FC">
            <w:pPr>
              <w:spacing w:line="223" w:lineRule="exact"/>
              <w:ind w:left="102"/>
              <w:rPr>
                <w:rFonts w:ascii="Calibri"/>
                <w:sz w:val="13"/>
              </w:rPr>
            </w:pPr>
            <w:r>
              <w:rPr>
                <w:rFonts w:ascii="Calibri"/>
                <w:sz w:val="20"/>
              </w:rPr>
              <w:t>healthcare settings.</w:t>
            </w:r>
            <w:r>
              <w:rPr>
                <w:rFonts w:ascii="Calibri"/>
                <w:position w:val="7"/>
                <w:sz w:val="13"/>
              </w:rPr>
              <w:t>1</w:t>
            </w:r>
          </w:p>
        </w:tc>
      </w:tr>
      <w:tr w:rsidR="006A18FD">
        <w:trPr>
          <w:trHeight w:val="380"/>
        </w:trPr>
        <w:tc>
          <w:tcPr>
            <w:tcW w:w="3347" w:type="dxa"/>
          </w:tcPr>
          <w:p w:rsidR="006A18FD" w:rsidRDefault="002D29FC">
            <w:pPr>
              <w:spacing w:before="1"/>
              <w:ind w:left="102"/>
              <w:rPr>
                <w:rFonts w:ascii="Calibri"/>
                <w:b/>
                <w:sz w:val="20"/>
              </w:rPr>
            </w:pPr>
            <w:r>
              <w:rPr>
                <w:rFonts w:ascii="Calibri"/>
                <w:b/>
                <w:sz w:val="20"/>
              </w:rPr>
              <w:t>Registrar</w:t>
            </w:r>
          </w:p>
        </w:tc>
        <w:tc>
          <w:tcPr>
            <w:tcW w:w="6692" w:type="dxa"/>
          </w:tcPr>
          <w:p w:rsidR="006A18FD" w:rsidRDefault="002D29FC">
            <w:pPr>
              <w:spacing w:before="75"/>
              <w:ind w:left="103"/>
              <w:rPr>
                <w:rFonts w:ascii="Calibri"/>
                <w:sz w:val="13"/>
              </w:rPr>
            </w:pPr>
            <w:r>
              <w:rPr>
                <w:rFonts w:ascii="Calibri"/>
                <w:sz w:val="20"/>
              </w:rPr>
              <w:t>A registrar is a specialist in training for medical consultancy.</w:t>
            </w:r>
            <w:r>
              <w:rPr>
                <w:rFonts w:ascii="Calibri"/>
                <w:position w:val="7"/>
                <w:sz w:val="13"/>
              </w:rPr>
              <w:t>2</w:t>
            </w:r>
          </w:p>
        </w:tc>
      </w:tr>
      <w:tr w:rsidR="006A18FD">
        <w:trPr>
          <w:trHeight w:val="720"/>
        </w:trPr>
        <w:tc>
          <w:tcPr>
            <w:tcW w:w="3347" w:type="dxa"/>
          </w:tcPr>
          <w:p w:rsidR="006A18FD" w:rsidRDefault="002D29FC">
            <w:pPr>
              <w:spacing w:before="1"/>
              <w:ind w:left="102"/>
              <w:rPr>
                <w:rFonts w:ascii="Calibri"/>
                <w:b/>
                <w:sz w:val="20"/>
              </w:rPr>
            </w:pPr>
            <w:r>
              <w:rPr>
                <w:rFonts w:ascii="Calibri"/>
                <w:b/>
                <w:sz w:val="20"/>
              </w:rPr>
              <w:t>Associate specialist</w:t>
            </w:r>
          </w:p>
        </w:tc>
        <w:tc>
          <w:tcPr>
            <w:tcW w:w="6692" w:type="dxa"/>
          </w:tcPr>
          <w:p w:rsidR="006A18FD" w:rsidRDefault="002D29FC">
            <w:pPr>
              <w:spacing w:before="1"/>
              <w:ind w:left="103" w:right="596"/>
              <w:rPr>
                <w:rFonts w:ascii="Calibri"/>
                <w:sz w:val="20"/>
              </w:rPr>
            </w:pPr>
            <w:r>
              <w:rPr>
                <w:rFonts w:ascii="Calibri"/>
                <w:sz w:val="20"/>
              </w:rPr>
              <w:t>An associate specialist grade is normally reached by doctors taking a non- consultant career path involving becoming a staff grade after being a</w:t>
            </w:r>
          </w:p>
          <w:p w:rsidR="006A18FD" w:rsidRDefault="002D29FC">
            <w:pPr>
              <w:spacing w:line="224" w:lineRule="exact"/>
              <w:ind w:left="103"/>
              <w:rPr>
                <w:rFonts w:ascii="Calibri"/>
                <w:sz w:val="13"/>
              </w:rPr>
            </w:pPr>
            <w:r>
              <w:rPr>
                <w:rFonts w:ascii="Calibri"/>
                <w:sz w:val="20"/>
              </w:rPr>
              <w:t>foundation doctor.</w:t>
            </w:r>
            <w:r>
              <w:rPr>
                <w:rFonts w:ascii="Calibri"/>
                <w:position w:val="7"/>
                <w:sz w:val="13"/>
              </w:rPr>
              <w:t>2</w:t>
            </w:r>
          </w:p>
        </w:tc>
      </w:tr>
      <w:tr w:rsidR="006A18FD">
        <w:trPr>
          <w:trHeight w:val="1700"/>
        </w:trPr>
        <w:tc>
          <w:tcPr>
            <w:tcW w:w="3347" w:type="dxa"/>
          </w:tcPr>
          <w:p w:rsidR="006A18FD" w:rsidRDefault="002D29FC">
            <w:pPr>
              <w:spacing w:before="1"/>
              <w:ind w:left="102" w:right="472"/>
              <w:rPr>
                <w:rFonts w:ascii="Calibri"/>
                <w:b/>
                <w:sz w:val="20"/>
              </w:rPr>
            </w:pPr>
            <w:r>
              <w:rPr>
                <w:rFonts w:ascii="Calibri"/>
                <w:b/>
                <w:sz w:val="20"/>
              </w:rPr>
              <w:t>Consultant: medical, surgical and psychiatric</w:t>
            </w:r>
          </w:p>
        </w:tc>
        <w:tc>
          <w:tcPr>
            <w:tcW w:w="6692" w:type="dxa"/>
          </w:tcPr>
          <w:p w:rsidR="006A18FD" w:rsidRDefault="002D29FC">
            <w:pPr>
              <w:spacing w:before="1"/>
              <w:ind w:left="103" w:right="54"/>
              <w:rPr>
                <w:rFonts w:ascii="Calibri"/>
                <w:sz w:val="20"/>
              </w:rPr>
            </w:pPr>
            <w:r>
              <w:rPr>
                <w:rFonts w:ascii="Calibri"/>
                <w:sz w:val="20"/>
              </w:rPr>
              <w:t>Consultants are senior hospital-based physicians or surgeons who have completed all of their specialist training and been placed on the specialist register in their chosen speciality. A consultant typically leads a team of doctors which comprises specialty registrars and foundation doctors, all training to</w:t>
            </w:r>
          </w:p>
          <w:p w:rsidR="006A18FD" w:rsidRDefault="002D29FC">
            <w:pPr>
              <w:ind w:left="103" w:right="54"/>
              <w:rPr>
                <w:rFonts w:ascii="Calibri" w:hAnsi="Calibri"/>
                <w:sz w:val="20"/>
              </w:rPr>
            </w:pPr>
            <w:r>
              <w:rPr>
                <w:rFonts w:ascii="Calibri" w:hAnsi="Calibri"/>
                <w:sz w:val="20"/>
              </w:rPr>
              <w:t>work in the consultant’s speciality, as well as other ‘career grade’ doctors such as clinical assistants, clinical fellows, speciality doctors, associate specialists and</w:t>
            </w:r>
          </w:p>
          <w:p w:rsidR="006A18FD" w:rsidRDefault="002D29FC">
            <w:pPr>
              <w:spacing w:line="224" w:lineRule="exact"/>
              <w:ind w:left="103"/>
              <w:rPr>
                <w:rFonts w:ascii="Calibri"/>
                <w:sz w:val="13"/>
              </w:rPr>
            </w:pPr>
            <w:r>
              <w:rPr>
                <w:rFonts w:ascii="Calibri"/>
                <w:sz w:val="20"/>
              </w:rPr>
              <w:t>staff grade doctors.</w:t>
            </w:r>
            <w:r>
              <w:rPr>
                <w:rFonts w:ascii="Calibri"/>
                <w:position w:val="7"/>
                <w:sz w:val="13"/>
              </w:rPr>
              <w:t>2</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spacing w:before="5"/>
        <w:rPr>
          <w:rFonts w:ascii="Calibri"/>
          <w:sz w:val="26"/>
        </w:rPr>
      </w:pPr>
    </w:p>
    <w:p w:rsidR="006A18FD" w:rsidRDefault="002D29FC">
      <w:pPr>
        <w:spacing w:before="1" w:line="183" w:lineRule="exact"/>
        <w:ind w:left="140"/>
        <w:jc w:val="both"/>
        <w:rPr>
          <w:rFonts w:ascii="Calibri"/>
          <w:sz w:val="15"/>
        </w:rPr>
      </w:pPr>
      <w:r>
        <w:rPr>
          <w:rFonts w:ascii="Calibri"/>
          <w:position w:val="4"/>
          <w:sz w:val="10"/>
        </w:rPr>
        <w:t xml:space="preserve">1 </w:t>
      </w:r>
      <w:r>
        <w:rPr>
          <w:rFonts w:ascii="Calibri"/>
          <w:sz w:val="15"/>
        </w:rPr>
        <w:t xml:space="preserve">NHS, UK (2016) </w:t>
      </w:r>
      <w:r>
        <w:rPr>
          <w:rFonts w:ascii="Calibri"/>
          <w:i/>
          <w:sz w:val="15"/>
        </w:rPr>
        <w:t>The Foundation Programme</w:t>
      </w:r>
      <w:r>
        <w:rPr>
          <w:rFonts w:ascii="Calibri"/>
          <w:sz w:val="15"/>
        </w:rPr>
        <w:t xml:space="preserve">, </w:t>
      </w:r>
      <w:hyperlink r:id="rId455">
        <w:r>
          <w:rPr>
            <w:rFonts w:ascii="Calibri"/>
            <w:sz w:val="15"/>
            <w:u w:val="single"/>
          </w:rPr>
          <w:t>http://www.foundationprogramme.nhs.uk/pages/home</w:t>
        </w:r>
      </w:hyperlink>
    </w:p>
    <w:p w:rsidR="006A18FD" w:rsidRDefault="002D29FC">
      <w:pPr>
        <w:spacing w:line="183" w:lineRule="exact"/>
        <w:ind w:left="140"/>
        <w:jc w:val="both"/>
        <w:rPr>
          <w:rFonts w:ascii="Calibri"/>
          <w:sz w:val="15"/>
        </w:rPr>
      </w:pPr>
      <w:r>
        <w:rPr>
          <w:rFonts w:ascii="Calibri"/>
          <w:position w:val="4"/>
          <w:sz w:val="10"/>
        </w:rPr>
        <w:t xml:space="preserve">2 </w:t>
      </w:r>
      <w:r>
        <w:rPr>
          <w:rFonts w:ascii="Calibri"/>
          <w:sz w:val="15"/>
        </w:rPr>
        <w:t xml:space="preserve">Prospects (2016) </w:t>
      </w:r>
      <w:r>
        <w:rPr>
          <w:rFonts w:ascii="Calibri"/>
          <w:i/>
          <w:sz w:val="15"/>
        </w:rPr>
        <w:t>Job profile, hospital doctors</w:t>
      </w:r>
      <w:r>
        <w:rPr>
          <w:rFonts w:ascii="Calibri"/>
          <w:sz w:val="15"/>
        </w:rPr>
        <w:t xml:space="preserve">, </w:t>
      </w:r>
      <w:hyperlink r:id="rId456">
        <w:r>
          <w:rPr>
            <w:rFonts w:ascii="Calibri"/>
            <w:sz w:val="15"/>
            <w:u w:val="single"/>
          </w:rPr>
          <w:t>https://www.prospects.ac.uk/job-profiles/hospital-doctor</w:t>
        </w:r>
      </w:hyperlink>
    </w:p>
    <w:p w:rsidR="006A18FD" w:rsidRDefault="006A18FD">
      <w:pPr>
        <w:spacing w:line="183" w:lineRule="exact"/>
        <w:jc w:val="both"/>
        <w:rPr>
          <w:rFonts w:ascii="Calibri"/>
          <w:sz w:val="15"/>
        </w:rPr>
        <w:sectPr w:rsidR="006A18FD">
          <w:headerReference w:type="even" r:id="rId457"/>
          <w:pgSz w:w="11910" w:h="16840"/>
          <w:pgMar w:top="960" w:right="980" w:bottom="280" w:left="580" w:header="751" w:footer="0" w:gutter="0"/>
          <w:pgNumType w:start="148"/>
          <w:cols w:space="720"/>
        </w:sectPr>
      </w:pPr>
    </w:p>
    <w:p w:rsidR="006A18FD" w:rsidRDefault="002D29FC">
      <w:pPr>
        <w:tabs>
          <w:tab w:val="right" w:pos="10080"/>
        </w:tabs>
        <w:spacing w:before="29" w:after="22"/>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149</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7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76" name="Line 3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2B5B61" id="Group 3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GKj//98AgAAfwUAAA4A&#10;AAAAAAAAAAAAAAAALgIAAGRycy9lMm9Eb2MueG1sUEsBAi0AFAAGAAgAAAAhAC135FzaAAAABAEA&#10;AA8AAAAAAAAAAAAAAAAA1gQAAGRycy9kb3ducmV2LnhtbFBLBQYAAAAABAAEAPMAAADdBQAAAAA=&#10;">
                <v:line id="Line 3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w10:anchorlock/>
              </v:group>
            </w:pict>
          </mc:Fallback>
        </mc:AlternateContent>
      </w:r>
    </w:p>
    <w:p w:rsidR="006A18FD" w:rsidRDefault="002D29FC">
      <w:pPr>
        <w:numPr>
          <w:ilvl w:val="0"/>
          <w:numId w:val="6"/>
        </w:numPr>
        <w:tabs>
          <w:tab w:val="left" w:pos="362"/>
        </w:tabs>
        <w:spacing w:before="303"/>
        <w:rPr>
          <w:rFonts w:ascii="Calibri"/>
          <w:b/>
          <w:sz w:val="19"/>
        </w:rPr>
      </w:pPr>
      <w:r>
        <w:rPr>
          <w:rFonts w:ascii="Calibri"/>
          <w:b/>
          <w:sz w:val="19"/>
        </w:rPr>
        <w:t>Wages/salary</w:t>
      </w:r>
    </w:p>
    <w:p w:rsidR="006A18FD" w:rsidRDefault="002D29FC">
      <w:pPr>
        <w:spacing w:before="154" w:line="276" w:lineRule="auto"/>
        <w:ind w:left="152" w:right="238"/>
        <w:rPr>
          <w:rFonts w:ascii="Calibri"/>
          <w:sz w:val="19"/>
        </w:rPr>
      </w:pPr>
      <w:r>
        <w:rPr>
          <w:rFonts w:ascii="Calibri"/>
          <w:sz w:val="19"/>
        </w:rPr>
        <w:t>The mean basic salary for hospital doctors has been taken from the May 2018/April 2019 Electronic Staff Record (ESR).</w:t>
      </w:r>
      <w:r>
        <w:rPr>
          <w:rFonts w:ascii="Calibri"/>
          <w:position w:val="6"/>
          <w:sz w:val="12"/>
        </w:rPr>
        <w:t xml:space="preserve">1 </w:t>
      </w:r>
      <w:r>
        <w:rPr>
          <w:rFonts w:ascii="Calibri"/>
          <w:sz w:val="19"/>
        </w:rPr>
        <w:t xml:space="preserve">See </w:t>
      </w:r>
      <w:r>
        <w:rPr>
          <w:rFonts w:ascii="Calibri"/>
          <w:i/>
          <w:sz w:val="19"/>
        </w:rPr>
        <w:t xml:space="preserve">NHS terms and conditions of service handbook </w:t>
      </w:r>
      <w:r>
        <w:rPr>
          <w:rFonts w:ascii="Calibri"/>
          <w:sz w:val="19"/>
        </w:rPr>
        <w:t>for information on payment for unsocial hours and shift work.</w:t>
      </w:r>
      <w:r>
        <w:rPr>
          <w:rFonts w:ascii="Calibri"/>
          <w:position w:val="6"/>
          <w:sz w:val="12"/>
        </w:rPr>
        <w:t xml:space="preserve">2  </w:t>
      </w:r>
      <w:r>
        <w:rPr>
          <w:rFonts w:ascii="Calibri"/>
          <w:sz w:val="19"/>
        </w:rPr>
        <w:t>See Section V for further information on pay scales.</w:t>
      </w:r>
    </w:p>
    <w:p w:rsidR="006A18FD" w:rsidRDefault="002D29FC">
      <w:pPr>
        <w:numPr>
          <w:ilvl w:val="0"/>
          <w:numId w:val="6"/>
        </w:numPr>
        <w:tabs>
          <w:tab w:val="left" w:pos="353"/>
        </w:tabs>
        <w:spacing w:before="122"/>
        <w:ind w:left="352" w:hanging="200"/>
        <w:rPr>
          <w:rFonts w:ascii="Calibri"/>
          <w:b/>
          <w:sz w:val="19"/>
        </w:rPr>
      </w:pPr>
      <w:r>
        <w:rPr>
          <w:rFonts w:ascii="Calibri"/>
          <w:b/>
          <w:sz w:val="19"/>
        </w:rPr>
        <w:t>Salary</w:t>
      </w:r>
      <w:r>
        <w:rPr>
          <w:rFonts w:ascii="Calibri"/>
          <w:b/>
          <w:spacing w:val="-2"/>
          <w:sz w:val="19"/>
        </w:rPr>
        <w:t xml:space="preserve"> </w:t>
      </w:r>
      <w:r>
        <w:rPr>
          <w:rFonts w:ascii="Calibri"/>
          <w:b/>
          <w:sz w:val="19"/>
        </w:rPr>
        <w:t>oncosts</w:t>
      </w:r>
    </w:p>
    <w:p w:rsidR="006A18FD" w:rsidRDefault="002D29FC">
      <w:pPr>
        <w:spacing w:before="154"/>
        <w:ind w:left="152"/>
        <w:rPr>
          <w:rFonts w:ascii="Calibri" w:hAnsi="Calibri"/>
          <w:sz w:val="19"/>
        </w:rPr>
      </w:pPr>
      <w:r>
        <w:rPr>
          <w:rFonts w:ascii="Calibri" w:hAnsi="Calibri"/>
          <w:sz w:val="19"/>
        </w:rPr>
        <w:t>Employer’s national insurance is included plus 14.38 per cent of salary for employer’s contribution to superannuation.</w:t>
      </w:r>
    </w:p>
    <w:p w:rsidR="006A18FD" w:rsidRDefault="002D29FC">
      <w:pPr>
        <w:numPr>
          <w:ilvl w:val="0"/>
          <w:numId w:val="6"/>
        </w:numPr>
        <w:tabs>
          <w:tab w:val="left" w:pos="348"/>
        </w:tabs>
        <w:spacing w:before="154"/>
        <w:ind w:left="347" w:hanging="195"/>
        <w:rPr>
          <w:rFonts w:ascii="Calibri"/>
          <w:b/>
          <w:sz w:val="19"/>
        </w:rPr>
      </w:pPr>
      <w:r>
        <w:rPr>
          <w:rFonts w:ascii="Calibri"/>
          <w:b/>
          <w:sz w:val="19"/>
        </w:rPr>
        <w:t>Qualification</w:t>
      </w:r>
      <w:r>
        <w:rPr>
          <w:rFonts w:ascii="Calibri"/>
          <w:b/>
          <w:spacing w:val="-21"/>
          <w:sz w:val="19"/>
        </w:rPr>
        <w:t xml:space="preserve"> </w:t>
      </w:r>
      <w:r>
        <w:rPr>
          <w:rFonts w:ascii="Calibri"/>
          <w:b/>
          <w:sz w:val="19"/>
        </w:rPr>
        <w:t>costs</w:t>
      </w:r>
    </w:p>
    <w:p w:rsidR="006A18FD" w:rsidRDefault="002D29FC">
      <w:pPr>
        <w:spacing w:before="154" w:line="276" w:lineRule="auto"/>
        <w:ind w:left="152" w:right="195"/>
        <w:rPr>
          <w:rFonts w:ascii="Calibri" w:hAnsi="Calibri"/>
          <w:sz w:val="12"/>
        </w:rPr>
      </w:pPr>
      <w:r>
        <w:rPr>
          <w:rFonts w:ascii="Calibri" w:hAnsi="Calibri"/>
          <w:sz w:val="19"/>
        </w:rPr>
        <w:t>See Section V for detailed information on qualifications for each category of hospital doctors. These costs have been calculated using the method described in Netten et al. (1998).</w:t>
      </w:r>
      <w:r>
        <w:rPr>
          <w:rFonts w:ascii="Calibri" w:hAnsi="Calibri"/>
          <w:position w:val="6"/>
          <w:sz w:val="12"/>
        </w:rPr>
        <w:t xml:space="preserve">3  </w:t>
      </w:r>
      <w:r>
        <w:rPr>
          <w:rFonts w:ascii="Calibri" w:hAnsi="Calibri"/>
          <w:sz w:val="18"/>
        </w:rPr>
        <w:t xml:space="preserve">Current cost information has been gathered from various sources (see Schema 18). </w:t>
      </w:r>
      <w:r>
        <w:rPr>
          <w:rFonts w:ascii="Calibri" w:hAnsi="Calibri"/>
          <w:sz w:val="19"/>
        </w:rPr>
        <w:t>For hospital doctors, post-graduate study consists of a two-year Foundation Programme, specialty registrar training involves three years’ full-time post-graduate training with at least two of the years in a specialty training programme. Associate specialist training involves at least four years’ full-time post-graduate training, and consultants’ training requires six years in a specialty hospital setting.</w:t>
      </w:r>
      <w:r>
        <w:rPr>
          <w:rFonts w:ascii="Calibri" w:hAnsi="Calibri"/>
          <w:position w:val="6"/>
          <w:sz w:val="12"/>
        </w:rPr>
        <w:t>4</w:t>
      </w:r>
    </w:p>
    <w:p w:rsidR="006A18FD" w:rsidRDefault="002D29FC">
      <w:pPr>
        <w:numPr>
          <w:ilvl w:val="0"/>
          <w:numId w:val="6"/>
        </w:numPr>
        <w:tabs>
          <w:tab w:val="left" w:pos="367"/>
        </w:tabs>
        <w:spacing w:before="119"/>
        <w:ind w:left="366" w:hanging="214"/>
        <w:rPr>
          <w:rFonts w:ascii="Calibri"/>
          <w:b/>
          <w:sz w:val="19"/>
        </w:rPr>
      </w:pPr>
      <w:r>
        <w:rPr>
          <w:rFonts w:ascii="Calibri"/>
          <w:b/>
          <w:sz w:val="19"/>
        </w:rPr>
        <w:t>Overheads</w:t>
      </w:r>
    </w:p>
    <w:p w:rsidR="006A18FD" w:rsidRDefault="002D29FC">
      <w:pPr>
        <w:spacing w:before="154"/>
        <w:ind w:left="152"/>
        <w:rPr>
          <w:rFonts w:ascii="Calibri"/>
          <w:sz w:val="12"/>
        </w:rPr>
      </w:pPr>
      <w:r>
        <w:rPr>
          <w:rFonts w:ascii="Calibri"/>
          <w:sz w:val="19"/>
        </w:rPr>
        <w:t xml:space="preserve">Taken from </w:t>
      </w:r>
      <w:r>
        <w:rPr>
          <w:rFonts w:ascii="Calibri"/>
          <w:i/>
          <w:sz w:val="19"/>
        </w:rPr>
        <w:t>NHS foundation trusts accounts: consolidated (FTC) files 2014/15</w:t>
      </w:r>
      <w:r>
        <w:rPr>
          <w:rFonts w:ascii="Calibri"/>
          <w:sz w:val="19"/>
        </w:rPr>
        <w:t>.</w:t>
      </w:r>
      <w:r>
        <w:rPr>
          <w:rFonts w:ascii="Calibri"/>
          <w:position w:val="6"/>
          <w:sz w:val="12"/>
        </w:rPr>
        <w:t>5</w:t>
      </w:r>
    </w:p>
    <w:p w:rsidR="006A18FD" w:rsidRDefault="002D29FC">
      <w:pPr>
        <w:spacing w:before="154" w:line="276" w:lineRule="auto"/>
        <w:ind w:left="152"/>
        <w:rPr>
          <w:rFonts w:ascii="Calibri"/>
          <w:sz w:val="19"/>
        </w:rPr>
      </w:pPr>
      <w:r>
        <w:rPr>
          <w:rFonts w:ascii="Calibri"/>
          <w:sz w:val="19"/>
        </w:rPr>
        <w:t>Management and other non-care staff costs were 24.2 per cent of direct care salary costs and included administration and estates staff.</w:t>
      </w:r>
    </w:p>
    <w:p w:rsidR="006A18FD" w:rsidRDefault="002D29FC">
      <w:pPr>
        <w:spacing w:before="119" w:line="276" w:lineRule="auto"/>
        <w:ind w:left="152"/>
        <w:rPr>
          <w:rFonts w:ascii="Calibri"/>
          <w:sz w:val="19"/>
        </w:rPr>
      </w:pPr>
      <w:r>
        <w:rPr>
          <w:rFonts w:ascii="Calibri"/>
          <w:sz w:val="19"/>
        </w:rPr>
        <w:t>Non-staff costs were 43.1 per cent of direct care salary costs. They include costs to the provider for drugs, office, travel/transport, publishing, training courses and conferences, supplies and services (clinical and general), and utilities such as water, gas and electricity.</w:t>
      </w:r>
    </w:p>
    <w:p w:rsidR="006A18FD" w:rsidRDefault="002D29FC">
      <w:pPr>
        <w:numPr>
          <w:ilvl w:val="0"/>
          <w:numId w:val="6"/>
        </w:numPr>
        <w:tabs>
          <w:tab w:val="left" w:pos="339"/>
        </w:tabs>
        <w:spacing w:before="119"/>
        <w:ind w:left="338" w:hanging="186"/>
        <w:rPr>
          <w:rFonts w:ascii="Calibri"/>
          <w:b/>
          <w:sz w:val="19"/>
        </w:rPr>
      </w:pPr>
      <w:r>
        <w:rPr>
          <w:rFonts w:ascii="Calibri"/>
          <w:b/>
          <w:sz w:val="19"/>
        </w:rPr>
        <w:t>Capital</w:t>
      </w:r>
      <w:r>
        <w:rPr>
          <w:rFonts w:ascii="Calibri"/>
          <w:b/>
          <w:spacing w:val="-10"/>
          <w:sz w:val="19"/>
        </w:rPr>
        <w:t xml:space="preserve"> </w:t>
      </w:r>
      <w:r>
        <w:rPr>
          <w:rFonts w:ascii="Calibri"/>
          <w:b/>
          <w:sz w:val="19"/>
        </w:rPr>
        <w:t>overheads</w:t>
      </w:r>
    </w:p>
    <w:p w:rsidR="006A18FD" w:rsidRDefault="002D29FC">
      <w:pPr>
        <w:spacing w:before="153" w:line="276" w:lineRule="auto"/>
        <w:ind w:left="152"/>
        <w:rPr>
          <w:rFonts w:ascii="Calibri"/>
          <w:sz w:val="19"/>
        </w:rPr>
      </w:pPr>
      <w:r>
        <w:rPr>
          <w:rFonts w:ascii="Calibri"/>
          <w:sz w:val="19"/>
        </w:rPr>
        <w:t>Based on the new-build and land requirements of NHS hospital facilities.</w:t>
      </w:r>
      <w:r>
        <w:rPr>
          <w:rFonts w:ascii="Calibri"/>
          <w:position w:val="6"/>
          <w:sz w:val="12"/>
        </w:rPr>
        <w:t xml:space="preserve">6,7 </w:t>
      </w:r>
      <w:r>
        <w:rPr>
          <w:rFonts w:ascii="Calibri"/>
          <w:sz w:val="19"/>
        </w:rPr>
        <w:t>Adjustments have been made to reflect shared use of administration and recreational facilities, including accommodation for night-time duties. Treatment space has not been included. Capital costs have been annuitised over 60 years at a discount rate of 3.5 per cent, declining to 3 per cent after 30 years.</w:t>
      </w:r>
    </w:p>
    <w:p w:rsidR="006A18FD" w:rsidRDefault="002D29FC">
      <w:pPr>
        <w:numPr>
          <w:ilvl w:val="0"/>
          <w:numId w:val="6"/>
        </w:numPr>
        <w:tabs>
          <w:tab w:val="left" w:pos="334"/>
        </w:tabs>
        <w:spacing w:before="119"/>
        <w:ind w:left="333" w:hanging="181"/>
        <w:rPr>
          <w:rFonts w:ascii="Calibri"/>
          <w:b/>
          <w:sz w:val="19"/>
        </w:rPr>
      </w:pPr>
      <w:r>
        <w:rPr>
          <w:rFonts w:ascii="Calibri"/>
          <w:b/>
          <w:sz w:val="19"/>
        </w:rPr>
        <w:t>Working</w:t>
      </w:r>
      <w:r>
        <w:rPr>
          <w:rFonts w:ascii="Calibri"/>
          <w:b/>
          <w:spacing w:val="-8"/>
          <w:sz w:val="19"/>
        </w:rPr>
        <w:t xml:space="preserve"> </w:t>
      </w:r>
      <w:r>
        <w:rPr>
          <w:rFonts w:ascii="Calibri"/>
          <w:b/>
          <w:sz w:val="19"/>
        </w:rPr>
        <w:t>time</w:t>
      </w:r>
    </w:p>
    <w:p w:rsidR="006A18FD" w:rsidRDefault="002D29FC">
      <w:pPr>
        <w:spacing w:before="154" w:line="276" w:lineRule="auto"/>
        <w:ind w:left="152" w:right="143"/>
        <w:rPr>
          <w:rFonts w:ascii="Calibri"/>
          <w:sz w:val="12"/>
        </w:rPr>
      </w:pPr>
      <w:r>
        <w:rPr>
          <w:rFonts w:ascii="Calibri"/>
          <w:sz w:val="19"/>
        </w:rPr>
        <w:t>Working hours for each Agenda for Change band have been calculated by deducting sickness absence days as reported for NHS staff groups</w:t>
      </w:r>
      <w:r>
        <w:rPr>
          <w:rFonts w:ascii="Calibri"/>
          <w:position w:val="6"/>
          <w:sz w:val="12"/>
        </w:rPr>
        <w:t xml:space="preserve">8 </w:t>
      </w:r>
      <w:r>
        <w:rPr>
          <w:rFonts w:ascii="Calibri"/>
          <w:sz w:val="19"/>
        </w:rPr>
        <w:t>and training/study days from 225 working days per annum. Under the European Working Time Directive (EWTD), the majority of foundation officers (Year 1) are working up to 48 hours per week, 19.7 per cent are working up to 56 hours, and 11.3 per cent are working 40 hours.</w:t>
      </w:r>
      <w:r>
        <w:rPr>
          <w:rFonts w:ascii="Calibri"/>
          <w:position w:val="6"/>
          <w:sz w:val="12"/>
        </w:rPr>
        <w:t>9</w:t>
      </w:r>
    </w:p>
    <w:p w:rsidR="006A18FD" w:rsidRDefault="002D29FC">
      <w:pPr>
        <w:numPr>
          <w:ilvl w:val="0"/>
          <w:numId w:val="6"/>
        </w:numPr>
        <w:tabs>
          <w:tab w:val="left" w:pos="368"/>
        </w:tabs>
        <w:spacing w:before="119"/>
        <w:ind w:left="367" w:hanging="215"/>
        <w:rPr>
          <w:rFonts w:ascii="Calibri"/>
          <w:b/>
          <w:sz w:val="19"/>
        </w:rPr>
      </w:pPr>
      <w:r>
        <w:rPr>
          <w:rFonts w:ascii="Calibri"/>
          <w:b/>
          <w:sz w:val="19"/>
        </w:rPr>
        <w:t>London and non-London</w:t>
      </w:r>
      <w:r>
        <w:rPr>
          <w:rFonts w:ascii="Calibri"/>
          <w:b/>
          <w:spacing w:val="-20"/>
          <w:sz w:val="19"/>
        </w:rPr>
        <w:t xml:space="preserve"> </w:t>
      </w:r>
      <w:r>
        <w:rPr>
          <w:rFonts w:ascii="Calibri"/>
          <w:b/>
          <w:sz w:val="19"/>
        </w:rPr>
        <w:t>multiplier</w:t>
      </w:r>
    </w:p>
    <w:p w:rsidR="006A18FD" w:rsidRDefault="002D29FC">
      <w:pPr>
        <w:spacing w:before="155" w:line="276" w:lineRule="auto"/>
        <w:ind w:left="152" w:right="384"/>
        <w:rPr>
          <w:rFonts w:ascii="Calibri"/>
          <w:sz w:val="19"/>
        </w:rPr>
      </w:pPr>
      <w:r>
        <w:rPr>
          <w:rFonts w:ascii="Calibri"/>
          <w:sz w:val="19"/>
        </w:rPr>
        <w:t>See information produced by NHS Employers</w:t>
      </w:r>
      <w:r>
        <w:rPr>
          <w:rFonts w:ascii="Calibri"/>
          <w:position w:val="6"/>
          <w:sz w:val="12"/>
        </w:rPr>
        <w:t xml:space="preserve">10 </w:t>
      </w:r>
      <w:r>
        <w:rPr>
          <w:rFonts w:ascii="Calibri"/>
          <w:sz w:val="19"/>
        </w:rPr>
        <w:t>and NHS Improvement for information on Inner and Outer London supplements and the market forces factor (MFF) which estimates the unavoidable cost differences between healthcare providers, based on their geographical location.</w:t>
      </w: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rPr>
          <w:rFonts w:ascii="Calibri"/>
          <w:sz w:val="18"/>
        </w:rPr>
      </w:pPr>
    </w:p>
    <w:p w:rsidR="006A18FD" w:rsidRDefault="006A18FD">
      <w:pPr>
        <w:spacing w:before="10"/>
        <w:rPr>
          <w:rFonts w:ascii="Calibri"/>
          <w:sz w:val="25"/>
        </w:rPr>
      </w:pPr>
    </w:p>
    <w:p w:rsidR="006A18FD" w:rsidRDefault="002D29FC">
      <w:pPr>
        <w:spacing w:line="169" w:lineRule="exact"/>
        <w:ind w:left="152"/>
        <w:rPr>
          <w:rFonts w:ascii="Times New Roman" w:hAnsi="Times New Roman"/>
          <w:sz w:val="14"/>
        </w:rPr>
      </w:pPr>
      <w:r>
        <w:rPr>
          <w:rFonts w:ascii="Calibri" w:hAnsi="Calibri"/>
          <w:position w:val="4"/>
          <w:sz w:val="9"/>
        </w:rPr>
        <w:t xml:space="preserve">1 </w:t>
      </w:r>
      <w:r>
        <w:rPr>
          <w:rFonts w:ascii="Calibri" w:hAnsi="Calibri"/>
          <w:sz w:val="14"/>
        </w:rPr>
        <w:t xml:space="preserve">NHS Digital (2019) </w:t>
      </w:r>
      <w:r>
        <w:rPr>
          <w:rFonts w:ascii="Calibri" w:hAnsi="Calibri"/>
          <w:i/>
          <w:sz w:val="14"/>
        </w:rPr>
        <w:t xml:space="preserve">NHS staff earnings estimates, 12-month period from May 2018 – April 2019 </w:t>
      </w:r>
      <w:r>
        <w:rPr>
          <w:rFonts w:ascii="Calibri" w:hAnsi="Calibri"/>
          <w:sz w:val="14"/>
        </w:rPr>
        <w:t>(not publicly available), NHS Digital, Leeds</w:t>
      </w:r>
      <w:r>
        <w:rPr>
          <w:rFonts w:ascii="Times New Roman" w:hAnsi="Times New Roman"/>
          <w:sz w:val="14"/>
        </w:rPr>
        <w:t>.</w:t>
      </w:r>
    </w:p>
    <w:p w:rsidR="006A18FD" w:rsidRDefault="002D29FC">
      <w:pPr>
        <w:spacing w:line="169" w:lineRule="exact"/>
        <w:ind w:left="152"/>
        <w:rPr>
          <w:rFonts w:ascii="Calibri"/>
          <w:sz w:val="9"/>
        </w:rPr>
      </w:pPr>
      <w:r>
        <w:rPr>
          <w:rFonts w:ascii="Calibri"/>
          <w:position w:val="4"/>
          <w:sz w:val="9"/>
        </w:rPr>
        <w:t xml:space="preserve">2 </w:t>
      </w:r>
      <w:r>
        <w:rPr>
          <w:rFonts w:ascii="Calibri"/>
          <w:sz w:val="14"/>
        </w:rPr>
        <w:t xml:space="preserve">NHS Employers (2018) </w:t>
      </w:r>
      <w:r>
        <w:rPr>
          <w:rFonts w:ascii="Calibri"/>
          <w:i/>
          <w:sz w:val="14"/>
        </w:rPr>
        <w:t xml:space="preserve">NHS Terms and Conditions of Service Handbook, </w:t>
      </w:r>
      <w:r>
        <w:rPr>
          <w:rFonts w:ascii="Calibri"/>
          <w:sz w:val="14"/>
        </w:rPr>
        <w:t xml:space="preserve">NHS Employers, London. </w:t>
      </w:r>
      <w:hyperlink r:id="rId458">
        <w:r>
          <w:rPr>
            <w:rFonts w:ascii="Calibri"/>
            <w:sz w:val="14"/>
            <w:u w:val="single"/>
          </w:rPr>
          <w:t>http://www.nhsemployers.org/tchandbook</w:t>
        </w:r>
        <w:r>
          <w:rPr>
            <w:rFonts w:ascii="Calibri"/>
            <w:sz w:val="14"/>
          </w:rPr>
          <w:t xml:space="preserve"> </w:t>
        </w:r>
      </w:hyperlink>
      <w:r>
        <w:rPr>
          <w:rFonts w:ascii="Calibri"/>
          <w:sz w:val="14"/>
        </w:rPr>
        <w:t xml:space="preserve">[accessed 25 September 2018] </w:t>
      </w:r>
      <w:r>
        <w:rPr>
          <w:rFonts w:ascii="Calibri"/>
          <w:position w:val="4"/>
          <w:sz w:val="9"/>
        </w:rPr>
        <w:t>330</w:t>
      </w:r>
    </w:p>
    <w:p w:rsidR="006A18FD" w:rsidRDefault="002D29FC">
      <w:pPr>
        <w:spacing w:before="1" w:line="244" w:lineRule="auto"/>
        <w:ind w:left="436" w:hanging="284"/>
        <w:rPr>
          <w:rFonts w:ascii="Calibri"/>
          <w:sz w:val="14"/>
        </w:rPr>
      </w:pPr>
      <w:r>
        <w:rPr>
          <w:rFonts w:ascii="Calibri"/>
          <w:sz w:val="14"/>
        </w:rPr>
        <w:t xml:space="preserve">Netten, A., Knight, J., Dennett, J., Cooley, R. &amp; Slight, A. (1998) </w:t>
      </w:r>
      <w:r>
        <w:rPr>
          <w:rFonts w:ascii="Calibri"/>
          <w:i/>
          <w:sz w:val="14"/>
        </w:rPr>
        <w:t>Development of a ready reckoner for staff costs in the NHS, Vols 1 &amp; 2</w:t>
      </w:r>
      <w:r>
        <w:rPr>
          <w:rFonts w:ascii="Calibri"/>
          <w:sz w:val="14"/>
        </w:rPr>
        <w:t>, Personal Social Services Research Unit, University of Kent, Canterbury.</w:t>
      </w:r>
    </w:p>
    <w:p w:rsidR="006A18FD" w:rsidRDefault="002D29FC">
      <w:pPr>
        <w:spacing w:before="16" w:line="160" w:lineRule="exact"/>
        <w:ind w:left="152"/>
        <w:rPr>
          <w:rFonts w:ascii="Calibri"/>
          <w:sz w:val="14"/>
        </w:rPr>
      </w:pPr>
      <w:r>
        <w:rPr>
          <w:rFonts w:ascii="Calibri"/>
          <w:position w:val="4"/>
          <w:sz w:val="9"/>
        </w:rPr>
        <w:t xml:space="preserve">3 </w:t>
      </w:r>
      <w:r>
        <w:rPr>
          <w:rFonts w:ascii="Calibri"/>
          <w:sz w:val="14"/>
        </w:rPr>
        <w:t xml:space="preserve">National Health Service (2008) </w:t>
      </w:r>
      <w:r>
        <w:rPr>
          <w:rFonts w:ascii="Calibri"/>
          <w:i/>
          <w:sz w:val="14"/>
        </w:rPr>
        <w:t>Modernising medical careers</w:t>
      </w:r>
      <w:r>
        <w:rPr>
          <w:rFonts w:ascii="Calibri"/>
          <w:sz w:val="14"/>
        </w:rPr>
        <w:t>, National Health Service, London.</w:t>
      </w:r>
    </w:p>
    <w:p w:rsidR="006A18FD" w:rsidRDefault="002D29FC">
      <w:pPr>
        <w:spacing w:line="160" w:lineRule="exact"/>
        <w:ind w:left="152"/>
        <w:rPr>
          <w:rFonts w:ascii="Calibri"/>
          <w:sz w:val="14"/>
        </w:rPr>
      </w:pPr>
      <w:r>
        <w:rPr>
          <w:rFonts w:ascii="Calibri"/>
          <w:position w:val="4"/>
          <w:sz w:val="9"/>
        </w:rPr>
        <w:t xml:space="preserve">4 </w:t>
      </w:r>
      <w:r>
        <w:rPr>
          <w:rFonts w:ascii="Calibri"/>
          <w:sz w:val="14"/>
        </w:rPr>
        <w:t xml:space="preserve">Monitor (2016) </w:t>
      </w:r>
      <w:r>
        <w:rPr>
          <w:rFonts w:ascii="Calibri"/>
          <w:i/>
          <w:sz w:val="14"/>
        </w:rPr>
        <w:t>NHS Foundation Trusts: Consolidation (FTC) files 2014/15</w:t>
      </w:r>
      <w:r>
        <w:rPr>
          <w:rFonts w:ascii="Calibri"/>
          <w:sz w:val="14"/>
        </w:rPr>
        <w:t xml:space="preserve">, </w:t>
      </w:r>
      <w:hyperlink r:id="rId459">
        <w:r>
          <w:rPr>
            <w:rFonts w:ascii="Calibri"/>
            <w:sz w:val="14"/>
            <w:u w:val="single"/>
          </w:rPr>
          <w:t>https://www.gov.uk/government/publications/nhs-foundation-trust-accounts-consolidation-ftc-</w:t>
        </w:r>
      </w:hyperlink>
    </w:p>
    <w:p w:rsidR="006A18FD" w:rsidRDefault="00E60AD2">
      <w:pPr>
        <w:spacing w:before="2"/>
        <w:ind w:left="436"/>
        <w:rPr>
          <w:rFonts w:ascii="Calibri"/>
          <w:sz w:val="14"/>
        </w:rPr>
      </w:pPr>
      <w:hyperlink r:id="rId460">
        <w:r w:rsidR="002D29FC">
          <w:rPr>
            <w:rFonts w:ascii="Calibri"/>
            <w:sz w:val="14"/>
            <w:u w:val="single"/>
          </w:rPr>
          <w:t>files-201415</w:t>
        </w:r>
        <w:r w:rsidR="002D29FC">
          <w:rPr>
            <w:rFonts w:ascii="Calibri"/>
            <w:sz w:val="14"/>
          </w:rPr>
          <w:t xml:space="preserve"> </w:t>
        </w:r>
      </w:hyperlink>
      <w:r w:rsidR="002D29FC">
        <w:rPr>
          <w:rFonts w:ascii="Calibri"/>
          <w:sz w:val="14"/>
        </w:rPr>
        <w:t>[accessed 1 October 2019]</w:t>
      </w:r>
    </w:p>
    <w:p w:rsidR="006A18FD" w:rsidRDefault="002D29FC">
      <w:pPr>
        <w:spacing w:before="20" w:line="161" w:lineRule="exact"/>
        <w:ind w:left="152"/>
        <w:rPr>
          <w:rFonts w:ascii="Calibri"/>
          <w:sz w:val="14"/>
        </w:rPr>
      </w:pPr>
      <w:r>
        <w:rPr>
          <w:rFonts w:ascii="Calibri"/>
          <w:position w:val="4"/>
          <w:sz w:val="9"/>
        </w:rPr>
        <w:t xml:space="preserve">5 </w:t>
      </w:r>
      <w:r>
        <w:rPr>
          <w:rFonts w:ascii="Calibri"/>
          <w:sz w:val="14"/>
        </w:rPr>
        <w:t xml:space="preserve">Building Cost Information Service (2017) </w:t>
      </w:r>
      <w:r>
        <w:rPr>
          <w:rFonts w:ascii="Calibri"/>
          <w:i/>
          <w:sz w:val="14"/>
        </w:rPr>
        <w:t>Surveys of tender prices</w:t>
      </w:r>
      <w:r>
        <w:rPr>
          <w:rFonts w:ascii="Calibri"/>
          <w:sz w:val="14"/>
        </w:rPr>
        <w:t>, Royal Institute of Chartered Surveyors, London.</w:t>
      </w:r>
    </w:p>
    <w:p w:rsidR="006A18FD" w:rsidRDefault="002D29FC">
      <w:pPr>
        <w:spacing w:line="160" w:lineRule="exact"/>
        <w:ind w:left="152"/>
        <w:rPr>
          <w:rFonts w:ascii="Calibri"/>
          <w:sz w:val="14"/>
        </w:rPr>
      </w:pPr>
      <w:r>
        <w:rPr>
          <w:rFonts w:ascii="Calibri"/>
          <w:position w:val="4"/>
          <w:sz w:val="9"/>
        </w:rPr>
        <w:t xml:space="preserve">6 </w:t>
      </w:r>
      <w:r>
        <w:rPr>
          <w:rFonts w:ascii="Calibri"/>
          <w:sz w:val="14"/>
        </w:rPr>
        <w:t xml:space="preserve">Ministry of Housing, Communities &amp; Local Government (2018) </w:t>
      </w:r>
      <w:r>
        <w:rPr>
          <w:rFonts w:ascii="Calibri"/>
          <w:i/>
          <w:sz w:val="14"/>
        </w:rPr>
        <w:t>Land value estimates for policy appraisal 2017</w:t>
      </w:r>
      <w:r>
        <w:rPr>
          <w:rFonts w:ascii="Calibri"/>
          <w:sz w:val="14"/>
        </w:rPr>
        <w:t xml:space="preserve">, </w:t>
      </w:r>
      <w:hyperlink r:id="rId461">
        <w:r>
          <w:rPr>
            <w:rFonts w:ascii="Calibri"/>
            <w:sz w:val="14"/>
            <w:u w:val="single"/>
          </w:rPr>
          <w:t>https://www.gov.uk/government/publications/land-value-</w:t>
        </w:r>
      </w:hyperlink>
    </w:p>
    <w:p w:rsidR="006A18FD" w:rsidRDefault="00E60AD2">
      <w:pPr>
        <w:spacing w:line="171" w:lineRule="exact"/>
        <w:ind w:left="436"/>
        <w:rPr>
          <w:rFonts w:ascii="Calibri"/>
          <w:sz w:val="14"/>
        </w:rPr>
      </w:pPr>
      <w:hyperlink r:id="rId462">
        <w:r w:rsidR="002D29FC">
          <w:rPr>
            <w:rFonts w:ascii="Calibri"/>
            <w:sz w:val="14"/>
            <w:u w:val="single"/>
          </w:rPr>
          <w:t xml:space="preserve">estimates-for-policy-appraisal-2017 </w:t>
        </w:r>
      </w:hyperlink>
      <w:r w:rsidR="002D29FC">
        <w:rPr>
          <w:rFonts w:ascii="Calibri"/>
          <w:sz w:val="14"/>
          <w:u w:val="single"/>
        </w:rPr>
        <w:t>[accessed 25 September 2018]</w:t>
      </w:r>
      <w:r w:rsidR="002D29FC">
        <w:rPr>
          <w:rFonts w:ascii="Calibri"/>
          <w:sz w:val="14"/>
        </w:rPr>
        <w:t>.</w:t>
      </w:r>
    </w:p>
    <w:p w:rsidR="006A18FD" w:rsidRDefault="002D29FC">
      <w:pPr>
        <w:spacing w:before="80"/>
        <w:ind w:left="436" w:right="660" w:hanging="284"/>
        <w:rPr>
          <w:rFonts w:ascii="Calibri"/>
          <w:sz w:val="14"/>
        </w:rPr>
      </w:pPr>
      <w:r>
        <w:rPr>
          <w:rFonts w:ascii="Calibri"/>
          <w:position w:val="4"/>
          <w:sz w:val="9"/>
        </w:rPr>
        <w:t xml:space="preserve">7 </w:t>
      </w:r>
      <w:r>
        <w:rPr>
          <w:rFonts w:ascii="Calibri"/>
          <w:sz w:val="14"/>
        </w:rPr>
        <w:t xml:space="preserve">NHS Digital, NHS sickness absence rates, January 2019 to March 2019 and Annual Summary 2010-11 to 2018-19, NHS Digital, London. </w:t>
      </w:r>
      <w:r>
        <w:rPr>
          <w:rFonts w:ascii="Calibri"/>
          <w:sz w:val="14"/>
          <w:u w:val="single"/>
        </w:rPr>
        <w:t>https://digital.nhs.uk/data-and</w:t>
      </w:r>
      <w:r>
        <w:rPr>
          <w:rFonts w:ascii="Calibri"/>
          <w:sz w:val="14"/>
        </w:rPr>
        <w:t xml:space="preserve">- </w:t>
      </w:r>
      <w:r>
        <w:rPr>
          <w:rFonts w:ascii="Calibri"/>
          <w:w w:val="95"/>
          <w:sz w:val="14"/>
          <w:u w:val="single"/>
        </w:rPr>
        <w:t>information/publications/statistical/nhs-sickness-absence-rates/january-2019-to-march-2019-and-annual-summary-2010-11-to-2018-19</w:t>
      </w:r>
      <w:r>
        <w:rPr>
          <w:rFonts w:ascii="Calibri"/>
          <w:w w:val="95"/>
          <w:sz w:val="14"/>
        </w:rPr>
        <w:t xml:space="preserve">    [accessed    1    October   2019]</w:t>
      </w:r>
    </w:p>
    <w:p w:rsidR="006A18FD" w:rsidRDefault="002D29FC">
      <w:pPr>
        <w:spacing w:before="37" w:line="152" w:lineRule="exact"/>
        <w:ind w:left="152"/>
        <w:rPr>
          <w:rFonts w:ascii="Calibri"/>
          <w:sz w:val="14"/>
        </w:rPr>
      </w:pPr>
      <w:r>
        <w:rPr>
          <w:rFonts w:ascii="Calibri"/>
          <w:position w:val="4"/>
          <w:sz w:val="9"/>
        </w:rPr>
        <w:t xml:space="preserve">8 </w:t>
      </w:r>
      <w:r>
        <w:rPr>
          <w:rFonts w:ascii="Calibri"/>
          <w:sz w:val="14"/>
        </w:rPr>
        <w:t>Provided by the Department of Health, 2010.</w:t>
      </w:r>
    </w:p>
    <w:p w:rsidR="006A18FD" w:rsidRDefault="002D29FC">
      <w:pPr>
        <w:spacing w:line="152" w:lineRule="exact"/>
        <w:ind w:left="152"/>
        <w:rPr>
          <w:rFonts w:ascii="Calibri"/>
          <w:sz w:val="14"/>
        </w:rPr>
      </w:pPr>
      <w:r>
        <w:rPr>
          <w:rFonts w:ascii="Calibri"/>
          <w:sz w:val="9"/>
        </w:rPr>
        <w:t xml:space="preserve">9 </w:t>
      </w:r>
      <w:r>
        <w:rPr>
          <w:rFonts w:ascii="Calibri"/>
          <w:sz w:val="14"/>
        </w:rPr>
        <w:t xml:space="preserve">NHS Employers (2019) Annex 9: High cost area supplements, </w:t>
      </w:r>
      <w:hyperlink r:id="rId463">
        <w:r>
          <w:rPr>
            <w:rFonts w:ascii="Calibri"/>
            <w:sz w:val="14"/>
            <w:u w:val="single"/>
          </w:rPr>
          <w:t>https://www.nhsemployers.org/tchandbook/annex-4-to-10/annex-9-high-cost-area-supplements</w:t>
        </w:r>
        <w:r>
          <w:rPr>
            <w:rFonts w:ascii="Calibri"/>
            <w:sz w:val="14"/>
          </w:rPr>
          <w:t xml:space="preserve"> [accessed 1</w:t>
        </w:r>
      </w:hyperlink>
    </w:p>
    <w:p w:rsidR="006A18FD" w:rsidRDefault="002D29FC">
      <w:pPr>
        <w:spacing w:line="170" w:lineRule="exact"/>
        <w:ind w:left="436"/>
        <w:rPr>
          <w:rFonts w:ascii="Calibri"/>
          <w:sz w:val="14"/>
        </w:rPr>
      </w:pPr>
      <w:r>
        <w:rPr>
          <w:rFonts w:ascii="Calibri"/>
          <w:sz w:val="14"/>
        </w:rPr>
        <w:t>October 2019].</w:t>
      </w:r>
    </w:p>
    <w:p w:rsidR="006A18FD" w:rsidRDefault="002D29FC">
      <w:pPr>
        <w:spacing w:line="171" w:lineRule="exact"/>
        <w:ind w:left="152"/>
        <w:rPr>
          <w:rFonts w:ascii="Calibri"/>
          <w:sz w:val="14"/>
        </w:rPr>
      </w:pPr>
      <w:r>
        <w:rPr>
          <w:rFonts w:ascii="Calibri"/>
          <w:sz w:val="9"/>
        </w:rPr>
        <w:t xml:space="preserve">10 </w:t>
      </w:r>
      <w:r>
        <w:rPr>
          <w:rFonts w:ascii="Calibri"/>
          <w:sz w:val="14"/>
        </w:rPr>
        <w:t xml:space="preserve">NHS Improvement (2019) 2019/20 payment reform proposals, </w:t>
      </w:r>
      <w:hyperlink r:id="rId464">
        <w:r>
          <w:rPr>
            <w:rFonts w:ascii="Calibri"/>
            <w:sz w:val="14"/>
            <w:u w:val="single"/>
          </w:rPr>
          <w:t>https://improvement.nhs.uk/resources/201920-payment-reform-proposals/</w:t>
        </w:r>
        <w:r>
          <w:rPr>
            <w:rFonts w:ascii="Calibri"/>
            <w:sz w:val="14"/>
          </w:rPr>
          <w:t xml:space="preserve">. </w:t>
        </w:r>
      </w:hyperlink>
      <w:r>
        <w:rPr>
          <w:rFonts w:ascii="Calibri"/>
          <w:sz w:val="14"/>
        </w:rPr>
        <w:t>[accessed 1 October 2019].</w:t>
      </w:r>
    </w:p>
    <w:p w:rsidR="006A18FD" w:rsidRDefault="006A18FD">
      <w:pPr>
        <w:spacing w:line="171" w:lineRule="exact"/>
        <w:rPr>
          <w:rFonts w:ascii="Calibri"/>
          <w:sz w:val="14"/>
        </w:rPr>
        <w:sectPr w:rsidR="006A18FD">
          <w:headerReference w:type="default" r:id="rId465"/>
          <w:pgSz w:w="11910" w:h="16840"/>
          <w:pgMar w:top="660" w:right="580" w:bottom="280" w:left="980" w:header="0" w:footer="0" w:gutter="0"/>
          <w:cols w:space="720"/>
        </w:sectPr>
      </w:pPr>
    </w:p>
    <w:p w:rsidR="006A18FD" w:rsidRDefault="002D29FC">
      <w:pPr>
        <w:spacing w:before="63" w:line="278" w:lineRule="auto"/>
        <w:ind w:left="106" w:right="94"/>
        <w:rPr>
          <w:rFonts w:ascii="Calibri"/>
          <w:sz w:val="18"/>
        </w:rPr>
      </w:pPr>
      <w:r>
        <w:rPr>
          <w:rFonts w:ascii="Calibri"/>
          <w:sz w:val="18"/>
        </w:rPr>
        <w:t>This table provides the annual and unit costs for hospital-based doctors (see the notes facing for assistance in interpreting each cost item). See also the beginning of this chapter for examples of work performed under each title. See also Excel database on the PSSRU website.</w:t>
      </w:r>
    </w:p>
    <w:p w:rsidR="006A18FD" w:rsidRDefault="006A18FD">
      <w:pPr>
        <w:spacing w:before="1" w:after="1"/>
        <w:rPr>
          <w:rFonts w:ascii="Calibri"/>
          <w:sz w:val="16"/>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6"/>
        <w:gridCol w:w="1532"/>
        <w:gridCol w:w="1531"/>
        <w:gridCol w:w="1532"/>
        <w:gridCol w:w="1531"/>
        <w:gridCol w:w="1532"/>
        <w:gridCol w:w="1586"/>
        <w:gridCol w:w="1702"/>
      </w:tblGrid>
      <w:tr w:rsidR="006A18FD" w:rsidTr="00CA19E0">
        <w:trPr>
          <w:trHeight w:val="400"/>
          <w:tblHeader/>
        </w:trPr>
        <w:tc>
          <w:tcPr>
            <w:tcW w:w="14102" w:type="dxa"/>
            <w:gridSpan w:val="8"/>
          </w:tcPr>
          <w:p w:rsidR="006A18FD" w:rsidRDefault="002D29FC">
            <w:pPr>
              <w:spacing w:before="28" w:line="371" w:lineRule="exact"/>
              <w:ind w:left="5495" w:right="5495"/>
              <w:jc w:val="center"/>
              <w:rPr>
                <w:rFonts w:ascii="Calibri"/>
                <w:b/>
                <w:sz w:val="32"/>
              </w:rPr>
            </w:pPr>
            <w:r>
              <w:rPr>
                <w:rFonts w:ascii="Calibri"/>
                <w:b/>
                <w:sz w:val="32"/>
              </w:rPr>
              <w:t>Hospital-based doctors</w:t>
            </w:r>
          </w:p>
        </w:tc>
      </w:tr>
      <w:tr w:rsidR="006A18FD" w:rsidTr="00CA19E0">
        <w:trPr>
          <w:trHeight w:val="580"/>
          <w:tblHeader/>
        </w:trPr>
        <w:tc>
          <w:tcPr>
            <w:tcW w:w="3156" w:type="dxa"/>
          </w:tcPr>
          <w:p w:rsidR="006A18FD" w:rsidRDefault="002D29FC">
            <w:pPr>
              <w:spacing w:before="97" w:line="240" w:lineRule="atLeast"/>
              <w:ind w:left="102"/>
              <w:rPr>
                <w:rFonts w:ascii="Calibri"/>
                <w:b/>
                <w:sz w:val="20"/>
              </w:rPr>
            </w:pPr>
            <w:r>
              <w:rPr>
                <w:rFonts w:ascii="Calibri"/>
                <w:b/>
                <w:sz w:val="20"/>
              </w:rPr>
              <w:t>Refer to notes on facing page for references</w:t>
            </w:r>
          </w:p>
        </w:tc>
        <w:tc>
          <w:tcPr>
            <w:tcW w:w="1532" w:type="dxa"/>
          </w:tcPr>
          <w:p w:rsidR="006A18FD" w:rsidRDefault="002D29FC">
            <w:pPr>
              <w:spacing w:line="292" w:lineRule="exact"/>
              <w:ind w:left="227" w:hanging="41"/>
              <w:rPr>
                <w:rFonts w:ascii="Calibri"/>
                <w:b/>
                <w:sz w:val="24"/>
              </w:rPr>
            </w:pPr>
            <w:r>
              <w:rPr>
                <w:rFonts w:ascii="Calibri"/>
                <w:b/>
                <w:sz w:val="24"/>
              </w:rPr>
              <w:t>Foundation</w:t>
            </w:r>
          </w:p>
          <w:p w:rsidR="006A18FD" w:rsidRDefault="002D29FC">
            <w:pPr>
              <w:spacing w:line="273" w:lineRule="exact"/>
              <w:ind w:left="227"/>
              <w:rPr>
                <w:rFonts w:ascii="Calibri"/>
                <w:b/>
                <w:sz w:val="24"/>
              </w:rPr>
            </w:pPr>
            <w:r>
              <w:rPr>
                <w:rFonts w:ascii="Calibri"/>
                <w:b/>
                <w:sz w:val="24"/>
              </w:rPr>
              <w:t>doctor FY1</w:t>
            </w:r>
          </w:p>
        </w:tc>
        <w:tc>
          <w:tcPr>
            <w:tcW w:w="1531" w:type="dxa"/>
          </w:tcPr>
          <w:p w:rsidR="006A18FD" w:rsidRDefault="002D29FC">
            <w:pPr>
              <w:spacing w:line="292" w:lineRule="exact"/>
              <w:ind w:left="227" w:hanging="41"/>
              <w:rPr>
                <w:rFonts w:ascii="Calibri"/>
                <w:b/>
                <w:sz w:val="24"/>
              </w:rPr>
            </w:pPr>
            <w:r>
              <w:rPr>
                <w:rFonts w:ascii="Calibri"/>
                <w:b/>
                <w:sz w:val="24"/>
              </w:rPr>
              <w:t>Foundation</w:t>
            </w:r>
          </w:p>
          <w:p w:rsidR="006A18FD" w:rsidRDefault="002D29FC">
            <w:pPr>
              <w:spacing w:line="273" w:lineRule="exact"/>
              <w:ind w:left="227"/>
              <w:rPr>
                <w:rFonts w:ascii="Calibri"/>
                <w:b/>
                <w:sz w:val="24"/>
              </w:rPr>
            </w:pPr>
            <w:r>
              <w:rPr>
                <w:rFonts w:ascii="Calibri"/>
                <w:b/>
                <w:sz w:val="24"/>
              </w:rPr>
              <w:t>doctor FY2</w:t>
            </w:r>
          </w:p>
        </w:tc>
        <w:tc>
          <w:tcPr>
            <w:tcW w:w="1532" w:type="dxa"/>
          </w:tcPr>
          <w:p w:rsidR="006A18FD" w:rsidRDefault="006A18FD">
            <w:pPr>
              <w:spacing w:before="11"/>
              <w:rPr>
                <w:rFonts w:ascii="Calibri"/>
                <w:sz w:val="23"/>
              </w:rPr>
            </w:pPr>
          </w:p>
          <w:p w:rsidR="006A18FD" w:rsidRDefault="002D29FC">
            <w:pPr>
              <w:spacing w:line="273" w:lineRule="exact"/>
              <w:ind w:left="292" w:right="292"/>
              <w:jc w:val="center"/>
              <w:rPr>
                <w:rFonts w:ascii="Calibri"/>
                <w:b/>
                <w:sz w:val="24"/>
              </w:rPr>
            </w:pPr>
            <w:r>
              <w:rPr>
                <w:rFonts w:ascii="Calibri"/>
                <w:b/>
                <w:sz w:val="24"/>
              </w:rPr>
              <w:t>Registrar</w:t>
            </w:r>
          </w:p>
        </w:tc>
        <w:tc>
          <w:tcPr>
            <w:tcW w:w="1531" w:type="dxa"/>
          </w:tcPr>
          <w:p w:rsidR="006A18FD" w:rsidRDefault="002D29FC">
            <w:pPr>
              <w:spacing w:line="292" w:lineRule="exact"/>
              <w:ind w:left="299" w:hanging="15"/>
              <w:rPr>
                <w:rFonts w:ascii="Calibri"/>
                <w:b/>
                <w:sz w:val="24"/>
              </w:rPr>
            </w:pPr>
            <w:r>
              <w:rPr>
                <w:rFonts w:ascii="Calibri"/>
                <w:b/>
                <w:sz w:val="24"/>
              </w:rPr>
              <w:t>Associate</w:t>
            </w:r>
          </w:p>
          <w:p w:rsidR="006A18FD" w:rsidRDefault="002D29FC">
            <w:pPr>
              <w:spacing w:line="273" w:lineRule="exact"/>
              <w:ind w:left="299"/>
              <w:rPr>
                <w:rFonts w:ascii="Calibri"/>
                <w:b/>
                <w:sz w:val="24"/>
              </w:rPr>
            </w:pPr>
            <w:r>
              <w:rPr>
                <w:rFonts w:ascii="Calibri"/>
                <w:b/>
                <w:sz w:val="24"/>
              </w:rPr>
              <w:t>specialist</w:t>
            </w:r>
          </w:p>
        </w:tc>
        <w:tc>
          <w:tcPr>
            <w:tcW w:w="1532" w:type="dxa"/>
          </w:tcPr>
          <w:p w:rsidR="006A18FD" w:rsidRDefault="002D29FC">
            <w:pPr>
              <w:spacing w:line="292" w:lineRule="exact"/>
              <w:ind w:left="165" w:right="167"/>
              <w:jc w:val="center"/>
              <w:rPr>
                <w:rFonts w:ascii="Calibri"/>
                <w:b/>
                <w:sz w:val="24"/>
              </w:rPr>
            </w:pPr>
            <w:r>
              <w:rPr>
                <w:rFonts w:ascii="Calibri"/>
                <w:b/>
                <w:sz w:val="24"/>
              </w:rPr>
              <w:t>Consultant:</w:t>
            </w:r>
          </w:p>
          <w:p w:rsidR="006A18FD" w:rsidRDefault="002D29FC">
            <w:pPr>
              <w:spacing w:line="273" w:lineRule="exact"/>
              <w:ind w:left="165" w:right="166"/>
              <w:jc w:val="center"/>
              <w:rPr>
                <w:rFonts w:ascii="Calibri"/>
                <w:b/>
                <w:sz w:val="24"/>
              </w:rPr>
            </w:pPr>
            <w:r>
              <w:rPr>
                <w:rFonts w:ascii="Calibri"/>
                <w:b/>
                <w:sz w:val="24"/>
              </w:rPr>
              <w:t>medical</w:t>
            </w:r>
          </w:p>
        </w:tc>
        <w:tc>
          <w:tcPr>
            <w:tcW w:w="1586" w:type="dxa"/>
          </w:tcPr>
          <w:p w:rsidR="006A18FD" w:rsidRDefault="002D29FC">
            <w:pPr>
              <w:spacing w:line="292" w:lineRule="exact"/>
              <w:ind w:left="193" w:right="194"/>
              <w:jc w:val="center"/>
              <w:rPr>
                <w:rFonts w:ascii="Calibri"/>
                <w:b/>
                <w:sz w:val="24"/>
              </w:rPr>
            </w:pPr>
            <w:r>
              <w:rPr>
                <w:rFonts w:ascii="Calibri"/>
                <w:b/>
                <w:sz w:val="24"/>
              </w:rPr>
              <w:t>Consultant:</w:t>
            </w:r>
          </w:p>
          <w:p w:rsidR="006A18FD" w:rsidRDefault="002D29FC">
            <w:pPr>
              <w:spacing w:line="273" w:lineRule="exact"/>
              <w:ind w:left="193" w:right="193"/>
              <w:jc w:val="center"/>
              <w:rPr>
                <w:rFonts w:ascii="Calibri"/>
                <w:b/>
                <w:sz w:val="24"/>
              </w:rPr>
            </w:pPr>
            <w:r>
              <w:rPr>
                <w:rFonts w:ascii="Calibri"/>
                <w:b/>
                <w:sz w:val="24"/>
              </w:rPr>
              <w:t>surgical</w:t>
            </w:r>
          </w:p>
        </w:tc>
        <w:tc>
          <w:tcPr>
            <w:tcW w:w="1702" w:type="dxa"/>
          </w:tcPr>
          <w:p w:rsidR="006A18FD" w:rsidRDefault="002D29FC">
            <w:pPr>
              <w:spacing w:line="292" w:lineRule="exact"/>
              <w:ind w:left="309" w:hanging="39"/>
              <w:rPr>
                <w:rFonts w:ascii="Calibri"/>
                <w:b/>
                <w:sz w:val="24"/>
              </w:rPr>
            </w:pPr>
            <w:r>
              <w:rPr>
                <w:rFonts w:ascii="Calibri"/>
                <w:b/>
                <w:sz w:val="24"/>
              </w:rPr>
              <w:t>Consultant:</w:t>
            </w:r>
          </w:p>
          <w:p w:rsidR="006A18FD" w:rsidRDefault="002D29FC">
            <w:pPr>
              <w:spacing w:line="273" w:lineRule="exact"/>
              <w:ind w:left="309"/>
              <w:rPr>
                <w:rFonts w:ascii="Calibri"/>
                <w:b/>
                <w:sz w:val="24"/>
              </w:rPr>
            </w:pPr>
            <w:r>
              <w:rPr>
                <w:rFonts w:ascii="Calibri"/>
                <w:b/>
                <w:sz w:val="24"/>
              </w:rPr>
              <w:t>psychiatric</w:t>
            </w:r>
          </w:p>
        </w:tc>
      </w:tr>
      <w:tr w:rsidR="006A18FD">
        <w:trPr>
          <w:trHeight w:val="239"/>
        </w:trPr>
        <w:tc>
          <w:tcPr>
            <w:tcW w:w="3156"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86" w:type="dxa"/>
          </w:tcPr>
          <w:p w:rsidR="006A18FD" w:rsidRDefault="006A18FD">
            <w:pPr>
              <w:rPr>
                <w:rFonts w:ascii="Times New Roman"/>
                <w:sz w:val="18"/>
              </w:rPr>
            </w:pPr>
          </w:p>
        </w:tc>
        <w:tc>
          <w:tcPr>
            <w:tcW w:w="1702" w:type="dxa"/>
          </w:tcPr>
          <w:p w:rsidR="006A18FD" w:rsidRDefault="006A18FD">
            <w:pPr>
              <w:rPr>
                <w:rFonts w:ascii="Times New Roman"/>
                <w:sz w:val="18"/>
              </w:rPr>
            </w:pPr>
          </w:p>
        </w:tc>
      </w:tr>
      <w:tr w:rsidR="006A18FD">
        <w:trPr>
          <w:trHeight w:val="240"/>
        </w:trPr>
        <w:tc>
          <w:tcPr>
            <w:tcW w:w="3156" w:type="dxa"/>
          </w:tcPr>
          <w:p w:rsidR="006A18FD" w:rsidRDefault="002D29FC">
            <w:pPr>
              <w:spacing w:before="11" w:line="223" w:lineRule="exact"/>
              <w:ind w:left="102"/>
              <w:rPr>
                <w:rFonts w:ascii="Calibri"/>
                <w:b/>
                <w:sz w:val="20"/>
              </w:rPr>
            </w:pPr>
            <w:r>
              <w:rPr>
                <w:rFonts w:ascii="Calibri"/>
                <w:b/>
                <w:sz w:val="20"/>
              </w:rPr>
              <w:t>A Wages/salary</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£27,074</w:t>
            </w:r>
          </w:p>
        </w:tc>
        <w:tc>
          <w:tcPr>
            <w:tcW w:w="1531" w:type="dxa"/>
          </w:tcPr>
          <w:p w:rsidR="006A18FD" w:rsidRDefault="002D29FC">
            <w:pPr>
              <w:spacing w:before="11" w:line="223" w:lineRule="exact"/>
              <w:ind w:left="382" w:right="383"/>
              <w:jc w:val="center"/>
              <w:rPr>
                <w:rFonts w:ascii="Calibri" w:hAnsi="Calibri"/>
                <w:sz w:val="20"/>
              </w:rPr>
            </w:pPr>
            <w:r>
              <w:rPr>
                <w:rFonts w:ascii="Calibri" w:hAnsi="Calibri"/>
                <w:sz w:val="20"/>
              </w:rPr>
              <w:t>£31,148</w:t>
            </w:r>
          </w:p>
        </w:tc>
        <w:tc>
          <w:tcPr>
            <w:tcW w:w="1532" w:type="dxa"/>
          </w:tcPr>
          <w:p w:rsidR="006A18FD" w:rsidRDefault="002D29FC">
            <w:pPr>
              <w:spacing w:before="11" w:line="223" w:lineRule="exact"/>
              <w:ind w:left="292" w:right="292"/>
              <w:jc w:val="center"/>
              <w:rPr>
                <w:rFonts w:ascii="Calibri" w:hAnsi="Calibri"/>
                <w:sz w:val="20"/>
              </w:rPr>
            </w:pPr>
            <w:r>
              <w:rPr>
                <w:rFonts w:ascii="Calibri" w:hAnsi="Calibri"/>
                <w:sz w:val="20"/>
              </w:rPr>
              <w:t>£43,157</w:t>
            </w:r>
          </w:p>
        </w:tc>
        <w:tc>
          <w:tcPr>
            <w:tcW w:w="1531" w:type="dxa"/>
          </w:tcPr>
          <w:p w:rsidR="006A18FD" w:rsidRDefault="002D29FC">
            <w:pPr>
              <w:spacing w:before="11" w:line="223" w:lineRule="exact"/>
              <w:ind w:left="382" w:right="383"/>
              <w:jc w:val="center"/>
              <w:rPr>
                <w:rFonts w:ascii="Calibri" w:hAnsi="Calibri"/>
                <w:sz w:val="20"/>
              </w:rPr>
            </w:pPr>
            <w:r>
              <w:rPr>
                <w:rFonts w:ascii="Calibri" w:hAnsi="Calibri"/>
                <w:sz w:val="20"/>
              </w:rPr>
              <w:t>£84,038</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£91,970</w:t>
            </w:r>
          </w:p>
        </w:tc>
        <w:tc>
          <w:tcPr>
            <w:tcW w:w="1586" w:type="dxa"/>
          </w:tcPr>
          <w:p w:rsidR="006A18FD" w:rsidRDefault="002D29FC">
            <w:pPr>
              <w:spacing w:before="11" w:line="223" w:lineRule="exact"/>
              <w:ind w:left="192" w:right="194"/>
              <w:jc w:val="center"/>
              <w:rPr>
                <w:rFonts w:ascii="Calibri" w:hAnsi="Calibri"/>
                <w:sz w:val="20"/>
              </w:rPr>
            </w:pPr>
            <w:r>
              <w:rPr>
                <w:rFonts w:ascii="Calibri" w:hAnsi="Calibri"/>
                <w:sz w:val="20"/>
              </w:rPr>
              <w:t>£91,522</w:t>
            </w:r>
          </w:p>
        </w:tc>
        <w:tc>
          <w:tcPr>
            <w:tcW w:w="1702" w:type="dxa"/>
          </w:tcPr>
          <w:p w:rsidR="006A18FD" w:rsidRDefault="002D29FC">
            <w:pPr>
              <w:spacing w:before="11" w:line="223" w:lineRule="exact"/>
              <w:ind w:left="467" w:right="469"/>
              <w:jc w:val="center"/>
              <w:rPr>
                <w:rFonts w:ascii="Calibri" w:hAnsi="Calibri"/>
                <w:sz w:val="20"/>
              </w:rPr>
            </w:pPr>
            <w:r>
              <w:rPr>
                <w:rFonts w:ascii="Calibri" w:hAnsi="Calibri"/>
                <w:sz w:val="20"/>
              </w:rPr>
              <w:t>£93,099</w:t>
            </w:r>
          </w:p>
        </w:tc>
      </w:tr>
      <w:tr w:rsidR="006A18FD">
        <w:trPr>
          <w:trHeight w:val="240"/>
        </w:trPr>
        <w:tc>
          <w:tcPr>
            <w:tcW w:w="3156"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86" w:type="dxa"/>
          </w:tcPr>
          <w:p w:rsidR="006A18FD" w:rsidRDefault="006A18FD">
            <w:pPr>
              <w:rPr>
                <w:rFonts w:ascii="Times New Roman"/>
                <w:sz w:val="18"/>
              </w:rPr>
            </w:pPr>
          </w:p>
        </w:tc>
        <w:tc>
          <w:tcPr>
            <w:tcW w:w="1702" w:type="dxa"/>
          </w:tcPr>
          <w:p w:rsidR="006A18FD" w:rsidRDefault="006A18FD">
            <w:pPr>
              <w:rPr>
                <w:rFonts w:ascii="Times New Roman"/>
                <w:sz w:val="18"/>
              </w:rPr>
            </w:pPr>
          </w:p>
        </w:tc>
      </w:tr>
      <w:tr w:rsidR="006A18FD">
        <w:trPr>
          <w:trHeight w:val="240"/>
        </w:trPr>
        <w:tc>
          <w:tcPr>
            <w:tcW w:w="3156" w:type="dxa"/>
          </w:tcPr>
          <w:p w:rsidR="006A18FD" w:rsidRDefault="002D29FC">
            <w:pPr>
              <w:spacing w:before="13" w:line="223" w:lineRule="exact"/>
              <w:ind w:left="102"/>
              <w:rPr>
                <w:rFonts w:ascii="Calibri"/>
                <w:b/>
                <w:sz w:val="20"/>
              </w:rPr>
            </w:pPr>
            <w:r>
              <w:rPr>
                <w:rFonts w:ascii="Calibri"/>
                <w:b/>
                <w:sz w:val="20"/>
              </w:rPr>
              <w:t>B Salary oncosts</w:t>
            </w:r>
          </w:p>
        </w:tc>
        <w:tc>
          <w:tcPr>
            <w:tcW w:w="1532" w:type="dxa"/>
          </w:tcPr>
          <w:p w:rsidR="006A18FD" w:rsidRDefault="002D29FC">
            <w:pPr>
              <w:spacing w:before="13" w:line="223" w:lineRule="exact"/>
              <w:ind w:left="165" w:right="165"/>
              <w:jc w:val="center"/>
              <w:rPr>
                <w:rFonts w:ascii="Calibri" w:hAnsi="Calibri"/>
                <w:sz w:val="20"/>
              </w:rPr>
            </w:pPr>
            <w:r>
              <w:rPr>
                <w:rFonts w:ascii="Calibri" w:hAnsi="Calibri"/>
                <w:sz w:val="20"/>
              </w:rPr>
              <w:t>£6,467</w:t>
            </w:r>
          </w:p>
        </w:tc>
        <w:tc>
          <w:tcPr>
            <w:tcW w:w="1531" w:type="dxa"/>
          </w:tcPr>
          <w:p w:rsidR="006A18FD" w:rsidRDefault="002D29FC">
            <w:pPr>
              <w:spacing w:before="13" w:line="223" w:lineRule="exact"/>
              <w:ind w:left="382" w:right="382"/>
              <w:jc w:val="center"/>
              <w:rPr>
                <w:rFonts w:ascii="Calibri" w:hAnsi="Calibri"/>
                <w:sz w:val="20"/>
              </w:rPr>
            </w:pPr>
            <w:r>
              <w:rPr>
                <w:rFonts w:ascii="Calibri" w:hAnsi="Calibri"/>
                <w:sz w:val="20"/>
              </w:rPr>
              <w:t>£7,615</w:t>
            </w:r>
          </w:p>
        </w:tc>
        <w:tc>
          <w:tcPr>
            <w:tcW w:w="1532" w:type="dxa"/>
          </w:tcPr>
          <w:p w:rsidR="006A18FD" w:rsidRDefault="002D29FC">
            <w:pPr>
              <w:spacing w:before="13" w:line="223" w:lineRule="exact"/>
              <w:ind w:left="292" w:right="292"/>
              <w:jc w:val="center"/>
              <w:rPr>
                <w:rFonts w:ascii="Calibri" w:hAnsi="Calibri"/>
                <w:sz w:val="20"/>
              </w:rPr>
            </w:pPr>
            <w:r>
              <w:rPr>
                <w:rFonts w:ascii="Calibri" w:hAnsi="Calibri"/>
                <w:sz w:val="20"/>
              </w:rPr>
              <w:t>£10,999</w:t>
            </w:r>
          </w:p>
        </w:tc>
        <w:tc>
          <w:tcPr>
            <w:tcW w:w="1531" w:type="dxa"/>
          </w:tcPr>
          <w:p w:rsidR="006A18FD" w:rsidRDefault="002D29FC">
            <w:pPr>
              <w:spacing w:before="13" w:line="223" w:lineRule="exact"/>
              <w:ind w:left="382" w:right="383"/>
              <w:jc w:val="center"/>
              <w:rPr>
                <w:rFonts w:ascii="Calibri" w:hAnsi="Calibri"/>
                <w:sz w:val="20"/>
              </w:rPr>
            </w:pPr>
            <w:r>
              <w:rPr>
                <w:rFonts w:ascii="Calibri" w:hAnsi="Calibri"/>
                <w:sz w:val="20"/>
              </w:rPr>
              <w:t>£22,519</w:t>
            </w:r>
          </w:p>
        </w:tc>
        <w:tc>
          <w:tcPr>
            <w:tcW w:w="1532" w:type="dxa"/>
          </w:tcPr>
          <w:p w:rsidR="006A18FD" w:rsidRDefault="002D29FC">
            <w:pPr>
              <w:spacing w:before="13" w:line="223" w:lineRule="exact"/>
              <w:ind w:left="165" w:right="165"/>
              <w:jc w:val="center"/>
              <w:rPr>
                <w:rFonts w:ascii="Calibri" w:hAnsi="Calibri"/>
                <w:sz w:val="20"/>
              </w:rPr>
            </w:pPr>
            <w:r>
              <w:rPr>
                <w:rFonts w:ascii="Calibri" w:hAnsi="Calibri"/>
                <w:sz w:val="20"/>
              </w:rPr>
              <w:t>£24,755</w:t>
            </w:r>
          </w:p>
        </w:tc>
        <w:tc>
          <w:tcPr>
            <w:tcW w:w="1586" w:type="dxa"/>
          </w:tcPr>
          <w:p w:rsidR="006A18FD" w:rsidRDefault="002D29FC">
            <w:pPr>
              <w:spacing w:before="13" w:line="223" w:lineRule="exact"/>
              <w:ind w:left="192" w:right="194"/>
              <w:jc w:val="center"/>
              <w:rPr>
                <w:rFonts w:ascii="Calibri" w:hAnsi="Calibri"/>
                <w:sz w:val="20"/>
              </w:rPr>
            </w:pPr>
            <w:r>
              <w:rPr>
                <w:rFonts w:ascii="Calibri" w:hAnsi="Calibri"/>
                <w:sz w:val="20"/>
              </w:rPr>
              <w:t>£24,628</w:t>
            </w:r>
          </w:p>
        </w:tc>
        <w:tc>
          <w:tcPr>
            <w:tcW w:w="1702" w:type="dxa"/>
          </w:tcPr>
          <w:p w:rsidR="006A18FD" w:rsidRDefault="002D29FC">
            <w:pPr>
              <w:spacing w:before="13" w:line="223" w:lineRule="exact"/>
              <w:ind w:left="467" w:right="469"/>
              <w:jc w:val="center"/>
              <w:rPr>
                <w:rFonts w:ascii="Calibri" w:hAnsi="Calibri"/>
                <w:sz w:val="20"/>
              </w:rPr>
            </w:pPr>
            <w:r>
              <w:rPr>
                <w:rFonts w:ascii="Calibri" w:hAnsi="Calibri"/>
                <w:sz w:val="20"/>
              </w:rPr>
              <w:t>£25,073</w:t>
            </w:r>
          </w:p>
        </w:tc>
      </w:tr>
      <w:tr w:rsidR="006A18FD">
        <w:trPr>
          <w:trHeight w:val="240"/>
        </w:trPr>
        <w:tc>
          <w:tcPr>
            <w:tcW w:w="3156"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86" w:type="dxa"/>
          </w:tcPr>
          <w:p w:rsidR="006A18FD" w:rsidRDefault="006A18FD">
            <w:pPr>
              <w:rPr>
                <w:rFonts w:ascii="Times New Roman"/>
                <w:sz w:val="18"/>
              </w:rPr>
            </w:pPr>
          </w:p>
        </w:tc>
        <w:tc>
          <w:tcPr>
            <w:tcW w:w="1702" w:type="dxa"/>
          </w:tcPr>
          <w:p w:rsidR="006A18FD" w:rsidRDefault="006A18FD">
            <w:pPr>
              <w:rPr>
                <w:rFonts w:ascii="Times New Roman"/>
                <w:sz w:val="18"/>
              </w:rPr>
            </w:pPr>
          </w:p>
        </w:tc>
      </w:tr>
      <w:tr w:rsidR="006A18FD">
        <w:trPr>
          <w:trHeight w:val="240"/>
        </w:trPr>
        <w:tc>
          <w:tcPr>
            <w:tcW w:w="3156" w:type="dxa"/>
          </w:tcPr>
          <w:p w:rsidR="006A18FD" w:rsidRDefault="002D29FC">
            <w:pPr>
              <w:spacing w:before="13" w:line="223" w:lineRule="exact"/>
              <w:ind w:left="102"/>
              <w:rPr>
                <w:rFonts w:ascii="Calibri"/>
                <w:b/>
                <w:sz w:val="20"/>
              </w:rPr>
            </w:pPr>
            <w:r>
              <w:rPr>
                <w:rFonts w:ascii="Calibri"/>
                <w:b/>
                <w:sz w:val="20"/>
              </w:rPr>
              <w:t>C Overheads</w:t>
            </w: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86" w:type="dxa"/>
          </w:tcPr>
          <w:p w:rsidR="006A18FD" w:rsidRDefault="006A18FD">
            <w:pPr>
              <w:rPr>
                <w:rFonts w:ascii="Times New Roman"/>
                <w:sz w:val="18"/>
              </w:rPr>
            </w:pPr>
          </w:p>
        </w:tc>
        <w:tc>
          <w:tcPr>
            <w:tcW w:w="1702" w:type="dxa"/>
          </w:tcPr>
          <w:p w:rsidR="006A18FD" w:rsidRDefault="006A18FD">
            <w:pPr>
              <w:rPr>
                <w:rFonts w:ascii="Times New Roman"/>
                <w:sz w:val="18"/>
              </w:rPr>
            </w:pPr>
          </w:p>
        </w:tc>
      </w:tr>
      <w:tr w:rsidR="006A18FD">
        <w:trPr>
          <w:trHeight w:val="480"/>
        </w:trPr>
        <w:tc>
          <w:tcPr>
            <w:tcW w:w="3156" w:type="dxa"/>
          </w:tcPr>
          <w:p w:rsidR="006A18FD" w:rsidRDefault="002D29FC">
            <w:pPr>
              <w:spacing w:before="1" w:line="243" w:lineRule="exact"/>
              <w:ind w:left="102"/>
              <w:rPr>
                <w:rFonts w:ascii="Calibri"/>
                <w:sz w:val="20"/>
              </w:rPr>
            </w:pPr>
            <w:r>
              <w:rPr>
                <w:rFonts w:ascii="Calibri"/>
                <w:sz w:val="20"/>
              </w:rPr>
              <w:t>Management, admin and estates</w:t>
            </w:r>
          </w:p>
          <w:p w:rsidR="006A18FD" w:rsidRDefault="002D29FC">
            <w:pPr>
              <w:spacing w:line="222" w:lineRule="exact"/>
              <w:ind w:left="102"/>
              <w:rPr>
                <w:rFonts w:ascii="Calibri"/>
                <w:sz w:val="20"/>
              </w:rPr>
            </w:pPr>
            <w:r>
              <w:rPr>
                <w:rFonts w:ascii="Calibri"/>
                <w:sz w:val="20"/>
              </w:rPr>
              <w:t>staff</w:t>
            </w:r>
          </w:p>
        </w:tc>
        <w:tc>
          <w:tcPr>
            <w:tcW w:w="1532" w:type="dxa"/>
          </w:tcPr>
          <w:p w:rsidR="006A18FD" w:rsidRDefault="006A18FD">
            <w:pPr>
              <w:spacing w:before="11"/>
              <w:rPr>
                <w:rFonts w:ascii="Calibri"/>
                <w:sz w:val="19"/>
              </w:rPr>
            </w:pPr>
          </w:p>
          <w:p w:rsidR="006A18FD" w:rsidRDefault="002D29FC">
            <w:pPr>
              <w:spacing w:before="1" w:line="223" w:lineRule="exact"/>
              <w:ind w:left="165" w:right="165"/>
              <w:jc w:val="center"/>
              <w:rPr>
                <w:rFonts w:ascii="Calibri" w:hAnsi="Calibri"/>
                <w:sz w:val="20"/>
              </w:rPr>
            </w:pPr>
            <w:r>
              <w:rPr>
                <w:rFonts w:ascii="Calibri" w:hAnsi="Calibri"/>
                <w:sz w:val="20"/>
              </w:rPr>
              <w:t>£8,117</w:t>
            </w:r>
          </w:p>
        </w:tc>
        <w:tc>
          <w:tcPr>
            <w:tcW w:w="1531" w:type="dxa"/>
          </w:tcPr>
          <w:p w:rsidR="006A18FD" w:rsidRDefault="006A18FD">
            <w:pPr>
              <w:spacing w:before="11"/>
              <w:rPr>
                <w:rFonts w:ascii="Calibri"/>
                <w:sz w:val="19"/>
              </w:rPr>
            </w:pPr>
          </w:p>
          <w:p w:rsidR="006A18FD" w:rsidRDefault="002D29FC">
            <w:pPr>
              <w:spacing w:before="1" w:line="223" w:lineRule="exact"/>
              <w:ind w:left="382" w:right="382"/>
              <w:jc w:val="center"/>
              <w:rPr>
                <w:rFonts w:ascii="Calibri" w:hAnsi="Calibri"/>
                <w:sz w:val="20"/>
              </w:rPr>
            </w:pPr>
            <w:r>
              <w:rPr>
                <w:rFonts w:ascii="Calibri" w:hAnsi="Calibri"/>
                <w:sz w:val="20"/>
              </w:rPr>
              <w:t>£9,381</w:t>
            </w:r>
          </w:p>
        </w:tc>
        <w:tc>
          <w:tcPr>
            <w:tcW w:w="1532" w:type="dxa"/>
          </w:tcPr>
          <w:p w:rsidR="006A18FD" w:rsidRDefault="006A18FD">
            <w:pPr>
              <w:spacing w:before="11"/>
              <w:rPr>
                <w:rFonts w:ascii="Calibri"/>
                <w:sz w:val="19"/>
              </w:rPr>
            </w:pPr>
          </w:p>
          <w:p w:rsidR="006A18FD" w:rsidRDefault="002D29FC">
            <w:pPr>
              <w:spacing w:before="1" w:line="223" w:lineRule="exact"/>
              <w:ind w:left="292" w:right="292"/>
              <w:jc w:val="center"/>
              <w:rPr>
                <w:rFonts w:ascii="Calibri" w:hAnsi="Calibri"/>
                <w:sz w:val="20"/>
              </w:rPr>
            </w:pPr>
            <w:r>
              <w:rPr>
                <w:rFonts w:ascii="Calibri" w:hAnsi="Calibri"/>
                <w:sz w:val="20"/>
              </w:rPr>
              <w:t>£13,106</w:t>
            </w:r>
          </w:p>
        </w:tc>
        <w:tc>
          <w:tcPr>
            <w:tcW w:w="1531" w:type="dxa"/>
          </w:tcPr>
          <w:p w:rsidR="006A18FD" w:rsidRDefault="006A18FD">
            <w:pPr>
              <w:spacing w:before="11"/>
              <w:rPr>
                <w:rFonts w:ascii="Calibri"/>
                <w:sz w:val="19"/>
              </w:rPr>
            </w:pPr>
          </w:p>
          <w:p w:rsidR="006A18FD" w:rsidRDefault="002D29FC">
            <w:pPr>
              <w:spacing w:before="1" w:line="223" w:lineRule="exact"/>
              <w:ind w:left="382" w:right="383"/>
              <w:jc w:val="center"/>
              <w:rPr>
                <w:rFonts w:ascii="Calibri" w:hAnsi="Calibri"/>
                <w:sz w:val="20"/>
              </w:rPr>
            </w:pPr>
            <w:r>
              <w:rPr>
                <w:rFonts w:ascii="Calibri" w:hAnsi="Calibri"/>
                <w:sz w:val="20"/>
              </w:rPr>
              <w:t>£25,787</w:t>
            </w:r>
          </w:p>
        </w:tc>
        <w:tc>
          <w:tcPr>
            <w:tcW w:w="1532" w:type="dxa"/>
          </w:tcPr>
          <w:p w:rsidR="006A18FD" w:rsidRDefault="006A18FD">
            <w:pPr>
              <w:spacing w:before="11"/>
              <w:rPr>
                <w:rFonts w:ascii="Calibri"/>
                <w:sz w:val="19"/>
              </w:rPr>
            </w:pPr>
          </w:p>
          <w:p w:rsidR="006A18FD" w:rsidRDefault="002D29FC">
            <w:pPr>
              <w:spacing w:before="1" w:line="223" w:lineRule="exact"/>
              <w:ind w:left="165" w:right="165"/>
              <w:jc w:val="center"/>
              <w:rPr>
                <w:rFonts w:ascii="Calibri" w:hAnsi="Calibri"/>
                <w:sz w:val="20"/>
              </w:rPr>
            </w:pPr>
            <w:r>
              <w:rPr>
                <w:rFonts w:ascii="Calibri" w:hAnsi="Calibri"/>
                <w:sz w:val="20"/>
              </w:rPr>
              <w:t>£28,247</w:t>
            </w:r>
          </w:p>
        </w:tc>
        <w:tc>
          <w:tcPr>
            <w:tcW w:w="1586" w:type="dxa"/>
          </w:tcPr>
          <w:p w:rsidR="006A18FD" w:rsidRDefault="006A18FD">
            <w:pPr>
              <w:spacing w:before="11"/>
              <w:rPr>
                <w:rFonts w:ascii="Calibri"/>
                <w:sz w:val="19"/>
              </w:rPr>
            </w:pPr>
          </w:p>
          <w:p w:rsidR="006A18FD" w:rsidRDefault="002D29FC">
            <w:pPr>
              <w:spacing w:before="1" w:line="223" w:lineRule="exact"/>
              <w:ind w:left="192" w:right="194"/>
              <w:jc w:val="center"/>
              <w:rPr>
                <w:rFonts w:ascii="Calibri" w:hAnsi="Calibri"/>
                <w:sz w:val="20"/>
              </w:rPr>
            </w:pPr>
            <w:r>
              <w:rPr>
                <w:rFonts w:ascii="Calibri" w:hAnsi="Calibri"/>
                <w:sz w:val="20"/>
              </w:rPr>
              <w:t>£28,108</w:t>
            </w:r>
          </w:p>
        </w:tc>
        <w:tc>
          <w:tcPr>
            <w:tcW w:w="1702" w:type="dxa"/>
          </w:tcPr>
          <w:p w:rsidR="006A18FD" w:rsidRDefault="006A18FD">
            <w:pPr>
              <w:spacing w:before="11"/>
              <w:rPr>
                <w:rFonts w:ascii="Calibri"/>
                <w:sz w:val="19"/>
              </w:rPr>
            </w:pPr>
          </w:p>
          <w:p w:rsidR="006A18FD" w:rsidRDefault="002D29FC">
            <w:pPr>
              <w:spacing w:before="1" w:line="223" w:lineRule="exact"/>
              <w:ind w:left="467" w:right="469"/>
              <w:jc w:val="center"/>
              <w:rPr>
                <w:rFonts w:ascii="Calibri" w:hAnsi="Calibri"/>
                <w:sz w:val="20"/>
              </w:rPr>
            </w:pPr>
            <w:r>
              <w:rPr>
                <w:rFonts w:ascii="Calibri" w:hAnsi="Calibri"/>
                <w:sz w:val="20"/>
              </w:rPr>
              <w:t>£28,598</w:t>
            </w:r>
          </w:p>
        </w:tc>
      </w:tr>
      <w:tr w:rsidR="006A18FD">
        <w:trPr>
          <w:trHeight w:val="240"/>
        </w:trPr>
        <w:tc>
          <w:tcPr>
            <w:tcW w:w="3156" w:type="dxa"/>
          </w:tcPr>
          <w:p w:rsidR="006A18FD" w:rsidRDefault="002D29FC">
            <w:pPr>
              <w:spacing w:before="13" w:line="223" w:lineRule="exact"/>
              <w:ind w:left="102"/>
              <w:rPr>
                <w:rFonts w:ascii="Calibri"/>
                <w:sz w:val="20"/>
              </w:rPr>
            </w:pPr>
            <w:r>
              <w:rPr>
                <w:rFonts w:ascii="Calibri"/>
                <w:sz w:val="20"/>
              </w:rPr>
              <w:t>Non-staff</w:t>
            </w:r>
          </w:p>
        </w:tc>
        <w:tc>
          <w:tcPr>
            <w:tcW w:w="1532" w:type="dxa"/>
          </w:tcPr>
          <w:p w:rsidR="006A18FD" w:rsidRDefault="002D29FC">
            <w:pPr>
              <w:spacing w:before="13" w:line="223" w:lineRule="exact"/>
              <w:ind w:left="165" w:right="165"/>
              <w:jc w:val="center"/>
              <w:rPr>
                <w:rFonts w:ascii="Calibri" w:hAnsi="Calibri"/>
                <w:sz w:val="20"/>
              </w:rPr>
            </w:pPr>
            <w:r>
              <w:rPr>
                <w:rFonts w:ascii="Calibri" w:hAnsi="Calibri"/>
                <w:sz w:val="20"/>
              </w:rPr>
              <w:t>£14,456</w:t>
            </w:r>
          </w:p>
        </w:tc>
        <w:tc>
          <w:tcPr>
            <w:tcW w:w="1531" w:type="dxa"/>
          </w:tcPr>
          <w:p w:rsidR="006A18FD" w:rsidRDefault="002D29FC">
            <w:pPr>
              <w:spacing w:before="13" w:line="223" w:lineRule="exact"/>
              <w:ind w:left="382" w:right="383"/>
              <w:jc w:val="center"/>
              <w:rPr>
                <w:rFonts w:ascii="Calibri" w:hAnsi="Calibri"/>
                <w:sz w:val="20"/>
              </w:rPr>
            </w:pPr>
            <w:r>
              <w:rPr>
                <w:rFonts w:ascii="Calibri" w:hAnsi="Calibri"/>
                <w:sz w:val="20"/>
              </w:rPr>
              <w:t>£16,707</w:t>
            </w:r>
          </w:p>
        </w:tc>
        <w:tc>
          <w:tcPr>
            <w:tcW w:w="1532" w:type="dxa"/>
          </w:tcPr>
          <w:p w:rsidR="006A18FD" w:rsidRDefault="002D29FC">
            <w:pPr>
              <w:spacing w:before="13" w:line="223" w:lineRule="exact"/>
              <w:ind w:left="292" w:right="292"/>
              <w:jc w:val="center"/>
              <w:rPr>
                <w:rFonts w:ascii="Calibri" w:hAnsi="Calibri"/>
                <w:sz w:val="20"/>
              </w:rPr>
            </w:pPr>
            <w:r>
              <w:rPr>
                <w:rFonts w:ascii="Calibri" w:hAnsi="Calibri"/>
                <w:sz w:val="20"/>
              </w:rPr>
              <w:t>£23,341</w:t>
            </w:r>
          </w:p>
        </w:tc>
        <w:tc>
          <w:tcPr>
            <w:tcW w:w="1531" w:type="dxa"/>
          </w:tcPr>
          <w:p w:rsidR="006A18FD" w:rsidRDefault="002D29FC">
            <w:pPr>
              <w:spacing w:before="13" w:line="223" w:lineRule="exact"/>
              <w:ind w:left="382" w:right="383"/>
              <w:jc w:val="center"/>
              <w:rPr>
                <w:rFonts w:ascii="Calibri" w:hAnsi="Calibri"/>
                <w:sz w:val="20"/>
              </w:rPr>
            </w:pPr>
            <w:r>
              <w:rPr>
                <w:rFonts w:ascii="Calibri" w:hAnsi="Calibri"/>
                <w:sz w:val="20"/>
              </w:rPr>
              <w:t>£45,926</w:t>
            </w:r>
          </w:p>
        </w:tc>
        <w:tc>
          <w:tcPr>
            <w:tcW w:w="1532" w:type="dxa"/>
          </w:tcPr>
          <w:p w:rsidR="006A18FD" w:rsidRDefault="002D29FC">
            <w:pPr>
              <w:spacing w:before="13" w:line="223" w:lineRule="exact"/>
              <w:ind w:left="165" w:right="165"/>
              <w:jc w:val="center"/>
              <w:rPr>
                <w:rFonts w:ascii="Calibri" w:hAnsi="Calibri"/>
                <w:sz w:val="20"/>
              </w:rPr>
            </w:pPr>
            <w:r>
              <w:rPr>
                <w:rFonts w:ascii="Calibri" w:hAnsi="Calibri"/>
                <w:sz w:val="20"/>
              </w:rPr>
              <w:t>£50,308</w:t>
            </w:r>
          </w:p>
        </w:tc>
        <w:tc>
          <w:tcPr>
            <w:tcW w:w="1586" w:type="dxa"/>
          </w:tcPr>
          <w:p w:rsidR="006A18FD" w:rsidRDefault="002D29FC">
            <w:pPr>
              <w:spacing w:before="13" w:line="223" w:lineRule="exact"/>
              <w:ind w:left="192" w:right="194"/>
              <w:jc w:val="center"/>
              <w:rPr>
                <w:rFonts w:ascii="Calibri" w:hAnsi="Calibri"/>
                <w:sz w:val="20"/>
              </w:rPr>
            </w:pPr>
            <w:r>
              <w:rPr>
                <w:rFonts w:ascii="Calibri" w:hAnsi="Calibri"/>
                <w:sz w:val="20"/>
              </w:rPr>
              <w:t>£50,061</w:t>
            </w:r>
          </w:p>
        </w:tc>
        <w:tc>
          <w:tcPr>
            <w:tcW w:w="1702" w:type="dxa"/>
          </w:tcPr>
          <w:p w:rsidR="006A18FD" w:rsidRDefault="002D29FC">
            <w:pPr>
              <w:spacing w:before="13" w:line="223" w:lineRule="exact"/>
              <w:ind w:left="467" w:right="469"/>
              <w:jc w:val="center"/>
              <w:rPr>
                <w:rFonts w:ascii="Calibri" w:hAnsi="Calibri"/>
                <w:sz w:val="20"/>
              </w:rPr>
            </w:pPr>
            <w:r>
              <w:rPr>
                <w:rFonts w:ascii="Calibri" w:hAnsi="Calibri"/>
                <w:sz w:val="20"/>
              </w:rPr>
              <w:t>£50,932</w:t>
            </w:r>
          </w:p>
        </w:tc>
      </w:tr>
      <w:tr w:rsidR="006A18FD">
        <w:trPr>
          <w:trHeight w:val="240"/>
        </w:trPr>
        <w:tc>
          <w:tcPr>
            <w:tcW w:w="3156"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31" w:type="dxa"/>
          </w:tcPr>
          <w:p w:rsidR="006A18FD" w:rsidRDefault="006A18FD">
            <w:pPr>
              <w:rPr>
                <w:rFonts w:ascii="Times New Roman"/>
                <w:sz w:val="18"/>
              </w:rPr>
            </w:pPr>
          </w:p>
        </w:tc>
        <w:tc>
          <w:tcPr>
            <w:tcW w:w="1532" w:type="dxa"/>
          </w:tcPr>
          <w:p w:rsidR="006A18FD" w:rsidRDefault="006A18FD">
            <w:pPr>
              <w:rPr>
                <w:rFonts w:ascii="Times New Roman"/>
                <w:sz w:val="18"/>
              </w:rPr>
            </w:pPr>
          </w:p>
        </w:tc>
        <w:tc>
          <w:tcPr>
            <w:tcW w:w="1586" w:type="dxa"/>
          </w:tcPr>
          <w:p w:rsidR="006A18FD" w:rsidRDefault="006A18FD">
            <w:pPr>
              <w:rPr>
                <w:rFonts w:ascii="Times New Roman"/>
                <w:sz w:val="18"/>
              </w:rPr>
            </w:pPr>
          </w:p>
        </w:tc>
        <w:tc>
          <w:tcPr>
            <w:tcW w:w="1702" w:type="dxa"/>
          </w:tcPr>
          <w:p w:rsidR="006A18FD" w:rsidRDefault="006A18FD">
            <w:pPr>
              <w:rPr>
                <w:rFonts w:ascii="Times New Roman"/>
                <w:sz w:val="18"/>
              </w:rPr>
            </w:pPr>
          </w:p>
        </w:tc>
      </w:tr>
      <w:tr w:rsidR="006A18FD">
        <w:trPr>
          <w:trHeight w:val="240"/>
        </w:trPr>
        <w:tc>
          <w:tcPr>
            <w:tcW w:w="3156" w:type="dxa"/>
          </w:tcPr>
          <w:p w:rsidR="006A18FD" w:rsidRDefault="002D29FC">
            <w:pPr>
              <w:spacing w:before="11" w:line="223" w:lineRule="exact"/>
              <w:ind w:left="102"/>
              <w:rPr>
                <w:rFonts w:ascii="Calibri"/>
                <w:b/>
                <w:sz w:val="20"/>
              </w:rPr>
            </w:pPr>
            <w:r>
              <w:rPr>
                <w:rFonts w:ascii="Calibri"/>
                <w:b/>
                <w:sz w:val="20"/>
              </w:rPr>
              <w:t>D Capital overheads</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£4,737</w:t>
            </w:r>
          </w:p>
        </w:tc>
        <w:tc>
          <w:tcPr>
            <w:tcW w:w="1531" w:type="dxa"/>
          </w:tcPr>
          <w:p w:rsidR="006A18FD" w:rsidRDefault="002D29FC">
            <w:pPr>
              <w:spacing w:before="11" w:line="223" w:lineRule="exact"/>
              <w:ind w:left="382" w:right="382"/>
              <w:jc w:val="center"/>
              <w:rPr>
                <w:rFonts w:ascii="Calibri" w:hAnsi="Calibri"/>
                <w:sz w:val="20"/>
              </w:rPr>
            </w:pPr>
            <w:r>
              <w:rPr>
                <w:rFonts w:ascii="Calibri" w:hAnsi="Calibri"/>
                <w:sz w:val="20"/>
              </w:rPr>
              <w:t>£4,737</w:t>
            </w:r>
          </w:p>
        </w:tc>
        <w:tc>
          <w:tcPr>
            <w:tcW w:w="1532" w:type="dxa"/>
          </w:tcPr>
          <w:p w:rsidR="006A18FD" w:rsidRDefault="002D29FC">
            <w:pPr>
              <w:spacing w:before="11" w:line="223" w:lineRule="exact"/>
              <w:ind w:left="292" w:right="292"/>
              <w:jc w:val="center"/>
              <w:rPr>
                <w:rFonts w:ascii="Calibri" w:hAnsi="Calibri"/>
                <w:sz w:val="20"/>
              </w:rPr>
            </w:pPr>
            <w:r>
              <w:rPr>
                <w:rFonts w:ascii="Calibri" w:hAnsi="Calibri"/>
                <w:sz w:val="20"/>
              </w:rPr>
              <w:t>£4,737</w:t>
            </w:r>
          </w:p>
        </w:tc>
        <w:tc>
          <w:tcPr>
            <w:tcW w:w="1531" w:type="dxa"/>
          </w:tcPr>
          <w:p w:rsidR="006A18FD" w:rsidRDefault="002D29FC">
            <w:pPr>
              <w:spacing w:before="11" w:line="223" w:lineRule="exact"/>
              <w:ind w:left="382" w:right="382"/>
              <w:jc w:val="center"/>
              <w:rPr>
                <w:rFonts w:ascii="Calibri" w:hAnsi="Calibri"/>
                <w:sz w:val="20"/>
              </w:rPr>
            </w:pPr>
            <w:r>
              <w:rPr>
                <w:rFonts w:ascii="Calibri" w:hAnsi="Calibri"/>
                <w:sz w:val="20"/>
              </w:rPr>
              <w:t>£4,737</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£6,149</w:t>
            </w:r>
          </w:p>
        </w:tc>
        <w:tc>
          <w:tcPr>
            <w:tcW w:w="1586" w:type="dxa"/>
          </w:tcPr>
          <w:p w:rsidR="006A18FD" w:rsidRDefault="002D29FC">
            <w:pPr>
              <w:spacing w:before="11" w:line="223" w:lineRule="exact"/>
              <w:ind w:left="192" w:right="194"/>
              <w:jc w:val="center"/>
              <w:rPr>
                <w:rFonts w:ascii="Calibri" w:hAnsi="Calibri"/>
                <w:sz w:val="20"/>
              </w:rPr>
            </w:pPr>
            <w:r>
              <w:rPr>
                <w:rFonts w:ascii="Calibri" w:hAnsi="Calibri"/>
                <w:sz w:val="20"/>
              </w:rPr>
              <w:t>£6,149</w:t>
            </w:r>
          </w:p>
        </w:tc>
        <w:tc>
          <w:tcPr>
            <w:tcW w:w="1702" w:type="dxa"/>
          </w:tcPr>
          <w:p w:rsidR="006A18FD" w:rsidRDefault="002D29FC">
            <w:pPr>
              <w:spacing w:before="11" w:line="223" w:lineRule="exact"/>
              <w:ind w:left="467" w:right="469"/>
              <w:jc w:val="center"/>
              <w:rPr>
                <w:rFonts w:ascii="Calibri" w:hAnsi="Calibri"/>
                <w:sz w:val="20"/>
              </w:rPr>
            </w:pPr>
            <w:r>
              <w:rPr>
                <w:rFonts w:ascii="Calibri" w:hAnsi="Calibri"/>
                <w:sz w:val="20"/>
              </w:rPr>
              <w:t>£6,149</w:t>
            </w:r>
          </w:p>
        </w:tc>
      </w:tr>
      <w:tr w:rsidR="006A18FD">
        <w:trPr>
          <w:trHeight w:val="1220"/>
        </w:trPr>
        <w:tc>
          <w:tcPr>
            <w:tcW w:w="3156" w:type="dxa"/>
          </w:tcPr>
          <w:p w:rsidR="006A18FD" w:rsidRDefault="002D29FC">
            <w:pPr>
              <w:spacing w:before="1"/>
              <w:ind w:left="102"/>
              <w:rPr>
                <w:rFonts w:ascii="Calibri"/>
                <w:b/>
                <w:sz w:val="20"/>
              </w:rPr>
            </w:pPr>
            <w:r>
              <w:rPr>
                <w:rFonts w:ascii="Calibri"/>
                <w:b/>
                <w:sz w:val="20"/>
              </w:rPr>
              <w:t>E Working time</w:t>
            </w:r>
          </w:p>
        </w:tc>
        <w:tc>
          <w:tcPr>
            <w:tcW w:w="1532" w:type="dxa"/>
          </w:tcPr>
          <w:p w:rsidR="006A18FD" w:rsidRDefault="002D29FC">
            <w:pPr>
              <w:spacing w:before="1"/>
              <w:ind w:left="218" w:firstLine="86"/>
              <w:rPr>
                <w:rFonts w:ascii="Calibri"/>
                <w:sz w:val="20"/>
              </w:rPr>
            </w:pPr>
            <w:r>
              <w:rPr>
                <w:rFonts w:ascii="Calibri"/>
                <w:sz w:val="20"/>
              </w:rPr>
              <w:t>44.5 weeks (2,137 hours)</w:t>
            </w:r>
          </w:p>
          <w:p w:rsidR="006A18FD" w:rsidRDefault="002D29FC">
            <w:pPr>
              <w:ind w:left="244" w:right="226" w:firstLine="177"/>
              <w:rPr>
                <w:rFonts w:ascii="Calibri"/>
                <w:sz w:val="20"/>
              </w:rPr>
            </w:pPr>
            <w:r>
              <w:rPr>
                <w:rFonts w:ascii="Calibri"/>
                <w:sz w:val="20"/>
              </w:rPr>
              <w:t>per year 48 hours per</w:t>
            </w:r>
          </w:p>
          <w:p w:rsidR="006A18FD" w:rsidRDefault="002D29FC">
            <w:pPr>
              <w:spacing w:line="221" w:lineRule="exact"/>
              <w:ind w:left="165" w:right="166"/>
              <w:jc w:val="center"/>
              <w:rPr>
                <w:rFonts w:ascii="Calibri"/>
                <w:sz w:val="20"/>
              </w:rPr>
            </w:pPr>
            <w:r>
              <w:rPr>
                <w:rFonts w:ascii="Calibri"/>
                <w:sz w:val="20"/>
              </w:rPr>
              <w:t>week</w:t>
            </w:r>
          </w:p>
        </w:tc>
        <w:tc>
          <w:tcPr>
            <w:tcW w:w="1531" w:type="dxa"/>
          </w:tcPr>
          <w:p w:rsidR="006A18FD" w:rsidRDefault="002D29FC">
            <w:pPr>
              <w:spacing w:before="1"/>
              <w:ind w:left="218" w:firstLine="86"/>
              <w:rPr>
                <w:rFonts w:ascii="Calibri"/>
                <w:sz w:val="20"/>
              </w:rPr>
            </w:pPr>
            <w:r>
              <w:rPr>
                <w:rFonts w:ascii="Calibri"/>
                <w:sz w:val="20"/>
              </w:rPr>
              <w:t>44.5 weeks (2,137 hours)</w:t>
            </w:r>
          </w:p>
          <w:p w:rsidR="006A18FD" w:rsidRDefault="002D29FC">
            <w:pPr>
              <w:ind w:left="244" w:right="226" w:firstLine="177"/>
              <w:rPr>
                <w:rFonts w:ascii="Calibri"/>
                <w:sz w:val="20"/>
              </w:rPr>
            </w:pPr>
            <w:r>
              <w:rPr>
                <w:rFonts w:ascii="Calibri"/>
                <w:sz w:val="20"/>
              </w:rPr>
              <w:t>per year 48 hours per</w:t>
            </w:r>
          </w:p>
          <w:p w:rsidR="006A18FD" w:rsidRDefault="002D29FC">
            <w:pPr>
              <w:spacing w:line="221" w:lineRule="exact"/>
              <w:ind w:left="382" w:right="382"/>
              <w:jc w:val="center"/>
              <w:rPr>
                <w:rFonts w:ascii="Calibri"/>
                <w:sz w:val="20"/>
              </w:rPr>
            </w:pPr>
            <w:r>
              <w:rPr>
                <w:rFonts w:ascii="Calibri"/>
                <w:sz w:val="20"/>
              </w:rPr>
              <w:t>week</w:t>
            </w:r>
          </w:p>
        </w:tc>
        <w:tc>
          <w:tcPr>
            <w:tcW w:w="1532" w:type="dxa"/>
          </w:tcPr>
          <w:p w:rsidR="006A18FD" w:rsidRDefault="002D29FC">
            <w:pPr>
              <w:spacing w:before="1"/>
              <w:ind w:left="218" w:firstLine="86"/>
              <w:rPr>
                <w:rFonts w:ascii="Calibri"/>
                <w:sz w:val="20"/>
              </w:rPr>
            </w:pPr>
            <w:r>
              <w:rPr>
                <w:rFonts w:ascii="Calibri"/>
                <w:sz w:val="20"/>
              </w:rPr>
              <w:t>42.4 weeks (2,038 hours)</w:t>
            </w:r>
          </w:p>
          <w:p w:rsidR="006A18FD" w:rsidRDefault="002D29FC">
            <w:pPr>
              <w:ind w:left="244" w:right="226" w:firstLine="177"/>
              <w:rPr>
                <w:rFonts w:ascii="Calibri"/>
                <w:sz w:val="20"/>
              </w:rPr>
            </w:pPr>
            <w:r>
              <w:rPr>
                <w:rFonts w:ascii="Calibri"/>
                <w:sz w:val="20"/>
              </w:rPr>
              <w:t>per year 48 hours per</w:t>
            </w:r>
          </w:p>
          <w:p w:rsidR="006A18FD" w:rsidRDefault="002D29FC">
            <w:pPr>
              <w:spacing w:line="221" w:lineRule="exact"/>
              <w:ind w:left="291" w:right="292"/>
              <w:jc w:val="center"/>
              <w:rPr>
                <w:rFonts w:ascii="Calibri"/>
                <w:sz w:val="20"/>
              </w:rPr>
            </w:pPr>
            <w:r>
              <w:rPr>
                <w:rFonts w:ascii="Calibri"/>
                <w:sz w:val="20"/>
              </w:rPr>
              <w:t>week</w:t>
            </w:r>
          </w:p>
        </w:tc>
        <w:tc>
          <w:tcPr>
            <w:tcW w:w="1531" w:type="dxa"/>
          </w:tcPr>
          <w:p w:rsidR="006A18FD" w:rsidRDefault="002D29FC">
            <w:pPr>
              <w:spacing w:before="1"/>
              <w:ind w:left="218" w:firstLine="86"/>
              <w:rPr>
                <w:rFonts w:ascii="Calibri"/>
                <w:sz w:val="20"/>
              </w:rPr>
            </w:pPr>
            <w:r>
              <w:rPr>
                <w:rFonts w:ascii="Calibri"/>
                <w:sz w:val="20"/>
              </w:rPr>
              <w:t>42.5 weeks (1,701 hours)</w:t>
            </w:r>
          </w:p>
          <w:p w:rsidR="006A18FD" w:rsidRDefault="002D29FC">
            <w:pPr>
              <w:ind w:left="244" w:right="226" w:firstLine="177"/>
              <w:rPr>
                <w:rFonts w:ascii="Calibri"/>
                <w:sz w:val="20"/>
              </w:rPr>
            </w:pPr>
            <w:r>
              <w:rPr>
                <w:rFonts w:ascii="Calibri"/>
                <w:sz w:val="20"/>
              </w:rPr>
              <w:t>per year 40 hours per</w:t>
            </w:r>
          </w:p>
          <w:p w:rsidR="006A18FD" w:rsidRDefault="002D29FC">
            <w:pPr>
              <w:spacing w:line="221" w:lineRule="exact"/>
              <w:ind w:left="382" w:right="382"/>
              <w:jc w:val="center"/>
              <w:rPr>
                <w:rFonts w:ascii="Calibri"/>
                <w:sz w:val="20"/>
              </w:rPr>
            </w:pPr>
            <w:r>
              <w:rPr>
                <w:rFonts w:ascii="Calibri"/>
                <w:sz w:val="20"/>
              </w:rPr>
              <w:t>week</w:t>
            </w:r>
          </w:p>
        </w:tc>
        <w:tc>
          <w:tcPr>
            <w:tcW w:w="1532" w:type="dxa"/>
          </w:tcPr>
          <w:p w:rsidR="006A18FD" w:rsidRDefault="002D29FC">
            <w:pPr>
              <w:spacing w:before="1"/>
              <w:ind w:left="218" w:firstLine="86"/>
              <w:rPr>
                <w:rFonts w:ascii="Calibri"/>
                <w:sz w:val="20"/>
              </w:rPr>
            </w:pPr>
            <w:r>
              <w:rPr>
                <w:rFonts w:ascii="Calibri"/>
                <w:sz w:val="20"/>
              </w:rPr>
              <w:t>42.5 weeks (1,841 hours)</w:t>
            </w:r>
          </w:p>
          <w:p w:rsidR="006A18FD" w:rsidRDefault="002D29FC">
            <w:pPr>
              <w:ind w:left="165" w:right="167"/>
              <w:jc w:val="center"/>
              <w:rPr>
                <w:rFonts w:ascii="Calibri"/>
                <w:sz w:val="20"/>
              </w:rPr>
            </w:pPr>
            <w:r>
              <w:rPr>
                <w:rFonts w:ascii="Calibri"/>
                <w:sz w:val="20"/>
              </w:rPr>
              <w:t>per year</w:t>
            </w:r>
          </w:p>
          <w:p w:rsidR="006A18FD" w:rsidRDefault="002D29FC">
            <w:pPr>
              <w:spacing w:line="243" w:lineRule="exact"/>
              <w:ind w:left="167"/>
              <w:rPr>
                <w:rFonts w:ascii="Calibri"/>
                <w:sz w:val="20"/>
              </w:rPr>
            </w:pPr>
            <w:r>
              <w:rPr>
                <w:rFonts w:ascii="Calibri"/>
                <w:sz w:val="20"/>
              </w:rPr>
              <w:t>43.3 hours per</w:t>
            </w:r>
          </w:p>
          <w:p w:rsidR="006A18FD" w:rsidRDefault="002D29FC">
            <w:pPr>
              <w:spacing w:line="222" w:lineRule="exact"/>
              <w:ind w:left="165" w:right="166"/>
              <w:jc w:val="center"/>
              <w:rPr>
                <w:rFonts w:ascii="Calibri"/>
                <w:sz w:val="20"/>
              </w:rPr>
            </w:pPr>
            <w:r>
              <w:rPr>
                <w:rFonts w:ascii="Calibri"/>
                <w:sz w:val="20"/>
              </w:rPr>
              <w:t>week</w:t>
            </w:r>
          </w:p>
        </w:tc>
        <w:tc>
          <w:tcPr>
            <w:tcW w:w="1586" w:type="dxa"/>
          </w:tcPr>
          <w:p w:rsidR="006A18FD" w:rsidRDefault="002D29FC">
            <w:pPr>
              <w:spacing w:before="1"/>
              <w:ind w:left="244" w:firstLine="86"/>
              <w:rPr>
                <w:rFonts w:ascii="Calibri"/>
                <w:sz w:val="20"/>
              </w:rPr>
            </w:pPr>
            <w:r>
              <w:rPr>
                <w:rFonts w:ascii="Calibri"/>
                <w:sz w:val="20"/>
              </w:rPr>
              <w:t>42.5 weeks (1,841 hours)</w:t>
            </w:r>
          </w:p>
          <w:p w:rsidR="006A18FD" w:rsidRDefault="002D29FC">
            <w:pPr>
              <w:ind w:left="193" w:right="194"/>
              <w:jc w:val="center"/>
              <w:rPr>
                <w:rFonts w:ascii="Calibri"/>
                <w:sz w:val="20"/>
              </w:rPr>
            </w:pPr>
            <w:r>
              <w:rPr>
                <w:rFonts w:ascii="Calibri"/>
                <w:sz w:val="20"/>
              </w:rPr>
              <w:t>per year</w:t>
            </w:r>
          </w:p>
          <w:p w:rsidR="006A18FD" w:rsidRDefault="002D29FC">
            <w:pPr>
              <w:spacing w:line="243" w:lineRule="exact"/>
              <w:ind w:left="196"/>
              <w:rPr>
                <w:rFonts w:ascii="Calibri"/>
                <w:sz w:val="20"/>
              </w:rPr>
            </w:pPr>
            <w:r>
              <w:rPr>
                <w:rFonts w:ascii="Calibri"/>
                <w:sz w:val="20"/>
              </w:rPr>
              <w:t>43.3 hours per</w:t>
            </w:r>
          </w:p>
          <w:p w:rsidR="006A18FD" w:rsidRDefault="002D29FC">
            <w:pPr>
              <w:spacing w:line="222" w:lineRule="exact"/>
              <w:ind w:left="193" w:right="194"/>
              <w:jc w:val="center"/>
              <w:rPr>
                <w:rFonts w:ascii="Calibri"/>
                <w:sz w:val="20"/>
              </w:rPr>
            </w:pPr>
            <w:r>
              <w:rPr>
                <w:rFonts w:ascii="Calibri"/>
                <w:sz w:val="20"/>
              </w:rPr>
              <w:t>week</w:t>
            </w:r>
          </w:p>
        </w:tc>
        <w:tc>
          <w:tcPr>
            <w:tcW w:w="1702" w:type="dxa"/>
          </w:tcPr>
          <w:p w:rsidR="006A18FD" w:rsidRDefault="002D29FC">
            <w:pPr>
              <w:spacing w:before="1"/>
              <w:ind w:left="302" w:firstLine="86"/>
              <w:rPr>
                <w:rFonts w:ascii="Calibri"/>
                <w:sz w:val="20"/>
              </w:rPr>
            </w:pPr>
            <w:r>
              <w:rPr>
                <w:rFonts w:ascii="Calibri"/>
                <w:sz w:val="20"/>
              </w:rPr>
              <w:t>42.5 weeks (1,841 hours)</w:t>
            </w:r>
          </w:p>
          <w:p w:rsidR="006A18FD" w:rsidRDefault="002D29FC">
            <w:pPr>
              <w:ind w:left="468" w:right="469"/>
              <w:jc w:val="center"/>
              <w:rPr>
                <w:rFonts w:ascii="Calibri"/>
                <w:sz w:val="20"/>
              </w:rPr>
            </w:pPr>
            <w:r>
              <w:rPr>
                <w:rFonts w:ascii="Calibri"/>
                <w:sz w:val="20"/>
              </w:rPr>
              <w:t>per year</w:t>
            </w:r>
          </w:p>
          <w:p w:rsidR="006A18FD" w:rsidRDefault="002D29FC">
            <w:pPr>
              <w:spacing w:line="243" w:lineRule="exact"/>
              <w:ind w:left="254"/>
              <w:rPr>
                <w:rFonts w:ascii="Calibri"/>
                <w:sz w:val="20"/>
              </w:rPr>
            </w:pPr>
            <w:r>
              <w:rPr>
                <w:rFonts w:ascii="Calibri"/>
                <w:sz w:val="20"/>
              </w:rPr>
              <w:t>43.3 hours per</w:t>
            </w:r>
          </w:p>
          <w:p w:rsidR="006A18FD" w:rsidRDefault="002D29FC">
            <w:pPr>
              <w:spacing w:line="222" w:lineRule="exact"/>
              <w:ind w:left="468" w:right="469"/>
              <w:jc w:val="center"/>
              <w:rPr>
                <w:rFonts w:ascii="Calibri"/>
                <w:sz w:val="20"/>
              </w:rPr>
            </w:pPr>
            <w:r>
              <w:rPr>
                <w:rFonts w:ascii="Calibri"/>
                <w:sz w:val="20"/>
              </w:rPr>
              <w:t>week</w:t>
            </w:r>
          </w:p>
        </w:tc>
      </w:tr>
      <w:tr w:rsidR="006A18FD">
        <w:trPr>
          <w:trHeight w:val="480"/>
        </w:trPr>
        <w:tc>
          <w:tcPr>
            <w:tcW w:w="3156" w:type="dxa"/>
          </w:tcPr>
          <w:p w:rsidR="006A18FD" w:rsidRDefault="002D29FC">
            <w:pPr>
              <w:spacing w:before="1" w:line="240" w:lineRule="atLeast"/>
              <w:ind w:left="102" w:right="451"/>
              <w:rPr>
                <w:rFonts w:ascii="Calibri"/>
                <w:b/>
                <w:sz w:val="20"/>
              </w:rPr>
            </w:pPr>
            <w:r>
              <w:rPr>
                <w:rFonts w:ascii="Calibri"/>
                <w:b/>
                <w:sz w:val="20"/>
              </w:rPr>
              <w:t>London multiplier/non-London multiplier</w:t>
            </w:r>
          </w:p>
        </w:tc>
        <w:tc>
          <w:tcPr>
            <w:tcW w:w="1532" w:type="dxa"/>
          </w:tcPr>
          <w:p w:rsidR="006A18FD" w:rsidRDefault="002D29FC">
            <w:pPr>
              <w:spacing w:before="123"/>
              <w:ind w:left="164" w:right="167"/>
              <w:jc w:val="center"/>
              <w:rPr>
                <w:rFonts w:ascii="Calibri"/>
                <w:sz w:val="20"/>
              </w:rPr>
            </w:pPr>
            <w:r>
              <w:rPr>
                <w:rFonts w:ascii="Calibri"/>
                <w:sz w:val="20"/>
              </w:rPr>
              <w:t>See note</w:t>
            </w:r>
          </w:p>
        </w:tc>
        <w:tc>
          <w:tcPr>
            <w:tcW w:w="1531" w:type="dxa"/>
          </w:tcPr>
          <w:p w:rsidR="006A18FD" w:rsidRDefault="002D29FC">
            <w:pPr>
              <w:spacing w:before="123"/>
              <w:ind w:left="382" w:right="382"/>
              <w:jc w:val="center"/>
              <w:rPr>
                <w:rFonts w:ascii="Calibri"/>
                <w:sz w:val="20"/>
              </w:rPr>
            </w:pPr>
            <w:r>
              <w:rPr>
                <w:rFonts w:ascii="Calibri"/>
                <w:sz w:val="20"/>
              </w:rPr>
              <w:t>See note</w:t>
            </w:r>
          </w:p>
        </w:tc>
        <w:tc>
          <w:tcPr>
            <w:tcW w:w="1532" w:type="dxa"/>
          </w:tcPr>
          <w:p w:rsidR="006A18FD" w:rsidRDefault="002D29FC">
            <w:pPr>
              <w:spacing w:before="123"/>
              <w:ind w:left="289" w:right="292"/>
              <w:jc w:val="center"/>
              <w:rPr>
                <w:rFonts w:ascii="Calibri"/>
                <w:sz w:val="20"/>
              </w:rPr>
            </w:pPr>
            <w:r>
              <w:rPr>
                <w:rFonts w:ascii="Calibri"/>
                <w:sz w:val="20"/>
              </w:rPr>
              <w:t>See note</w:t>
            </w:r>
          </w:p>
        </w:tc>
        <w:tc>
          <w:tcPr>
            <w:tcW w:w="1531" w:type="dxa"/>
          </w:tcPr>
          <w:p w:rsidR="006A18FD" w:rsidRDefault="002D29FC">
            <w:pPr>
              <w:spacing w:before="123"/>
              <w:ind w:left="381" w:right="384"/>
              <w:jc w:val="center"/>
              <w:rPr>
                <w:rFonts w:ascii="Calibri"/>
                <w:sz w:val="20"/>
              </w:rPr>
            </w:pPr>
            <w:r>
              <w:rPr>
                <w:rFonts w:ascii="Calibri"/>
                <w:sz w:val="20"/>
              </w:rPr>
              <w:t>See note</w:t>
            </w:r>
          </w:p>
        </w:tc>
        <w:tc>
          <w:tcPr>
            <w:tcW w:w="1532" w:type="dxa"/>
          </w:tcPr>
          <w:p w:rsidR="006A18FD" w:rsidRDefault="002D29FC">
            <w:pPr>
              <w:spacing w:before="123"/>
              <w:ind w:left="164" w:right="167"/>
              <w:jc w:val="center"/>
              <w:rPr>
                <w:rFonts w:ascii="Calibri"/>
                <w:sz w:val="20"/>
              </w:rPr>
            </w:pPr>
            <w:r>
              <w:rPr>
                <w:rFonts w:ascii="Calibri"/>
                <w:sz w:val="20"/>
              </w:rPr>
              <w:t>See note</w:t>
            </w:r>
          </w:p>
        </w:tc>
        <w:tc>
          <w:tcPr>
            <w:tcW w:w="1586" w:type="dxa"/>
          </w:tcPr>
          <w:p w:rsidR="006A18FD" w:rsidRDefault="002D29FC">
            <w:pPr>
              <w:spacing w:before="123"/>
              <w:ind w:left="193" w:right="193"/>
              <w:jc w:val="center"/>
              <w:rPr>
                <w:rFonts w:ascii="Calibri"/>
                <w:sz w:val="20"/>
              </w:rPr>
            </w:pPr>
            <w:r>
              <w:rPr>
                <w:rFonts w:ascii="Calibri"/>
                <w:sz w:val="20"/>
              </w:rPr>
              <w:t>See note</w:t>
            </w:r>
          </w:p>
        </w:tc>
        <w:tc>
          <w:tcPr>
            <w:tcW w:w="1702" w:type="dxa"/>
          </w:tcPr>
          <w:p w:rsidR="006A18FD" w:rsidRDefault="002D29FC">
            <w:pPr>
              <w:spacing w:before="123"/>
              <w:ind w:left="468" w:right="469"/>
              <w:jc w:val="center"/>
              <w:rPr>
                <w:rFonts w:ascii="Calibri"/>
                <w:sz w:val="20"/>
              </w:rPr>
            </w:pPr>
            <w:r>
              <w:rPr>
                <w:rFonts w:ascii="Calibri"/>
                <w:sz w:val="20"/>
              </w:rPr>
              <w:t>See note</w:t>
            </w:r>
          </w:p>
        </w:tc>
      </w:tr>
      <w:tr w:rsidR="006A18FD">
        <w:trPr>
          <w:trHeight w:val="479"/>
        </w:trPr>
        <w:tc>
          <w:tcPr>
            <w:tcW w:w="14102" w:type="dxa"/>
            <w:gridSpan w:val="8"/>
          </w:tcPr>
          <w:p w:rsidR="006A18FD" w:rsidRDefault="002D29FC">
            <w:pPr>
              <w:ind w:left="102"/>
              <w:rPr>
                <w:rFonts w:ascii="Calibri"/>
                <w:b/>
                <w:sz w:val="20"/>
              </w:rPr>
            </w:pPr>
            <w:r>
              <w:rPr>
                <w:rFonts w:ascii="Calibri"/>
                <w:b/>
                <w:sz w:val="20"/>
              </w:rPr>
              <w:t>Units costs available 2018/2019</w:t>
            </w:r>
          </w:p>
        </w:tc>
      </w:tr>
      <w:tr w:rsidR="006A18FD">
        <w:trPr>
          <w:trHeight w:val="240"/>
        </w:trPr>
        <w:tc>
          <w:tcPr>
            <w:tcW w:w="3156" w:type="dxa"/>
          </w:tcPr>
          <w:p w:rsidR="006A18FD" w:rsidRDefault="002D29FC">
            <w:pPr>
              <w:spacing w:before="11" w:line="223" w:lineRule="exact"/>
              <w:ind w:left="102"/>
              <w:rPr>
                <w:rFonts w:ascii="Calibri"/>
                <w:sz w:val="20"/>
              </w:rPr>
            </w:pPr>
            <w:r>
              <w:rPr>
                <w:rFonts w:ascii="Calibri"/>
                <w:sz w:val="20"/>
              </w:rPr>
              <w:t>Cost per working hour</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£29</w:t>
            </w:r>
          </w:p>
        </w:tc>
        <w:tc>
          <w:tcPr>
            <w:tcW w:w="1531" w:type="dxa"/>
          </w:tcPr>
          <w:p w:rsidR="006A18FD" w:rsidRDefault="002D29FC">
            <w:pPr>
              <w:spacing w:before="11" w:line="223" w:lineRule="exact"/>
              <w:ind w:left="382" w:right="384"/>
              <w:jc w:val="center"/>
              <w:rPr>
                <w:rFonts w:ascii="Calibri" w:hAnsi="Calibri"/>
                <w:sz w:val="20"/>
              </w:rPr>
            </w:pPr>
            <w:r>
              <w:rPr>
                <w:rFonts w:ascii="Calibri" w:hAnsi="Calibri"/>
                <w:sz w:val="20"/>
              </w:rPr>
              <w:t>£33</w:t>
            </w:r>
          </w:p>
        </w:tc>
        <w:tc>
          <w:tcPr>
            <w:tcW w:w="1532" w:type="dxa"/>
          </w:tcPr>
          <w:p w:rsidR="006A18FD" w:rsidRDefault="002D29FC">
            <w:pPr>
              <w:spacing w:before="11" w:line="223" w:lineRule="exact"/>
              <w:ind w:left="289" w:right="292"/>
              <w:jc w:val="center"/>
              <w:rPr>
                <w:rFonts w:ascii="Calibri" w:hAnsi="Calibri"/>
                <w:sz w:val="20"/>
              </w:rPr>
            </w:pPr>
            <w:r>
              <w:rPr>
                <w:rFonts w:ascii="Calibri" w:hAnsi="Calibri"/>
                <w:sz w:val="20"/>
              </w:rPr>
              <w:t>£47</w:t>
            </w:r>
          </w:p>
        </w:tc>
        <w:tc>
          <w:tcPr>
            <w:tcW w:w="1531" w:type="dxa"/>
          </w:tcPr>
          <w:p w:rsidR="006A18FD" w:rsidRDefault="002D29FC">
            <w:pPr>
              <w:spacing w:before="11" w:line="223" w:lineRule="exact"/>
              <w:ind w:left="382" w:right="384"/>
              <w:jc w:val="center"/>
              <w:rPr>
                <w:rFonts w:ascii="Calibri" w:hAnsi="Calibri"/>
                <w:sz w:val="20"/>
              </w:rPr>
            </w:pPr>
            <w:r>
              <w:rPr>
                <w:rFonts w:ascii="Calibri" w:hAnsi="Calibri"/>
                <w:sz w:val="20"/>
              </w:rPr>
              <w:t>£108</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£109</w:t>
            </w:r>
          </w:p>
        </w:tc>
        <w:tc>
          <w:tcPr>
            <w:tcW w:w="1586" w:type="dxa"/>
          </w:tcPr>
          <w:p w:rsidR="006A18FD" w:rsidRDefault="002D29FC">
            <w:pPr>
              <w:spacing w:before="11" w:line="223" w:lineRule="exact"/>
              <w:ind w:left="193" w:right="193"/>
              <w:jc w:val="center"/>
              <w:rPr>
                <w:rFonts w:ascii="Calibri" w:hAnsi="Calibri"/>
                <w:sz w:val="20"/>
              </w:rPr>
            </w:pPr>
            <w:r>
              <w:rPr>
                <w:rFonts w:ascii="Calibri" w:hAnsi="Calibri"/>
                <w:sz w:val="20"/>
              </w:rPr>
              <w:t>£109</w:t>
            </w:r>
          </w:p>
        </w:tc>
        <w:tc>
          <w:tcPr>
            <w:tcW w:w="1702" w:type="dxa"/>
          </w:tcPr>
          <w:p w:rsidR="006A18FD" w:rsidRDefault="002D29FC">
            <w:pPr>
              <w:spacing w:before="11" w:line="223" w:lineRule="exact"/>
              <w:ind w:left="468" w:right="468"/>
              <w:jc w:val="center"/>
              <w:rPr>
                <w:rFonts w:ascii="Calibri" w:hAnsi="Calibri"/>
                <w:sz w:val="20"/>
              </w:rPr>
            </w:pPr>
            <w:r>
              <w:rPr>
                <w:rFonts w:ascii="Calibri" w:hAnsi="Calibri"/>
                <w:sz w:val="20"/>
              </w:rPr>
              <w:t>£111</w:t>
            </w:r>
          </w:p>
        </w:tc>
      </w:tr>
      <w:tr w:rsidR="006A18FD">
        <w:trPr>
          <w:trHeight w:val="240"/>
        </w:trPr>
        <w:tc>
          <w:tcPr>
            <w:tcW w:w="3156" w:type="dxa"/>
          </w:tcPr>
          <w:p w:rsidR="006A18FD" w:rsidRDefault="002D29FC">
            <w:pPr>
              <w:spacing w:before="11" w:line="223" w:lineRule="exact"/>
              <w:ind w:left="102"/>
              <w:rPr>
                <w:rFonts w:ascii="Calibri"/>
                <w:sz w:val="20"/>
              </w:rPr>
            </w:pPr>
            <w:r>
              <w:rPr>
                <w:rFonts w:ascii="Calibri"/>
                <w:sz w:val="20"/>
              </w:rPr>
              <w:t>Cost per working hour, 56-hr week</w:t>
            </w:r>
          </w:p>
        </w:tc>
        <w:tc>
          <w:tcPr>
            <w:tcW w:w="1532" w:type="dxa"/>
          </w:tcPr>
          <w:p w:rsidR="006A18FD" w:rsidRDefault="002D29FC">
            <w:pPr>
              <w:spacing w:before="11" w:line="223" w:lineRule="exact"/>
              <w:ind w:left="165" w:right="165"/>
              <w:jc w:val="center"/>
              <w:rPr>
                <w:rFonts w:ascii="Calibri" w:hAnsi="Calibri"/>
                <w:sz w:val="20"/>
              </w:rPr>
            </w:pPr>
            <w:r>
              <w:rPr>
                <w:rFonts w:ascii="Calibri" w:hAnsi="Calibri"/>
                <w:sz w:val="20"/>
              </w:rPr>
              <w:t>£24</w:t>
            </w:r>
          </w:p>
        </w:tc>
        <w:tc>
          <w:tcPr>
            <w:tcW w:w="1531" w:type="dxa"/>
          </w:tcPr>
          <w:p w:rsidR="006A18FD" w:rsidRDefault="002D29FC">
            <w:pPr>
              <w:spacing w:before="11" w:line="223" w:lineRule="exact"/>
              <w:ind w:left="382" w:right="384"/>
              <w:jc w:val="center"/>
              <w:rPr>
                <w:rFonts w:ascii="Calibri" w:hAnsi="Calibri"/>
                <w:sz w:val="20"/>
              </w:rPr>
            </w:pPr>
            <w:r>
              <w:rPr>
                <w:rFonts w:ascii="Calibri" w:hAnsi="Calibri"/>
                <w:sz w:val="20"/>
              </w:rPr>
              <w:t>£28</w:t>
            </w:r>
          </w:p>
        </w:tc>
        <w:tc>
          <w:tcPr>
            <w:tcW w:w="1532" w:type="dxa"/>
          </w:tcPr>
          <w:p w:rsidR="006A18FD" w:rsidRDefault="002D29FC">
            <w:pPr>
              <w:spacing w:before="11" w:line="223" w:lineRule="exact"/>
              <w:ind w:left="289" w:right="292"/>
              <w:jc w:val="center"/>
              <w:rPr>
                <w:rFonts w:ascii="Calibri" w:hAnsi="Calibri"/>
                <w:sz w:val="20"/>
              </w:rPr>
            </w:pPr>
            <w:r>
              <w:rPr>
                <w:rFonts w:ascii="Calibri" w:hAnsi="Calibri"/>
                <w:sz w:val="20"/>
              </w:rPr>
              <w:t>£40</w:t>
            </w:r>
          </w:p>
        </w:tc>
        <w:tc>
          <w:tcPr>
            <w:tcW w:w="1531" w:type="dxa"/>
          </w:tcPr>
          <w:p w:rsidR="006A18FD" w:rsidRDefault="002D29FC">
            <w:pPr>
              <w:spacing w:before="11" w:line="223" w:lineRule="exact"/>
              <w:ind w:left="382" w:right="381"/>
              <w:jc w:val="center"/>
              <w:rPr>
                <w:rFonts w:ascii="Calibri"/>
                <w:sz w:val="20"/>
              </w:rPr>
            </w:pPr>
            <w:r>
              <w:rPr>
                <w:rFonts w:ascii="Calibri"/>
                <w:sz w:val="20"/>
              </w:rPr>
              <w:t>NA</w:t>
            </w:r>
          </w:p>
        </w:tc>
        <w:tc>
          <w:tcPr>
            <w:tcW w:w="1532" w:type="dxa"/>
          </w:tcPr>
          <w:p w:rsidR="006A18FD" w:rsidRDefault="002D29FC">
            <w:pPr>
              <w:spacing w:before="11" w:line="223" w:lineRule="exact"/>
              <w:ind w:left="165" w:right="165"/>
              <w:jc w:val="center"/>
              <w:rPr>
                <w:rFonts w:ascii="Calibri"/>
                <w:sz w:val="20"/>
              </w:rPr>
            </w:pPr>
            <w:r>
              <w:rPr>
                <w:rFonts w:ascii="Calibri"/>
                <w:sz w:val="20"/>
              </w:rPr>
              <w:t>NA</w:t>
            </w:r>
          </w:p>
        </w:tc>
        <w:tc>
          <w:tcPr>
            <w:tcW w:w="1586" w:type="dxa"/>
          </w:tcPr>
          <w:p w:rsidR="006A18FD" w:rsidRDefault="002D29FC">
            <w:pPr>
              <w:spacing w:before="11" w:line="223" w:lineRule="exact"/>
              <w:ind w:left="193" w:right="194"/>
              <w:jc w:val="center"/>
              <w:rPr>
                <w:rFonts w:ascii="Calibri"/>
                <w:sz w:val="20"/>
              </w:rPr>
            </w:pPr>
            <w:r>
              <w:rPr>
                <w:rFonts w:ascii="Calibri"/>
                <w:sz w:val="20"/>
              </w:rPr>
              <w:t>NA</w:t>
            </w:r>
          </w:p>
        </w:tc>
        <w:tc>
          <w:tcPr>
            <w:tcW w:w="1702" w:type="dxa"/>
          </w:tcPr>
          <w:p w:rsidR="006A18FD" w:rsidRDefault="002D29FC">
            <w:pPr>
              <w:spacing w:before="11" w:line="223" w:lineRule="exact"/>
              <w:ind w:left="468" w:right="469"/>
              <w:jc w:val="center"/>
              <w:rPr>
                <w:rFonts w:ascii="Calibri"/>
                <w:sz w:val="20"/>
              </w:rPr>
            </w:pPr>
            <w:r>
              <w:rPr>
                <w:rFonts w:ascii="Calibri"/>
                <w:sz w:val="20"/>
              </w:rPr>
              <w:t>NA</w:t>
            </w:r>
          </w:p>
        </w:tc>
      </w:tr>
      <w:tr w:rsidR="006A18FD">
        <w:trPr>
          <w:trHeight w:val="240"/>
        </w:trPr>
        <w:tc>
          <w:tcPr>
            <w:tcW w:w="3156" w:type="dxa"/>
          </w:tcPr>
          <w:p w:rsidR="006A18FD" w:rsidRDefault="002D29FC">
            <w:pPr>
              <w:spacing w:before="13" w:line="223" w:lineRule="exact"/>
              <w:ind w:left="102"/>
              <w:rPr>
                <w:rFonts w:ascii="Calibri"/>
                <w:sz w:val="20"/>
              </w:rPr>
            </w:pPr>
            <w:r>
              <w:rPr>
                <w:rFonts w:ascii="Calibri"/>
                <w:sz w:val="20"/>
              </w:rPr>
              <w:t>Cost per working hour, 40-hr week</w:t>
            </w:r>
          </w:p>
        </w:tc>
        <w:tc>
          <w:tcPr>
            <w:tcW w:w="1532" w:type="dxa"/>
          </w:tcPr>
          <w:p w:rsidR="006A18FD" w:rsidRDefault="002D29FC">
            <w:pPr>
              <w:spacing w:before="13" w:line="223" w:lineRule="exact"/>
              <w:ind w:left="165" w:right="165"/>
              <w:jc w:val="center"/>
              <w:rPr>
                <w:rFonts w:ascii="Calibri" w:hAnsi="Calibri"/>
                <w:sz w:val="20"/>
              </w:rPr>
            </w:pPr>
            <w:r>
              <w:rPr>
                <w:rFonts w:ascii="Calibri" w:hAnsi="Calibri"/>
                <w:sz w:val="20"/>
              </w:rPr>
              <w:t>£34</w:t>
            </w:r>
          </w:p>
        </w:tc>
        <w:tc>
          <w:tcPr>
            <w:tcW w:w="1531" w:type="dxa"/>
          </w:tcPr>
          <w:p w:rsidR="006A18FD" w:rsidRDefault="002D29FC">
            <w:pPr>
              <w:spacing w:before="13" w:line="223" w:lineRule="exact"/>
              <w:ind w:left="382" w:right="384"/>
              <w:jc w:val="center"/>
              <w:rPr>
                <w:rFonts w:ascii="Calibri" w:hAnsi="Calibri"/>
                <w:sz w:val="20"/>
              </w:rPr>
            </w:pPr>
            <w:r>
              <w:rPr>
                <w:rFonts w:ascii="Calibri" w:hAnsi="Calibri"/>
                <w:sz w:val="20"/>
              </w:rPr>
              <w:t>£39</w:t>
            </w:r>
          </w:p>
        </w:tc>
        <w:tc>
          <w:tcPr>
            <w:tcW w:w="1532" w:type="dxa"/>
          </w:tcPr>
          <w:p w:rsidR="006A18FD" w:rsidRDefault="002D29FC">
            <w:pPr>
              <w:spacing w:before="13" w:line="223" w:lineRule="exact"/>
              <w:ind w:left="289" w:right="292"/>
              <w:jc w:val="center"/>
              <w:rPr>
                <w:rFonts w:ascii="Calibri" w:hAnsi="Calibri"/>
                <w:sz w:val="20"/>
              </w:rPr>
            </w:pPr>
            <w:r>
              <w:rPr>
                <w:rFonts w:ascii="Calibri" w:hAnsi="Calibri"/>
                <w:sz w:val="20"/>
              </w:rPr>
              <w:t>£56</w:t>
            </w:r>
          </w:p>
        </w:tc>
        <w:tc>
          <w:tcPr>
            <w:tcW w:w="1531" w:type="dxa"/>
          </w:tcPr>
          <w:p w:rsidR="006A18FD" w:rsidRDefault="002D29FC">
            <w:pPr>
              <w:spacing w:before="13" w:line="223" w:lineRule="exact"/>
              <w:ind w:left="382" w:right="381"/>
              <w:jc w:val="center"/>
              <w:rPr>
                <w:rFonts w:ascii="Calibri"/>
                <w:sz w:val="20"/>
              </w:rPr>
            </w:pPr>
            <w:r>
              <w:rPr>
                <w:rFonts w:ascii="Calibri"/>
                <w:sz w:val="20"/>
              </w:rPr>
              <w:t>NA</w:t>
            </w:r>
          </w:p>
        </w:tc>
        <w:tc>
          <w:tcPr>
            <w:tcW w:w="1532" w:type="dxa"/>
          </w:tcPr>
          <w:p w:rsidR="006A18FD" w:rsidRDefault="002D29FC">
            <w:pPr>
              <w:spacing w:before="13" w:line="223" w:lineRule="exact"/>
              <w:ind w:left="165" w:right="165"/>
              <w:jc w:val="center"/>
              <w:rPr>
                <w:rFonts w:ascii="Calibri"/>
                <w:sz w:val="20"/>
              </w:rPr>
            </w:pPr>
            <w:r>
              <w:rPr>
                <w:rFonts w:ascii="Calibri"/>
                <w:sz w:val="20"/>
              </w:rPr>
              <w:t>NA</w:t>
            </w:r>
          </w:p>
        </w:tc>
        <w:tc>
          <w:tcPr>
            <w:tcW w:w="1586" w:type="dxa"/>
          </w:tcPr>
          <w:p w:rsidR="006A18FD" w:rsidRDefault="002D29FC">
            <w:pPr>
              <w:spacing w:before="13" w:line="223" w:lineRule="exact"/>
              <w:ind w:left="193" w:right="194"/>
              <w:jc w:val="center"/>
              <w:rPr>
                <w:rFonts w:ascii="Calibri"/>
                <w:sz w:val="20"/>
              </w:rPr>
            </w:pPr>
            <w:r>
              <w:rPr>
                <w:rFonts w:ascii="Calibri"/>
                <w:sz w:val="20"/>
              </w:rPr>
              <w:t>NA</w:t>
            </w:r>
          </w:p>
        </w:tc>
        <w:tc>
          <w:tcPr>
            <w:tcW w:w="1702" w:type="dxa"/>
          </w:tcPr>
          <w:p w:rsidR="006A18FD" w:rsidRDefault="002D29FC">
            <w:pPr>
              <w:spacing w:before="13" w:line="223" w:lineRule="exact"/>
              <w:ind w:left="468" w:right="469"/>
              <w:jc w:val="center"/>
              <w:rPr>
                <w:rFonts w:ascii="Calibri"/>
                <w:sz w:val="20"/>
              </w:rPr>
            </w:pPr>
            <w:r>
              <w:rPr>
                <w:rFonts w:ascii="Calibri"/>
                <w:sz w:val="20"/>
              </w:rPr>
              <w:t>NA</w:t>
            </w:r>
          </w:p>
        </w:tc>
      </w:tr>
    </w:tbl>
    <w:p w:rsidR="006A18FD" w:rsidRDefault="006A18FD">
      <w:pPr>
        <w:spacing w:line="223" w:lineRule="exact"/>
        <w:jc w:val="center"/>
        <w:rPr>
          <w:rFonts w:ascii="Calibri"/>
          <w:sz w:val="20"/>
        </w:rPr>
        <w:sectPr w:rsidR="006A18FD">
          <w:headerReference w:type="even" r:id="rId466"/>
          <w:pgSz w:w="16840" w:h="11910" w:orient="landscape"/>
          <w:pgMar w:top="1040" w:right="840" w:bottom="280" w:left="460" w:header="0" w:footer="0" w:gutter="0"/>
          <w:cols w:space="720"/>
        </w:sect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rsidP="008E3FA8">
      <w:pPr>
        <w:numPr>
          <w:ilvl w:val="0"/>
          <w:numId w:val="8"/>
        </w:numPr>
        <w:tabs>
          <w:tab w:val="left" w:pos="634"/>
        </w:tabs>
        <w:spacing w:before="247"/>
        <w:ind w:left="633" w:hanging="521"/>
        <w:rPr>
          <w:rFonts w:ascii="Cambria"/>
          <w:b/>
          <w:sz w:val="48"/>
        </w:rPr>
      </w:pPr>
      <w:r>
        <w:rPr>
          <w:rFonts w:ascii="Cambria"/>
          <w:b/>
          <w:sz w:val="48"/>
        </w:rPr>
        <w:t>SOURCES OF</w:t>
      </w:r>
      <w:r>
        <w:rPr>
          <w:rFonts w:ascii="Cambria"/>
          <w:b/>
          <w:spacing w:val="-15"/>
          <w:sz w:val="48"/>
        </w:rPr>
        <w:t xml:space="preserve"> </w:t>
      </w:r>
      <w:r>
        <w:rPr>
          <w:rFonts w:ascii="Cambria"/>
          <w:b/>
          <w:sz w:val="48"/>
        </w:rPr>
        <w:t>INFORMATION</w:t>
      </w:r>
    </w:p>
    <w:p w:rsidR="006A18FD" w:rsidRDefault="002D29FC">
      <w:pPr>
        <w:numPr>
          <w:ilvl w:val="0"/>
          <w:numId w:val="5"/>
        </w:numPr>
        <w:tabs>
          <w:tab w:val="left" w:pos="531"/>
        </w:tabs>
        <w:spacing w:before="207"/>
        <w:ind w:left="530" w:hanging="418"/>
        <w:rPr>
          <w:rFonts w:ascii="Calibri"/>
          <w:sz w:val="28"/>
        </w:rPr>
      </w:pPr>
      <w:r>
        <w:rPr>
          <w:rFonts w:ascii="Calibri"/>
          <w:sz w:val="28"/>
        </w:rPr>
        <w:t>Inflation</w:t>
      </w:r>
      <w:r>
        <w:rPr>
          <w:rFonts w:ascii="Calibri"/>
          <w:spacing w:val="-9"/>
          <w:sz w:val="28"/>
        </w:rPr>
        <w:t xml:space="preserve"> </w:t>
      </w:r>
      <w:r>
        <w:rPr>
          <w:rFonts w:ascii="Calibri"/>
          <w:sz w:val="28"/>
        </w:rPr>
        <w:t>indices</w:t>
      </w:r>
    </w:p>
    <w:p w:rsidR="006A18FD" w:rsidRDefault="002D29FC">
      <w:pPr>
        <w:numPr>
          <w:ilvl w:val="0"/>
          <w:numId w:val="5"/>
        </w:numPr>
        <w:tabs>
          <w:tab w:val="left" w:pos="531"/>
        </w:tabs>
        <w:spacing w:before="169"/>
        <w:ind w:left="530" w:hanging="418"/>
        <w:rPr>
          <w:rFonts w:ascii="Calibri"/>
          <w:sz w:val="28"/>
        </w:rPr>
      </w:pPr>
      <w:r>
        <w:rPr>
          <w:rFonts w:ascii="Calibri"/>
          <w:sz w:val="28"/>
        </w:rPr>
        <w:t>NHS staff earnings</w:t>
      </w:r>
      <w:r>
        <w:rPr>
          <w:rFonts w:ascii="Calibri"/>
          <w:spacing w:val="-14"/>
          <w:sz w:val="28"/>
        </w:rPr>
        <w:t xml:space="preserve"> </w:t>
      </w:r>
      <w:r>
        <w:rPr>
          <w:rFonts w:ascii="Calibri"/>
          <w:sz w:val="28"/>
        </w:rPr>
        <w:t>estimates</w:t>
      </w:r>
    </w:p>
    <w:p w:rsidR="006A18FD" w:rsidRDefault="002D29FC">
      <w:pPr>
        <w:numPr>
          <w:ilvl w:val="0"/>
          <w:numId w:val="5"/>
        </w:numPr>
        <w:tabs>
          <w:tab w:val="left" w:pos="531"/>
        </w:tabs>
        <w:spacing w:before="172"/>
        <w:ind w:left="530" w:hanging="418"/>
        <w:rPr>
          <w:rFonts w:ascii="Calibri"/>
          <w:sz w:val="28"/>
        </w:rPr>
      </w:pPr>
      <w:r>
        <w:rPr>
          <w:rFonts w:ascii="Calibri"/>
          <w:sz w:val="28"/>
        </w:rPr>
        <w:t>Examples of roles in each Agenda for Change</w:t>
      </w:r>
      <w:r>
        <w:rPr>
          <w:rFonts w:ascii="Calibri"/>
          <w:spacing w:val="-14"/>
          <w:sz w:val="28"/>
        </w:rPr>
        <w:t xml:space="preserve"> </w:t>
      </w:r>
      <w:r>
        <w:rPr>
          <w:rFonts w:ascii="Calibri"/>
          <w:sz w:val="28"/>
        </w:rPr>
        <w:t>band</w:t>
      </w:r>
    </w:p>
    <w:p w:rsidR="006A18FD" w:rsidRDefault="002D29FC">
      <w:pPr>
        <w:numPr>
          <w:ilvl w:val="0"/>
          <w:numId w:val="5"/>
        </w:numPr>
        <w:tabs>
          <w:tab w:val="left" w:pos="531"/>
        </w:tabs>
        <w:spacing w:before="172"/>
        <w:ind w:left="530" w:hanging="418"/>
        <w:rPr>
          <w:rFonts w:ascii="Calibri"/>
          <w:sz w:val="28"/>
        </w:rPr>
      </w:pPr>
      <w:r>
        <w:rPr>
          <w:rFonts w:ascii="Calibri"/>
          <w:sz w:val="28"/>
        </w:rPr>
        <w:t>Training costs for health and social care</w:t>
      </w:r>
      <w:r>
        <w:rPr>
          <w:rFonts w:ascii="Calibri"/>
          <w:spacing w:val="-29"/>
          <w:sz w:val="28"/>
        </w:rPr>
        <w:t xml:space="preserve"> </w:t>
      </w:r>
      <w:r>
        <w:rPr>
          <w:rFonts w:ascii="Calibri"/>
          <w:sz w:val="28"/>
        </w:rPr>
        <w:t>professionals</w:t>
      </w:r>
    </w:p>
    <w:p w:rsidR="006A18FD" w:rsidRDefault="002D29FC">
      <w:pPr>
        <w:numPr>
          <w:ilvl w:val="0"/>
          <w:numId w:val="5"/>
        </w:numPr>
        <w:tabs>
          <w:tab w:val="left" w:pos="531"/>
        </w:tabs>
        <w:spacing w:before="171"/>
        <w:ind w:left="530" w:hanging="418"/>
        <w:rPr>
          <w:rFonts w:ascii="Calibri"/>
          <w:sz w:val="28"/>
        </w:rPr>
      </w:pPr>
      <w:r>
        <w:rPr>
          <w:rFonts w:ascii="Calibri"/>
          <w:sz w:val="28"/>
        </w:rPr>
        <w:t>Care home</w:t>
      </w:r>
      <w:r>
        <w:rPr>
          <w:rFonts w:ascii="Calibri"/>
          <w:spacing w:val="-11"/>
          <w:sz w:val="28"/>
        </w:rPr>
        <w:t xml:space="preserve"> </w:t>
      </w:r>
      <w:r>
        <w:rPr>
          <w:rFonts w:ascii="Calibri"/>
          <w:sz w:val="28"/>
        </w:rPr>
        <w:t>fees</w:t>
      </w:r>
    </w:p>
    <w:p w:rsidR="006A18FD" w:rsidRDefault="002D29FC">
      <w:pPr>
        <w:numPr>
          <w:ilvl w:val="0"/>
          <w:numId w:val="5"/>
        </w:numPr>
        <w:tabs>
          <w:tab w:val="left" w:pos="531"/>
        </w:tabs>
        <w:spacing w:before="171"/>
        <w:ind w:left="530" w:hanging="418"/>
        <w:rPr>
          <w:rFonts w:ascii="Calibri"/>
          <w:sz w:val="28"/>
        </w:rPr>
      </w:pPr>
      <w:r>
        <w:rPr>
          <w:rFonts w:ascii="Calibri"/>
          <w:sz w:val="28"/>
        </w:rPr>
        <w:t>Time use of community care</w:t>
      </w:r>
      <w:r>
        <w:rPr>
          <w:rFonts w:ascii="Calibri"/>
          <w:spacing w:val="-28"/>
          <w:sz w:val="28"/>
        </w:rPr>
        <w:t xml:space="preserve"> </w:t>
      </w:r>
      <w:r>
        <w:rPr>
          <w:rFonts w:ascii="Calibri"/>
          <w:sz w:val="28"/>
        </w:rPr>
        <w:t>professionals</w:t>
      </w:r>
    </w:p>
    <w:p w:rsidR="006A18FD" w:rsidRDefault="002D29FC">
      <w:pPr>
        <w:numPr>
          <w:ilvl w:val="0"/>
          <w:numId w:val="5"/>
        </w:numPr>
        <w:tabs>
          <w:tab w:val="left" w:pos="531"/>
        </w:tabs>
        <w:spacing w:before="169"/>
        <w:ind w:left="530" w:hanging="418"/>
        <w:rPr>
          <w:rFonts w:ascii="Calibri"/>
          <w:sz w:val="28"/>
        </w:rPr>
      </w:pPr>
      <w:r>
        <w:rPr>
          <w:rFonts w:ascii="Calibri"/>
          <w:sz w:val="28"/>
        </w:rPr>
        <w:t>Glossary</w:t>
      </w:r>
    </w:p>
    <w:p w:rsidR="006A18FD" w:rsidRDefault="002D29FC">
      <w:pPr>
        <w:numPr>
          <w:ilvl w:val="0"/>
          <w:numId w:val="5"/>
        </w:numPr>
        <w:tabs>
          <w:tab w:val="left" w:pos="531"/>
        </w:tabs>
        <w:spacing w:before="172"/>
        <w:ind w:left="530" w:hanging="418"/>
        <w:rPr>
          <w:rFonts w:ascii="Calibri"/>
          <w:sz w:val="28"/>
        </w:rPr>
      </w:pPr>
      <w:r>
        <w:rPr>
          <w:rFonts w:ascii="Calibri"/>
          <w:sz w:val="28"/>
        </w:rPr>
        <w:t>References</w:t>
      </w:r>
    </w:p>
    <w:p w:rsidR="006A18FD" w:rsidRDefault="002D29FC">
      <w:pPr>
        <w:numPr>
          <w:ilvl w:val="0"/>
          <w:numId w:val="5"/>
        </w:numPr>
        <w:tabs>
          <w:tab w:val="left" w:pos="531"/>
        </w:tabs>
        <w:spacing w:before="172"/>
        <w:ind w:left="530" w:hanging="418"/>
        <w:rPr>
          <w:rFonts w:ascii="Calibri"/>
          <w:sz w:val="28"/>
        </w:rPr>
      </w:pPr>
      <w:r>
        <w:rPr>
          <w:rFonts w:ascii="Calibri"/>
          <w:sz w:val="28"/>
        </w:rPr>
        <w:t>List of useful</w:t>
      </w:r>
      <w:r>
        <w:rPr>
          <w:rFonts w:ascii="Calibri"/>
          <w:spacing w:val="-15"/>
          <w:sz w:val="28"/>
        </w:rPr>
        <w:t xml:space="preserve"> </w:t>
      </w:r>
      <w:r>
        <w:rPr>
          <w:rFonts w:ascii="Calibri"/>
          <w:sz w:val="28"/>
        </w:rPr>
        <w:t>websites</w:t>
      </w:r>
    </w:p>
    <w:p w:rsidR="006A18FD" w:rsidRDefault="002D29FC">
      <w:pPr>
        <w:numPr>
          <w:ilvl w:val="0"/>
          <w:numId w:val="5"/>
        </w:numPr>
        <w:tabs>
          <w:tab w:val="left" w:pos="531"/>
        </w:tabs>
        <w:spacing w:before="172"/>
        <w:ind w:left="530" w:hanging="418"/>
        <w:rPr>
          <w:rFonts w:ascii="Calibri"/>
          <w:sz w:val="28"/>
        </w:rPr>
      </w:pPr>
      <w:r>
        <w:rPr>
          <w:rFonts w:ascii="Calibri"/>
          <w:sz w:val="28"/>
        </w:rPr>
        <w:t>List of items from previous</w:t>
      </w:r>
      <w:r>
        <w:rPr>
          <w:rFonts w:ascii="Calibri"/>
          <w:spacing w:val="-12"/>
          <w:sz w:val="28"/>
        </w:rPr>
        <w:t xml:space="preserve"> </w:t>
      </w:r>
      <w:r>
        <w:rPr>
          <w:rFonts w:ascii="Calibri"/>
          <w:sz w:val="28"/>
        </w:rPr>
        <w:t>volumes</w:t>
      </w:r>
    </w:p>
    <w:p w:rsidR="006A18FD" w:rsidRDefault="006A18FD">
      <w:pPr>
        <w:rPr>
          <w:rFonts w:ascii="Calibri"/>
          <w:sz w:val="28"/>
        </w:rPr>
        <w:sectPr w:rsidR="006A18FD">
          <w:headerReference w:type="default" r:id="rId467"/>
          <w:pgSz w:w="11910" w:h="16840"/>
          <w:pgMar w:top="1580" w:right="1680" w:bottom="280" w:left="1020" w:header="0" w:footer="0" w:gutter="0"/>
          <w:cols w:space="720"/>
        </w:sectPr>
      </w:pPr>
    </w:p>
    <w:p w:rsidR="006A18FD" w:rsidRDefault="006A18FD">
      <w:pPr>
        <w:spacing w:before="4"/>
        <w:rPr>
          <w:rFonts w:ascii="Times New Roman"/>
          <w:sz w:val="17"/>
        </w:rPr>
      </w:pPr>
    </w:p>
    <w:p w:rsidR="006A18FD" w:rsidRDefault="006A18FD">
      <w:pPr>
        <w:rPr>
          <w:rFonts w:ascii="Times New Roman"/>
          <w:sz w:val="17"/>
        </w:rPr>
        <w:sectPr w:rsidR="006A18FD">
          <w:headerReference w:type="even" r:id="rId468"/>
          <w:pgSz w:w="11910" w:h="16840"/>
          <w:pgMar w:top="1580" w:right="1680" w:bottom="280" w:left="1680" w:header="0" w:footer="0" w:gutter="0"/>
          <w:cols w:space="720"/>
        </w:sectPr>
      </w:pPr>
    </w:p>
    <w:p w:rsidR="006A18FD" w:rsidRDefault="006A18FD">
      <w:pPr>
        <w:spacing w:before="3"/>
        <w:rPr>
          <w:rFonts w:ascii="Times New Roman"/>
          <w:sz w:val="2"/>
        </w:rPr>
      </w:pPr>
    </w:p>
    <w:p w:rsidR="006A18FD" w:rsidRDefault="00E60AD2">
      <w:pPr>
        <w:spacing w:line="20" w:lineRule="exact"/>
        <w:ind w:left="119"/>
        <w:rPr>
          <w:rFonts w:ascii="Times New Roman"/>
          <w:sz w:val="2"/>
        </w:rPr>
      </w:pPr>
      <w:r>
        <w:rPr>
          <w:rFonts w:ascii="Times New Roman"/>
          <w:noProof/>
          <w:sz w:val="2"/>
          <w:lang w:val="en-GB" w:eastAsia="en-GB"/>
        </w:rPr>
        <mc:AlternateContent>
          <mc:Choice Requires="wpg">
            <w:drawing>
              <wp:inline distT="0" distB="0" distL="0" distR="0">
                <wp:extent cx="6426835" cy="6350"/>
                <wp:effectExtent l="9525" t="9525" r="2540" b="3175"/>
                <wp:docPr id="17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74" name="Line 3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70EC19" id="Group 3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AaB+bnfQIAAH8FAAAO&#10;AAAAAAAAAAAAAAAAAC4CAABkcnMvZTJvRG9jLnhtbFBLAQItABQABgAIAAAAIQAtd+Rc2gAAAAQB&#10;AAAPAAAAAAAAAAAAAAAAANcEAABkcnMvZG93bnJldi54bWxQSwUGAAAAAAQABADzAAAA3gUAAAAA&#10;">
                <v:line id="Line 3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w10:anchorlock/>
              </v:group>
            </w:pict>
          </mc:Fallback>
        </mc:AlternateContent>
      </w:r>
    </w:p>
    <w:p w:rsidR="006A18FD" w:rsidRDefault="002D29FC" w:rsidP="00F82377">
      <w:pPr>
        <w:pStyle w:val="Heading1"/>
        <w:numPr>
          <w:ilvl w:val="0"/>
          <w:numId w:val="4"/>
        </w:numPr>
        <w:jc w:val="left"/>
      </w:pPr>
      <w:r>
        <w:t>Inflation</w:t>
      </w:r>
      <w:r>
        <w:rPr>
          <w:spacing w:val="-12"/>
        </w:rPr>
        <w:t xml:space="preserve"> </w:t>
      </w:r>
      <w:r>
        <w:t>indices</w:t>
      </w:r>
    </w:p>
    <w:p w:rsidR="006A18FD" w:rsidRDefault="002D29FC" w:rsidP="00F82377">
      <w:pPr>
        <w:pStyle w:val="Heading2"/>
        <w:numPr>
          <w:ilvl w:val="1"/>
          <w:numId w:val="4"/>
        </w:numPr>
        <w:ind w:left="851" w:hanging="709"/>
      </w:pPr>
      <w:r>
        <w:t>The Building Cost Information Service (BCIS) house rebuilding cost index and the retail price</w:t>
      </w:r>
      <w:r>
        <w:rPr>
          <w:spacing w:val="-13"/>
        </w:rPr>
        <w:t xml:space="preserve"> </w:t>
      </w:r>
      <w:r>
        <w:t>index</w:t>
      </w:r>
    </w:p>
    <w:p w:rsidR="006A18FD" w:rsidRDefault="002D29FC">
      <w:pPr>
        <w:spacing w:before="125" w:line="276" w:lineRule="auto"/>
        <w:ind w:left="152" w:right="203"/>
        <w:rPr>
          <w:rFonts w:ascii="Calibri"/>
          <w:sz w:val="12"/>
        </w:rPr>
      </w:pPr>
      <w:r>
        <w:rPr>
          <w:rFonts w:ascii="Calibri"/>
          <w:sz w:val="19"/>
        </w:rPr>
        <w:t>The BCIS calculates the house rebuilding cost index for the Association of British Insurers (ABI). The index is based on an average of house types and cannot therefore reflect changes in all rates as regional trends, labour and materials contents differ.</w:t>
      </w:r>
      <w:r>
        <w:rPr>
          <w:rFonts w:ascii="Calibri"/>
          <w:b/>
          <w:position w:val="6"/>
          <w:sz w:val="12"/>
        </w:rPr>
        <w:t xml:space="preserve">1  </w:t>
      </w:r>
      <w:r>
        <w:rPr>
          <w:rFonts w:ascii="Calibri"/>
          <w:sz w:val="19"/>
        </w:rPr>
        <w:t xml:space="preserve">The retail price index is a measure of </w:t>
      </w:r>
      <w:hyperlink r:id="rId469">
        <w:r>
          <w:rPr>
            <w:rFonts w:ascii="Calibri"/>
            <w:sz w:val="19"/>
          </w:rPr>
          <w:t xml:space="preserve">inflation </w:t>
        </w:r>
      </w:hyperlink>
      <w:r>
        <w:rPr>
          <w:rFonts w:ascii="Calibri"/>
          <w:sz w:val="19"/>
        </w:rPr>
        <w:t xml:space="preserve">published monthly by the </w:t>
      </w:r>
      <w:hyperlink r:id="rId470">
        <w:r>
          <w:rPr>
            <w:rFonts w:ascii="Calibri"/>
            <w:sz w:val="19"/>
          </w:rPr>
          <w:t xml:space="preserve">Office for National Statistics </w:t>
        </w:r>
      </w:hyperlink>
      <w:r>
        <w:rPr>
          <w:rFonts w:ascii="Calibri"/>
          <w:sz w:val="19"/>
        </w:rPr>
        <w:t>(ONS). It measures the change in the cost of a basket of retail goods and services.</w:t>
      </w:r>
      <w:r>
        <w:rPr>
          <w:rFonts w:ascii="Calibri"/>
          <w:position w:val="6"/>
          <w:sz w:val="12"/>
        </w:rPr>
        <w:t>2</w:t>
      </w:r>
    </w:p>
    <w:p w:rsidR="006A18FD" w:rsidRDefault="006A18FD">
      <w:pPr>
        <w:spacing w:before="8"/>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053"/>
        <w:gridCol w:w="2050"/>
        <w:gridCol w:w="2053"/>
        <w:gridCol w:w="2050"/>
      </w:tblGrid>
      <w:tr w:rsidR="006A18FD" w:rsidTr="00CA19E0">
        <w:trPr>
          <w:trHeight w:val="360"/>
          <w:tblHeader/>
        </w:trPr>
        <w:tc>
          <w:tcPr>
            <w:tcW w:w="1839" w:type="dxa"/>
            <w:vMerge w:val="restart"/>
          </w:tcPr>
          <w:p w:rsidR="006A18FD" w:rsidRDefault="002D29FC">
            <w:pPr>
              <w:spacing w:before="1"/>
              <w:ind w:left="105"/>
              <w:rPr>
                <w:rFonts w:ascii="Calibri"/>
                <w:b/>
                <w:sz w:val="20"/>
              </w:rPr>
            </w:pPr>
            <w:r>
              <w:rPr>
                <w:rFonts w:ascii="Calibri"/>
                <w:b/>
                <w:sz w:val="20"/>
              </w:rPr>
              <w:t>Year</w:t>
            </w:r>
          </w:p>
        </w:tc>
        <w:tc>
          <w:tcPr>
            <w:tcW w:w="4103" w:type="dxa"/>
            <w:gridSpan w:val="2"/>
          </w:tcPr>
          <w:p w:rsidR="006A18FD" w:rsidRDefault="002D29FC">
            <w:pPr>
              <w:spacing w:line="246" w:lineRule="exact"/>
              <w:ind w:left="1623" w:right="1624"/>
              <w:jc w:val="center"/>
              <w:rPr>
                <w:rFonts w:ascii="Calibri"/>
                <w:b/>
                <w:sz w:val="13"/>
              </w:rPr>
            </w:pPr>
            <w:r>
              <w:rPr>
                <w:rFonts w:ascii="Calibri"/>
                <w:b/>
                <w:sz w:val="20"/>
              </w:rPr>
              <w:t>BCIS/ABI</w:t>
            </w:r>
            <w:r>
              <w:rPr>
                <w:rFonts w:ascii="Calibri"/>
                <w:b/>
                <w:position w:val="7"/>
                <w:sz w:val="13"/>
              </w:rPr>
              <w:t>1</w:t>
            </w:r>
          </w:p>
        </w:tc>
        <w:tc>
          <w:tcPr>
            <w:tcW w:w="4102" w:type="dxa"/>
            <w:gridSpan w:val="2"/>
          </w:tcPr>
          <w:p w:rsidR="006A18FD" w:rsidRDefault="002D29FC">
            <w:pPr>
              <w:spacing w:line="246" w:lineRule="exact"/>
              <w:ind w:left="1527" w:right="1522"/>
              <w:jc w:val="center"/>
              <w:rPr>
                <w:rFonts w:ascii="Calibri"/>
                <w:b/>
                <w:sz w:val="13"/>
              </w:rPr>
            </w:pPr>
            <w:r>
              <w:rPr>
                <w:rFonts w:ascii="Calibri"/>
                <w:b/>
                <w:sz w:val="20"/>
              </w:rPr>
              <w:t>Retail price</w:t>
            </w:r>
            <w:r>
              <w:rPr>
                <w:rFonts w:ascii="Calibri"/>
                <w:b/>
                <w:position w:val="7"/>
                <w:sz w:val="13"/>
              </w:rPr>
              <w:t>2</w:t>
            </w:r>
          </w:p>
        </w:tc>
      </w:tr>
      <w:tr w:rsidR="006A18FD" w:rsidTr="00CA19E0">
        <w:trPr>
          <w:trHeight w:val="480"/>
          <w:tblHeader/>
        </w:trPr>
        <w:tc>
          <w:tcPr>
            <w:tcW w:w="1839" w:type="dxa"/>
            <w:vMerge/>
            <w:tcBorders>
              <w:top w:val="nil"/>
            </w:tcBorders>
          </w:tcPr>
          <w:p w:rsidR="006A18FD" w:rsidRDefault="006A18FD">
            <w:pPr>
              <w:rPr>
                <w:sz w:val="2"/>
                <w:szCs w:val="2"/>
              </w:rPr>
            </w:pPr>
          </w:p>
        </w:tc>
        <w:tc>
          <w:tcPr>
            <w:tcW w:w="2053" w:type="dxa"/>
          </w:tcPr>
          <w:p w:rsidR="006A18FD" w:rsidRDefault="002D29FC">
            <w:pPr>
              <w:spacing w:before="1" w:line="240" w:lineRule="atLeast"/>
              <w:ind w:left="302" w:right="285" w:firstLine="84"/>
              <w:rPr>
                <w:rFonts w:ascii="Calibri"/>
                <w:b/>
                <w:sz w:val="20"/>
              </w:rPr>
            </w:pPr>
            <w:r>
              <w:rPr>
                <w:rFonts w:ascii="Calibri"/>
                <w:b/>
                <w:sz w:val="20"/>
              </w:rPr>
              <w:t>Rebuilding cost index (1988=100)</w:t>
            </w:r>
          </w:p>
        </w:tc>
        <w:tc>
          <w:tcPr>
            <w:tcW w:w="2050" w:type="dxa"/>
          </w:tcPr>
          <w:p w:rsidR="006A18FD" w:rsidRDefault="002D29FC">
            <w:pPr>
              <w:spacing w:before="1" w:line="240" w:lineRule="atLeast"/>
              <w:ind w:left="326" w:right="201" w:hanging="106"/>
              <w:rPr>
                <w:rFonts w:ascii="Calibri"/>
                <w:b/>
                <w:sz w:val="20"/>
              </w:rPr>
            </w:pPr>
            <w:r>
              <w:rPr>
                <w:rFonts w:ascii="Calibri"/>
                <w:b/>
                <w:sz w:val="20"/>
              </w:rPr>
              <w:t>Annual % increases on previous year</w:t>
            </w:r>
          </w:p>
        </w:tc>
        <w:tc>
          <w:tcPr>
            <w:tcW w:w="2053" w:type="dxa"/>
          </w:tcPr>
          <w:p w:rsidR="006A18FD" w:rsidRDefault="002D29FC">
            <w:pPr>
              <w:spacing w:before="1" w:line="240" w:lineRule="atLeast"/>
              <w:ind w:left="388" w:right="285" w:firstLine="403"/>
              <w:rPr>
                <w:rFonts w:ascii="Calibri"/>
                <w:b/>
                <w:sz w:val="20"/>
              </w:rPr>
            </w:pPr>
            <w:r>
              <w:rPr>
                <w:rFonts w:ascii="Calibri"/>
                <w:b/>
                <w:sz w:val="20"/>
              </w:rPr>
              <w:t>Index (1986/87= 100)</w:t>
            </w:r>
          </w:p>
        </w:tc>
        <w:tc>
          <w:tcPr>
            <w:tcW w:w="2050" w:type="dxa"/>
          </w:tcPr>
          <w:p w:rsidR="006A18FD" w:rsidRDefault="002D29FC">
            <w:pPr>
              <w:spacing w:before="1" w:line="240" w:lineRule="atLeast"/>
              <w:ind w:left="326" w:right="201" w:hanging="106"/>
              <w:rPr>
                <w:rFonts w:ascii="Calibri"/>
                <w:b/>
                <w:sz w:val="20"/>
              </w:rPr>
            </w:pPr>
            <w:r>
              <w:rPr>
                <w:rFonts w:ascii="Calibri"/>
                <w:b/>
                <w:sz w:val="20"/>
              </w:rPr>
              <w:t>Annual % increases on previous year</w:t>
            </w:r>
          </w:p>
        </w:tc>
      </w:tr>
      <w:tr w:rsidR="006A18FD">
        <w:trPr>
          <w:trHeight w:val="239"/>
        </w:trPr>
        <w:tc>
          <w:tcPr>
            <w:tcW w:w="1839" w:type="dxa"/>
          </w:tcPr>
          <w:p w:rsidR="006A18FD" w:rsidRDefault="002D29FC">
            <w:pPr>
              <w:spacing w:line="223" w:lineRule="exact"/>
              <w:ind w:left="105"/>
              <w:rPr>
                <w:rFonts w:ascii="Calibri"/>
                <w:sz w:val="20"/>
              </w:rPr>
            </w:pPr>
            <w:r>
              <w:rPr>
                <w:rFonts w:ascii="Calibri"/>
                <w:sz w:val="20"/>
              </w:rPr>
              <w:t>2008</w:t>
            </w:r>
          </w:p>
        </w:tc>
        <w:tc>
          <w:tcPr>
            <w:tcW w:w="2053" w:type="dxa"/>
          </w:tcPr>
          <w:p w:rsidR="006A18FD" w:rsidRDefault="002D29FC">
            <w:pPr>
              <w:spacing w:line="223" w:lineRule="exact"/>
              <w:ind w:left="755"/>
              <w:rPr>
                <w:rFonts w:ascii="Calibri"/>
                <w:sz w:val="20"/>
              </w:rPr>
            </w:pPr>
            <w:r>
              <w:rPr>
                <w:rFonts w:ascii="Calibri"/>
                <w:sz w:val="20"/>
              </w:rPr>
              <w:t>243.5</w:t>
            </w:r>
          </w:p>
        </w:tc>
        <w:tc>
          <w:tcPr>
            <w:tcW w:w="2050" w:type="dxa"/>
          </w:tcPr>
          <w:p w:rsidR="006A18FD" w:rsidRDefault="002D29FC">
            <w:pPr>
              <w:spacing w:line="223" w:lineRule="exact"/>
              <w:ind w:left="844"/>
              <w:rPr>
                <w:rFonts w:ascii="Calibri"/>
                <w:sz w:val="20"/>
              </w:rPr>
            </w:pPr>
            <w:r>
              <w:rPr>
                <w:rFonts w:ascii="Calibri"/>
                <w:sz w:val="20"/>
              </w:rPr>
              <w:t>6.5</w:t>
            </w:r>
          </w:p>
        </w:tc>
        <w:tc>
          <w:tcPr>
            <w:tcW w:w="2053" w:type="dxa"/>
          </w:tcPr>
          <w:p w:rsidR="006A18FD" w:rsidRDefault="002D29FC">
            <w:pPr>
              <w:spacing w:line="223" w:lineRule="exact"/>
              <w:ind w:right="770"/>
              <w:jc w:val="right"/>
              <w:rPr>
                <w:rFonts w:ascii="Calibri"/>
                <w:sz w:val="20"/>
              </w:rPr>
            </w:pPr>
            <w:r>
              <w:rPr>
                <w:rFonts w:ascii="Calibri"/>
                <w:w w:val="95"/>
                <w:sz w:val="20"/>
              </w:rPr>
              <w:t>212.9</w:t>
            </w:r>
          </w:p>
        </w:tc>
        <w:tc>
          <w:tcPr>
            <w:tcW w:w="2050" w:type="dxa"/>
          </w:tcPr>
          <w:p w:rsidR="006A18FD" w:rsidRDefault="002D29FC">
            <w:pPr>
              <w:spacing w:line="223" w:lineRule="exact"/>
              <w:ind w:left="881" w:right="864"/>
              <w:jc w:val="center"/>
              <w:rPr>
                <w:rFonts w:ascii="Calibri"/>
                <w:sz w:val="20"/>
              </w:rPr>
            </w:pPr>
            <w:r>
              <w:rPr>
                <w:rFonts w:ascii="Calibri"/>
                <w:sz w:val="20"/>
              </w:rPr>
              <w:t>0.9</w:t>
            </w:r>
          </w:p>
        </w:tc>
      </w:tr>
      <w:tr w:rsidR="006A18FD">
        <w:trPr>
          <w:trHeight w:val="240"/>
        </w:trPr>
        <w:tc>
          <w:tcPr>
            <w:tcW w:w="1839" w:type="dxa"/>
          </w:tcPr>
          <w:p w:rsidR="006A18FD" w:rsidRDefault="002D29FC">
            <w:pPr>
              <w:spacing w:line="223" w:lineRule="exact"/>
              <w:ind w:left="105"/>
              <w:rPr>
                <w:rFonts w:ascii="Calibri"/>
                <w:sz w:val="20"/>
              </w:rPr>
            </w:pPr>
            <w:r>
              <w:rPr>
                <w:rFonts w:ascii="Calibri"/>
                <w:sz w:val="20"/>
              </w:rPr>
              <w:t>2009</w:t>
            </w:r>
          </w:p>
        </w:tc>
        <w:tc>
          <w:tcPr>
            <w:tcW w:w="2053" w:type="dxa"/>
          </w:tcPr>
          <w:p w:rsidR="006A18FD" w:rsidRDefault="002D29FC">
            <w:pPr>
              <w:spacing w:line="223" w:lineRule="exact"/>
              <w:ind w:left="755"/>
              <w:rPr>
                <w:rFonts w:ascii="Calibri"/>
                <w:sz w:val="20"/>
              </w:rPr>
            </w:pPr>
            <w:r>
              <w:rPr>
                <w:rFonts w:ascii="Calibri"/>
                <w:sz w:val="20"/>
              </w:rPr>
              <w:t>236.9</w:t>
            </w:r>
          </w:p>
        </w:tc>
        <w:tc>
          <w:tcPr>
            <w:tcW w:w="2050" w:type="dxa"/>
          </w:tcPr>
          <w:p w:rsidR="006A18FD" w:rsidRDefault="002D29FC">
            <w:pPr>
              <w:spacing w:line="223" w:lineRule="exact"/>
              <w:ind w:left="784"/>
              <w:rPr>
                <w:rFonts w:ascii="Calibri"/>
                <w:sz w:val="20"/>
              </w:rPr>
            </w:pPr>
            <w:r>
              <w:rPr>
                <w:rFonts w:ascii="Calibri"/>
                <w:sz w:val="20"/>
              </w:rPr>
              <w:t>-2.7</w:t>
            </w:r>
          </w:p>
        </w:tc>
        <w:tc>
          <w:tcPr>
            <w:tcW w:w="2053" w:type="dxa"/>
          </w:tcPr>
          <w:p w:rsidR="006A18FD" w:rsidRDefault="002D29FC">
            <w:pPr>
              <w:spacing w:line="223" w:lineRule="exact"/>
              <w:ind w:right="770"/>
              <w:jc w:val="right"/>
              <w:rPr>
                <w:rFonts w:ascii="Calibri"/>
                <w:sz w:val="20"/>
              </w:rPr>
            </w:pPr>
            <w:r>
              <w:rPr>
                <w:rFonts w:ascii="Calibri"/>
                <w:w w:val="95"/>
                <w:sz w:val="20"/>
              </w:rPr>
              <w:t>218.0</w:t>
            </w:r>
          </w:p>
        </w:tc>
        <w:tc>
          <w:tcPr>
            <w:tcW w:w="2050" w:type="dxa"/>
          </w:tcPr>
          <w:p w:rsidR="006A18FD" w:rsidRDefault="002D29FC">
            <w:pPr>
              <w:spacing w:line="223" w:lineRule="exact"/>
              <w:ind w:left="881" w:right="864"/>
              <w:jc w:val="center"/>
              <w:rPr>
                <w:rFonts w:ascii="Calibri"/>
                <w:sz w:val="20"/>
              </w:rPr>
            </w:pPr>
            <w:r>
              <w:rPr>
                <w:rFonts w:ascii="Calibri"/>
                <w:sz w:val="20"/>
              </w:rPr>
              <w:t>2.4</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2010</w:t>
            </w:r>
          </w:p>
        </w:tc>
        <w:tc>
          <w:tcPr>
            <w:tcW w:w="2053" w:type="dxa"/>
          </w:tcPr>
          <w:p w:rsidR="006A18FD" w:rsidRDefault="002D29FC">
            <w:pPr>
              <w:spacing w:before="1" w:line="223" w:lineRule="exact"/>
              <w:ind w:left="755"/>
              <w:rPr>
                <w:rFonts w:ascii="Calibri"/>
                <w:sz w:val="20"/>
              </w:rPr>
            </w:pPr>
            <w:r>
              <w:rPr>
                <w:rFonts w:ascii="Calibri"/>
                <w:sz w:val="20"/>
              </w:rPr>
              <w:t>239.5</w:t>
            </w:r>
          </w:p>
        </w:tc>
        <w:tc>
          <w:tcPr>
            <w:tcW w:w="2050" w:type="dxa"/>
          </w:tcPr>
          <w:p w:rsidR="006A18FD" w:rsidRDefault="002D29FC">
            <w:pPr>
              <w:spacing w:before="1" w:line="223" w:lineRule="exact"/>
              <w:ind w:left="844"/>
              <w:rPr>
                <w:rFonts w:ascii="Calibri"/>
                <w:sz w:val="20"/>
              </w:rPr>
            </w:pPr>
            <w:r>
              <w:rPr>
                <w:rFonts w:ascii="Calibri"/>
                <w:sz w:val="20"/>
              </w:rPr>
              <w:t>1.1</w:t>
            </w:r>
          </w:p>
        </w:tc>
        <w:tc>
          <w:tcPr>
            <w:tcW w:w="2053" w:type="dxa"/>
          </w:tcPr>
          <w:p w:rsidR="006A18FD" w:rsidRDefault="002D29FC">
            <w:pPr>
              <w:spacing w:before="1" w:line="223" w:lineRule="exact"/>
              <w:ind w:right="770"/>
              <w:jc w:val="right"/>
              <w:rPr>
                <w:rFonts w:ascii="Calibri"/>
                <w:sz w:val="20"/>
              </w:rPr>
            </w:pPr>
            <w:r>
              <w:rPr>
                <w:rFonts w:ascii="Calibri"/>
                <w:w w:val="95"/>
                <w:sz w:val="20"/>
              </w:rPr>
              <w:t>228.4</w:t>
            </w:r>
          </w:p>
        </w:tc>
        <w:tc>
          <w:tcPr>
            <w:tcW w:w="2050" w:type="dxa"/>
          </w:tcPr>
          <w:p w:rsidR="006A18FD" w:rsidRDefault="002D29FC">
            <w:pPr>
              <w:spacing w:before="1" w:line="223" w:lineRule="exact"/>
              <w:ind w:left="881" w:right="864"/>
              <w:jc w:val="center"/>
              <w:rPr>
                <w:rFonts w:ascii="Calibri"/>
                <w:sz w:val="20"/>
              </w:rPr>
            </w:pPr>
            <w:r>
              <w:rPr>
                <w:rFonts w:ascii="Calibri"/>
                <w:sz w:val="20"/>
              </w:rPr>
              <w:t>4.8</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2011</w:t>
            </w:r>
          </w:p>
        </w:tc>
        <w:tc>
          <w:tcPr>
            <w:tcW w:w="2053" w:type="dxa"/>
          </w:tcPr>
          <w:p w:rsidR="006A18FD" w:rsidRDefault="002D29FC">
            <w:pPr>
              <w:spacing w:before="1" w:line="223" w:lineRule="exact"/>
              <w:ind w:left="755"/>
              <w:rPr>
                <w:rFonts w:ascii="Calibri"/>
                <w:sz w:val="20"/>
              </w:rPr>
            </w:pPr>
            <w:r>
              <w:rPr>
                <w:rFonts w:ascii="Calibri"/>
                <w:sz w:val="20"/>
              </w:rPr>
              <w:t>252.0</w:t>
            </w:r>
          </w:p>
        </w:tc>
        <w:tc>
          <w:tcPr>
            <w:tcW w:w="2050" w:type="dxa"/>
          </w:tcPr>
          <w:p w:rsidR="006A18FD" w:rsidRDefault="002D29FC">
            <w:pPr>
              <w:spacing w:before="1" w:line="223" w:lineRule="exact"/>
              <w:ind w:left="844"/>
              <w:rPr>
                <w:rFonts w:ascii="Calibri"/>
                <w:sz w:val="20"/>
              </w:rPr>
            </w:pPr>
            <w:r>
              <w:rPr>
                <w:rFonts w:ascii="Calibri"/>
                <w:sz w:val="20"/>
              </w:rPr>
              <w:t>5.2</w:t>
            </w:r>
          </w:p>
        </w:tc>
        <w:tc>
          <w:tcPr>
            <w:tcW w:w="2053" w:type="dxa"/>
          </w:tcPr>
          <w:p w:rsidR="006A18FD" w:rsidRDefault="002D29FC">
            <w:pPr>
              <w:spacing w:before="1" w:line="223" w:lineRule="exact"/>
              <w:ind w:right="770"/>
              <w:jc w:val="right"/>
              <w:rPr>
                <w:rFonts w:ascii="Calibri"/>
                <w:sz w:val="20"/>
              </w:rPr>
            </w:pPr>
            <w:r>
              <w:rPr>
                <w:rFonts w:ascii="Calibri"/>
                <w:w w:val="95"/>
                <w:sz w:val="20"/>
              </w:rPr>
              <w:t>239.4</w:t>
            </w:r>
          </w:p>
        </w:tc>
        <w:tc>
          <w:tcPr>
            <w:tcW w:w="2050" w:type="dxa"/>
          </w:tcPr>
          <w:p w:rsidR="006A18FD" w:rsidRDefault="002D29FC">
            <w:pPr>
              <w:spacing w:before="1" w:line="223" w:lineRule="exact"/>
              <w:ind w:left="881" w:right="864"/>
              <w:jc w:val="center"/>
              <w:rPr>
                <w:rFonts w:ascii="Calibri"/>
                <w:sz w:val="20"/>
              </w:rPr>
            </w:pPr>
            <w:r>
              <w:rPr>
                <w:rFonts w:ascii="Calibri"/>
                <w:sz w:val="20"/>
              </w:rPr>
              <w:t>4.8</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2012</w:t>
            </w:r>
          </w:p>
        </w:tc>
        <w:tc>
          <w:tcPr>
            <w:tcW w:w="2053" w:type="dxa"/>
          </w:tcPr>
          <w:p w:rsidR="006A18FD" w:rsidRDefault="002D29FC">
            <w:pPr>
              <w:spacing w:before="1" w:line="223" w:lineRule="exact"/>
              <w:ind w:left="755"/>
              <w:rPr>
                <w:rFonts w:ascii="Calibri"/>
                <w:sz w:val="20"/>
              </w:rPr>
            </w:pPr>
            <w:r>
              <w:rPr>
                <w:rFonts w:ascii="Calibri"/>
                <w:sz w:val="20"/>
              </w:rPr>
              <w:t>253.0</w:t>
            </w:r>
          </w:p>
        </w:tc>
        <w:tc>
          <w:tcPr>
            <w:tcW w:w="2050" w:type="dxa"/>
          </w:tcPr>
          <w:p w:rsidR="006A18FD" w:rsidRDefault="002D29FC">
            <w:pPr>
              <w:spacing w:before="1" w:line="223" w:lineRule="exact"/>
              <w:ind w:left="844"/>
              <w:rPr>
                <w:rFonts w:ascii="Calibri"/>
                <w:sz w:val="20"/>
              </w:rPr>
            </w:pPr>
            <w:r>
              <w:rPr>
                <w:rFonts w:ascii="Calibri"/>
                <w:sz w:val="20"/>
              </w:rPr>
              <w:t>0.4</w:t>
            </w:r>
          </w:p>
        </w:tc>
        <w:tc>
          <w:tcPr>
            <w:tcW w:w="2053" w:type="dxa"/>
          </w:tcPr>
          <w:p w:rsidR="006A18FD" w:rsidRDefault="002D29FC">
            <w:pPr>
              <w:spacing w:before="1" w:line="223" w:lineRule="exact"/>
              <w:ind w:right="770"/>
              <w:jc w:val="right"/>
              <w:rPr>
                <w:rFonts w:ascii="Calibri"/>
                <w:sz w:val="20"/>
              </w:rPr>
            </w:pPr>
            <w:r>
              <w:rPr>
                <w:rFonts w:ascii="Calibri"/>
                <w:w w:val="95"/>
                <w:sz w:val="20"/>
              </w:rPr>
              <w:t>246.8</w:t>
            </w:r>
          </w:p>
        </w:tc>
        <w:tc>
          <w:tcPr>
            <w:tcW w:w="2050" w:type="dxa"/>
          </w:tcPr>
          <w:p w:rsidR="006A18FD" w:rsidRDefault="002D29FC">
            <w:pPr>
              <w:spacing w:before="1" w:line="223" w:lineRule="exact"/>
              <w:ind w:left="881" w:right="864"/>
              <w:jc w:val="center"/>
              <w:rPr>
                <w:rFonts w:ascii="Calibri"/>
                <w:sz w:val="20"/>
              </w:rPr>
            </w:pPr>
            <w:r>
              <w:rPr>
                <w:rFonts w:ascii="Calibri"/>
                <w:sz w:val="20"/>
              </w:rPr>
              <w:t>3.1</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2013</w:t>
            </w:r>
          </w:p>
        </w:tc>
        <w:tc>
          <w:tcPr>
            <w:tcW w:w="2053" w:type="dxa"/>
          </w:tcPr>
          <w:p w:rsidR="006A18FD" w:rsidRDefault="002D29FC">
            <w:pPr>
              <w:spacing w:before="1" w:line="223" w:lineRule="exact"/>
              <w:ind w:left="755"/>
              <w:rPr>
                <w:rFonts w:ascii="Calibri"/>
                <w:sz w:val="20"/>
              </w:rPr>
            </w:pPr>
            <w:r>
              <w:rPr>
                <w:rFonts w:ascii="Calibri"/>
                <w:sz w:val="20"/>
              </w:rPr>
              <w:t>257.8</w:t>
            </w:r>
          </w:p>
        </w:tc>
        <w:tc>
          <w:tcPr>
            <w:tcW w:w="2050" w:type="dxa"/>
          </w:tcPr>
          <w:p w:rsidR="006A18FD" w:rsidRDefault="002D29FC">
            <w:pPr>
              <w:spacing w:before="1" w:line="223" w:lineRule="exact"/>
              <w:ind w:left="844"/>
              <w:rPr>
                <w:rFonts w:ascii="Calibri"/>
                <w:sz w:val="20"/>
              </w:rPr>
            </w:pPr>
            <w:r>
              <w:rPr>
                <w:rFonts w:ascii="Calibri"/>
                <w:sz w:val="20"/>
              </w:rPr>
              <w:t>1.9</w:t>
            </w:r>
          </w:p>
        </w:tc>
        <w:tc>
          <w:tcPr>
            <w:tcW w:w="2053" w:type="dxa"/>
          </w:tcPr>
          <w:p w:rsidR="006A18FD" w:rsidRDefault="002D29FC">
            <w:pPr>
              <w:spacing w:before="1" w:line="223" w:lineRule="exact"/>
              <w:ind w:right="770"/>
              <w:jc w:val="right"/>
              <w:rPr>
                <w:rFonts w:ascii="Calibri"/>
                <w:sz w:val="20"/>
              </w:rPr>
            </w:pPr>
            <w:r>
              <w:rPr>
                <w:rFonts w:ascii="Calibri"/>
                <w:w w:val="95"/>
                <w:sz w:val="20"/>
              </w:rPr>
              <w:t>253.4</w:t>
            </w:r>
          </w:p>
        </w:tc>
        <w:tc>
          <w:tcPr>
            <w:tcW w:w="2050" w:type="dxa"/>
          </w:tcPr>
          <w:p w:rsidR="006A18FD" w:rsidRDefault="002D29FC">
            <w:pPr>
              <w:spacing w:before="1" w:line="223" w:lineRule="exact"/>
              <w:ind w:left="881" w:right="864"/>
              <w:jc w:val="center"/>
              <w:rPr>
                <w:rFonts w:ascii="Calibri"/>
                <w:sz w:val="20"/>
              </w:rPr>
            </w:pPr>
            <w:r>
              <w:rPr>
                <w:rFonts w:ascii="Calibri"/>
                <w:sz w:val="20"/>
              </w:rPr>
              <w:t>2.7</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2014</w:t>
            </w:r>
          </w:p>
        </w:tc>
        <w:tc>
          <w:tcPr>
            <w:tcW w:w="2053" w:type="dxa"/>
          </w:tcPr>
          <w:p w:rsidR="006A18FD" w:rsidRDefault="002D29FC">
            <w:pPr>
              <w:spacing w:before="1" w:line="223" w:lineRule="exact"/>
              <w:ind w:left="755"/>
              <w:rPr>
                <w:rFonts w:ascii="Calibri"/>
                <w:sz w:val="20"/>
              </w:rPr>
            </w:pPr>
            <w:r>
              <w:rPr>
                <w:rFonts w:ascii="Calibri"/>
                <w:sz w:val="20"/>
              </w:rPr>
              <w:t>274.8</w:t>
            </w:r>
          </w:p>
        </w:tc>
        <w:tc>
          <w:tcPr>
            <w:tcW w:w="2050" w:type="dxa"/>
          </w:tcPr>
          <w:p w:rsidR="006A18FD" w:rsidRDefault="002D29FC">
            <w:pPr>
              <w:spacing w:before="1" w:line="223" w:lineRule="exact"/>
              <w:ind w:left="844"/>
              <w:rPr>
                <w:rFonts w:ascii="Calibri"/>
                <w:sz w:val="20"/>
              </w:rPr>
            </w:pPr>
            <w:r>
              <w:rPr>
                <w:rFonts w:ascii="Calibri"/>
                <w:sz w:val="20"/>
              </w:rPr>
              <w:t>6.6</w:t>
            </w:r>
          </w:p>
        </w:tc>
        <w:tc>
          <w:tcPr>
            <w:tcW w:w="2053" w:type="dxa"/>
          </w:tcPr>
          <w:p w:rsidR="006A18FD" w:rsidRDefault="002D29FC">
            <w:pPr>
              <w:spacing w:before="1" w:line="223" w:lineRule="exact"/>
              <w:ind w:right="770"/>
              <w:jc w:val="right"/>
              <w:rPr>
                <w:rFonts w:ascii="Calibri"/>
                <w:sz w:val="20"/>
              </w:rPr>
            </w:pPr>
            <w:r>
              <w:rPr>
                <w:rFonts w:ascii="Calibri"/>
                <w:w w:val="95"/>
                <w:sz w:val="20"/>
              </w:rPr>
              <w:t>257.5</w:t>
            </w:r>
          </w:p>
        </w:tc>
        <w:tc>
          <w:tcPr>
            <w:tcW w:w="2050" w:type="dxa"/>
          </w:tcPr>
          <w:p w:rsidR="006A18FD" w:rsidRDefault="002D29FC">
            <w:pPr>
              <w:spacing w:before="1" w:line="223" w:lineRule="exact"/>
              <w:ind w:left="881" w:right="864"/>
              <w:jc w:val="center"/>
              <w:rPr>
                <w:rFonts w:ascii="Calibri"/>
                <w:sz w:val="20"/>
              </w:rPr>
            </w:pPr>
            <w:r>
              <w:rPr>
                <w:rFonts w:ascii="Calibri"/>
                <w:sz w:val="20"/>
              </w:rPr>
              <w:t>1.6</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2015</w:t>
            </w:r>
          </w:p>
        </w:tc>
        <w:tc>
          <w:tcPr>
            <w:tcW w:w="2053" w:type="dxa"/>
          </w:tcPr>
          <w:p w:rsidR="006A18FD" w:rsidRDefault="002D29FC">
            <w:pPr>
              <w:spacing w:before="1" w:line="223" w:lineRule="exact"/>
              <w:ind w:left="755"/>
              <w:rPr>
                <w:rFonts w:ascii="Calibri"/>
                <w:sz w:val="20"/>
              </w:rPr>
            </w:pPr>
            <w:r>
              <w:rPr>
                <w:rFonts w:ascii="Calibri"/>
                <w:sz w:val="20"/>
              </w:rPr>
              <w:t>283.6</w:t>
            </w:r>
          </w:p>
        </w:tc>
        <w:tc>
          <w:tcPr>
            <w:tcW w:w="2050" w:type="dxa"/>
          </w:tcPr>
          <w:p w:rsidR="006A18FD" w:rsidRDefault="002D29FC">
            <w:pPr>
              <w:spacing w:before="1" w:line="223" w:lineRule="exact"/>
              <w:ind w:left="844"/>
              <w:rPr>
                <w:rFonts w:ascii="Calibri"/>
                <w:sz w:val="20"/>
              </w:rPr>
            </w:pPr>
            <w:r>
              <w:rPr>
                <w:rFonts w:ascii="Calibri"/>
                <w:sz w:val="20"/>
              </w:rPr>
              <w:t>3.2</w:t>
            </w:r>
          </w:p>
        </w:tc>
        <w:tc>
          <w:tcPr>
            <w:tcW w:w="2053" w:type="dxa"/>
          </w:tcPr>
          <w:p w:rsidR="006A18FD" w:rsidRDefault="002D29FC">
            <w:pPr>
              <w:spacing w:before="1" w:line="223" w:lineRule="exact"/>
              <w:ind w:right="770"/>
              <w:jc w:val="right"/>
              <w:rPr>
                <w:rFonts w:ascii="Calibri"/>
                <w:sz w:val="20"/>
              </w:rPr>
            </w:pPr>
            <w:r>
              <w:rPr>
                <w:rFonts w:ascii="Calibri"/>
                <w:w w:val="95"/>
                <w:sz w:val="20"/>
              </w:rPr>
              <w:t>260.6</w:t>
            </w:r>
          </w:p>
        </w:tc>
        <w:tc>
          <w:tcPr>
            <w:tcW w:w="2050" w:type="dxa"/>
          </w:tcPr>
          <w:p w:rsidR="006A18FD" w:rsidRDefault="002D29FC">
            <w:pPr>
              <w:spacing w:before="1" w:line="223" w:lineRule="exact"/>
              <w:ind w:left="881" w:right="864"/>
              <w:jc w:val="center"/>
              <w:rPr>
                <w:rFonts w:ascii="Calibri"/>
                <w:sz w:val="20"/>
              </w:rPr>
            </w:pPr>
            <w:r>
              <w:rPr>
                <w:rFonts w:ascii="Calibri"/>
                <w:sz w:val="20"/>
              </w:rPr>
              <w:t>1.2</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2016</w:t>
            </w:r>
          </w:p>
        </w:tc>
        <w:tc>
          <w:tcPr>
            <w:tcW w:w="2053" w:type="dxa"/>
          </w:tcPr>
          <w:p w:rsidR="006A18FD" w:rsidRDefault="002D29FC">
            <w:pPr>
              <w:spacing w:before="1" w:line="223" w:lineRule="exact"/>
              <w:ind w:left="755"/>
              <w:rPr>
                <w:rFonts w:ascii="Calibri"/>
                <w:sz w:val="20"/>
              </w:rPr>
            </w:pPr>
            <w:r>
              <w:rPr>
                <w:rFonts w:ascii="Calibri"/>
                <w:sz w:val="20"/>
              </w:rPr>
              <w:t>292.1</w:t>
            </w:r>
          </w:p>
        </w:tc>
        <w:tc>
          <w:tcPr>
            <w:tcW w:w="2050" w:type="dxa"/>
          </w:tcPr>
          <w:p w:rsidR="006A18FD" w:rsidRDefault="002D29FC">
            <w:pPr>
              <w:spacing w:before="1" w:line="223" w:lineRule="exact"/>
              <w:ind w:left="844"/>
              <w:rPr>
                <w:rFonts w:ascii="Calibri"/>
                <w:sz w:val="20"/>
              </w:rPr>
            </w:pPr>
            <w:r>
              <w:rPr>
                <w:rFonts w:ascii="Calibri"/>
                <w:sz w:val="20"/>
              </w:rPr>
              <w:t>3.0</w:t>
            </w:r>
          </w:p>
        </w:tc>
        <w:tc>
          <w:tcPr>
            <w:tcW w:w="2053" w:type="dxa"/>
          </w:tcPr>
          <w:p w:rsidR="006A18FD" w:rsidRDefault="002D29FC">
            <w:pPr>
              <w:spacing w:before="1" w:line="223" w:lineRule="exact"/>
              <w:ind w:right="770"/>
              <w:jc w:val="right"/>
              <w:rPr>
                <w:rFonts w:ascii="Calibri"/>
                <w:sz w:val="20"/>
              </w:rPr>
            </w:pPr>
            <w:r>
              <w:rPr>
                <w:rFonts w:ascii="Calibri"/>
                <w:w w:val="95"/>
                <w:sz w:val="20"/>
              </w:rPr>
              <w:t>267.1</w:t>
            </w:r>
          </w:p>
        </w:tc>
        <w:tc>
          <w:tcPr>
            <w:tcW w:w="2050" w:type="dxa"/>
          </w:tcPr>
          <w:p w:rsidR="006A18FD" w:rsidRDefault="002D29FC">
            <w:pPr>
              <w:spacing w:before="1" w:line="223" w:lineRule="exact"/>
              <w:ind w:left="881" w:right="864"/>
              <w:jc w:val="center"/>
              <w:rPr>
                <w:rFonts w:ascii="Calibri"/>
                <w:sz w:val="20"/>
              </w:rPr>
            </w:pPr>
            <w:r>
              <w:rPr>
                <w:rFonts w:ascii="Calibri"/>
                <w:sz w:val="20"/>
              </w:rPr>
              <w:t>2.5</w:t>
            </w:r>
          </w:p>
        </w:tc>
      </w:tr>
      <w:tr w:rsidR="006A18FD">
        <w:trPr>
          <w:trHeight w:val="240"/>
        </w:trPr>
        <w:tc>
          <w:tcPr>
            <w:tcW w:w="1839" w:type="dxa"/>
          </w:tcPr>
          <w:p w:rsidR="006A18FD" w:rsidRDefault="002D29FC">
            <w:pPr>
              <w:spacing w:before="1" w:line="223" w:lineRule="exact"/>
              <w:ind w:left="105"/>
              <w:rPr>
                <w:rFonts w:ascii="Calibri"/>
                <w:sz w:val="20"/>
              </w:rPr>
            </w:pPr>
            <w:r>
              <w:rPr>
                <w:rFonts w:ascii="Calibri"/>
                <w:sz w:val="20"/>
              </w:rPr>
              <w:t>2017</w:t>
            </w:r>
          </w:p>
        </w:tc>
        <w:tc>
          <w:tcPr>
            <w:tcW w:w="2053" w:type="dxa"/>
          </w:tcPr>
          <w:p w:rsidR="006A18FD" w:rsidRDefault="002D29FC">
            <w:pPr>
              <w:spacing w:before="1" w:line="223" w:lineRule="exact"/>
              <w:ind w:left="755"/>
              <w:rPr>
                <w:rFonts w:ascii="Calibri"/>
                <w:sz w:val="20"/>
              </w:rPr>
            </w:pPr>
            <w:r>
              <w:rPr>
                <w:rFonts w:ascii="Calibri"/>
                <w:sz w:val="20"/>
              </w:rPr>
              <w:t>304.4</w:t>
            </w:r>
          </w:p>
        </w:tc>
        <w:tc>
          <w:tcPr>
            <w:tcW w:w="2050" w:type="dxa"/>
          </w:tcPr>
          <w:p w:rsidR="006A18FD" w:rsidRDefault="002D29FC">
            <w:pPr>
              <w:spacing w:before="1" w:line="223" w:lineRule="exact"/>
              <w:ind w:left="844"/>
              <w:rPr>
                <w:rFonts w:ascii="Calibri"/>
                <w:sz w:val="20"/>
              </w:rPr>
            </w:pPr>
            <w:r>
              <w:rPr>
                <w:rFonts w:ascii="Calibri"/>
                <w:sz w:val="20"/>
              </w:rPr>
              <w:t>4.2</w:t>
            </w:r>
          </w:p>
        </w:tc>
        <w:tc>
          <w:tcPr>
            <w:tcW w:w="2053" w:type="dxa"/>
          </w:tcPr>
          <w:p w:rsidR="006A18FD" w:rsidRDefault="002D29FC">
            <w:pPr>
              <w:spacing w:before="1" w:line="223" w:lineRule="exact"/>
              <w:ind w:right="770"/>
              <w:jc w:val="right"/>
              <w:rPr>
                <w:rFonts w:ascii="Calibri"/>
                <w:sz w:val="20"/>
              </w:rPr>
            </w:pPr>
            <w:r>
              <w:rPr>
                <w:rFonts w:ascii="Calibri"/>
                <w:w w:val="95"/>
                <w:sz w:val="20"/>
              </w:rPr>
              <w:t>278.1</w:t>
            </w:r>
          </w:p>
        </w:tc>
        <w:tc>
          <w:tcPr>
            <w:tcW w:w="2050" w:type="dxa"/>
          </w:tcPr>
          <w:p w:rsidR="006A18FD" w:rsidRDefault="002D29FC">
            <w:pPr>
              <w:spacing w:before="1" w:line="223" w:lineRule="exact"/>
              <w:ind w:left="881" w:right="864"/>
              <w:jc w:val="center"/>
              <w:rPr>
                <w:rFonts w:ascii="Calibri"/>
                <w:sz w:val="20"/>
              </w:rPr>
            </w:pPr>
            <w:r>
              <w:rPr>
                <w:rFonts w:ascii="Calibri"/>
                <w:sz w:val="20"/>
              </w:rPr>
              <w:t>4.1</w:t>
            </w:r>
          </w:p>
        </w:tc>
      </w:tr>
      <w:tr w:rsidR="006A18FD">
        <w:trPr>
          <w:trHeight w:val="240"/>
        </w:trPr>
        <w:tc>
          <w:tcPr>
            <w:tcW w:w="1839" w:type="dxa"/>
          </w:tcPr>
          <w:p w:rsidR="006A18FD" w:rsidRDefault="002D29FC">
            <w:pPr>
              <w:spacing w:line="224" w:lineRule="exact"/>
              <w:ind w:left="105"/>
              <w:rPr>
                <w:rFonts w:ascii="Calibri"/>
                <w:sz w:val="20"/>
              </w:rPr>
            </w:pPr>
            <w:r>
              <w:rPr>
                <w:rFonts w:ascii="Calibri"/>
                <w:sz w:val="20"/>
              </w:rPr>
              <w:t>2018</w:t>
            </w:r>
          </w:p>
        </w:tc>
        <w:tc>
          <w:tcPr>
            <w:tcW w:w="2053" w:type="dxa"/>
          </w:tcPr>
          <w:p w:rsidR="006A18FD" w:rsidRDefault="002D29FC">
            <w:pPr>
              <w:spacing w:line="224" w:lineRule="exact"/>
              <w:ind w:left="755"/>
              <w:rPr>
                <w:rFonts w:ascii="Calibri"/>
                <w:sz w:val="20"/>
              </w:rPr>
            </w:pPr>
            <w:r>
              <w:rPr>
                <w:rFonts w:ascii="Calibri"/>
                <w:sz w:val="20"/>
              </w:rPr>
              <w:t>315.0</w:t>
            </w:r>
          </w:p>
        </w:tc>
        <w:tc>
          <w:tcPr>
            <w:tcW w:w="2050" w:type="dxa"/>
          </w:tcPr>
          <w:p w:rsidR="006A18FD" w:rsidRDefault="002D29FC">
            <w:pPr>
              <w:spacing w:line="224" w:lineRule="exact"/>
              <w:ind w:left="844"/>
              <w:rPr>
                <w:rFonts w:ascii="Calibri"/>
                <w:sz w:val="20"/>
              </w:rPr>
            </w:pPr>
            <w:r>
              <w:rPr>
                <w:rFonts w:ascii="Calibri"/>
                <w:sz w:val="20"/>
              </w:rPr>
              <w:t>3.5</w:t>
            </w:r>
          </w:p>
        </w:tc>
        <w:tc>
          <w:tcPr>
            <w:tcW w:w="2053" w:type="dxa"/>
          </w:tcPr>
          <w:p w:rsidR="006A18FD" w:rsidRDefault="002D29FC">
            <w:pPr>
              <w:spacing w:line="224" w:lineRule="exact"/>
              <w:ind w:right="770"/>
              <w:jc w:val="right"/>
              <w:rPr>
                <w:rFonts w:ascii="Calibri"/>
                <w:sz w:val="20"/>
              </w:rPr>
            </w:pPr>
            <w:r>
              <w:rPr>
                <w:rFonts w:ascii="Calibri"/>
                <w:w w:val="95"/>
                <w:sz w:val="20"/>
              </w:rPr>
              <w:t>285.6</w:t>
            </w:r>
          </w:p>
        </w:tc>
        <w:tc>
          <w:tcPr>
            <w:tcW w:w="2050" w:type="dxa"/>
          </w:tcPr>
          <w:p w:rsidR="006A18FD" w:rsidRDefault="002D29FC">
            <w:pPr>
              <w:spacing w:line="224" w:lineRule="exact"/>
              <w:ind w:left="881" w:right="864"/>
              <w:jc w:val="center"/>
              <w:rPr>
                <w:rFonts w:ascii="Calibri"/>
                <w:sz w:val="20"/>
              </w:rPr>
            </w:pPr>
            <w:r>
              <w:rPr>
                <w:rFonts w:ascii="Calibri"/>
                <w:sz w:val="20"/>
              </w:rPr>
              <w:t>2.7</w:t>
            </w:r>
          </w:p>
        </w:tc>
      </w:tr>
    </w:tbl>
    <w:p w:rsidR="006A18FD" w:rsidRDefault="006A18FD">
      <w:pPr>
        <w:spacing w:before="6"/>
        <w:rPr>
          <w:rFonts w:ascii="Calibri"/>
          <w:sz w:val="19"/>
        </w:rPr>
      </w:pPr>
    </w:p>
    <w:p w:rsidR="006A18FD" w:rsidRDefault="002D29FC" w:rsidP="00F82377">
      <w:pPr>
        <w:pStyle w:val="Heading2"/>
        <w:numPr>
          <w:ilvl w:val="1"/>
          <w:numId w:val="4"/>
        </w:numPr>
        <w:ind w:left="851" w:hanging="709"/>
      </w:pPr>
      <w:r>
        <w:t>Gross domestic product (GDP) deflator and the tender price index for public sector</w:t>
      </w:r>
      <w:r>
        <w:rPr>
          <w:spacing w:val="-14"/>
        </w:rPr>
        <w:t xml:space="preserve"> </w:t>
      </w:r>
      <w:r>
        <w:t>buildings</w:t>
      </w:r>
    </w:p>
    <w:p w:rsidR="006A18FD" w:rsidRDefault="002D29FC">
      <w:pPr>
        <w:spacing w:before="123" w:line="276" w:lineRule="auto"/>
        <w:ind w:left="152" w:right="170"/>
        <w:rPr>
          <w:rFonts w:ascii="Calibri" w:hAnsi="Calibri"/>
          <w:sz w:val="20"/>
        </w:rPr>
      </w:pPr>
      <w:r>
        <w:rPr>
          <w:rFonts w:ascii="Calibri" w:hAnsi="Calibri"/>
          <w:sz w:val="19"/>
        </w:rPr>
        <w:t>Her Majesty’s Treasury’s (HMT) GDP deflator is a measure of general inflation in the domestic economy. HMT produces the GDP deflator from data provided by the ONS and extends the series to future years by applying forecasts of the inflation rate. The BCIS PUBSEC tender price index (PUBSEC) is used by the Office for National Statistics (ONS) to deflate capital expenditure in health and social care</w:t>
      </w:r>
      <w:r>
        <w:rPr>
          <w:rFonts w:ascii="Calibri" w:hAnsi="Calibri"/>
          <w:sz w:val="20"/>
        </w:rPr>
        <w:t>.</w:t>
      </w:r>
    </w:p>
    <w:p w:rsidR="006A18FD" w:rsidRDefault="006A18FD">
      <w:pPr>
        <w:spacing w:before="8" w:after="1"/>
        <w:rPr>
          <w:rFonts w:ascii="Calibri"/>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260"/>
        <w:gridCol w:w="2835"/>
        <w:gridCol w:w="2535"/>
      </w:tblGrid>
      <w:tr w:rsidR="006A18FD" w:rsidTr="00CA19E0">
        <w:trPr>
          <w:trHeight w:val="1080"/>
          <w:tblHeader/>
        </w:trPr>
        <w:tc>
          <w:tcPr>
            <w:tcW w:w="1414" w:type="dxa"/>
            <w:vMerge w:val="restart"/>
          </w:tcPr>
          <w:p w:rsidR="006A18FD" w:rsidRDefault="002D29FC">
            <w:pPr>
              <w:spacing w:before="1"/>
              <w:ind w:left="105"/>
              <w:rPr>
                <w:rFonts w:ascii="Calibri"/>
                <w:b/>
                <w:sz w:val="20"/>
              </w:rPr>
            </w:pPr>
            <w:r>
              <w:rPr>
                <w:rFonts w:ascii="Calibri"/>
                <w:b/>
                <w:sz w:val="20"/>
              </w:rPr>
              <w:t>Year</w:t>
            </w:r>
          </w:p>
        </w:tc>
        <w:tc>
          <w:tcPr>
            <w:tcW w:w="3260" w:type="dxa"/>
            <w:vMerge w:val="restart"/>
          </w:tcPr>
          <w:p w:rsidR="006A18FD" w:rsidRDefault="002D29FC">
            <w:pPr>
              <w:ind w:left="1238" w:right="192" w:hanging="1025"/>
              <w:rPr>
                <w:rFonts w:ascii="Calibri"/>
                <w:b/>
                <w:sz w:val="20"/>
              </w:rPr>
            </w:pPr>
            <w:r>
              <w:rPr>
                <w:rFonts w:ascii="Calibri"/>
                <w:b/>
                <w:sz w:val="20"/>
              </w:rPr>
              <w:t>Gross domestic product</w:t>
            </w:r>
            <w:r>
              <w:rPr>
                <w:rFonts w:ascii="Calibri"/>
                <w:b/>
                <w:position w:val="7"/>
                <w:sz w:val="13"/>
              </w:rPr>
              <w:t xml:space="preserve">3 </w:t>
            </w:r>
            <w:r>
              <w:rPr>
                <w:rFonts w:ascii="Calibri"/>
                <w:b/>
                <w:sz w:val="20"/>
              </w:rPr>
              <w:t>annual % increases</w:t>
            </w:r>
          </w:p>
        </w:tc>
        <w:tc>
          <w:tcPr>
            <w:tcW w:w="5370" w:type="dxa"/>
            <w:gridSpan w:val="2"/>
          </w:tcPr>
          <w:p w:rsidR="006A18FD" w:rsidRDefault="002D29FC">
            <w:pPr>
              <w:spacing w:before="1" w:line="355" w:lineRule="auto"/>
              <w:ind w:left="1658" w:right="811" w:hanging="804"/>
              <w:rPr>
                <w:rFonts w:ascii="Calibri"/>
                <w:b/>
                <w:sz w:val="13"/>
              </w:rPr>
            </w:pPr>
            <w:r>
              <w:rPr>
                <w:rFonts w:ascii="Calibri"/>
                <w:b/>
                <w:sz w:val="20"/>
              </w:rPr>
              <w:t>Tender price index for public sector building (non-housing) (PUBSEC)</w:t>
            </w:r>
            <w:r>
              <w:rPr>
                <w:rFonts w:ascii="Calibri"/>
                <w:b/>
                <w:position w:val="7"/>
                <w:sz w:val="13"/>
              </w:rPr>
              <w:t>3</w:t>
            </w:r>
          </w:p>
        </w:tc>
      </w:tr>
      <w:tr w:rsidR="006A18FD" w:rsidTr="00CA19E0">
        <w:trPr>
          <w:trHeight w:val="600"/>
          <w:tblHeader/>
        </w:trPr>
        <w:tc>
          <w:tcPr>
            <w:tcW w:w="1414" w:type="dxa"/>
            <w:vMerge/>
            <w:tcBorders>
              <w:top w:val="nil"/>
            </w:tcBorders>
          </w:tcPr>
          <w:p w:rsidR="006A18FD" w:rsidRDefault="006A18FD">
            <w:pPr>
              <w:rPr>
                <w:sz w:val="2"/>
                <w:szCs w:val="2"/>
              </w:rPr>
            </w:pPr>
          </w:p>
        </w:tc>
        <w:tc>
          <w:tcPr>
            <w:tcW w:w="3260" w:type="dxa"/>
            <w:vMerge/>
            <w:tcBorders>
              <w:top w:val="nil"/>
            </w:tcBorders>
          </w:tcPr>
          <w:p w:rsidR="006A18FD" w:rsidRDefault="006A18FD">
            <w:pPr>
              <w:rPr>
                <w:sz w:val="2"/>
                <w:szCs w:val="2"/>
              </w:rPr>
            </w:pPr>
          </w:p>
        </w:tc>
        <w:tc>
          <w:tcPr>
            <w:tcW w:w="2835" w:type="dxa"/>
          </w:tcPr>
          <w:p w:rsidR="006A18FD" w:rsidRDefault="002D29FC">
            <w:pPr>
              <w:spacing w:before="1"/>
              <w:ind w:left="693"/>
              <w:rPr>
                <w:rFonts w:ascii="Calibri"/>
                <w:b/>
                <w:sz w:val="20"/>
              </w:rPr>
            </w:pPr>
            <w:r>
              <w:rPr>
                <w:rFonts w:ascii="Calibri"/>
                <w:b/>
                <w:sz w:val="20"/>
              </w:rPr>
              <w:t>Index (1995=100)</w:t>
            </w:r>
          </w:p>
        </w:tc>
        <w:tc>
          <w:tcPr>
            <w:tcW w:w="2535" w:type="dxa"/>
          </w:tcPr>
          <w:p w:rsidR="006A18FD" w:rsidRDefault="002D29FC">
            <w:pPr>
              <w:spacing w:before="1"/>
              <w:ind w:left="698" w:right="316" w:hanging="368"/>
              <w:rPr>
                <w:rFonts w:ascii="Calibri"/>
                <w:b/>
                <w:sz w:val="20"/>
              </w:rPr>
            </w:pPr>
            <w:r>
              <w:rPr>
                <w:rFonts w:ascii="Calibri"/>
                <w:b/>
                <w:sz w:val="20"/>
              </w:rPr>
              <w:t>Annual % increases on previous year</w:t>
            </w:r>
          </w:p>
        </w:tc>
      </w:tr>
      <w:tr w:rsidR="006A18FD">
        <w:trPr>
          <w:trHeight w:val="240"/>
        </w:trPr>
        <w:tc>
          <w:tcPr>
            <w:tcW w:w="1414" w:type="dxa"/>
          </w:tcPr>
          <w:p w:rsidR="006A18FD" w:rsidRDefault="002D29FC">
            <w:pPr>
              <w:spacing w:line="223" w:lineRule="exact"/>
              <w:ind w:left="105"/>
              <w:rPr>
                <w:rFonts w:ascii="Calibri"/>
                <w:sz w:val="20"/>
              </w:rPr>
            </w:pPr>
            <w:r>
              <w:rPr>
                <w:rFonts w:ascii="Calibri"/>
                <w:sz w:val="20"/>
              </w:rPr>
              <w:t>2008</w:t>
            </w:r>
          </w:p>
        </w:tc>
        <w:tc>
          <w:tcPr>
            <w:tcW w:w="3260" w:type="dxa"/>
          </w:tcPr>
          <w:p w:rsidR="006A18FD" w:rsidRDefault="002D29FC">
            <w:pPr>
              <w:spacing w:line="223" w:lineRule="exact"/>
              <w:ind w:left="1466"/>
              <w:rPr>
                <w:rFonts w:ascii="Calibri"/>
                <w:sz w:val="20"/>
              </w:rPr>
            </w:pPr>
            <w:r>
              <w:rPr>
                <w:rFonts w:ascii="Calibri"/>
                <w:sz w:val="20"/>
              </w:rPr>
              <w:t>2.9</w:t>
            </w:r>
          </w:p>
        </w:tc>
        <w:tc>
          <w:tcPr>
            <w:tcW w:w="2835" w:type="dxa"/>
          </w:tcPr>
          <w:p w:rsidR="006A18FD" w:rsidRDefault="002D29FC">
            <w:pPr>
              <w:spacing w:line="223" w:lineRule="exact"/>
              <w:ind w:left="1092" w:right="1384"/>
              <w:jc w:val="center"/>
              <w:rPr>
                <w:rFonts w:ascii="Calibri"/>
                <w:sz w:val="20"/>
              </w:rPr>
            </w:pPr>
            <w:r>
              <w:rPr>
                <w:rFonts w:ascii="Calibri"/>
                <w:sz w:val="20"/>
              </w:rPr>
              <w:t>188</w:t>
            </w:r>
          </w:p>
        </w:tc>
        <w:tc>
          <w:tcPr>
            <w:tcW w:w="2535" w:type="dxa"/>
          </w:tcPr>
          <w:p w:rsidR="006A18FD" w:rsidRDefault="002D29FC">
            <w:pPr>
              <w:spacing w:line="223" w:lineRule="exact"/>
              <w:ind w:left="942" w:right="1025"/>
              <w:jc w:val="center"/>
              <w:rPr>
                <w:rFonts w:ascii="Calibri"/>
                <w:sz w:val="20"/>
              </w:rPr>
            </w:pPr>
            <w:r>
              <w:rPr>
                <w:rFonts w:ascii="Calibri"/>
                <w:sz w:val="20"/>
              </w:rPr>
              <w:t>-1.2</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2009</w:t>
            </w:r>
          </w:p>
        </w:tc>
        <w:tc>
          <w:tcPr>
            <w:tcW w:w="3260" w:type="dxa"/>
          </w:tcPr>
          <w:p w:rsidR="006A18FD" w:rsidRDefault="002D29FC">
            <w:pPr>
              <w:spacing w:before="1" w:line="223" w:lineRule="exact"/>
              <w:ind w:left="1466"/>
              <w:rPr>
                <w:rFonts w:ascii="Calibri"/>
                <w:sz w:val="20"/>
              </w:rPr>
            </w:pPr>
            <w:r>
              <w:rPr>
                <w:rFonts w:ascii="Calibri"/>
                <w:sz w:val="20"/>
              </w:rPr>
              <w:t>1.6</w:t>
            </w:r>
          </w:p>
        </w:tc>
        <w:tc>
          <w:tcPr>
            <w:tcW w:w="2835" w:type="dxa"/>
          </w:tcPr>
          <w:p w:rsidR="006A18FD" w:rsidRDefault="002D29FC">
            <w:pPr>
              <w:spacing w:before="1" w:line="223" w:lineRule="exact"/>
              <w:ind w:left="1092" w:right="1384"/>
              <w:jc w:val="center"/>
              <w:rPr>
                <w:rFonts w:ascii="Calibri"/>
                <w:sz w:val="20"/>
              </w:rPr>
            </w:pPr>
            <w:r>
              <w:rPr>
                <w:rFonts w:ascii="Calibri"/>
                <w:sz w:val="20"/>
              </w:rPr>
              <w:t>168</w:t>
            </w:r>
          </w:p>
        </w:tc>
        <w:tc>
          <w:tcPr>
            <w:tcW w:w="2535" w:type="dxa"/>
          </w:tcPr>
          <w:p w:rsidR="006A18FD" w:rsidRDefault="002D29FC">
            <w:pPr>
              <w:spacing w:before="1" w:line="223" w:lineRule="exact"/>
              <w:ind w:left="942" w:right="1126"/>
              <w:jc w:val="center"/>
              <w:rPr>
                <w:rFonts w:ascii="Calibri"/>
                <w:sz w:val="20"/>
              </w:rPr>
            </w:pPr>
            <w:r>
              <w:rPr>
                <w:rFonts w:ascii="Calibri"/>
                <w:sz w:val="20"/>
              </w:rPr>
              <w:t>-10.9</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2010</w:t>
            </w:r>
          </w:p>
        </w:tc>
        <w:tc>
          <w:tcPr>
            <w:tcW w:w="3260" w:type="dxa"/>
          </w:tcPr>
          <w:p w:rsidR="006A18FD" w:rsidRDefault="002D29FC">
            <w:pPr>
              <w:spacing w:before="1" w:line="223" w:lineRule="exact"/>
              <w:ind w:left="1466"/>
              <w:rPr>
                <w:rFonts w:ascii="Calibri"/>
                <w:sz w:val="20"/>
              </w:rPr>
            </w:pPr>
            <w:r>
              <w:rPr>
                <w:rFonts w:ascii="Calibri"/>
                <w:sz w:val="20"/>
              </w:rPr>
              <w:t>1.5</w:t>
            </w:r>
          </w:p>
        </w:tc>
        <w:tc>
          <w:tcPr>
            <w:tcW w:w="2835" w:type="dxa"/>
          </w:tcPr>
          <w:p w:rsidR="006A18FD" w:rsidRDefault="002D29FC">
            <w:pPr>
              <w:spacing w:before="1" w:line="223" w:lineRule="exact"/>
              <w:ind w:left="1092" w:right="1384"/>
              <w:jc w:val="center"/>
              <w:rPr>
                <w:rFonts w:ascii="Calibri"/>
                <w:sz w:val="20"/>
              </w:rPr>
            </w:pPr>
            <w:r>
              <w:rPr>
                <w:rFonts w:ascii="Calibri"/>
                <w:sz w:val="20"/>
              </w:rPr>
              <w:t>171</w:t>
            </w:r>
          </w:p>
        </w:tc>
        <w:tc>
          <w:tcPr>
            <w:tcW w:w="2535" w:type="dxa"/>
          </w:tcPr>
          <w:p w:rsidR="006A18FD" w:rsidRDefault="002D29FC">
            <w:pPr>
              <w:spacing w:before="1" w:line="223" w:lineRule="exact"/>
              <w:ind w:left="942" w:right="965"/>
              <w:jc w:val="center"/>
              <w:rPr>
                <w:rFonts w:ascii="Calibri"/>
                <w:sz w:val="20"/>
              </w:rPr>
            </w:pPr>
            <w:r>
              <w:rPr>
                <w:rFonts w:ascii="Calibri"/>
                <w:sz w:val="20"/>
              </w:rPr>
              <w:t>2.2</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2011</w:t>
            </w:r>
          </w:p>
        </w:tc>
        <w:tc>
          <w:tcPr>
            <w:tcW w:w="3260" w:type="dxa"/>
          </w:tcPr>
          <w:p w:rsidR="006A18FD" w:rsidRDefault="002D29FC">
            <w:pPr>
              <w:spacing w:before="1" w:line="223" w:lineRule="exact"/>
              <w:ind w:left="1466"/>
              <w:rPr>
                <w:rFonts w:ascii="Calibri"/>
                <w:sz w:val="20"/>
              </w:rPr>
            </w:pPr>
            <w:r>
              <w:rPr>
                <w:rFonts w:ascii="Calibri"/>
                <w:sz w:val="20"/>
              </w:rPr>
              <w:t>1.9</w:t>
            </w:r>
          </w:p>
        </w:tc>
        <w:tc>
          <w:tcPr>
            <w:tcW w:w="2835" w:type="dxa"/>
          </w:tcPr>
          <w:p w:rsidR="006A18FD" w:rsidRDefault="002D29FC">
            <w:pPr>
              <w:spacing w:before="1" w:line="223" w:lineRule="exact"/>
              <w:ind w:left="1092" w:right="1384"/>
              <w:jc w:val="center"/>
              <w:rPr>
                <w:rFonts w:ascii="Calibri"/>
                <w:sz w:val="20"/>
              </w:rPr>
            </w:pPr>
            <w:r>
              <w:rPr>
                <w:rFonts w:ascii="Calibri"/>
                <w:sz w:val="20"/>
              </w:rPr>
              <w:t>177</w:t>
            </w:r>
          </w:p>
        </w:tc>
        <w:tc>
          <w:tcPr>
            <w:tcW w:w="2535" w:type="dxa"/>
          </w:tcPr>
          <w:p w:rsidR="006A18FD" w:rsidRDefault="002D29FC">
            <w:pPr>
              <w:spacing w:before="1" w:line="223" w:lineRule="exact"/>
              <w:ind w:left="942" w:right="965"/>
              <w:jc w:val="center"/>
              <w:rPr>
                <w:rFonts w:ascii="Calibri"/>
                <w:sz w:val="20"/>
              </w:rPr>
            </w:pPr>
            <w:r>
              <w:rPr>
                <w:rFonts w:ascii="Calibri"/>
                <w:sz w:val="20"/>
              </w:rPr>
              <w:t>3.1</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2012</w:t>
            </w:r>
          </w:p>
        </w:tc>
        <w:tc>
          <w:tcPr>
            <w:tcW w:w="3260" w:type="dxa"/>
          </w:tcPr>
          <w:p w:rsidR="006A18FD" w:rsidRDefault="002D29FC">
            <w:pPr>
              <w:spacing w:before="1" w:line="223" w:lineRule="exact"/>
              <w:ind w:left="1466"/>
              <w:rPr>
                <w:rFonts w:ascii="Calibri"/>
                <w:sz w:val="20"/>
              </w:rPr>
            </w:pPr>
            <w:r>
              <w:rPr>
                <w:rFonts w:ascii="Calibri"/>
                <w:sz w:val="20"/>
              </w:rPr>
              <w:t>1.6</w:t>
            </w:r>
          </w:p>
        </w:tc>
        <w:tc>
          <w:tcPr>
            <w:tcW w:w="2835" w:type="dxa"/>
          </w:tcPr>
          <w:p w:rsidR="006A18FD" w:rsidRDefault="002D29FC">
            <w:pPr>
              <w:spacing w:before="1" w:line="223" w:lineRule="exact"/>
              <w:ind w:left="1092" w:right="1384"/>
              <w:jc w:val="center"/>
              <w:rPr>
                <w:rFonts w:ascii="Calibri"/>
                <w:sz w:val="20"/>
              </w:rPr>
            </w:pPr>
            <w:r>
              <w:rPr>
                <w:rFonts w:ascii="Calibri"/>
                <w:sz w:val="20"/>
              </w:rPr>
              <w:t>184</w:t>
            </w:r>
          </w:p>
        </w:tc>
        <w:tc>
          <w:tcPr>
            <w:tcW w:w="2535" w:type="dxa"/>
          </w:tcPr>
          <w:p w:rsidR="006A18FD" w:rsidRDefault="002D29FC">
            <w:pPr>
              <w:spacing w:before="1" w:line="223" w:lineRule="exact"/>
              <w:ind w:left="942" w:right="965"/>
              <w:jc w:val="center"/>
              <w:rPr>
                <w:rFonts w:ascii="Calibri"/>
                <w:sz w:val="20"/>
              </w:rPr>
            </w:pPr>
            <w:r>
              <w:rPr>
                <w:rFonts w:ascii="Calibri"/>
                <w:sz w:val="20"/>
              </w:rPr>
              <w:t>4.0</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2013</w:t>
            </w:r>
          </w:p>
        </w:tc>
        <w:tc>
          <w:tcPr>
            <w:tcW w:w="3260" w:type="dxa"/>
          </w:tcPr>
          <w:p w:rsidR="006A18FD" w:rsidRDefault="002D29FC">
            <w:pPr>
              <w:spacing w:before="1" w:line="223" w:lineRule="exact"/>
              <w:ind w:left="1466"/>
              <w:rPr>
                <w:rFonts w:ascii="Calibri"/>
                <w:sz w:val="20"/>
              </w:rPr>
            </w:pPr>
            <w:r>
              <w:rPr>
                <w:rFonts w:ascii="Calibri"/>
                <w:sz w:val="20"/>
              </w:rPr>
              <w:t>1.9</w:t>
            </w:r>
          </w:p>
        </w:tc>
        <w:tc>
          <w:tcPr>
            <w:tcW w:w="2835" w:type="dxa"/>
          </w:tcPr>
          <w:p w:rsidR="006A18FD" w:rsidRDefault="002D29FC">
            <w:pPr>
              <w:spacing w:before="1" w:line="223" w:lineRule="exact"/>
              <w:ind w:left="1092" w:right="1384"/>
              <w:jc w:val="center"/>
              <w:rPr>
                <w:rFonts w:ascii="Calibri"/>
                <w:sz w:val="20"/>
              </w:rPr>
            </w:pPr>
            <w:r>
              <w:rPr>
                <w:rFonts w:ascii="Calibri"/>
                <w:sz w:val="20"/>
              </w:rPr>
              <w:t>194</w:t>
            </w:r>
          </w:p>
        </w:tc>
        <w:tc>
          <w:tcPr>
            <w:tcW w:w="2535" w:type="dxa"/>
          </w:tcPr>
          <w:p w:rsidR="006A18FD" w:rsidRDefault="002D29FC">
            <w:pPr>
              <w:spacing w:before="1" w:line="223" w:lineRule="exact"/>
              <w:ind w:left="942" w:right="965"/>
              <w:jc w:val="center"/>
              <w:rPr>
                <w:rFonts w:ascii="Calibri"/>
                <w:sz w:val="20"/>
              </w:rPr>
            </w:pPr>
            <w:r>
              <w:rPr>
                <w:rFonts w:ascii="Calibri"/>
                <w:sz w:val="20"/>
              </w:rPr>
              <w:t>5.9</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2014</w:t>
            </w:r>
          </w:p>
        </w:tc>
        <w:tc>
          <w:tcPr>
            <w:tcW w:w="3260" w:type="dxa"/>
          </w:tcPr>
          <w:p w:rsidR="006A18FD" w:rsidRDefault="002D29FC">
            <w:pPr>
              <w:spacing w:before="1" w:line="223" w:lineRule="exact"/>
              <w:ind w:left="1466"/>
              <w:rPr>
                <w:rFonts w:ascii="Calibri"/>
                <w:sz w:val="20"/>
              </w:rPr>
            </w:pPr>
            <w:r>
              <w:rPr>
                <w:rFonts w:ascii="Calibri"/>
                <w:sz w:val="20"/>
              </w:rPr>
              <w:t>1.7</w:t>
            </w:r>
          </w:p>
        </w:tc>
        <w:tc>
          <w:tcPr>
            <w:tcW w:w="2835" w:type="dxa"/>
          </w:tcPr>
          <w:p w:rsidR="006A18FD" w:rsidRDefault="002D29FC">
            <w:pPr>
              <w:spacing w:before="1" w:line="223" w:lineRule="exact"/>
              <w:ind w:left="1092" w:right="1384"/>
              <w:jc w:val="center"/>
              <w:rPr>
                <w:rFonts w:ascii="Calibri"/>
                <w:sz w:val="20"/>
              </w:rPr>
            </w:pPr>
            <w:r>
              <w:rPr>
                <w:rFonts w:ascii="Calibri"/>
                <w:sz w:val="20"/>
              </w:rPr>
              <w:t>207</w:t>
            </w:r>
          </w:p>
        </w:tc>
        <w:tc>
          <w:tcPr>
            <w:tcW w:w="2535" w:type="dxa"/>
          </w:tcPr>
          <w:p w:rsidR="006A18FD" w:rsidRDefault="002D29FC">
            <w:pPr>
              <w:spacing w:before="1" w:line="223" w:lineRule="exact"/>
              <w:ind w:left="942" w:right="965"/>
              <w:jc w:val="center"/>
              <w:rPr>
                <w:rFonts w:ascii="Calibri"/>
                <w:sz w:val="20"/>
              </w:rPr>
            </w:pPr>
            <w:r>
              <w:rPr>
                <w:rFonts w:ascii="Calibri"/>
                <w:sz w:val="20"/>
              </w:rPr>
              <w:t>6.4</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2015</w:t>
            </w:r>
          </w:p>
        </w:tc>
        <w:tc>
          <w:tcPr>
            <w:tcW w:w="3260" w:type="dxa"/>
          </w:tcPr>
          <w:p w:rsidR="006A18FD" w:rsidRDefault="002D29FC">
            <w:pPr>
              <w:spacing w:before="1" w:line="223" w:lineRule="exact"/>
              <w:ind w:left="1466"/>
              <w:rPr>
                <w:rFonts w:ascii="Calibri"/>
                <w:sz w:val="20"/>
              </w:rPr>
            </w:pPr>
            <w:r>
              <w:rPr>
                <w:rFonts w:ascii="Calibri"/>
                <w:sz w:val="20"/>
              </w:rPr>
              <w:t>0.4</w:t>
            </w:r>
          </w:p>
        </w:tc>
        <w:tc>
          <w:tcPr>
            <w:tcW w:w="2835" w:type="dxa"/>
          </w:tcPr>
          <w:p w:rsidR="006A18FD" w:rsidRDefault="002D29FC">
            <w:pPr>
              <w:spacing w:before="1" w:line="223" w:lineRule="exact"/>
              <w:ind w:left="1092" w:right="1384"/>
              <w:jc w:val="center"/>
              <w:rPr>
                <w:rFonts w:ascii="Calibri"/>
                <w:sz w:val="20"/>
              </w:rPr>
            </w:pPr>
            <w:r>
              <w:rPr>
                <w:rFonts w:ascii="Calibri"/>
                <w:sz w:val="20"/>
              </w:rPr>
              <w:t>209</w:t>
            </w:r>
          </w:p>
        </w:tc>
        <w:tc>
          <w:tcPr>
            <w:tcW w:w="2535" w:type="dxa"/>
          </w:tcPr>
          <w:p w:rsidR="006A18FD" w:rsidRDefault="002D29FC">
            <w:pPr>
              <w:spacing w:before="1" w:line="223" w:lineRule="exact"/>
              <w:ind w:left="942" w:right="965"/>
              <w:jc w:val="center"/>
              <w:rPr>
                <w:rFonts w:ascii="Calibri"/>
                <w:sz w:val="20"/>
              </w:rPr>
            </w:pPr>
            <w:r>
              <w:rPr>
                <w:rFonts w:ascii="Calibri"/>
                <w:sz w:val="20"/>
              </w:rPr>
              <w:t>1.0</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2016</w:t>
            </w:r>
          </w:p>
        </w:tc>
        <w:tc>
          <w:tcPr>
            <w:tcW w:w="3260" w:type="dxa"/>
          </w:tcPr>
          <w:p w:rsidR="006A18FD" w:rsidRDefault="002D29FC">
            <w:pPr>
              <w:spacing w:before="1" w:line="223" w:lineRule="exact"/>
              <w:ind w:left="1466"/>
              <w:rPr>
                <w:rFonts w:ascii="Calibri"/>
                <w:sz w:val="20"/>
              </w:rPr>
            </w:pPr>
            <w:r>
              <w:rPr>
                <w:rFonts w:ascii="Calibri"/>
                <w:sz w:val="20"/>
              </w:rPr>
              <w:t>2.1</w:t>
            </w:r>
          </w:p>
        </w:tc>
        <w:tc>
          <w:tcPr>
            <w:tcW w:w="2835" w:type="dxa"/>
          </w:tcPr>
          <w:p w:rsidR="006A18FD" w:rsidRDefault="002D29FC">
            <w:pPr>
              <w:spacing w:before="1" w:line="223" w:lineRule="exact"/>
              <w:ind w:left="1094" w:right="1382"/>
              <w:jc w:val="center"/>
              <w:rPr>
                <w:rFonts w:ascii="Calibri"/>
                <w:sz w:val="20"/>
              </w:rPr>
            </w:pPr>
            <w:r>
              <w:rPr>
                <w:rFonts w:ascii="Calibri"/>
                <w:sz w:val="20"/>
              </w:rPr>
              <w:t>227</w:t>
            </w:r>
          </w:p>
        </w:tc>
        <w:tc>
          <w:tcPr>
            <w:tcW w:w="2535" w:type="dxa"/>
          </w:tcPr>
          <w:p w:rsidR="006A18FD" w:rsidRDefault="002D29FC">
            <w:pPr>
              <w:spacing w:before="1" w:line="223" w:lineRule="exact"/>
              <w:ind w:left="942" w:right="965"/>
              <w:jc w:val="center"/>
              <w:rPr>
                <w:rFonts w:ascii="Calibri"/>
                <w:sz w:val="20"/>
              </w:rPr>
            </w:pPr>
            <w:r>
              <w:rPr>
                <w:rFonts w:ascii="Calibri"/>
                <w:sz w:val="20"/>
              </w:rPr>
              <w:t>8.9</w:t>
            </w:r>
          </w:p>
        </w:tc>
      </w:tr>
      <w:tr w:rsidR="006A18FD">
        <w:trPr>
          <w:trHeight w:val="240"/>
        </w:trPr>
        <w:tc>
          <w:tcPr>
            <w:tcW w:w="1414" w:type="dxa"/>
          </w:tcPr>
          <w:p w:rsidR="006A18FD" w:rsidRDefault="002D29FC">
            <w:pPr>
              <w:spacing w:before="1" w:line="223" w:lineRule="exact"/>
              <w:ind w:left="105"/>
              <w:rPr>
                <w:rFonts w:ascii="Calibri"/>
                <w:sz w:val="20"/>
              </w:rPr>
            </w:pPr>
            <w:r>
              <w:rPr>
                <w:rFonts w:ascii="Calibri"/>
                <w:sz w:val="20"/>
              </w:rPr>
              <w:t>2017</w:t>
            </w:r>
          </w:p>
        </w:tc>
        <w:tc>
          <w:tcPr>
            <w:tcW w:w="3260" w:type="dxa"/>
          </w:tcPr>
          <w:p w:rsidR="006A18FD" w:rsidRDefault="002D29FC">
            <w:pPr>
              <w:spacing w:before="1" w:line="223" w:lineRule="exact"/>
              <w:ind w:left="1466"/>
              <w:rPr>
                <w:rFonts w:ascii="Calibri"/>
                <w:sz w:val="20"/>
              </w:rPr>
            </w:pPr>
            <w:r>
              <w:rPr>
                <w:rFonts w:ascii="Calibri"/>
                <w:sz w:val="20"/>
              </w:rPr>
              <w:t>2.2</w:t>
            </w:r>
          </w:p>
        </w:tc>
        <w:tc>
          <w:tcPr>
            <w:tcW w:w="2835" w:type="dxa"/>
          </w:tcPr>
          <w:p w:rsidR="006A18FD" w:rsidRDefault="002D29FC">
            <w:pPr>
              <w:spacing w:before="1" w:line="223" w:lineRule="exact"/>
              <w:ind w:left="1092" w:right="1384"/>
              <w:jc w:val="center"/>
              <w:rPr>
                <w:rFonts w:ascii="Calibri"/>
                <w:sz w:val="20"/>
              </w:rPr>
            </w:pPr>
            <w:r>
              <w:rPr>
                <w:rFonts w:ascii="Calibri"/>
                <w:sz w:val="20"/>
              </w:rPr>
              <w:t>251</w:t>
            </w:r>
          </w:p>
        </w:tc>
        <w:tc>
          <w:tcPr>
            <w:tcW w:w="2535" w:type="dxa"/>
          </w:tcPr>
          <w:p w:rsidR="006A18FD" w:rsidRDefault="002D29FC">
            <w:pPr>
              <w:spacing w:before="1" w:line="223" w:lineRule="exact"/>
              <w:ind w:left="942" w:right="1066"/>
              <w:jc w:val="center"/>
              <w:rPr>
                <w:rFonts w:ascii="Calibri"/>
                <w:sz w:val="20"/>
              </w:rPr>
            </w:pPr>
            <w:r>
              <w:rPr>
                <w:rFonts w:ascii="Calibri"/>
                <w:sz w:val="20"/>
              </w:rPr>
              <w:t>10.6</w:t>
            </w:r>
          </w:p>
        </w:tc>
      </w:tr>
      <w:tr w:rsidR="006A18FD">
        <w:trPr>
          <w:trHeight w:val="240"/>
        </w:trPr>
        <w:tc>
          <w:tcPr>
            <w:tcW w:w="1414" w:type="dxa"/>
          </w:tcPr>
          <w:p w:rsidR="006A18FD" w:rsidRDefault="002D29FC">
            <w:pPr>
              <w:spacing w:line="224" w:lineRule="exact"/>
              <w:ind w:left="105"/>
              <w:rPr>
                <w:rFonts w:ascii="Calibri"/>
                <w:sz w:val="20"/>
              </w:rPr>
            </w:pPr>
            <w:r>
              <w:rPr>
                <w:rFonts w:ascii="Calibri"/>
                <w:sz w:val="20"/>
              </w:rPr>
              <w:t>2018</w:t>
            </w:r>
          </w:p>
        </w:tc>
        <w:tc>
          <w:tcPr>
            <w:tcW w:w="3260" w:type="dxa"/>
          </w:tcPr>
          <w:p w:rsidR="006A18FD" w:rsidRDefault="002D29FC">
            <w:pPr>
              <w:spacing w:line="224" w:lineRule="exact"/>
              <w:ind w:left="1466"/>
              <w:rPr>
                <w:rFonts w:ascii="Calibri"/>
                <w:sz w:val="20"/>
              </w:rPr>
            </w:pPr>
            <w:r>
              <w:rPr>
                <w:rFonts w:ascii="Calibri"/>
                <w:sz w:val="20"/>
              </w:rPr>
              <w:t>1.9</w:t>
            </w:r>
          </w:p>
        </w:tc>
        <w:tc>
          <w:tcPr>
            <w:tcW w:w="2835" w:type="dxa"/>
          </w:tcPr>
          <w:p w:rsidR="006A18FD" w:rsidRDefault="002D29FC">
            <w:pPr>
              <w:spacing w:line="224" w:lineRule="exact"/>
              <w:ind w:left="1116"/>
              <w:rPr>
                <w:rFonts w:ascii="Calibri"/>
                <w:sz w:val="20"/>
              </w:rPr>
            </w:pPr>
            <w:r>
              <w:rPr>
                <w:rFonts w:ascii="Calibri"/>
                <w:sz w:val="20"/>
              </w:rPr>
              <w:t>259 (Provisional)</w:t>
            </w:r>
          </w:p>
        </w:tc>
        <w:tc>
          <w:tcPr>
            <w:tcW w:w="2535" w:type="dxa"/>
          </w:tcPr>
          <w:p w:rsidR="006A18FD" w:rsidRDefault="002D29FC">
            <w:pPr>
              <w:spacing w:line="224" w:lineRule="exact"/>
              <w:ind w:left="1111"/>
              <w:rPr>
                <w:rFonts w:ascii="Calibri"/>
                <w:sz w:val="20"/>
              </w:rPr>
            </w:pPr>
            <w:r>
              <w:rPr>
                <w:rFonts w:ascii="Calibri"/>
                <w:sz w:val="20"/>
              </w:rPr>
              <w:t>3.1 (Provisional)</w:t>
            </w:r>
          </w:p>
        </w:tc>
      </w:tr>
    </w:tbl>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6A18FD">
      <w:pPr>
        <w:rPr>
          <w:rFonts w:ascii="Calibri"/>
          <w:sz w:val="20"/>
        </w:rPr>
      </w:pPr>
    </w:p>
    <w:p w:rsidR="006A18FD" w:rsidRDefault="002D29FC">
      <w:pPr>
        <w:spacing w:before="132"/>
        <w:ind w:left="436" w:right="1791" w:hanging="284"/>
        <w:rPr>
          <w:rFonts w:ascii="Calibri"/>
          <w:sz w:val="16"/>
        </w:rPr>
      </w:pPr>
      <w:r>
        <w:rPr>
          <w:rFonts w:ascii="Calibri"/>
          <w:position w:val="5"/>
          <w:sz w:val="10"/>
        </w:rPr>
        <w:t xml:space="preserve">1 </w:t>
      </w:r>
      <w:r>
        <w:rPr>
          <w:rFonts w:ascii="Calibri"/>
          <w:sz w:val="16"/>
        </w:rPr>
        <w:t xml:space="preserve">Building Cost Information Service (2019) </w:t>
      </w:r>
      <w:r>
        <w:rPr>
          <w:rFonts w:ascii="Calibri"/>
          <w:i/>
          <w:sz w:val="16"/>
        </w:rPr>
        <w:t>Indices and forecasts</w:t>
      </w:r>
      <w:r>
        <w:rPr>
          <w:rFonts w:ascii="Calibri"/>
          <w:sz w:val="16"/>
        </w:rPr>
        <w:t xml:space="preserve">, Royal Institute of Chartered Surveyors, London </w:t>
      </w:r>
      <w:hyperlink r:id="rId471">
        <w:r>
          <w:rPr>
            <w:rFonts w:ascii="Calibri"/>
            <w:sz w:val="16"/>
            <w:u w:val="single"/>
          </w:rPr>
          <w:t>http://www.rics.org/uk/knowledge/bcis/about-bcis/rebuilding/bcis-house-rebuilding-cost-index/</w:t>
        </w:r>
        <w:r>
          <w:rPr>
            <w:rFonts w:ascii="Calibri"/>
            <w:sz w:val="16"/>
          </w:rPr>
          <w:t xml:space="preserve"> </w:t>
        </w:r>
      </w:hyperlink>
      <w:r>
        <w:rPr>
          <w:rFonts w:ascii="Calibri"/>
          <w:sz w:val="16"/>
        </w:rPr>
        <w:t>[accessed 1 October 2019].</w:t>
      </w:r>
    </w:p>
    <w:p w:rsidR="006A18FD" w:rsidRDefault="002D29FC">
      <w:pPr>
        <w:spacing w:before="1" w:line="195" w:lineRule="exact"/>
        <w:ind w:left="152"/>
        <w:rPr>
          <w:rFonts w:ascii="Calibri"/>
          <w:sz w:val="16"/>
        </w:rPr>
      </w:pPr>
      <w:r>
        <w:rPr>
          <w:rFonts w:ascii="Calibri"/>
          <w:position w:val="5"/>
          <w:sz w:val="10"/>
        </w:rPr>
        <w:t xml:space="preserve">2 </w:t>
      </w:r>
      <w:r>
        <w:rPr>
          <w:rFonts w:ascii="Calibri"/>
          <w:sz w:val="16"/>
        </w:rPr>
        <w:t xml:space="preserve">See: </w:t>
      </w:r>
      <w:hyperlink r:id="rId472">
        <w:r>
          <w:rPr>
            <w:rFonts w:ascii="Calibri"/>
            <w:sz w:val="16"/>
            <w:u w:val="single"/>
          </w:rPr>
          <w:t>http://www.swanlowpark.co.uk/retail-price-index</w:t>
        </w:r>
        <w:r>
          <w:rPr>
            <w:rFonts w:ascii="Calibri"/>
            <w:sz w:val="16"/>
          </w:rPr>
          <w:t xml:space="preserve"> </w:t>
        </w:r>
      </w:hyperlink>
      <w:r>
        <w:rPr>
          <w:rFonts w:ascii="Calibri"/>
          <w:sz w:val="16"/>
        </w:rPr>
        <w:t>[accessed 1 October 2019].</w:t>
      </w:r>
    </w:p>
    <w:p w:rsidR="006A18FD" w:rsidRDefault="002D29FC">
      <w:pPr>
        <w:spacing w:line="195" w:lineRule="exact"/>
        <w:ind w:left="152"/>
        <w:rPr>
          <w:rFonts w:ascii="Calibri"/>
          <w:sz w:val="16"/>
        </w:rPr>
      </w:pPr>
      <w:r>
        <w:rPr>
          <w:rFonts w:ascii="Calibri"/>
          <w:position w:val="5"/>
          <w:sz w:val="10"/>
        </w:rPr>
        <w:t xml:space="preserve">3  </w:t>
      </w:r>
      <w:r>
        <w:rPr>
          <w:rFonts w:ascii="Calibri"/>
          <w:sz w:val="16"/>
        </w:rPr>
        <w:t>Provided by the Department of Health, 2019.</w:t>
      </w:r>
    </w:p>
    <w:p w:rsidR="006A18FD" w:rsidRDefault="006A18FD">
      <w:pPr>
        <w:spacing w:line="195" w:lineRule="exact"/>
        <w:rPr>
          <w:rFonts w:ascii="Calibri"/>
          <w:sz w:val="16"/>
        </w:rPr>
        <w:sectPr w:rsidR="006A18FD">
          <w:headerReference w:type="even" r:id="rId473"/>
          <w:headerReference w:type="default" r:id="rId474"/>
          <w:pgSz w:w="11910" w:h="16840"/>
          <w:pgMar w:top="960" w:right="580" w:bottom="280" w:left="980" w:header="751" w:footer="0" w:gutter="0"/>
          <w:pgNumType w:start="153"/>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7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72" name="Line 2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14D474" id="Group 2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3sv7434CAAB/BQAA&#10;DgAAAAAAAAAAAAAAAAAuAgAAZHJzL2Uyb0RvYy54bWxQSwECLQAUAAYACAAAACEALXfkXNoAAAAE&#10;AQAADwAAAAAAAAAAAAAAAADYBAAAZHJzL2Rvd25yZXYueG1sUEsFBgAAAAAEAAQA8wAAAN8FAAAA&#10;AA==&#10;">
                <v:line id="Line 2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w10:anchorlock/>
              </v:group>
            </w:pict>
          </mc:Fallback>
        </mc:AlternateContent>
      </w:r>
    </w:p>
    <w:p w:rsidR="006A18FD" w:rsidRDefault="002D29FC" w:rsidP="00EE69D4">
      <w:pPr>
        <w:pStyle w:val="Heading2"/>
        <w:numPr>
          <w:ilvl w:val="1"/>
          <w:numId w:val="4"/>
        </w:numPr>
        <w:ind w:left="851" w:hanging="719"/>
      </w:pPr>
      <w:r>
        <w:t>The NHS cost inflation index</w:t>
      </w:r>
      <w:r>
        <w:rPr>
          <w:spacing w:val="-18"/>
        </w:rPr>
        <w:t xml:space="preserve"> </w:t>
      </w:r>
      <w:r>
        <w:t>(NHSCII)</w:t>
      </w:r>
    </w:p>
    <w:p w:rsidR="006A18FD" w:rsidRDefault="002D29FC">
      <w:pPr>
        <w:spacing w:before="170" w:line="276" w:lineRule="auto"/>
        <w:ind w:left="139" w:right="291"/>
        <w:rPr>
          <w:rFonts w:ascii="Calibri"/>
          <w:sz w:val="18"/>
        </w:rPr>
      </w:pPr>
      <w:r>
        <w:rPr>
          <w:rFonts w:ascii="Calibri"/>
          <w:sz w:val="18"/>
        </w:rPr>
        <w:t>Until 2016/2017, a hospital &amp; community health services (HCHS) index was calculated by the DHSC. The hospital and community health services (HCHS) pay and price inflation was a weighted average of two separate inflation indices: the pay index was calculated using the annual increase in NHS salaries and the Health Service Cost Index (HSCI) measured the price change for each of 40 sub-indices of goods and services purchased by the HCHS. These were weighted according to the proportion of expenditure on pay and prices to give the HCHS pay and prices index. In 2016, this index was discontinued, and has now been replaced by the NHS cost Inflation Index (NHSCII) constructed by the Department of Health and Social Care, in conjunction with the Office for National Statistics who have worked with NHS and the University of York to address the gap.</w:t>
      </w:r>
    </w:p>
    <w:p w:rsidR="006A18FD" w:rsidRDefault="002D29FC">
      <w:pPr>
        <w:spacing w:before="119" w:line="276" w:lineRule="auto"/>
        <w:ind w:left="139" w:right="280"/>
        <w:rPr>
          <w:rFonts w:ascii="Calibri"/>
          <w:b/>
          <w:sz w:val="18"/>
        </w:rPr>
      </w:pPr>
      <w:r>
        <w:rPr>
          <w:rFonts w:ascii="Calibri"/>
          <w:sz w:val="18"/>
        </w:rPr>
        <w:t xml:space="preserve">The NHSCII identifies an appropriate inflation measure for each item of spend in six broad categories: NHS providers, general practice, prescribing, dentistry, ophthalmology, and residual, to create an overall inflation measure for the NHS. This index gives a more accurate measure of productivity than previously. </w:t>
      </w:r>
      <w:r>
        <w:rPr>
          <w:rFonts w:ascii="Calibri"/>
          <w:b/>
          <w:sz w:val="18"/>
        </w:rPr>
        <w:t>For detailed information on how the index has been constructed</w:t>
      </w:r>
      <w:hyperlink r:id="rId475">
        <w:r>
          <w:rPr>
            <w:rFonts w:ascii="Calibri"/>
            <w:b/>
            <w:sz w:val="18"/>
          </w:rPr>
          <w:t>, see our website</w:t>
        </w:r>
      </w:hyperlink>
      <w:r>
        <w:rPr>
          <w:rFonts w:ascii="Calibri"/>
          <w:b/>
          <w:sz w:val="18"/>
        </w:rPr>
        <w:t>.</w:t>
      </w:r>
    </w:p>
    <w:p w:rsidR="006A18FD" w:rsidRDefault="002D29FC">
      <w:pPr>
        <w:spacing w:before="119" w:line="278" w:lineRule="auto"/>
        <w:ind w:left="139" w:right="335"/>
        <w:rPr>
          <w:rFonts w:ascii="Arial"/>
          <w:sz w:val="18"/>
        </w:rPr>
      </w:pPr>
      <w:r>
        <w:rPr>
          <w:rFonts w:ascii="Calibri"/>
          <w:b/>
          <w:sz w:val="18"/>
        </w:rPr>
        <w:t>NHS Provider non-pay index is lower than the HCHS HSCI prices inflation</w:t>
      </w:r>
      <w:r>
        <w:rPr>
          <w:rFonts w:ascii="Calibri"/>
          <w:sz w:val="18"/>
        </w:rPr>
        <w:t>: this is most likely due to the HSCI having a high (~12%) inflation for medical services from supply chain data. We believe this was due to poor data quality of the supply chain data at the time</w:t>
      </w:r>
      <w:r>
        <w:rPr>
          <w:rFonts w:ascii="Arial"/>
          <w:sz w:val="18"/>
        </w:rPr>
        <w:t>.</w:t>
      </w:r>
    </w:p>
    <w:p w:rsidR="006A18FD" w:rsidRDefault="006A18FD">
      <w:pPr>
        <w:rPr>
          <w:rFonts w:ascii="Arial"/>
          <w:sz w:val="20"/>
        </w:rPr>
      </w:pPr>
    </w:p>
    <w:p w:rsidR="006A18FD" w:rsidRDefault="006A18FD">
      <w:pPr>
        <w:spacing w:before="2" w:after="1"/>
        <w:rPr>
          <w:rFonts w:ascii="Arial"/>
          <w:sz w:val="12"/>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2837"/>
        <w:gridCol w:w="2832"/>
        <w:gridCol w:w="2838"/>
      </w:tblGrid>
      <w:tr w:rsidR="006A18FD" w:rsidTr="00CA19E0">
        <w:trPr>
          <w:trHeight w:val="340"/>
          <w:tblHeader/>
        </w:trPr>
        <w:tc>
          <w:tcPr>
            <w:tcW w:w="9794" w:type="dxa"/>
            <w:gridSpan w:val="4"/>
          </w:tcPr>
          <w:p w:rsidR="006A18FD" w:rsidRDefault="002D29FC">
            <w:pPr>
              <w:spacing w:before="1"/>
              <w:ind w:left="3429" w:right="3432"/>
              <w:jc w:val="center"/>
              <w:rPr>
                <w:rFonts w:ascii="Calibri"/>
                <w:b/>
                <w:sz w:val="19"/>
              </w:rPr>
            </w:pPr>
            <w:r>
              <w:rPr>
                <w:rFonts w:ascii="Calibri"/>
                <w:b/>
                <w:sz w:val="19"/>
              </w:rPr>
              <w:t>HCHS/NHS inflators all sectors</w:t>
            </w:r>
          </w:p>
        </w:tc>
      </w:tr>
      <w:tr w:rsidR="006A18FD">
        <w:trPr>
          <w:trHeight w:val="340"/>
        </w:trPr>
        <w:tc>
          <w:tcPr>
            <w:tcW w:w="9794" w:type="dxa"/>
            <w:gridSpan w:val="4"/>
          </w:tcPr>
          <w:p w:rsidR="006A18FD" w:rsidRDefault="002D29FC">
            <w:pPr>
              <w:spacing w:before="1"/>
              <w:ind w:left="3431" w:right="3432"/>
              <w:jc w:val="center"/>
              <w:rPr>
                <w:rFonts w:ascii="Calibri"/>
                <w:b/>
                <w:sz w:val="19"/>
              </w:rPr>
            </w:pPr>
            <w:r>
              <w:rPr>
                <w:rFonts w:ascii="Calibri"/>
                <w:b/>
                <w:sz w:val="19"/>
              </w:rPr>
              <w:t>Annual % increases on previous</w:t>
            </w:r>
            <w:r>
              <w:rPr>
                <w:rFonts w:ascii="Calibri"/>
                <w:b/>
                <w:spacing w:val="-15"/>
                <w:sz w:val="19"/>
              </w:rPr>
              <w:t xml:space="preserve"> </w:t>
            </w:r>
            <w:r>
              <w:rPr>
                <w:rFonts w:ascii="Calibri"/>
                <w:b/>
                <w:sz w:val="19"/>
              </w:rPr>
              <w:t>year</w:t>
            </w:r>
          </w:p>
        </w:tc>
      </w:tr>
      <w:tr w:rsidR="006A18FD">
        <w:trPr>
          <w:trHeight w:val="340"/>
        </w:trPr>
        <w:tc>
          <w:tcPr>
            <w:tcW w:w="1287" w:type="dxa"/>
          </w:tcPr>
          <w:p w:rsidR="006A18FD" w:rsidRDefault="002D29FC">
            <w:pPr>
              <w:spacing w:before="3"/>
              <w:ind w:left="103"/>
              <w:rPr>
                <w:rFonts w:ascii="Calibri"/>
                <w:b/>
                <w:sz w:val="19"/>
              </w:rPr>
            </w:pPr>
            <w:r>
              <w:rPr>
                <w:rFonts w:ascii="Calibri"/>
                <w:b/>
                <w:sz w:val="19"/>
              </w:rPr>
              <w:t>Year</w:t>
            </w:r>
          </w:p>
        </w:tc>
        <w:tc>
          <w:tcPr>
            <w:tcW w:w="2837" w:type="dxa"/>
          </w:tcPr>
          <w:p w:rsidR="006A18FD" w:rsidRDefault="002D29FC">
            <w:pPr>
              <w:spacing w:before="3"/>
              <w:ind w:left="940"/>
              <w:rPr>
                <w:rFonts w:ascii="Calibri"/>
                <w:b/>
                <w:sz w:val="19"/>
              </w:rPr>
            </w:pPr>
            <w:r>
              <w:rPr>
                <w:rFonts w:ascii="Calibri"/>
                <w:b/>
                <w:sz w:val="19"/>
              </w:rPr>
              <w:t>HCHS prices</w:t>
            </w:r>
          </w:p>
        </w:tc>
        <w:tc>
          <w:tcPr>
            <w:tcW w:w="2832" w:type="dxa"/>
          </w:tcPr>
          <w:p w:rsidR="006A18FD" w:rsidRDefault="002D29FC">
            <w:pPr>
              <w:spacing w:before="3"/>
              <w:ind w:left="1013" w:right="1010"/>
              <w:jc w:val="center"/>
              <w:rPr>
                <w:rFonts w:ascii="Calibri"/>
                <w:b/>
                <w:sz w:val="19"/>
              </w:rPr>
            </w:pPr>
            <w:r>
              <w:rPr>
                <w:rFonts w:ascii="Calibri"/>
                <w:b/>
                <w:sz w:val="19"/>
              </w:rPr>
              <w:t>HCHS pay</w:t>
            </w:r>
          </w:p>
        </w:tc>
        <w:tc>
          <w:tcPr>
            <w:tcW w:w="2837" w:type="dxa"/>
          </w:tcPr>
          <w:p w:rsidR="006A18FD" w:rsidRDefault="002D29FC">
            <w:pPr>
              <w:spacing w:before="3"/>
              <w:ind w:left="533" w:right="537"/>
              <w:jc w:val="center"/>
              <w:rPr>
                <w:rFonts w:ascii="Calibri"/>
                <w:b/>
                <w:sz w:val="19"/>
              </w:rPr>
            </w:pPr>
            <w:r>
              <w:rPr>
                <w:rFonts w:ascii="Calibri"/>
                <w:b/>
                <w:sz w:val="19"/>
              </w:rPr>
              <w:t>HCHS pay and prices</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2009/2010</w:t>
            </w:r>
          </w:p>
        </w:tc>
        <w:tc>
          <w:tcPr>
            <w:tcW w:w="2837" w:type="dxa"/>
          </w:tcPr>
          <w:p w:rsidR="006A18FD" w:rsidRDefault="002D29FC">
            <w:pPr>
              <w:spacing w:before="1" w:line="211" w:lineRule="exact"/>
              <w:ind w:left="534" w:right="537"/>
              <w:jc w:val="center"/>
              <w:rPr>
                <w:rFonts w:ascii="Calibri"/>
                <w:sz w:val="19"/>
              </w:rPr>
            </w:pPr>
            <w:r>
              <w:rPr>
                <w:rFonts w:ascii="Calibri"/>
                <w:sz w:val="19"/>
              </w:rPr>
              <w:t>-1.30</w:t>
            </w:r>
          </w:p>
        </w:tc>
        <w:tc>
          <w:tcPr>
            <w:tcW w:w="2832" w:type="dxa"/>
          </w:tcPr>
          <w:p w:rsidR="006A18FD" w:rsidRDefault="002D29FC">
            <w:pPr>
              <w:spacing w:before="1" w:line="211" w:lineRule="exact"/>
              <w:ind w:left="1013" w:right="1004"/>
              <w:jc w:val="center"/>
              <w:rPr>
                <w:rFonts w:ascii="Calibri"/>
                <w:sz w:val="19"/>
              </w:rPr>
            </w:pPr>
            <w:r>
              <w:rPr>
                <w:rFonts w:ascii="Calibri"/>
                <w:sz w:val="19"/>
              </w:rPr>
              <w:t>1.80</w:t>
            </w:r>
          </w:p>
        </w:tc>
        <w:tc>
          <w:tcPr>
            <w:tcW w:w="2837" w:type="dxa"/>
          </w:tcPr>
          <w:p w:rsidR="006A18FD" w:rsidRDefault="002D29FC">
            <w:pPr>
              <w:spacing w:before="1" w:line="211" w:lineRule="exact"/>
              <w:ind w:left="534" w:right="529"/>
              <w:jc w:val="center"/>
              <w:rPr>
                <w:rFonts w:ascii="Calibri"/>
                <w:sz w:val="19"/>
              </w:rPr>
            </w:pPr>
            <w:r>
              <w:rPr>
                <w:rFonts w:ascii="Calibri"/>
                <w:sz w:val="19"/>
              </w:rPr>
              <w:t>0.60</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2010/2011</w:t>
            </w:r>
          </w:p>
        </w:tc>
        <w:tc>
          <w:tcPr>
            <w:tcW w:w="2837" w:type="dxa"/>
          </w:tcPr>
          <w:p w:rsidR="006A18FD" w:rsidRDefault="002D29FC">
            <w:pPr>
              <w:spacing w:before="1" w:line="211" w:lineRule="exact"/>
              <w:ind w:left="534" w:right="482"/>
              <w:jc w:val="center"/>
              <w:rPr>
                <w:rFonts w:ascii="Calibri"/>
                <w:sz w:val="19"/>
              </w:rPr>
            </w:pPr>
            <w:r>
              <w:rPr>
                <w:rFonts w:ascii="Calibri"/>
                <w:sz w:val="19"/>
              </w:rPr>
              <w:t>2.80</w:t>
            </w:r>
          </w:p>
        </w:tc>
        <w:tc>
          <w:tcPr>
            <w:tcW w:w="2832" w:type="dxa"/>
          </w:tcPr>
          <w:p w:rsidR="006A18FD" w:rsidRDefault="002D29FC">
            <w:pPr>
              <w:spacing w:before="1" w:line="211" w:lineRule="exact"/>
              <w:ind w:left="1013" w:right="1004"/>
              <w:jc w:val="center"/>
              <w:rPr>
                <w:rFonts w:ascii="Calibri"/>
                <w:sz w:val="19"/>
              </w:rPr>
            </w:pPr>
            <w:r>
              <w:rPr>
                <w:rFonts w:ascii="Calibri"/>
                <w:sz w:val="19"/>
              </w:rPr>
              <w:t>3.10</w:t>
            </w:r>
          </w:p>
        </w:tc>
        <w:tc>
          <w:tcPr>
            <w:tcW w:w="2837" w:type="dxa"/>
          </w:tcPr>
          <w:p w:rsidR="006A18FD" w:rsidRDefault="002D29FC">
            <w:pPr>
              <w:spacing w:before="1" w:line="211" w:lineRule="exact"/>
              <w:ind w:left="534" w:right="529"/>
              <w:jc w:val="center"/>
              <w:rPr>
                <w:rFonts w:ascii="Calibri"/>
                <w:sz w:val="19"/>
              </w:rPr>
            </w:pPr>
            <w:r>
              <w:rPr>
                <w:rFonts w:ascii="Calibri"/>
                <w:sz w:val="19"/>
              </w:rPr>
              <w:t>3.00</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2011/2012</w:t>
            </w:r>
          </w:p>
        </w:tc>
        <w:tc>
          <w:tcPr>
            <w:tcW w:w="2837" w:type="dxa"/>
          </w:tcPr>
          <w:p w:rsidR="006A18FD" w:rsidRDefault="002D29FC">
            <w:pPr>
              <w:spacing w:before="1" w:line="211" w:lineRule="exact"/>
              <w:ind w:left="534" w:right="482"/>
              <w:jc w:val="center"/>
              <w:rPr>
                <w:rFonts w:ascii="Calibri"/>
                <w:sz w:val="19"/>
              </w:rPr>
            </w:pPr>
            <w:r>
              <w:rPr>
                <w:rFonts w:ascii="Calibri"/>
                <w:sz w:val="19"/>
              </w:rPr>
              <w:t>4.10</w:t>
            </w:r>
          </w:p>
        </w:tc>
        <w:tc>
          <w:tcPr>
            <w:tcW w:w="2832" w:type="dxa"/>
          </w:tcPr>
          <w:p w:rsidR="006A18FD" w:rsidRDefault="002D29FC">
            <w:pPr>
              <w:spacing w:before="1" w:line="211" w:lineRule="exact"/>
              <w:ind w:left="1013" w:right="1004"/>
              <w:jc w:val="center"/>
              <w:rPr>
                <w:rFonts w:ascii="Calibri"/>
                <w:sz w:val="19"/>
              </w:rPr>
            </w:pPr>
            <w:r>
              <w:rPr>
                <w:rFonts w:ascii="Calibri"/>
                <w:sz w:val="19"/>
              </w:rPr>
              <w:t>0.90</w:t>
            </w:r>
          </w:p>
        </w:tc>
        <w:tc>
          <w:tcPr>
            <w:tcW w:w="2837" w:type="dxa"/>
          </w:tcPr>
          <w:p w:rsidR="006A18FD" w:rsidRDefault="002D29FC">
            <w:pPr>
              <w:spacing w:before="1" w:line="211" w:lineRule="exact"/>
              <w:ind w:left="534" w:right="529"/>
              <w:jc w:val="center"/>
              <w:rPr>
                <w:rFonts w:ascii="Calibri"/>
                <w:sz w:val="19"/>
              </w:rPr>
            </w:pPr>
            <w:r>
              <w:rPr>
                <w:rFonts w:ascii="Calibri"/>
                <w:sz w:val="19"/>
              </w:rPr>
              <w:t>2.10</w:t>
            </w:r>
          </w:p>
        </w:tc>
      </w:tr>
      <w:tr w:rsidR="006A18FD">
        <w:trPr>
          <w:trHeight w:val="220"/>
        </w:trPr>
        <w:tc>
          <w:tcPr>
            <w:tcW w:w="1287" w:type="dxa"/>
          </w:tcPr>
          <w:p w:rsidR="006A18FD" w:rsidRDefault="002D29FC">
            <w:pPr>
              <w:spacing w:line="210" w:lineRule="exact"/>
              <w:ind w:left="103"/>
              <w:rPr>
                <w:rFonts w:ascii="Calibri"/>
                <w:sz w:val="19"/>
              </w:rPr>
            </w:pPr>
            <w:r>
              <w:rPr>
                <w:rFonts w:ascii="Calibri"/>
                <w:sz w:val="19"/>
              </w:rPr>
              <w:t>2012/2013</w:t>
            </w:r>
          </w:p>
        </w:tc>
        <w:tc>
          <w:tcPr>
            <w:tcW w:w="2837" w:type="dxa"/>
          </w:tcPr>
          <w:p w:rsidR="006A18FD" w:rsidRDefault="002D29FC">
            <w:pPr>
              <w:spacing w:line="210" w:lineRule="exact"/>
              <w:ind w:left="534" w:right="482"/>
              <w:jc w:val="center"/>
              <w:rPr>
                <w:rFonts w:ascii="Calibri"/>
                <w:sz w:val="19"/>
              </w:rPr>
            </w:pPr>
            <w:r>
              <w:rPr>
                <w:rFonts w:ascii="Calibri"/>
                <w:sz w:val="19"/>
              </w:rPr>
              <w:t>3.10</w:t>
            </w:r>
          </w:p>
        </w:tc>
        <w:tc>
          <w:tcPr>
            <w:tcW w:w="2832" w:type="dxa"/>
          </w:tcPr>
          <w:p w:rsidR="006A18FD" w:rsidRDefault="002D29FC">
            <w:pPr>
              <w:spacing w:line="210" w:lineRule="exact"/>
              <w:ind w:left="1013" w:right="1004"/>
              <w:jc w:val="center"/>
              <w:rPr>
                <w:rFonts w:ascii="Calibri"/>
                <w:sz w:val="19"/>
              </w:rPr>
            </w:pPr>
            <w:r>
              <w:rPr>
                <w:rFonts w:ascii="Calibri"/>
                <w:sz w:val="19"/>
              </w:rPr>
              <w:t>0.90</w:t>
            </w:r>
          </w:p>
        </w:tc>
        <w:tc>
          <w:tcPr>
            <w:tcW w:w="2837" w:type="dxa"/>
          </w:tcPr>
          <w:p w:rsidR="006A18FD" w:rsidRDefault="002D29FC">
            <w:pPr>
              <w:spacing w:line="210" w:lineRule="exact"/>
              <w:ind w:left="534" w:right="529"/>
              <w:jc w:val="center"/>
              <w:rPr>
                <w:rFonts w:ascii="Calibri"/>
                <w:sz w:val="19"/>
              </w:rPr>
            </w:pPr>
            <w:r>
              <w:rPr>
                <w:rFonts w:ascii="Calibri"/>
                <w:sz w:val="19"/>
              </w:rPr>
              <w:t>1.70</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2013/2014</w:t>
            </w:r>
          </w:p>
        </w:tc>
        <w:tc>
          <w:tcPr>
            <w:tcW w:w="2837" w:type="dxa"/>
          </w:tcPr>
          <w:p w:rsidR="006A18FD" w:rsidRDefault="002D29FC">
            <w:pPr>
              <w:spacing w:before="1" w:line="211" w:lineRule="exact"/>
              <w:ind w:left="534" w:right="482"/>
              <w:jc w:val="center"/>
              <w:rPr>
                <w:rFonts w:ascii="Calibri"/>
                <w:sz w:val="19"/>
              </w:rPr>
            </w:pPr>
            <w:r>
              <w:rPr>
                <w:rFonts w:ascii="Calibri"/>
                <w:sz w:val="19"/>
              </w:rPr>
              <w:t>1.80</w:t>
            </w:r>
          </w:p>
        </w:tc>
        <w:tc>
          <w:tcPr>
            <w:tcW w:w="2832" w:type="dxa"/>
          </w:tcPr>
          <w:p w:rsidR="006A18FD" w:rsidRDefault="002D29FC">
            <w:pPr>
              <w:spacing w:before="1" w:line="211" w:lineRule="exact"/>
              <w:ind w:left="1013" w:right="1004"/>
              <w:jc w:val="center"/>
              <w:rPr>
                <w:rFonts w:ascii="Calibri"/>
                <w:sz w:val="19"/>
              </w:rPr>
            </w:pPr>
            <w:r>
              <w:rPr>
                <w:rFonts w:ascii="Calibri"/>
                <w:sz w:val="19"/>
              </w:rPr>
              <w:t>0.70</w:t>
            </w:r>
          </w:p>
        </w:tc>
        <w:tc>
          <w:tcPr>
            <w:tcW w:w="2837" w:type="dxa"/>
          </w:tcPr>
          <w:p w:rsidR="006A18FD" w:rsidRDefault="002D29FC">
            <w:pPr>
              <w:spacing w:before="1" w:line="211" w:lineRule="exact"/>
              <w:ind w:left="534" w:right="529"/>
              <w:jc w:val="center"/>
              <w:rPr>
                <w:rFonts w:ascii="Calibri"/>
                <w:sz w:val="19"/>
              </w:rPr>
            </w:pPr>
            <w:r>
              <w:rPr>
                <w:rFonts w:ascii="Calibri"/>
                <w:sz w:val="19"/>
              </w:rPr>
              <w:t>1.10</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2014/2015</w:t>
            </w:r>
          </w:p>
        </w:tc>
        <w:tc>
          <w:tcPr>
            <w:tcW w:w="2837" w:type="dxa"/>
          </w:tcPr>
          <w:p w:rsidR="006A18FD" w:rsidRDefault="002D29FC">
            <w:pPr>
              <w:spacing w:before="1" w:line="211" w:lineRule="exact"/>
              <w:ind w:left="534" w:right="482"/>
              <w:jc w:val="center"/>
              <w:rPr>
                <w:rFonts w:ascii="Calibri"/>
                <w:sz w:val="19"/>
              </w:rPr>
            </w:pPr>
            <w:r>
              <w:rPr>
                <w:rFonts w:ascii="Calibri"/>
                <w:sz w:val="19"/>
              </w:rPr>
              <w:t>1.70</w:t>
            </w:r>
          </w:p>
        </w:tc>
        <w:tc>
          <w:tcPr>
            <w:tcW w:w="2832" w:type="dxa"/>
          </w:tcPr>
          <w:p w:rsidR="006A18FD" w:rsidRDefault="002D29FC">
            <w:pPr>
              <w:spacing w:before="1" w:line="211" w:lineRule="exact"/>
              <w:ind w:left="1013" w:right="1004"/>
              <w:jc w:val="center"/>
              <w:rPr>
                <w:rFonts w:ascii="Calibri"/>
                <w:sz w:val="19"/>
              </w:rPr>
            </w:pPr>
            <w:r>
              <w:rPr>
                <w:rFonts w:ascii="Calibri"/>
                <w:sz w:val="19"/>
              </w:rPr>
              <w:t>0.30</w:t>
            </w:r>
          </w:p>
        </w:tc>
        <w:tc>
          <w:tcPr>
            <w:tcW w:w="2837" w:type="dxa"/>
          </w:tcPr>
          <w:p w:rsidR="006A18FD" w:rsidRDefault="002D29FC">
            <w:pPr>
              <w:spacing w:before="1" w:line="211" w:lineRule="exact"/>
              <w:ind w:left="534" w:right="529"/>
              <w:jc w:val="center"/>
              <w:rPr>
                <w:rFonts w:ascii="Calibri"/>
                <w:sz w:val="19"/>
              </w:rPr>
            </w:pPr>
            <w:r>
              <w:rPr>
                <w:rFonts w:ascii="Calibri"/>
                <w:sz w:val="19"/>
              </w:rPr>
              <w:t>0.90</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2015/2016</w:t>
            </w:r>
          </w:p>
        </w:tc>
        <w:tc>
          <w:tcPr>
            <w:tcW w:w="2837" w:type="dxa"/>
          </w:tcPr>
          <w:p w:rsidR="006A18FD" w:rsidRDefault="002D29FC">
            <w:pPr>
              <w:spacing w:before="1" w:line="211" w:lineRule="exact"/>
              <w:ind w:left="534" w:right="482"/>
              <w:jc w:val="center"/>
              <w:rPr>
                <w:rFonts w:ascii="Calibri"/>
                <w:sz w:val="19"/>
              </w:rPr>
            </w:pPr>
            <w:r>
              <w:rPr>
                <w:rFonts w:ascii="Calibri"/>
                <w:sz w:val="19"/>
              </w:rPr>
              <w:t>2.70</w:t>
            </w:r>
          </w:p>
        </w:tc>
        <w:tc>
          <w:tcPr>
            <w:tcW w:w="2832" w:type="dxa"/>
          </w:tcPr>
          <w:p w:rsidR="006A18FD" w:rsidRDefault="002D29FC">
            <w:pPr>
              <w:spacing w:before="1" w:line="211" w:lineRule="exact"/>
              <w:ind w:left="1013" w:right="1004"/>
              <w:jc w:val="center"/>
              <w:rPr>
                <w:rFonts w:ascii="Calibri"/>
                <w:sz w:val="19"/>
              </w:rPr>
            </w:pPr>
            <w:r>
              <w:rPr>
                <w:rFonts w:ascii="Calibri"/>
                <w:sz w:val="19"/>
              </w:rPr>
              <w:t>0.30</w:t>
            </w:r>
          </w:p>
        </w:tc>
        <w:tc>
          <w:tcPr>
            <w:tcW w:w="2837" w:type="dxa"/>
          </w:tcPr>
          <w:p w:rsidR="006A18FD" w:rsidRDefault="002D29FC">
            <w:pPr>
              <w:spacing w:before="1" w:line="211" w:lineRule="exact"/>
              <w:ind w:left="534" w:right="529"/>
              <w:jc w:val="center"/>
              <w:rPr>
                <w:rFonts w:ascii="Calibri"/>
                <w:sz w:val="19"/>
              </w:rPr>
            </w:pPr>
            <w:r>
              <w:rPr>
                <w:rFonts w:ascii="Calibri"/>
                <w:sz w:val="19"/>
              </w:rPr>
              <w:t>1.30</w:t>
            </w:r>
          </w:p>
        </w:tc>
      </w:tr>
      <w:tr w:rsidR="006A18FD">
        <w:trPr>
          <w:trHeight w:val="220"/>
        </w:trPr>
        <w:tc>
          <w:tcPr>
            <w:tcW w:w="9794" w:type="dxa"/>
            <w:gridSpan w:val="4"/>
          </w:tcPr>
          <w:p w:rsidR="006A18FD" w:rsidRDefault="002D29FC">
            <w:pPr>
              <w:spacing w:before="1" w:line="212" w:lineRule="exact"/>
              <w:ind w:left="3432" w:right="3432"/>
              <w:jc w:val="center"/>
              <w:rPr>
                <w:rFonts w:ascii="Calibri"/>
                <w:b/>
                <w:sz w:val="19"/>
              </w:rPr>
            </w:pPr>
            <w:r>
              <w:rPr>
                <w:rFonts w:ascii="Calibri"/>
                <w:b/>
                <w:sz w:val="19"/>
              </w:rPr>
              <w:t>Annual % increases on previous year</w:t>
            </w:r>
          </w:p>
        </w:tc>
      </w:tr>
      <w:tr w:rsidR="006A18FD">
        <w:trPr>
          <w:trHeight w:val="220"/>
        </w:trPr>
        <w:tc>
          <w:tcPr>
            <w:tcW w:w="1287" w:type="dxa"/>
          </w:tcPr>
          <w:p w:rsidR="006A18FD" w:rsidRDefault="006A18FD">
            <w:pPr>
              <w:rPr>
                <w:rFonts w:ascii="Times New Roman"/>
                <w:sz w:val="16"/>
              </w:rPr>
            </w:pPr>
          </w:p>
        </w:tc>
        <w:tc>
          <w:tcPr>
            <w:tcW w:w="2837" w:type="dxa"/>
          </w:tcPr>
          <w:p w:rsidR="006A18FD" w:rsidRDefault="002D29FC">
            <w:pPr>
              <w:spacing w:line="210" w:lineRule="exact"/>
              <w:ind w:left="976"/>
              <w:rPr>
                <w:rFonts w:ascii="Calibri"/>
                <w:b/>
                <w:sz w:val="19"/>
              </w:rPr>
            </w:pPr>
            <w:r>
              <w:rPr>
                <w:rFonts w:ascii="Calibri"/>
                <w:b/>
                <w:sz w:val="19"/>
              </w:rPr>
              <w:t>NHSCII prices</w:t>
            </w:r>
          </w:p>
        </w:tc>
        <w:tc>
          <w:tcPr>
            <w:tcW w:w="2832" w:type="dxa"/>
          </w:tcPr>
          <w:p w:rsidR="006A18FD" w:rsidRDefault="002D29FC">
            <w:pPr>
              <w:spacing w:line="210" w:lineRule="exact"/>
              <w:ind w:left="1144"/>
              <w:rPr>
                <w:rFonts w:ascii="Calibri"/>
                <w:b/>
                <w:sz w:val="19"/>
              </w:rPr>
            </w:pPr>
            <w:r>
              <w:rPr>
                <w:rFonts w:ascii="Calibri"/>
                <w:b/>
                <w:sz w:val="19"/>
              </w:rPr>
              <w:t>NHSCII pay</w:t>
            </w:r>
          </w:p>
        </w:tc>
        <w:tc>
          <w:tcPr>
            <w:tcW w:w="2837" w:type="dxa"/>
          </w:tcPr>
          <w:p w:rsidR="006A18FD" w:rsidRDefault="002D29FC">
            <w:pPr>
              <w:spacing w:line="210" w:lineRule="exact"/>
              <w:ind w:left="534" w:right="537"/>
              <w:jc w:val="center"/>
              <w:rPr>
                <w:rFonts w:ascii="Calibri"/>
                <w:b/>
                <w:sz w:val="19"/>
              </w:rPr>
            </w:pPr>
            <w:r>
              <w:rPr>
                <w:rFonts w:ascii="Calibri"/>
                <w:b/>
                <w:sz w:val="19"/>
              </w:rPr>
              <w:t>NHSCII pay and prices</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2015/2016</w:t>
            </w:r>
          </w:p>
        </w:tc>
        <w:tc>
          <w:tcPr>
            <w:tcW w:w="2837" w:type="dxa"/>
          </w:tcPr>
          <w:p w:rsidR="006A18FD" w:rsidRDefault="002D29FC">
            <w:pPr>
              <w:spacing w:before="1" w:line="211" w:lineRule="exact"/>
              <w:ind w:left="534" w:right="482"/>
              <w:jc w:val="center"/>
              <w:rPr>
                <w:rFonts w:ascii="Calibri"/>
                <w:sz w:val="19"/>
              </w:rPr>
            </w:pPr>
            <w:r>
              <w:rPr>
                <w:rFonts w:ascii="Calibri"/>
                <w:sz w:val="19"/>
              </w:rPr>
              <w:t>0.45</w:t>
            </w:r>
          </w:p>
        </w:tc>
        <w:tc>
          <w:tcPr>
            <w:tcW w:w="2832" w:type="dxa"/>
          </w:tcPr>
          <w:p w:rsidR="006A18FD" w:rsidRDefault="002D29FC">
            <w:pPr>
              <w:spacing w:before="1" w:line="211" w:lineRule="exact"/>
              <w:ind w:left="1013" w:right="1004"/>
              <w:jc w:val="center"/>
              <w:rPr>
                <w:rFonts w:ascii="Calibri"/>
                <w:sz w:val="19"/>
              </w:rPr>
            </w:pPr>
            <w:r>
              <w:rPr>
                <w:rFonts w:ascii="Calibri"/>
                <w:sz w:val="19"/>
              </w:rPr>
              <w:t>0.30</w:t>
            </w:r>
          </w:p>
        </w:tc>
        <w:tc>
          <w:tcPr>
            <w:tcW w:w="2837" w:type="dxa"/>
          </w:tcPr>
          <w:p w:rsidR="006A18FD" w:rsidRDefault="002D29FC">
            <w:pPr>
              <w:spacing w:before="1" w:line="211" w:lineRule="exact"/>
              <w:ind w:left="534" w:right="529"/>
              <w:jc w:val="center"/>
              <w:rPr>
                <w:rFonts w:ascii="Calibri"/>
                <w:sz w:val="19"/>
              </w:rPr>
            </w:pPr>
            <w:r>
              <w:rPr>
                <w:rFonts w:ascii="Calibri"/>
                <w:sz w:val="19"/>
              </w:rPr>
              <w:t>0.35</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2016/2017</w:t>
            </w:r>
          </w:p>
        </w:tc>
        <w:tc>
          <w:tcPr>
            <w:tcW w:w="2837" w:type="dxa"/>
          </w:tcPr>
          <w:p w:rsidR="006A18FD" w:rsidRDefault="002D29FC">
            <w:pPr>
              <w:spacing w:before="1" w:line="211" w:lineRule="exact"/>
              <w:ind w:left="534" w:right="482"/>
              <w:jc w:val="center"/>
              <w:rPr>
                <w:rFonts w:ascii="Calibri"/>
                <w:sz w:val="19"/>
              </w:rPr>
            </w:pPr>
            <w:r>
              <w:rPr>
                <w:rFonts w:ascii="Calibri"/>
                <w:sz w:val="19"/>
              </w:rPr>
              <w:t>2.16</w:t>
            </w:r>
          </w:p>
        </w:tc>
        <w:tc>
          <w:tcPr>
            <w:tcW w:w="2832" w:type="dxa"/>
          </w:tcPr>
          <w:p w:rsidR="006A18FD" w:rsidRDefault="002D29FC">
            <w:pPr>
              <w:spacing w:before="1" w:line="211" w:lineRule="exact"/>
              <w:ind w:left="1013" w:right="1004"/>
              <w:jc w:val="center"/>
              <w:rPr>
                <w:rFonts w:ascii="Calibri"/>
                <w:sz w:val="19"/>
              </w:rPr>
            </w:pPr>
            <w:r>
              <w:rPr>
                <w:rFonts w:ascii="Calibri"/>
                <w:sz w:val="19"/>
              </w:rPr>
              <w:t>2.10</w:t>
            </w:r>
          </w:p>
        </w:tc>
        <w:tc>
          <w:tcPr>
            <w:tcW w:w="2837" w:type="dxa"/>
          </w:tcPr>
          <w:p w:rsidR="006A18FD" w:rsidRDefault="002D29FC">
            <w:pPr>
              <w:spacing w:before="1" w:line="211" w:lineRule="exact"/>
              <w:ind w:left="534" w:right="529"/>
              <w:jc w:val="center"/>
              <w:rPr>
                <w:rFonts w:ascii="Calibri"/>
                <w:sz w:val="19"/>
              </w:rPr>
            </w:pPr>
            <w:r>
              <w:rPr>
                <w:rFonts w:ascii="Calibri"/>
                <w:sz w:val="19"/>
              </w:rPr>
              <w:t>2.12</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2017/2018</w:t>
            </w:r>
          </w:p>
        </w:tc>
        <w:tc>
          <w:tcPr>
            <w:tcW w:w="2837" w:type="dxa"/>
          </w:tcPr>
          <w:p w:rsidR="006A18FD" w:rsidRDefault="002D29FC">
            <w:pPr>
              <w:spacing w:before="1" w:line="211" w:lineRule="exact"/>
              <w:ind w:left="534" w:right="482"/>
              <w:jc w:val="center"/>
              <w:rPr>
                <w:rFonts w:ascii="Calibri"/>
                <w:sz w:val="19"/>
              </w:rPr>
            </w:pPr>
            <w:r>
              <w:rPr>
                <w:rFonts w:ascii="Calibri"/>
                <w:sz w:val="19"/>
              </w:rPr>
              <w:t>1.07</w:t>
            </w:r>
          </w:p>
        </w:tc>
        <w:tc>
          <w:tcPr>
            <w:tcW w:w="2832" w:type="dxa"/>
          </w:tcPr>
          <w:p w:rsidR="006A18FD" w:rsidRDefault="002D29FC">
            <w:pPr>
              <w:spacing w:before="1" w:line="211" w:lineRule="exact"/>
              <w:ind w:left="1013" w:right="1004"/>
              <w:jc w:val="center"/>
              <w:rPr>
                <w:rFonts w:ascii="Calibri"/>
                <w:sz w:val="19"/>
              </w:rPr>
            </w:pPr>
            <w:r>
              <w:rPr>
                <w:rFonts w:ascii="Calibri"/>
                <w:sz w:val="19"/>
              </w:rPr>
              <w:t>1.22</w:t>
            </w:r>
          </w:p>
        </w:tc>
        <w:tc>
          <w:tcPr>
            <w:tcW w:w="2837" w:type="dxa"/>
          </w:tcPr>
          <w:p w:rsidR="006A18FD" w:rsidRDefault="002D29FC">
            <w:pPr>
              <w:spacing w:before="1" w:line="211" w:lineRule="exact"/>
              <w:ind w:left="534" w:right="529"/>
              <w:jc w:val="center"/>
              <w:rPr>
                <w:rFonts w:ascii="Calibri"/>
                <w:sz w:val="19"/>
              </w:rPr>
            </w:pPr>
            <w:r>
              <w:rPr>
                <w:rFonts w:ascii="Calibri"/>
                <w:sz w:val="19"/>
              </w:rPr>
              <w:t>1.16</w:t>
            </w:r>
          </w:p>
        </w:tc>
      </w:tr>
      <w:tr w:rsidR="006A18FD">
        <w:trPr>
          <w:trHeight w:val="220"/>
        </w:trPr>
        <w:tc>
          <w:tcPr>
            <w:tcW w:w="1287" w:type="dxa"/>
          </w:tcPr>
          <w:p w:rsidR="006A18FD" w:rsidRDefault="002D29FC">
            <w:pPr>
              <w:spacing w:before="1" w:line="211" w:lineRule="exact"/>
              <w:ind w:left="103"/>
              <w:rPr>
                <w:rFonts w:ascii="Calibri"/>
                <w:sz w:val="19"/>
              </w:rPr>
            </w:pPr>
            <w:r>
              <w:rPr>
                <w:rFonts w:ascii="Calibri"/>
                <w:sz w:val="19"/>
              </w:rPr>
              <w:t>2018/2019</w:t>
            </w:r>
          </w:p>
        </w:tc>
        <w:tc>
          <w:tcPr>
            <w:tcW w:w="2837" w:type="dxa"/>
          </w:tcPr>
          <w:p w:rsidR="006A18FD" w:rsidRDefault="002D29FC">
            <w:pPr>
              <w:spacing w:before="1" w:line="211" w:lineRule="exact"/>
              <w:ind w:left="534" w:right="482"/>
              <w:jc w:val="center"/>
              <w:rPr>
                <w:rFonts w:ascii="Calibri"/>
                <w:sz w:val="19"/>
              </w:rPr>
            </w:pPr>
            <w:r>
              <w:rPr>
                <w:rFonts w:ascii="Calibri"/>
                <w:sz w:val="19"/>
              </w:rPr>
              <w:t>2.43</w:t>
            </w:r>
          </w:p>
        </w:tc>
        <w:tc>
          <w:tcPr>
            <w:tcW w:w="2832" w:type="dxa"/>
          </w:tcPr>
          <w:p w:rsidR="006A18FD" w:rsidRDefault="002D29FC">
            <w:pPr>
              <w:spacing w:before="1" w:line="211" w:lineRule="exact"/>
              <w:ind w:left="1013" w:right="1004"/>
              <w:jc w:val="center"/>
              <w:rPr>
                <w:rFonts w:ascii="Calibri"/>
                <w:sz w:val="19"/>
              </w:rPr>
            </w:pPr>
            <w:r>
              <w:rPr>
                <w:rFonts w:ascii="Calibri"/>
                <w:sz w:val="19"/>
              </w:rPr>
              <w:t>2.24</w:t>
            </w:r>
          </w:p>
        </w:tc>
        <w:tc>
          <w:tcPr>
            <w:tcW w:w="2837" w:type="dxa"/>
          </w:tcPr>
          <w:p w:rsidR="006A18FD" w:rsidRDefault="002D29FC">
            <w:pPr>
              <w:spacing w:before="1" w:line="211" w:lineRule="exact"/>
              <w:ind w:left="534" w:right="529"/>
              <w:jc w:val="center"/>
              <w:rPr>
                <w:rFonts w:ascii="Calibri"/>
                <w:sz w:val="19"/>
              </w:rPr>
            </w:pPr>
            <w:r>
              <w:rPr>
                <w:rFonts w:ascii="Calibri"/>
                <w:sz w:val="19"/>
              </w:rPr>
              <w:t>2.31</w:t>
            </w:r>
          </w:p>
        </w:tc>
      </w:tr>
    </w:tbl>
    <w:p w:rsidR="006A18FD" w:rsidRDefault="006A18FD">
      <w:pPr>
        <w:spacing w:before="10"/>
        <w:rPr>
          <w:rFonts w:ascii="Arial"/>
          <w:sz w:val="11"/>
        </w:rPr>
      </w:pPr>
    </w:p>
    <w:p w:rsidR="006A18FD" w:rsidRDefault="002D29FC" w:rsidP="00EE69D4">
      <w:pPr>
        <w:pStyle w:val="Heading2"/>
        <w:numPr>
          <w:ilvl w:val="1"/>
          <w:numId w:val="4"/>
        </w:numPr>
        <w:ind w:left="851" w:hanging="709"/>
      </w:pPr>
      <w:r>
        <w:t>The Personal Social Services (PSS) pay and prices</w:t>
      </w:r>
      <w:r>
        <w:rPr>
          <w:spacing w:val="-24"/>
        </w:rPr>
        <w:t xml:space="preserve"> </w:t>
      </w:r>
      <w:r>
        <w:t>index</w:t>
      </w:r>
    </w:p>
    <w:p w:rsidR="006A18FD" w:rsidRDefault="006A18FD">
      <w:pPr>
        <w:spacing w:before="10"/>
        <w:rPr>
          <w:rFonts w:ascii="Cambria"/>
          <w:b/>
          <w:sz w:val="24"/>
        </w:rPr>
      </w:pPr>
    </w:p>
    <w:p w:rsidR="006A18FD" w:rsidRDefault="002D29FC">
      <w:pPr>
        <w:spacing w:line="276" w:lineRule="auto"/>
        <w:ind w:left="140" w:right="376"/>
        <w:rPr>
          <w:rFonts w:ascii="Calibri" w:hAnsi="Calibri"/>
          <w:sz w:val="19"/>
        </w:rPr>
      </w:pPr>
      <w:r>
        <w:rPr>
          <w:rFonts w:ascii="Calibri" w:hAnsi="Calibri"/>
          <w:sz w:val="19"/>
        </w:rPr>
        <w:t>The Adult PSS pay and prices index is calculated by the Department of Health and Social Care (DHSC). Significant changes to the timing of index components and the approach to weighting the components together were made last year and have been described in last year’s volume. No new changes to the method have been made this year.</w:t>
      </w:r>
    </w:p>
    <w:p w:rsidR="006A18FD" w:rsidRDefault="002D29FC" w:rsidP="00EE69D4">
      <w:pPr>
        <w:pStyle w:val="Heading3"/>
        <w:numPr>
          <w:ilvl w:val="2"/>
          <w:numId w:val="4"/>
        </w:numPr>
      </w:pPr>
      <w:r>
        <w:t>The PSS annual percentage increases for adult services (all</w:t>
      </w:r>
      <w:r>
        <w:rPr>
          <w:spacing w:val="-28"/>
        </w:rPr>
        <w:t xml:space="preserve"> </w:t>
      </w:r>
      <w:r>
        <w:t>sectors)</w:t>
      </w:r>
    </w:p>
    <w:p w:rsidR="006A18FD" w:rsidRDefault="006A18FD">
      <w:pPr>
        <w:spacing w:before="2" w:after="1"/>
        <w:rPr>
          <w:rFonts w:ascii="Cambria"/>
          <w:b/>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2650"/>
        <w:gridCol w:w="2650"/>
        <w:gridCol w:w="2648"/>
      </w:tblGrid>
      <w:tr w:rsidR="006A18FD" w:rsidTr="00CA19E0">
        <w:trPr>
          <w:trHeight w:val="360"/>
          <w:tblHeader/>
        </w:trPr>
        <w:tc>
          <w:tcPr>
            <w:tcW w:w="2096" w:type="dxa"/>
            <w:vMerge w:val="restart"/>
          </w:tcPr>
          <w:p w:rsidR="006A18FD" w:rsidRDefault="002D29FC">
            <w:pPr>
              <w:spacing w:before="1"/>
              <w:ind w:left="103"/>
              <w:rPr>
                <w:rFonts w:ascii="Calibri"/>
                <w:b/>
                <w:sz w:val="20"/>
              </w:rPr>
            </w:pPr>
            <w:r>
              <w:rPr>
                <w:rFonts w:ascii="Calibri"/>
                <w:b/>
                <w:sz w:val="20"/>
              </w:rPr>
              <w:t>Year</w:t>
            </w:r>
          </w:p>
        </w:tc>
        <w:tc>
          <w:tcPr>
            <w:tcW w:w="7948" w:type="dxa"/>
            <w:gridSpan w:val="3"/>
          </w:tcPr>
          <w:p w:rsidR="006A18FD" w:rsidRDefault="002D29FC">
            <w:pPr>
              <w:spacing w:line="246" w:lineRule="exact"/>
              <w:ind w:left="2822" w:right="2823"/>
              <w:jc w:val="center"/>
              <w:rPr>
                <w:rFonts w:ascii="Calibri"/>
                <w:b/>
                <w:sz w:val="13"/>
              </w:rPr>
            </w:pPr>
            <w:r>
              <w:rPr>
                <w:rFonts w:ascii="Calibri"/>
                <w:b/>
                <w:sz w:val="20"/>
              </w:rPr>
              <w:t>PSS all sectors, adults only</w:t>
            </w:r>
            <w:r>
              <w:rPr>
                <w:rFonts w:ascii="Calibri"/>
                <w:b/>
                <w:position w:val="7"/>
                <w:sz w:val="13"/>
              </w:rPr>
              <w:t>1</w:t>
            </w:r>
          </w:p>
        </w:tc>
      </w:tr>
      <w:tr w:rsidR="006A18FD" w:rsidTr="00CA19E0">
        <w:trPr>
          <w:trHeight w:val="360"/>
          <w:tblHeader/>
        </w:trPr>
        <w:tc>
          <w:tcPr>
            <w:tcW w:w="2096" w:type="dxa"/>
            <w:vMerge/>
            <w:tcBorders>
              <w:top w:val="nil"/>
            </w:tcBorders>
          </w:tcPr>
          <w:p w:rsidR="006A18FD" w:rsidRDefault="006A18FD">
            <w:pPr>
              <w:rPr>
                <w:sz w:val="2"/>
                <w:szCs w:val="2"/>
              </w:rPr>
            </w:pPr>
          </w:p>
        </w:tc>
        <w:tc>
          <w:tcPr>
            <w:tcW w:w="7948" w:type="dxa"/>
            <w:gridSpan w:val="3"/>
          </w:tcPr>
          <w:p w:rsidR="006A18FD" w:rsidRDefault="002D29FC">
            <w:pPr>
              <w:spacing w:before="1"/>
              <w:ind w:left="2453"/>
              <w:rPr>
                <w:rFonts w:ascii="Calibri"/>
                <w:b/>
                <w:sz w:val="20"/>
              </w:rPr>
            </w:pPr>
            <w:r>
              <w:rPr>
                <w:rFonts w:ascii="Calibri"/>
                <w:b/>
                <w:sz w:val="20"/>
              </w:rPr>
              <w:t>Annual % increases on previous year</w:t>
            </w:r>
          </w:p>
        </w:tc>
      </w:tr>
      <w:tr w:rsidR="006A18FD" w:rsidTr="00CA19E0">
        <w:trPr>
          <w:trHeight w:val="600"/>
          <w:tblHeader/>
        </w:trPr>
        <w:tc>
          <w:tcPr>
            <w:tcW w:w="2096" w:type="dxa"/>
            <w:vMerge/>
            <w:tcBorders>
              <w:top w:val="nil"/>
            </w:tcBorders>
          </w:tcPr>
          <w:p w:rsidR="006A18FD" w:rsidRDefault="006A18FD">
            <w:pPr>
              <w:rPr>
                <w:sz w:val="2"/>
                <w:szCs w:val="2"/>
              </w:rPr>
            </w:pPr>
          </w:p>
        </w:tc>
        <w:tc>
          <w:tcPr>
            <w:tcW w:w="2650" w:type="dxa"/>
          </w:tcPr>
          <w:p w:rsidR="006A18FD" w:rsidRDefault="002D29FC">
            <w:pPr>
              <w:spacing w:before="1"/>
              <w:ind w:left="1010" w:right="339" w:hanging="651"/>
              <w:rPr>
                <w:rFonts w:ascii="Calibri"/>
                <w:b/>
                <w:sz w:val="20"/>
              </w:rPr>
            </w:pPr>
            <w:r>
              <w:rPr>
                <w:rFonts w:ascii="Calibri"/>
                <w:b/>
                <w:sz w:val="20"/>
              </w:rPr>
              <w:t>Pay &amp; prices (excluding capital)</w:t>
            </w:r>
          </w:p>
        </w:tc>
        <w:tc>
          <w:tcPr>
            <w:tcW w:w="2650" w:type="dxa"/>
          </w:tcPr>
          <w:p w:rsidR="006A18FD" w:rsidRDefault="002D29FC">
            <w:pPr>
              <w:spacing w:before="1"/>
              <w:ind w:left="1010" w:right="358" w:hanging="634"/>
              <w:rPr>
                <w:rFonts w:ascii="Calibri"/>
                <w:b/>
                <w:sz w:val="20"/>
              </w:rPr>
            </w:pPr>
            <w:r>
              <w:rPr>
                <w:rFonts w:ascii="Calibri"/>
                <w:b/>
                <w:sz w:val="20"/>
              </w:rPr>
              <w:t>Pay &amp; prices (including capital)</w:t>
            </w:r>
          </w:p>
        </w:tc>
        <w:tc>
          <w:tcPr>
            <w:tcW w:w="2648" w:type="dxa"/>
          </w:tcPr>
          <w:p w:rsidR="006A18FD" w:rsidRDefault="002D29FC">
            <w:pPr>
              <w:spacing w:before="1"/>
              <w:ind w:left="1166"/>
              <w:rPr>
                <w:rFonts w:ascii="Calibri"/>
                <w:b/>
                <w:sz w:val="20"/>
              </w:rPr>
            </w:pPr>
            <w:r>
              <w:rPr>
                <w:rFonts w:ascii="Calibri"/>
                <w:b/>
                <w:sz w:val="20"/>
              </w:rPr>
              <w:t>Pay</w:t>
            </w:r>
          </w:p>
        </w:tc>
      </w:tr>
      <w:tr w:rsidR="006A18FD">
        <w:trPr>
          <w:trHeight w:val="240"/>
        </w:trPr>
        <w:tc>
          <w:tcPr>
            <w:tcW w:w="2096" w:type="dxa"/>
          </w:tcPr>
          <w:p w:rsidR="006A18FD" w:rsidRDefault="002D29FC">
            <w:pPr>
              <w:spacing w:line="222" w:lineRule="exact"/>
              <w:ind w:left="103"/>
              <w:rPr>
                <w:rFonts w:ascii="Calibri"/>
                <w:sz w:val="20"/>
              </w:rPr>
            </w:pPr>
            <w:r>
              <w:rPr>
                <w:rFonts w:ascii="Calibri"/>
                <w:sz w:val="20"/>
              </w:rPr>
              <w:t>2008/2009</w:t>
            </w:r>
          </w:p>
        </w:tc>
        <w:tc>
          <w:tcPr>
            <w:tcW w:w="2650" w:type="dxa"/>
          </w:tcPr>
          <w:p w:rsidR="006A18FD" w:rsidRDefault="002D29FC">
            <w:pPr>
              <w:spacing w:line="222" w:lineRule="exact"/>
              <w:ind w:right="1123"/>
              <w:jc w:val="right"/>
              <w:rPr>
                <w:rFonts w:ascii="Calibri"/>
                <w:sz w:val="20"/>
              </w:rPr>
            </w:pPr>
            <w:r>
              <w:rPr>
                <w:rFonts w:ascii="Calibri"/>
                <w:w w:val="95"/>
                <w:sz w:val="20"/>
              </w:rPr>
              <w:t>2.9</w:t>
            </w:r>
          </w:p>
        </w:tc>
        <w:tc>
          <w:tcPr>
            <w:tcW w:w="2650" w:type="dxa"/>
          </w:tcPr>
          <w:p w:rsidR="006A18FD" w:rsidRDefault="002D29FC">
            <w:pPr>
              <w:spacing w:line="222" w:lineRule="exact"/>
              <w:ind w:right="1137"/>
              <w:jc w:val="right"/>
              <w:rPr>
                <w:rFonts w:ascii="Calibri"/>
                <w:sz w:val="20"/>
              </w:rPr>
            </w:pPr>
            <w:r>
              <w:rPr>
                <w:rFonts w:ascii="Calibri"/>
                <w:w w:val="95"/>
                <w:sz w:val="20"/>
              </w:rPr>
              <w:t>2.5</w:t>
            </w:r>
          </w:p>
        </w:tc>
        <w:tc>
          <w:tcPr>
            <w:tcW w:w="2648" w:type="dxa"/>
          </w:tcPr>
          <w:p w:rsidR="006A18FD" w:rsidRDefault="002D29FC">
            <w:pPr>
              <w:spacing w:line="222" w:lineRule="exact"/>
              <w:ind w:left="1231"/>
              <w:rPr>
                <w:rFonts w:ascii="Calibri"/>
                <w:sz w:val="20"/>
              </w:rPr>
            </w:pPr>
            <w:r>
              <w:rPr>
                <w:rFonts w:ascii="Calibri"/>
                <w:sz w:val="20"/>
              </w:rPr>
              <w:t>3.0</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2009/2010</w:t>
            </w:r>
          </w:p>
        </w:tc>
        <w:tc>
          <w:tcPr>
            <w:tcW w:w="2650" w:type="dxa"/>
          </w:tcPr>
          <w:p w:rsidR="006A18FD" w:rsidRDefault="002D29FC">
            <w:pPr>
              <w:spacing w:before="1" w:line="223" w:lineRule="exact"/>
              <w:ind w:right="1123"/>
              <w:jc w:val="right"/>
              <w:rPr>
                <w:rFonts w:ascii="Calibri"/>
                <w:sz w:val="20"/>
              </w:rPr>
            </w:pPr>
            <w:r>
              <w:rPr>
                <w:rFonts w:ascii="Calibri"/>
                <w:w w:val="95"/>
                <w:sz w:val="20"/>
              </w:rPr>
              <w:t>2.1</w:t>
            </w:r>
          </w:p>
        </w:tc>
        <w:tc>
          <w:tcPr>
            <w:tcW w:w="2650" w:type="dxa"/>
          </w:tcPr>
          <w:p w:rsidR="006A18FD" w:rsidRDefault="002D29FC">
            <w:pPr>
              <w:spacing w:before="1" w:line="223" w:lineRule="exact"/>
              <w:ind w:right="1137"/>
              <w:jc w:val="right"/>
              <w:rPr>
                <w:rFonts w:ascii="Calibri"/>
                <w:sz w:val="20"/>
              </w:rPr>
            </w:pPr>
            <w:r>
              <w:rPr>
                <w:rFonts w:ascii="Calibri"/>
                <w:w w:val="95"/>
                <w:sz w:val="20"/>
              </w:rPr>
              <w:t>0.7</w:t>
            </w:r>
          </w:p>
        </w:tc>
        <w:tc>
          <w:tcPr>
            <w:tcW w:w="2648" w:type="dxa"/>
          </w:tcPr>
          <w:p w:rsidR="006A18FD" w:rsidRDefault="002D29FC">
            <w:pPr>
              <w:spacing w:before="1" w:line="223" w:lineRule="exact"/>
              <w:ind w:left="1231"/>
              <w:rPr>
                <w:rFonts w:ascii="Calibri"/>
                <w:sz w:val="20"/>
              </w:rPr>
            </w:pPr>
            <w:r>
              <w:rPr>
                <w:rFonts w:ascii="Calibri"/>
                <w:sz w:val="20"/>
              </w:rPr>
              <w:t>2.4</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2010/2011</w:t>
            </w:r>
          </w:p>
        </w:tc>
        <w:tc>
          <w:tcPr>
            <w:tcW w:w="2650" w:type="dxa"/>
          </w:tcPr>
          <w:p w:rsidR="006A18FD" w:rsidRDefault="002D29FC">
            <w:pPr>
              <w:spacing w:before="1" w:line="223" w:lineRule="exact"/>
              <w:ind w:right="1123"/>
              <w:jc w:val="right"/>
              <w:rPr>
                <w:rFonts w:ascii="Calibri"/>
                <w:sz w:val="20"/>
              </w:rPr>
            </w:pPr>
            <w:r>
              <w:rPr>
                <w:rFonts w:ascii="Calibri"/>
                <w:w w:val="95"/>
                <w:sz w:val="20"/>
              </w:rPr>
              <w:t>2.1</w:t>
            </w:r>
          </w:p>
        </w:tc>
        <w:tc>
          <w:tcPr>
            <w:tcW w:w="2650" w:type="dxa"/>
          </w:tcPr>
          <w:p w:rsidR="006A18FD" w:rsidRDefault="002D29FC">
            <w:pPr>
              <w:spacing w:before="1" w:line="223" w:lineRule="exact"/>
              <w:ind w:right="1137"/>
              <w:jc w:val="right"/>
              <w:rPr>
                <w:rFonts w:ascii="Calibri"/>
                <w:sz w:val="20"/>
              </w:rPr>
            </w:pPr>
            <w:r>
              <w:rPr>
                <w:rFonts w:ascii="Calibri"/>
                <w:w w:val="95"/>
                <w:sz w:val="20"/>
              </w:rPr>
              <w:t>2.1</w:t>
            </w:r>
          </w:p>
        </w:tc>
        <w:tc>
          <w:tcPr>
            <w:tcW w:w="2648" w:type="dxa"/>
          </w:tcPr>
          <w:p w:rsidR="006A18FD" w:rsidRDefault="002D29FC">
            <w:pPr>
              <w:spacing w:before="1" w:line="223" w:lineRule="exact"/>
              <w:ind w:left="1231"/>
              <w:rPr>
                <w:rFonts w:ascii="Calibri"/>
                <w:sz w:val="20"/>
              </w:rPr>
            </w:pPr>
            <w:r>
              <w:rPr>
                <w:rFonts w:ascii="Calibri"/>
                <w:sz w:val="20"/>
              </w:rPr>
              <w:t>2.2</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2011/2012</w:t>
            </w:r>
          </w:p>
        </w:tc>
        <w:tc>
          <w:tcPr>
            <w:tcW w:w="2650" w:type="dxa"/>
          </w:tcPr>
          <w:p w:rsidR="006A18FD" w:rsidRDefault="002D29FC">
            <w:pPr>
              <w:spacing w:before="1" w:line="223" w:lineRule="exact"/>
              <w:ind w:right="1123"/>
              <w:jc w:val="right"/>
              <w:rPr>
                <w:rFonts w:ascii="Calibri"/>
                <w:sz w:val="20"/>
              </w:rPr>
            </w:pPr>
            <w:r>
              <w:rPr>
                <w:rFonts w:ascii="Calibri"/>
                <w:w w:val="95"/>
                <w:sz w:val="20"/>
              </w:rPr>
              <w:t>0.1</w:t>
            </w:r>
          </w:p>
        </w:tc>
        <w:tc>
          <w:tcPr>
            <w:tcW w:w="2650" w:type="dxa"/>
          </w:tcPr>
          <w:p w:rsidR="006A18FD" w:rsidRDefault="002D29FC">
            <w:pPr>
              <w:spacing w:before="1" w:line="223" w:lineRule="exact"/>
              <w:ind w:right="1137"/>
              <w:jc w:val="right"/>
              <w:rPr>
                <w:rFonts w:ascii="Calibri"/>
                <w:sz w:val="20"/>
              </w:rPr>
            </w:pPr>
            <w:r>
              <w:rPr>
                <w:rFonts w:ascii="Calibri"/>
                <w:w w:val="95"/>
                <w:sz w:val="20"/>
              </w:rPr>
              <w:t>0.4</w:t>
            </w:r>
          </w:p>
        </w:tc>
        <w:tc>
          <w:tcPr>
            <w:tcW w:w="2648" w:type="dxa"/>
          </w:tcPr>
          <w:p w:rsidR="006A18FD" w:rsidRDefault="002D29FC">
            <w:pPr>
              <w:spacing w:before="1" w:line="223" w:lineRule="exact"/>
              <w:ind w:left="1171"/>
              <w:rPr>
                <w:rFonts w:ascii="Calibri"/>
                <w:sz w:val="20"/>
              </w:rPr>
            </w:pPr>
            <w:r>
              <w:rPr>
                <w:rFonts w:ascii="Calibri"/>
                <w:sz w:val="20"/>
              </w:rPr>
              <w:t>-0.4</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2012/2013</w:t>
            </w:r>
          </w:p>
        </w:tc>
        <w:tc>
          <w:tcPr>
            <w:tcW w:w="2650" w:type="dxa"/>
          </w:tcPr>
          <w:p w:rsidR="006A18FD" w:rsidRDefault="002D29FC">
            <w:pPr>
              <w:spacing w:before="1" w:line="223" w:lineRule="exact"/>
              <w:ind w:right="1123"/>
              <w:jc w:val="right"/>
              <w:rPr>
                <w:rFonts w:ascii="Calibri"/>
                <w:sz w:val="20"/>
              </w:rPr>
            </w:pPr>
            <w:r>
              <w:rPr>
                <w:rFonts w:ascii="Calibri"/>
                <w:w w:val="95"/>
                <w:sz w:val="20"/>
              </w:rPr>
              <w:t>0.6</w:t>
            </w:r>
          </w:p>
        </w:tc>
        <w:tc>
          <w:tcPr>
            <w:tcW w:w="2650" w:type="dxa"/>
          </w:tcPr>
          <w:p w:rsidR="006A18FD" w:rsidRDefault="002D29FC">
            <w:pPr>
              <w:spacing w:before="1" w:line="223" w:lineRule="exact"/>
              <w:ind w:right="1137"/>
              <w:jc w:val="right"/>
              <w:rPr>
                <w:rFonts w:ascii="Calibri"/>
                <w:sz w:val="20"/>
              </w:rPr>
            </w:pPr>
            <w:r>
              <w:rPr>
                <w:rFonts w:ascii="Calibri"/>
                <w:w w:val="95"/>
                <w:sz w:val="20"/>
              </w:rPr>
              <w:t>1.0</w:t>
            </w:r>
          </w:p>
        </w:tc>
        <w:tc>
          <w:tcPr>
            <w:tcW w:w="2648" w:type="dxa"/>
          </w:tcPr>
          <w:p w:rsidR="006A18FD" w:rsidRDefault="002D29FC">
            <w:pPr>
              <w:spacing w:before="1" w:line="223" w:lineRule="exact"/>
              <w:ind w:left="1231"/>
              <w:rPr>
                <w:rFonts w:ascii="Calibri"/>
                <w:sz w:val="20"/>
              </w:rPr>
            </w:pPr>
            <w:r>
              <w:rPr>
                <w:rFonts w:ascii="Calibri"/>
                <w:sz w:val="20"/>
              </w:rPr>
              <w:t>0.2</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2013/2014</w:t>
            </w:r>
          </w:p>
        </w:tc>
        <w:tc>
          <w:tcPr>
            <w:tcW w:w="2650" w:type="dxa"/>
          </w:tcPr>
          <w:p w:rsidR="006A18FD" w:rsidRDefault="002D29FC">
            <w:pPr>
              <w:spacing w:before="1" w:line="223" w:lineRule="exact"/>
              <w:ind w:right="1123"/>
              <w:jc w:val="right"/>
              <w:rPr>
                <w:rFonts w:ascii="Calibri"/>
                <w:sz w:val="20"/>
              </w:rPr>
            </w:pPr>
            <w:r>
              <w:rPr>
                <w:rFonts w:ascii="Calibri"/>
                <w:w w:val="95"/>
                <w:sz w:val="20"/>
              </w:rPr>
              <w:t>1.0</w:t>
            </w:r>
          </w:p>
        </w:tc>
        <w:tc>
          <w:tcPr>
            <w:tcW w:w="2650" w:type="dxa"/>
          </w:tcPr>
          <w:p w:rsidR="006A18FD" w:rsidRDefault="002D29FC">
            <w:pPr>
              <w:spacing w:before="1" w:line="223" w:lineRule="exact"/>
              <w:ind w:right="1137"/>
              <w:jc w:val="right"/>
              <w:rPr>
                <w:rFonts w:ascii="Calibri"/>
                <w:sz w:val="20"/>
              </w:rPr>
            </w:pPr>
            <w:r>
              <w:rPr>
                <w:rFonts w:ascii="Calibri"/>
                <w:sz w:val="20"/>
              </w:rPr>
              <w:t>1.5</w:t>
            </w:r>
          </w:p>
        </w:tc>
        <w:tc>
          <w:tcPr>
            <w:tcW w:w="2648" w:type="dxa"/>
          </w:tcPr>
          <w:p w:rsidR="006A18FD" w:rsidRDefault="002D29FC">
            <w:pPr>
              <w:spacing w:before="1" w:line="223" w:lineRule="exact"/>
              <w:ind w:left="1231"/>
              <w:rPr>
                <w:rFonts w:ascii="Calibri"/>
                <w:sz w:val="20"/>
              </w:rPr>
            </w:pPr>
            <w:r>
              <w:rPr>
                <w:rFonts w:ascii="Calibri"/>
                <w:sz w:val="20"/>
              </w:rPr>
              <w:t>0.7</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2014/2015</w:t>
            </w:r>
          </w:p>
        </w:tc>
        <w:tc>
          <w:tcPr>
            <w:tcW w:w="2650" w:type="dxa"/>
          </w:tcPr>
          <w:p w:rsidR="006A18FD" w:rsidRDefault="002D29FC">
            <w:pPr>
              <w:spacing w:before="1" w:line="223" w:lineRule="exact"/>
              <w:ind w:right="1123"/>
              <w:jc w:val="right"/>
              <w:rPr>
                <w:rFonts w:ascii="Calibri"/>
                <w:sz w:val="20"/>
              </w:rPr>
            </w:pPr>
            <w:r>
              <w:rPr>
                <w:rFonts w:ascii="Calibri"/>
                <w:w w:val="95"/>
                <w:sz w:val="20"/>
              </w:rPr>
              <w:t>1.0</w:t>
            </w:r>
          </w:p>
        </w:tc>
        <w:tc>
          <w:tcPr>
            <w:tcW w:w="2650" w:type="dxa"/>
          </w:tcPr>
          <w:p w:rsidR="006A18FD" w:rsidRDefault="002D29FC">
            <w:pPr>
              <w:spacing w:before="1" w:line="223" w:lineRule="exact"/>
              <w:ind w:right="1137"/>
              <w:jc w:val="right"/>
              <w:rPr>
                <w:rFonts w:ascii="Calibri"/>
                <w:sz w:val="20"/>
              </w:rPr>
            </w:pPr>
            <w:r>
              <w:rPr>
                <w:rFonts w:ascii="Calibri"/>
                <w:w w:val="95"/>
                <w:sz w:val="20"/>
              </w:rPr>
              <w:t>1.6</w:t>
            </w:r>
          </w:p>
        </w:tc>
        <w:tc>
          <w:tcPr>
            <w:tcW w:w="2648" w:type="dxa"/>
          </w:tcPr>
          <w:p w:rsidR="006A18FD" w:rsidRDefault="002D29FC">
            <w:pPr>
              <w:spacing w:before="1" w:line="223" w:lineRule="exact"/>
              <w:ind w:left="1231"/>
              <w:rPr>
                <w:rFonts w:ascii="Calibri"/>
                <w:sz w:val="20"/>
              </w:rPr>
            </w:pPr>
            <w:r>
              <w:rPr>
                <w:rFonts w:ascii="Calibri"/>
                <w:sz w:val="20"/>
              </w:rPr>
              <w:t>0.9</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2015/2016</w:t>
            </w:r>
          </w:p>
        </w:tc>
        <w:tc>
          <w:tcPr>
            <w:tcW w:w="2650" w:type="dxa"/>
          </w:tcPr>
          <w:p w:rsidR="006A18FD" w:rsidRDefault="002D29FC">
            <w:pPr>
              <w:spacing w:before="1" w:line="223" w:lineRule="exact"/>
              <w:ind w:right="1123"/>
              <w:jc w:val="right"/>
              <w:rPr>
                <w:rFonts w:ascii="Calibri"/>
                <w:sz w:val="20"/>
              </w:rPr>
            </w:pPr>
            <w:r>
              <w:rPr>
                <w:rFonts w:ascii="Calibri"/>
                <w:w w:val="95"/>
                <w:sz w:val="20"/>
              </w:rPr>
              <w:t>1.9</w:t>
            </w:r>
          </w:p>
        </w:tc>
        <w:tc>
          <w:tcPr>
            <w:tcW w:w="2650" w:type="dxa"/>
          </w:tcPr>
          <w:p w:rsidR="006A18FD" w:rsidRDefault="002D29FC">
            <w:pPr>
              <w:spacing w:before="1" w:line="223" w:lineRule="exact"/>
              <w:ind w:right="1137"/>
              <w:jc w:val="right"/>
              <w:rPr>
                <w:rFonts w:ascii="Calibri"/>
                <w:sz w:val="20"/>
              </w:rPr>
            </w:pPr>
            <w:r>
              <w:rPr>
                <w:rFonts w:ascii="Calibri"/>
                <w:w w:val="95"/>
                <w:sz w:val="20"/>
              </w:rPr>
              <w:t>1.8</w:t>
            </w:r>
          </w:p>
        </w:tc>
        <w:tc>
          <w:tcPr>
            <w:tcW w:w="2648" w:type="dxa"/>
          </w:tcPr>
          <w:p w:rsidR="006A18FD" w:rsidRDefault="002D29FC">
            <w:pPr>
              <w:spacing w:before="1" w:line="223" w:lineRule="exact"/>
              <w:ind w:left="1231"/>
              <w:rPr>
                <w:rFonts w:ascii="Calibri"/>
                <w:sz w:val="20"/>
              </w:rPr>
            </w:pPr>
            <w:r>
              <w:rPr>
                <w:rFonts w:ascii="Calibri"/>
                <w:sz w:val="20"/>
              </w:rPr>
              <w:t>2.3</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2016/2017</w:t>
            </w:r>
          </w:p>
        </w:tc>
        <w:tc>
          <w:tcPr>
            <w:tcW w:w="2650" w:type="dxa"/>
          </w:tcPr>
          <w:p w:rsidR="006A18FD" w:rsidRDefault="002D29FC">
            <w:pPr>
              <w:spacing w:before="1" w:line="223" w:lineRule="exact"/>
              <w:ind w:right="1123"/>
              <w:jc w:val="right"/>
              <w:rPr>
                <w:rFonts w:ascii="Calibri"/>
                <w:sz w:val="20"/>
              </w:rPr>
            </w:pPr>
            <w:r>
              <w:rPr>
                <w:rFonts w:ascii="Calibri"/>
                <w:w w:val="95"/>
                <w:sz w:val="20"/>
              </w:rPr>
              <w:t>3.4</w:t>
            </w:r>
          </w:p>
        </w:tc>
        <w:tc>
          <w:tcPr>
            <w:tcW w:w="2650" w:type="dxa"/>
          </w:tcPr>
          <w:p w:rsidR="006A18FD" w:rsidRDefault="002D29FC">
            <w:pPr>
              <w:spacing w:before="1" w:line="223" w:lineRule="exact"/>
              <w:ind w:right="1137"/>
              <w:jc w:val="right"/>
              <w:rPr>
                <w:rFonts w:ascii="Calibri"/>
                <w:sz w:val="20"/>
              </w:rPr>
            </w:pPr>
            <w:r>
              <w:rPr>
                <w:rFonts w:ascii="Calibri"/>
                <w:w w:val="95"/>
                <w:sz w:val="20"/>
              </w:rPr>
              <w:t>4.0</w:t>
            </w:r>
          </w:p>
        </w:tc>
        <w:tc>
          <w:tcPr>
            <w:tcW w:w="2648" w:type="dxa"/>
          </w:tcPr>
          <w:p w:rsidR="006A18FD" w:rsidRDefault="002D29FC">
            <w:pPr>
              <w:spacing w:before="1" w:line="223" w:lineRule="exact"/>
              <w:ind w:left="1231"/>
              <w:rPr>
                <w:rFonts w:ascii="Calibri"/>
                <w:sz w:val="20"/>
              </w:rPr>
            </w:pPr>
            <w:r>
              <w:rPr>
                <w:rFonts w:ascii="Calibri"/>
                <w:sz w:val="20"/>
              </w:rPr>
              <w:t>3.8</w:t>
            </w:r>
          </w:p>
        </w:tc>
      </w:tr>
      <w:tr w:rsidR="006A18FD">
        <w:trPr>
          <w:trHeight w:val="240"/>
        </w:trPr>
        <w:tc>
          <w:tcPr>
            <w:tcW w:w="2096" w:type="dxa"/>
          </w:tcPr>
          <w:p w:rsidR="006A18FD" w:rsidRDefault="002D29FC">
            <w:pPr>
              <w:spacing w:line="222" w:lineRule="exact"/>
              <w:ind w:left="103"/>
              <w:rPr>
                <w:rFonts w:ascii="Calibri"/>
                <w:sz w:val="20"/>
              </w:rPr>
            </w:pPr>
            <w:r>
              <w:rPr>
                <w:rFonts w:ascii="Calibri"/>
                <w:sz w:val="20"/>
              </w:rPr>
              <w:t>2017/2018</w:t>
            </w:r>
          </w:p>
        </w:tc>
        <w:tc>
          <w:tcPr>
            <w:tcW w:w="2650" w:type="dxa"/>
          </w:tcPr>
          <w:p w:rsidR="006A18FD" w:rsidRDefault="002D29FC">
            <w:pPr>
              <w:spacing w:line="222" w:lineRule="exact"/>
              <w:ind w:right="1123"/>
              <w:jc w:val="right"/>
              <w:rPr>
                <w:rFonts w:ascii="Calibri"/>
                <w:sz w:val="20"/>
              </w:rPr>
            </w:pPr>
            <w:r>
              <w:rPr>
                <w:rFonts w:ascii="Calibri"/>
                <w:w w:val="95"/>
                <w:sz w:val="20"/>
              </w:rPr>
              <w:t>2.5</w:t>
            </w:r>
          </w:p>
        </w:tc>
        <w:tc>
          <w:tcPr>
            <w:tcW w:w="2650" w:type="dxa"/>
          </w:tcPr>
          <w:p w:rsidR="006A18FD" w:rsidRDefault="002D29FC">
            <w:pPr>
              <w:spacing w:line="222" w:lineRule="exact"/>
              <w:ind w:right="1137"/>
              <w:jc w:val="right"/>
              <w:rPr>
                <w:rFonts w:ascii="Calibri"/>
                <w:sz w:val="20"/>
              </w:rPr>
            </w:pPr>
            <w:r>
              <w:rPr>
                <w:rFonts w:ascii="Calibri"/>
                <w:w w:val="95"/>
                <w:sz w:val="20"/>
              </w:rPr>
              <w:t>3.4</w:t>
            </w:r>
          </w:p>
        </w:tc>
        <w:tc>
          <w:tcPr>
            <w:tcW w:w="2648" w:type="dxa"/>
          </w:tcPr>
          <w:p w:rsidR="006A18FD" w:rsidRDefault="002D29FC">
            <w:pPr>
              <w:spacing w:line="222" w:lineRule="exact"/>
              <w:ind w:left="1231"/>
              <w:rPr>
                <w:rFonts w:ascii="Calibri"/>
                <w:sz w:val="20"/>
              </w:rPr>
            </w:pPr>
            <w:r>
              <w:rPr>
                <w:rFonts w:ascii="Calibri"/>
                <w:sz w:val="20"/>
              </w:rPr>
              <w:t>2.7</w:t>
            </w:r>
          </w:p>
        </w:tc>
      </w:tr>
      <w:tr w:rsidR="006A18FD">
        <w:trPr>
          <w:trHeight w:val="240"/>
        </w:trPr>
        <w:tc>
          <w:tcPr>
            <w:tcW w:w="2096" w:type="dxa"/>
          </w:tcPr>
          <w:p w:rsidR="006A18FD" w:rsidRDefault="002D29FC">
            <w:pPr>
              <w:spacing w:before="1" w:line="223" w:lineRule="exact"/>
              <w:ind w:left="103"/>
              <w:rPr>
                <w:rFonts w:ascii="Calibri"/>
                <w:sz w:val="20"/>
              </w:rPr>
            </w:pPr>
            <w:r>
              <w:rPr>
                <w:rFonts w:ascii="Calibri"/>
                <w:sz w:val="20"/>
              </w:rPr>
              <w:t>2018/2019</w:t>
            </w:r>
          </w:p>
        </w:tc>
        <w:tc>
          <w:tcPr>
            <w:tcW w:w="2650" w:type="dxa"/>
          </w:tcPr>
          <w:p w:rsidR="006A18FD" w:rsidRDefault="002D29FC">
            <w:pPr>
              <w:spacing w:before="1" w:line="223" w:lineRule="exact"/>
              <w:ind w:right="1123"/>
              <w:jc w:val="right"/>
              <w:rPr>
                <w:rFonts w:ascii="Calibri"/>
                <w:sz w:val="20"/>
              </w:rPr>
            </w:pPr>
            <w:r>
              <w:rPr>
                <w:rFonts w:ascii="Calibri"/>
                <w:w w:val="95"/>
                <w:sz w:val="20"/>
              </w:rPr>
              <w:t>3.0</w:t>
            </w:r>
          </w:p>
        </w:tc>
        <w:tc>
          <w:tcPr>
            <w:tcW w:w="2650" w:type="dxa"/>
          </w:tcPr>
          <w:p w:rsidR="006A18FD" w:rsidRDefault="002D29FC">
            <w:pPr>
              <w:spacing w:before="1" w:line="223" w:lineRule="exact"/>
              <w:ind w:right="1137"/>
              <w:jc w:val="right"/>
              <w:rPr>
                <w:rFonts w:ascii="Calibri"/>
                <w:sz w:val="20"/>
              </w:rPr>
            </w:pPr>
            <w:r>
              <w:rPr>
                <w:rFonts w:ascii="Calibri"/>
                <w:w w:val="95"/>
                <w:sz w:val="20"/>
              </w:rPr>
              <w:t>3.0</w:t>
            </w:r>
          </w:p>
        </w:tc>
        <w:tc>
          <w:tcPr>
            <w:tcW w:w="2648" w:type="dxa"/>
          </w:tcPr>
          <w:p w:rsidR="006A18FD" w:rsidRDefault="002D29FC">
            <w:pPr>
              <w:spacing w:before="1" w:line="223" w:lineRule="exact"/>
              <w:ind w:left="1231"/>
              <w:rPr>
                <w:rFonts w:ascii="Calibri"/>
                <w:sz w:val="20"/>
              </w:rPr>
            </w:pPr>
            <w:r>
              <w:rPr>
                <w:rFonts w:ascii="Calibri"/>
                <w:sz w:val="20"/>
              </w:rPr>
              <w:t>3.4</w:t>
            </w:r>
          </w:p>
        </w:tc>
      </w:tr>
    </w:tbl>
    <w:p w:rsidR="006A18FD" w:rsidRDefault="002D29FC">
      <w:pPr>
        <w:spacing w:before="1"/>
        <w:ind w:left="252"/>
        <w:rPr>
          <w:rFonts w:ascii="Calibri"/>
          <w:sz w:val="16"/>
        </w:rPr>
      </w:pPr>
      <w:r>
        <w:rPr>
          <w:rFonts w:ascii="Calibri"/>
          <w:position w:val="5"/>
          <w:sz w:val="10"/>
        </w:rPr>
        <w:t>1</w:t>
      </w:r>
      <w:r>
        <w:rPr>
          <w:rFonts w:ascii="Calibri"/>
          <w:sz w:val="16"/>
        </w:rPr>
        <w:t>Provided by the Department of Health, 2019.</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6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70" name="Line 2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90EEB4" id="Group 2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dx6KZn4CAAB/BQAA&#10;DgAAAAAAAAAAAAAAAAAuAgAAZHJzL2Uyb0RvYy54bWxQSwECLQAUAAYACAAAACEALXfkXNoAAAAE&#10;AQAADwAAAAAAAAAAAAAAAADYBAAAZHJzL2Rvd25yZXYueG1sUEsFBgAAAAAEAAQA8wAAAN8FAAAA&#10;AA==&#10;">
                <v:line id="Line 2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w10:anchorlock/>
              </v:group>
            </w:pict>
          </mc:Fallback>
        </mc:AlternateContent>
      </w:r>
    </w:p>
    <w:p w:rsidR="006A18FD" w:rsidRDefault="002D29FC" w:rsidP="00EE69D4">
      <w:pPr>
        <w:pStyle w:val="Heading3"/>
        <w:numPr>
          <w:ilvl w:val="2"/>
          <w:numId w:val="4"/>
        </w:numPr>
      </w:pPr>
      <w:r>
        <w:t>The PSS annual percentage increases for adult local authority</w:t>
      </w:r>
      <w:r>
        <w:rPr>
          <w:spacing w:val="-23"/>
        </w:rPr>
        <w:t xml:space="preserve"> </w:t>
      </w:r>
      <w:r>
        <w:t>services</w:t>
      </w:r>
    </w:p>
    <w:p w:rsidR="006A18FD" w:rsidRDefault="006A18FD">
      <w:pPr>
        <w:spacing w:before="2" w:after="1"/>
        <w:rPr>
          <w:rFonts w:ascii="Cambria"/>
          <w:b/>
          <w:sz w:val="13"/>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645"/>
        <w:gridCol w:w="2645"/>
        <w:gridCol w:w="2651"/>
      </w:tblGrid>
      <w:tr w:rsidR="006A18FD" w:rsidTr="00CA19E0">
        <w:trPr>
          <w:trHeight w:val="360"/>
          <w:tblHeader/>
        </w:trPr>
        <w:tc>
          <w:tcPr>
            <w:tcW w:w="2103" w:type="dxa"/>
            <w:vMerge w:val="restart"/>
          </w:tcPr>
          <w:p w:rsidR="006A18FD" w:rsidRDefault="002D29FC">
            <w:pPr>
              <w:spacing w:before="3"/>
              <w:ind w:left="105"/>
              <w:rPr>
                <w:rFonts w:ascii="Calibri"/>
                <w:b/>
                <w:sz w:val="20"/>
              </w:rPr>
            </w:pPr>
            <w:r>
              <w:rPr>
                <w:rFonts w:ascii="Calibri"/>
                <w:b/>
                <w:sz w:val="20"/>
              </w:rPr>
              <w:t>Year</w:t>
            </w:r>
          </w:p>
        </w:tc>
        <w:tc>
          <w:tcPr>
            <w:tcW w:w="7941" w:type="dxa"/>
            <w:gridSpan w:val="3"/>
          </w:tcPr>
          <w:p w:rsidR="006A18FD" w:rsidRDefault="002D29FC">
            <w:pPr>
              <w:ind w:left="2631" w:right="2631"/>
              <w:jc w:val="center"/>
              <w:rPr>
                <w:rFonts w:ascii="Calibri"/>
                <w:sz w:val="13"/>
              </w:rPr>
            </w:pPr>
            <w:r>
              <w:rPr>
                <w:rFonts w:ascii="Calibri"/>
                <w:b/>
                <w:sz w:val="20"/>
              </w:rPr>
              <w:t>PSS local authority, adults only</w:t>
            </w:r>
            <w:r>
              <w:rPr>
                <w:rFonts w:ascii="Calibri"/>
                <w:position w:val="7"/>
                <w:sz w:val="13"/>
              </w:rPr>
              <w:t>1</w:t>
            </w:r>
          </w:p>
        </w:tc>
      </w:tr>
      <w:tr w:rsidR="006A18FD" w:rsidTr="00CA19E0">
        <w:trPr>
          <w:trHeight w:val="360"/>
          <w:tblHeader/>
        </w:trPr>
        <w:tc>
          <w:tcPr>
            <w:tcW w:w="2103" w:type="dxa"/>
            <w:vMerge/>
            <w:tcBorders>
              <w:top w:val="nil"/>
            </w:tcBorders>
          </w:tcPr>
          <w:p w:rsidR="006A18FD" w:rsidRDefault="006A18FD">
            <w:pPr>
              <w:rPr>
                <w:sz w:val="2"/>
                <w:szCs w:val="2"/>
              </w:rPr>
            </w:pPr>
          </w:p>
        </w:tc>
        <w:tc>
          <w:tcPr>
            <w:tcW w:w="7941" w:type="dxa"/>
            <w:gridSpan w:val="3"/>
          </w:tcPr>
          <w:p w:rsidR="006A18FD" w:rsidRDefault="002D29FC">
            <w:pPr>
              <w:spacing w:before="1"/>
              <w:ind w:left="2450"/>
              <w:rPr>
                <w:rFonts w:ascii="Calibri"/>
                <w:b/>
                <w:sz w:val="20"/>
              </w:rPr>
            </w:pPr>
            <w:r>
              <w:rPr>
                <w:rFonts w:ascii="Calibri"/>
                <w:b/>
                <w:sz w:val="20"/>
              </w:rPr>
              <w:t>Annual % increases on previous year</w:t>
            </w:r>
          </w:p>
        </w:tc>
      </w:tr>
      <w:tr w:rsidR="006A18FD" w:rsidTr="00CA19E0">
        <w:trPr>
          <w:trHeight w:val="600"/>
          <w:tblHeader/>
        </w:trPr>
        <w:tc>
          <w:tcPr>
            <w:tcW w:w="2103" w:type="dxa"/>
            <w:vMerge/>
            <w:tcBorders>
              <w:top w:val="nil"/>
            </w:tcBorders>
          </w:tcPr>
          <w:p w:rsidR="006A18FD" w:rsidRDefault="006A18FD">
            <w:pPr>
              <w:rPr>
                <w:sz w:val="2"/>
                <w:szCs w:val="2"/>
              </w:rPr>
            </w:pPr>
          </w:p>
        </w:tc>
        <w:tc>
          <w:tcPr>
            <w:tcW w:w="2645" w:type="dxa"/>
          </w:tcPr>
          <w:p w:rsidR="006A18FD" w:rsidRDefault="002D29FC">
            <w:pPr>
              <w:spacing w:before="1"/>
              <w:ind w:left="1008" w:right="336" w:hanging="651"/>
              <w:rPr>
                <w:rFonts w:ascii="Calibri"/>
                <w:b/>
                <w:sz w:val="20"/>
              </w:rPr>
            </w:pPr>
            <w:r>
              <w:rPr>
                <w:rFonts w:ascii="Calibri"/>
                <w:b/>
                <w:sz w:val="20"/>
              </w:rPr>
              <w:t>Pay &amp; prices (excluding capital)</w:t>
            </w:r>
          </w:p>
        </w:tc>
        <w:tc>
          <w:tcPr>
            <w:tcW w:w="2645" w:type="dxa"/>
          </w:tcPr>
          <w:p w:rsidR="006A18FD" w:rsidRDefault="002D29FC">
            <w:pPr>
              <w:spacing w:before="1"/>
              <w:ind w:left="1008" w:right="355" w:hanging="634"/>
              <w:rPr>
                <w:rFonts w:ascii="Calibri"/>
                <w:b/>
                <w:sz w:val="20"/>
              </w:rPr>
            </w:pPr>
            <w:r>
              <w:rPr>
                <w:rFonts w:ascii="Calibri"/>
                <w:b/>
                <w:sz w:val="20"/>
              </w:rPr>
              <w:t>Pay &amp; prices (including capital)</w:t>
            </w:r>
          </w:p>
        </w:tc>
        <w:tc>
          <w:tcPr>
            <w:tcW w:w="2650" w:type="dxa"/>
          </w:tcPr>
          <w:p w:rsidR="006A18FD" w:rsidRDefault="002D29FC">
            <w:pPr>
              <w:spacing w:before="1"/>
              <w:ind w:right="1168"/>
              <w:jc w:val="right"/>
              <w:rPr>
                <w:rFonts w:ascii="Calibri"/>
                <w:b/>
                <w:sz w:val="20"/>
              </w:rPr>
            </w:pPr>
            <w:r>
              <w:rPr>
                <w:rFonts w:ascii="Calibri"/>
                <w:b/>
                <w:sz w:val="20"/>
              </w:rPr>
              <w:t>Pay</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2008/2009</w:t>
            </w:r>
          </w:p>
        </w:tc>
        <w:tc>
          <w:tcPr>
            <w:tcW w:w="2645" w:type="dxa"/>
          </w:tcPr>
          <w:p w:rsidR="006A18FD" w:rsidRDefault="002D29FC">
            <w:pPr>
              <w:spacing w:before="1" w:line="223" w:lineRule="exact"/>
              <w:ind w:left="1230" w:right="1112"/>
              <w:jc w:val="center"/>
              <w:rPr>
                <w:rFonts w:ascii="Calibri"/>
                <w:sz w:val="20"/>
              </w:rPr>
            </w:pPr>
            <w:r>
              <w:rPr>
                <w:rFonts w:ascii="Calibri"/>
                <w:sz w:val="20"/>
              </w:rPr>
              <w:t>3.1</w:t>
            </w:r>
          </w:p>
        </w:tc>
        <w:tc>
          <w:tcPr>
            <w:tcW w:w="2645" w:type="dxa"/>
          </w:tcPr>
          <w:p w:rsidR="006A18FD" w:rsidRDefault="002D29FC">
            <w:pPr>
              <w:spacing w:before="1" w:line="223" w:lineRule="exact"/>
              <w:ind w:left="1220" w:right="1121"/>
              <w:jc w:val="center"/>
              <w:rPr>
                <w:rFonts w:ascii="Calibri"/>
                <w:sz w:val="20"/>
              </w:rPr>
            </w:pPr>
            <w:r>
              <w:rPr>
                <w:rFonts w:ascii="Calibri"/>
                <w:sz w:val="20"/>
              </w:rPr>
              <w:t>2.6</w:t>
            </w:r>
          </w:p>
        </w:tc>
        <w:tc>
          <w:tcPr>
            <w:tcW w:w="2650" w:type="dxa"/>
          </w:tcPr>
          <w:p w:rsidR="006A18FD" w:rsidRDefault="002D29FC">
            <w:pPr>
              <w:spacing w:before="1" w:line="223" w:lineRule="exact"/>
              <w:ind w:right="1156"/>
              <w:jc w:val="right"/>
              <w:rPr>
                <w:rFonts w:ascii="Calibri"/>
                <w:sz w:val="20"/>
              </w:rPr>
            </w:pPr>
            <w:r>
              <w:rPr>
                <w:rFonts w:ascii="Calibri"/>
                <w:w w:val="95"/>
                <w:sz w:val="20"/>
              </w:rPr>
              <w:t>3.2</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2009/2010</w:t>
            </w:r>
          </w:p>
        </w:tc>
        <w:tc>
          <w:tcPr>
            <w:tcW w:w="2645" w:type="dxa"/>
          </w:tcPr>
          <w:p w:rsidR="006A18FD" w:rsidRDefault="002D29FC">
            <w:pPr>
              <w:spacing w:before="1" w:line="223" w:lineRule="exact"/>
              <w:ind w:left="1230" w:right="1112"/>
              <w:jc w:val="center"/>
              <w:rPr>
                <w:rFonts w:ascii="Calibri"/>
                <w:sz w:val="20"/>
              </w:rPr>
            </w:pPr>
            <w:r>
              <w:rPr>
                <w:rFonts w:ascii="Calibri"/>
                <w:sz w:val="20"/>
              </w:rPr>
              <w:t>2.1</w:t>
            </w:r>
          </w:p>
        </w:tc>
        <w:tc>
          <w:tcPr>
            <w:tcW w:w="2645" w:type="dxa"/>
          </w:tcPr>
          <w:p w:rsidR="006A18FD" w:rsidRDefault="002D29FC">
            <w:pPr>
              <w:spacing w:before="1" w:line="223" w:lineRule="exact"/>
              <w:ind w:left="1220" w:right="1121"/>
              <w:jc w:val="center"/>
              <w:rPr>
                <w:rFonts w:ascii="Calibri"/>
                <w:sz w:val="20"/>
              </w:rPr>
            </w:pPr>
            <w:r>
              <w:rPr>
                <w:rFonts w:ascii="Calibri"/>
                <w:sz w:val="20"/>
              </w:rPr>
              <w:t>0.6</w:t>
            </w:r>
          </w:p>
        </w:tc>
        <w:tc>
          <w:tcPr>
            <w:tcW w:w="2650" w:type="dxa"/>
          </w:tcPr>
          <w:p w:rsidR="006A18FD" w:rsidRDefault="002D29FC">
            <w:pPr>
              <w:spacing w:before="1" w:line="223" w:lineRule="exact"/>
              <w:ind w:right="1156"/>
              <w:jc w:val="right"/>
              <w:rPr>
                <w:rFonts w:ascii="Calibri"/>
                <w:sz w:val="20"/>
              </w:rPr>
            </w:pPr>
            <w:r>
              <w:rPr>
                <w:rFonts w:ascii="Calibri"/>
                <w:w w:val="95"/>
                <w:sz w:val="20"/>
              </w:rPr>
              <w:t>2.3</w:t>
            </w:r>
          </w:p>
        </w:tc>
      </w:tr>
      <w:tr w:rsidR="006A18FD">
        <w:trPr>
          <w:trHeight w:val="240"/>
        </w:trPr>
        <w:tc>
          <w:tcPr>
            <w:tcW w:w="2103" w:type="dxa"/>
          </w:tcPr>
          <w:p w:rsidR="006A18FD" w:rsidRDefault="002D29FC">
            <w:pPr>
              <w:spacing w:line="222" w:lineRule="exact"/>
              <w:ind w:left="105"/>
              <w:rPr>
                <w:rFonts w:ascii="Calibri"/>
                <w:sz w:val="20"/>
              </w:rPr>
            </w:pPr>
            <w:r>
              <w:rPr>
                <w:rFonts w:ascii="Calibri"/>
                <w:sz w:val="20"/>
              </w:rPr>
              <w:t>2010/2011</w:t>
            </w:r>
          </w:p>
        </w:tc>
        <w:tc>
          <w:tcPr>
            <w:tcW w:w="2645" w:type="dxa"/>
          </w:tcPr>
          <w:p w:rsidR="006A18FD" w:rsidRDefault="002D29FC">
            <w:pPr>
              <w:spacing w:line="222" w:lineRule="exact"/>
              <w:ind w:left="1230" w:right="1112"/>
              <w:jc w:val="center"/>
              <w:rPr>
                <w:rFonts w:ascii="Calibri"/>
                <w:sz w:val="20"/>
              </w:rPr>
            </w:pPr>
            <w:r>
              <w:rPr>
                <w:rFonts w:ascii="Calibri"/>
                <w:sz w:val="20"/>
              </w:rPr>
              <w:t>1.9</w:t>
            </w:r>
          </w:p>
        </w:tc>
        <w:tc>
          <w:tcPr>
            <w:tcW w:w="2645" w:type="dxa"/>
          </w:tcPr>
          <w:p w:rsidR="006A18FD" w:rsidRDefault="002D29FC">
            <w:pPr>
              <w:spacing w:line="222" w:lineRule="exact"/>
              <w:ind w:left="1220" w:right="1121"/>
              <w:jc w:val="center"/>
              <w:rPr>
                <w:rFonts w:ascii="Calibri"/>
                <w:sz w:val="20"/>
              </w:rPr>
            </w:pPr>
            <w:r>
              <w:rPr>
                <w:rFonts w:ascii="Calibri"/>
                <w:sz w:val="20"/>
              </w:rPr>
              <w:t>1.9</w:t>
            </w:r>
          </w:p>
        </w:tc>
        <w:tc>
          <w:tcPr>
            <w:tcW w:w="2650" w:type="dxa"/>
          </w:tcPr>
          <w:p w:rsidR="006A18FD" w:rsidRDefault="002D29FC">
            <w:pPr>
              <w:spacing w:line="222" w:lineRule="exact"/>
              <w:ind w:right="1156"/>
              <w:jc w:val="right"/>
              <w:rPr>
                <w:rFonts w:ascii="Calibri"/>
                <w:sz w:val="20"/>
              </w:rPr>
            </w:pPr>
            <w:r>
              <w:rPr>
                <w:rFonts w:ascii="Calibri"/>
                <w:w w:val="95"/>
                <w:sz w:val="20"/>
              </w:rPr>
              <w:t>1.9</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2011/2012</w:t>
            </w:r>
          </w:p>
        </w:tc>
        <w:tc>
          <w:tcPr>
            <w:tcW w:w="2645" w:type="dxa"/>
          </w:tcPr>
          <w:p w:rsidR="006A18FD" w:rsidRDefault="002D29FC">
            <w:pPr>
              <w:spacing w:before="1" w:line="223" w:lineRule="exact"/>
              <w:ind w:left="1230" w:right="1112"/>
              <w:jc w:val="center"/>
              <w:rPr>
                <w:rFonts w:ascii="Calibri"/>
                <w:sz w:val="20"/>
              </w:rPr>
            </w:pPr>
            <w:r>
              <w:rPr>
                <w:rFonts w:ascii="Calibri"/>
                <w:sz w:val="20"/>
              </w:rPr>
              <w:t>0.5</w:t>
            </w:r>
          </w:p>
        </w:tc>
        <w:tc>
          <w:tcPr>
            <w:tcW w:w="2645" w:type="dxa"/>
          </w:tcPr>
          <w:p w:rsidR="006A18FD" w:rsidRDefault="002D29FC">
            <w:pPr>
              <w:spacing w:before="1" w:line="223" w:lineRule="exact"/>
              <w:ind w:left="1220" w:right="1121"/>
              <w:jc w:val="center"/>
              <w:rPr>
                <w:rFonts w:ascii="Calibri"/>
                <w:sz w:val="20"/>
              </w:rPr>
            </w:pPr>
            <w:r>
              <w:rPr>
                <w:rFonts w:ascii="Calibri"/>
                <w:sz w:val="20"/>
              </w:rPr>
              <w:t>0.8</w:t>
            </w:r>
          </w:p>
        </w:tc>
        <w:tc>
          <w:tcPr>
            <w:tcW w:w="2650" w:type="dxa"/>
          </w:tcPr>
          <w:p w:rsidR="006A18FD" w:rsidRDefault="002D29FC">
            <w:pPr>
              <w:spacing w:before="1" w:line="223" w:lineRule="exact"/>
              <w:ind w:right="1156"/>
              <w:jc w:val="right"/>
              <w:rPr>
                <w:rFonts w:ascii="Calibri"/>
                <w:sz w:val="20"/>
              </w:rPr>
            </w:pPr>
            <w:r>
              <w:rPr>
                <w:rFonts w:ascii="Calibri"/>
                <w:w w:val="95"/>
                <w:sz w:val="20"/>
              </w:rPr>
              <w:t>0.2</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2012/2013</w:t>
            </w:r>
          </w:p>
        </w:tc>
        <w:tc>
          <w:tcPr>
            <w:tcW w:w="2645" w:type="dxa"/>
          </w:tcPr>
          <w:p w:rsidR="006A18FD" w:rsidRDefault="002D29FC">
            <w:pPr>
              <w:spacing w:before="1" w:line="223" w:lineRule="exact"/>
              <w:ind w:left="1230" w:right="1112"/>
              <w:jc w:val="center"/>
              <w:rPr>
                <w:rFonts w:ascii="Calibri"/>
                <w:sz w:val="20"/>
              </w:rPr>
            </w:pPr>
            <w:r>
              <w:rPr>
                <w:rFonts w:ascii="Calibri"/>
                <w:sz w:val="20"/>
              </w:rPr>
              <w:t>0.4</w:t>
            </w:r>
          </w:p>
        </w:tc>
        <w:tc>
          <w:tcPr>
            <w:tcW w:w="2645" w:type="dxa"/>
          </w:tcPr>
          <w:p w:rsidR="006A18FD" w:rsidRDefault="002D29FC">
            <w:pPr>
              <w:spacing w:before="1" w:line="223" w:lineRule="exact"/>
              <w:ind w:left="1220" w:right="1121"/>
              <w:jc w:val="center"/>
              <w:rPr>
                <w:rFonts w:ascii="Calibri"/>
                <w:sz w:val="20"/>
              </w:rPr>
            </w:pPr>
            <w:r>
              <w:rPr>
                <w:rFonts w:ascii="Calibri"/>
                <w:sz w:val="20"/>
              </w:rPr>
              <w:t>0.8</w:t>
            </w:r>
          </w:p>
        </w:tc>
        <w:tc>
          <w:tcPr>
            <w:tcW w:w="2650" w:type="dxa"/>
          </w:tcPr>
          <w:p w:rsidR="006A18FD" w:rsidRDefault="002D29FC">
            <w:pPr>
              <w:spacing w:before="1" w:line="223" w:lineRule="exact"/>
              <w:ind w:right="1156"/>
              <w:jc w:val="right"/>
              <w:rPr>
                <w:rFonts w:ascii="Calibri"/>
                <w:sz w:val="20"/>
              </w:rPr>
            </w:pPr>
            <w:r>
              <w:rPr>
                <w:rFonts w:ascii="Calibri"/>
                <w:sz w:val="20"/>
              </w:rPr>
              <w:t>-0.1</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2013/2014</w:t>
            </w:r>
          </w:p>
        </w:tc>
        <w:tc>
          <w:tcPr>
            <w:tcW w:w="2645" w:type="dxa"/>
          </w:tcPr>
          <w:p w:rsidR="006A18FD" w:rsidRDefault="002D29FC">
            <w:pPr>
              <w:spacing w:before="1" w:line="223" w:lineRule="exact"/>
              <w:ind w:left="1230" w:right="1112"/>
              <w:jc w:val="center"/>
              <w:rPr>
                <w:rFonts w:ascii="Calibri"/>
                <w:sz w:val="20"/>
              </w:rPr>
            </w:pPr>
            <w:r>
              <w:rPr>
                <w:rFonts w:ascii="Calibri"/>
                <w:sz w:val="20"/>
              </w:rPr>
              <w:t>1.5</w:t>
            </w:r>
          </w:p>
        </w:tc>
        <w:tc>
          <w:tcPr>
            <w:tcW w:w="2645" w:type="dxa"/>
          </w:tcPr>
          <w:p w:rsidR="006A18FD" w:rsidRDefault="002D29FC">
            <w:pPr>
              <w:spacing w:before="1" w:line="223" w:lineRule="exact"/>
              <w:ind w:left="1220" w:right="1121"/>
              <w:jc w:val="center"/>
              <w:rPr>
                <w:rFonts w:ascii="Calibri"/>
                <w:sz w:val="20"/>
              </w:rPr>
            </w:pPr>
            <w:r>
              <w:rPr>
                <w:rFonts w:ascii="Calibri"/>
                <w:sz w:val="20"/>
              </w:rPr>
              <w:t>2.0</w:t>
            </w:r>
          </w:p>
        </w:tc>
        <w:tc>
          <w:tcPr>
            <w:tcW w:w="2650" w:type="dxa"/>
          </w:tcPr>
          <w:p w:rsidR="006A18FD" w:rsidRDefault="002D29FC">
            <w:pPr>
              <w:spacing w:before="1" w:line="223" w:lineRule="exact"/>
              <w:ind w:right="1156"/>
              <w:jc w:val="right"/>
              <w:rPr>
                <w:rFonts w:ascii="Calibri"/>
                <w:sz w:val="20"/>
              </w:rPr>
            </w:pPr>
            <w:r>
              <w:rPr>
                <w:rFonts w:ascii="Calibri"/>
                <w:w w:val="95"/>
                <w:sz w:val="20"/>
              </w:rPr>
              <w:t>1.4</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2014/2015</w:t>
            </w:r>
          </w:p>
        </w:tc>
        <w:tc>
          <w:tcPr>
            <w:tcW w:w="2645" w:type="dxa"/>
          </w:tcPr>
          <w:p w:rsidR="006A18FD" w:rsidRDefault="002D29FC">
            <w:pPr>
              <w:spacing w:before="1" w:line="223" w:lineRule="exact"/>
              <w:ind w:left="1230" w:right="1112"/>
              <w:jc w:val="center"/>
              <w:rPr>
                <w:rFonts w:ascii="Calibri"/>
                <w:sz w:val="20"/>
              </w:rPr>
            </w:pPr>
            <w:r>
              <w:rPr>
                <w:rFonts w:ascii="Calibri"/>
                <w:sz w:val="20"/>
              </w:rPr>
              <w:t>1.0</w:t>
            </w:r>
          </w:p>
        </w:tc>
        <w:tc>
          <w:tcPr>
            <w:tcW w:w="2645" w:type="dxa"/>
          </w:tcPr>
          <w:p w:rsidR="006A18FD" w:rsidRDefault="002D29FC">
            <w:pPr>
              <w:spacing w:before="1" w:line="223" w:lineRule="exact"/>
              <w:ind w:left="1220" w:right="1121"/>
              <w:jc w:val="center"/>
              <w:rPr>
                <w:rFonts w:ascii="Calibri"/>
                <w:sz w:val="20"/>
              </w:rPr>
            </w:pPr>
            <w:r>
              <w:rPr>
                <w:rFonts w:ascii="Calibri"/>
                <w:sz w:val="20"/>
              </w:rPr>
              <w:t>1.6</w:t>
            </w:r>
          </w:p>
        </w:tc>
        <w:tc>
          <w:tcPr>
            <w:tcW w:w="2650" w:type="dxa"/>
          </w:tcPr>
          <w:p w:rsidR="006A18FD" w:rsidRDefault="002D29FC">
            <w:pPr>
              <w:spacing w:before="1" w:line="223" w:lineRule="exact"/>
              <w:ind w:right="1156"/>
              <w:jc w:val="right"/>
              <w:rPr>
                <w:rFonts w:ascii="Calibri"/>
                <w:sz w:val="20"/>
              </w:rPr>
            </w:pPr>
            <w:r>
              <w:rPr>
                <w:rFonts w:ascii="Calibri"/>
                <w:w w:val="95"/>
                <w:sz w:val="20"/>
              </w:rPr>
              <w:t>0.9</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2015/2016</w:t>
            </w:r>
          </w:p>
        </w:tc>
        <w:tc>
          <w:tcPr>
            <w:tcW w:w="2645" w:type="dxa"/>
          </w:tcPr>
          <w:p w:rsidR="006A18FD" w:rsidRDefault="002D29FC">
            <w:pPr>
              <w:spacing w:before="1" w:line="223" w:lineRule="exact"/>
              <w:ind w:left="1230" w:right="1112"/>
              <w:jc w:val="center"/>
              <w:rPr>
                <w:rFonts w:ascii="Calibri"/>
                <w:sz w:val="20"/>
              </w:rPr>
            </w:pPr>
            <w:r>
              <w:rPr>
                <w:rFonts w:ascii="Calibri"/>
                <w:sz w:val="20"/>
              </w:rPr>
              <w:t>3.2</w:t>
            </w:r>
          </w:p>
        </w:tc>
        <w:tc>
          <w:tcPr>
            <w:tcW w:w="2645" w:type="dxa"/>
          </w:tcPr>
          <w:p w:rsidR="006A18FD" w:rsidRDefault="002D29FC">
            <w:pPr>
              <w:spacing w:before="1" w:line="223" w:lineRule="exact"/>
              <w:ind w:left="1220" w:right="1121"/>
              <w:jc w:val="center"/>
              <w:rPr>
                <w:rFonts w:ascii="Calibri"/>
                <w:sz w:val="20"/>
              </w:rPr>
            </w:pPr>
            <w:r>
              <w:rPr>
                <w:rFonts w:ascii="Calibri"/>
                <w:sz w:val="20"/>
              </w:rPr>
              <w:t>3.0</w:t>
            </w:r>
          </w:p>
        </w:tc>
        <w:tc>
          <w:tcPr>
            <w:tcW w:w="2650" w:type="dxa"/>
          </w:tcPr>
          <w:p w:rsidR="006A18FD" w:rsidRDefault="002D29FC">
            <w:pPr>
              <w:spacing w:before="1" w:line="223" w:lineRule="exact"/>
              <w:ind w:right="1156"/>
              <w:jc w:val="right"/>
              <w:rPr>
                <w:rFonts w:ascii="Calibri"/>
                <w:sz w:val="20"/>
              </w:rPr>
            </w:pPr>
            <w:r>
              <w:rPr>
                <w:rFonts w:ascii="Calibri"/>
                <w:w w:val="95"/>
                <w:sz w:val="20"/>
              </w:rPr>
              <w:t>4.1</w:t>
            </w:r>
          </w:p>
        </w:tc>
      </w:tr>
      <w:tr w:rsidR="006A18FD">
        <w:trPr>
          <w:trHeight w:val="240"/>
        </w:trPr>
        <w:tc>
          <w:tcPr>
            <w:tcW w:w="2103" w:type="dxa"/>
          </w:tcPr>
          <w:p w:rsidR="006A18FD" w:rsidRDefault="002D29FC">
            <w:pPr>
              <w:spacing w:before="2" w:line="223" w:lineRule="exact"/>
              <w:ind w:left="105"/>
              <w:rPr>
                <w:rFonts w:ascii="Calibri"/>
                <w:sz w:val="20"/>
              </w:rPr>
            </w:pPr>
            <w:r>
              <w:rPr>
                <w:rFonts w:ascii="Calibri"/>
                <w:sz w:val="20"/>
              </w:rPr>
              <w:t>2016/2017</w:t>
            </w:r>
          </w:p>
        </w:tc>
        <w:tc>
          <w:tcPr>
            <w:tcW w:w="2645" w:type="dxa"/>
          </w:tcPr>
          <w:p w:rsidR="006A18FD" w:rsidRDefault="002D29FC">
            <w:pPr>
              <w:spacing w:before="2" w:line="223" w:lineRule="exact"/>
              <w:ind w:left="1230" w:right="1112"/>
              <w:jc w:val="center"/>
              <w:rPr>
                <w:rFonts w:ascii="Calibri"/>
                <w:sz w:val="20"/>
              </w:rPr>
            </w:pPr>
            <w:r>
              <w:rPr>
                <w:rFonts w:ascii="Calibri"/>
                <w:sz w:val="20"/>
              </w:rPr>
              <w:t>1.2</w:t>
            </w:r>
          </w:p>
        </w:tc>
        <w:tc>
          <w:tcPr>
            <w:tcW w:w="2645" w:type="dxa"/>
          </w:tcPr>
          <w:p w:rsidR="006A18FD" w:rsidRDefault="002D29FC">
            <w:pPr>
              <w:spacing w:before="2" w:line="223" w:lineRule="exact"/>
              <w:ind w:left="1220" w:right="1121"/>
              <w:jc w:val="center"/>
              <w:rPr>
                <w:rFonts w:ascii="Calibri"/>
                <w:sz w:val="20"/>
              </w:rPr>
            </w:pPr>
            <w:r>
              <w:rPr>
                <w:rFonts w:ascii="Calibri"/>
                <w:sz w:val="20"/>
              </w:rPr>
              <w:t>2.1</w:t>
            </w:r>
          </w:p>
        </w:tc>
        <w:tc>
          <w:tcPr>
            <w:tcW w:w="2650" w:type="dxa"/>
          </w:tcPr>
          <w:p w:rsidR="006A18FD" w:rsidRDefault="002D29FC">
            <w:pPr>
              <w:spacing w:before="2" w:line="223" w:lineRule="exact"/>
              <w:ind w:right="1156"/>
              <w:jc w:val="right"/>
              <w:rPr>
                <w:rFonts w:ascii="Calibri"/>
                <w:sz w:val="20"/>
              </w:rPr>
            </w:pPr>
            <w:r>
              <w:rPr>
                <w:rFonts w:ascii="Calibri"/>
                <w:w w:val="95"/>
                <w:sz w:val="20"/>
              </w:rPr>
              <w:t>0.9</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2017/2018</w:t>
            </w:r>
          </w:p>
        </w:tc>
        <w:tc>
          <w:tcPr>
            <w:tcW w:w="2645" w:type="dxa"/>
          </w:tcPr>
          <w:p w:rsidR="006A18FD" w:rsidRDefault="002D29FC">
            <w:pPr>
              <w:spacing w:before="1" w:line="223" w:lineRule="exact"/>
              <w:ind w:left="1230" w:right="1112"/>
              <w:jc w:val="center"/>
              <w:rPr>
                <w:rFonts w:ascii="Calibri"/>
                <w:sz w:val="20"/>
              </w:rPr>
            </w:pPr>
            <w:r>
              <w:rPr>
                <w:rFonts w:ascii="Calibri"/>
                <w:sz w:val="20"/>
              </w:rPr>
              <w:t>2.7</w:t>
            </w:r>
          </w:p>
        </w:tc>
        <w:tc>
          <w:tcPr>
            <w:tcW w:w="2645" w:type="dxa"/>
          </w:tcPr>
          <w:p w:rsidR="006A18FD" w:rsidRDefault="002D29FC">
            <w:pPr>
              <w:spacing w:before="1" w:line="223" w:lineRule="exact"/>
              <w:ind w:left="1220" w:right="1121"/>
              <w:jc w:val="center"/>
              <w:rPr>
                <w:rFonts w:ascii="Calibri"/>
                <w:sz w:val="20"/>
              </w:rPr>
            </w:pPr>
            <w:r>
              <w:rPr>
                <w:rFonts w:ascii="Calibri"/>
                <w:sz w:val="20"/>
              </w:rPr>
              <w:t>3.6</w:t>
            </w:r>
          </w:p>
        </w:tc>
        <w:tc>
          <w:tcPr>
            <w:tcW w:w="2650" w:type="dxa"/>
          </w:tcPr>
          <w:p w:rsidR="006A18FD" w:rsidRDefault="002D29FC">
            <w:pPr>
              <w:spacing w:before="1" w:line="223" w:lineRule="exact"/>
              <w:ind w:right="1156"/>
              <w:jc w:val="right"/>
              <w:rPr>
                <w:rFonts w:ascii="Calibri"/>
                <w:sz w:val="20"/>
              </w:rPr>
            </w:pPr>
            <w:r>
              <w:rPr>
                <w:rFonts w:ascii="Calibri"/>
                <w:w w:val="95"/>
                <w:sz w:val="20"/>
              </w:rPr>
              <w:t>2.9</w:t>
            </w:r>
          </w:p>
        </w:tc>
      </w:tr>
      <w:tr w:rsidR="006A18FD">
        <w:trPr>
          <w:trHeight w:val="240"/>
        </w:trPr>
        <w:tc>
          <w:tcPr>
            <w:tcW w:w="2103" w:type="dxa"/>
          </w:tcPr>
          <w:p w:rsidR="006A18FD" w:rsidRDefault="002D29FC">
            <w:pPr>
              <w:spacing w:before="1" w:line="223" w:lineRule="exact"/>
              <w:ind w:left="105"/>
              <w:rPr>
                <w:rFonts w:ascii="Calibri"/>
                <w:sz w:val="20"/>
              </w:rPr>
            </w:pPr>
            <w:r>
              <w:rPr>
                <w:rFonts w:ascii="Calibri"/>
                <w:sz w:val="20"/>
              </w:rPr>
              <w:t>2018/2019</w:t>
            </w:r>
          </w:p>
        </w:tc>
        <w:tc>
          <w:tcPr>
            <w:tcW w:w="2645" w:type="dxa"/>
          </w:tcPr>
          <w:p w:rsidR="006A18FD" w:rsidRDefault="002D29FC">
            <w:pPr>
              <w:spacing w:before="1" w:line="223" w:lineRule="exact"/>
              <w:ind w:left="1230" w:right="1112"/>
              <w:jc w:val="center"/>
              <w:rPr>
                <w:rFonts w:ascii="Calibri"/>
                <w:sz w:val="20"/>
              </w:rPr>
            </w:pPr>
            <w:r>
              <w:rPr>
                <w:rFonts w:ascii="Calibri"/>
                <w:sz w:val="20"/>
              </w:rPr>
              <w:t>2.5</w:t>
            </w:r>
          </w:p>
        </w:tc>
        <w:tc>
          <w:tcPr>
            <w:tcW w:w="2645" w:type="dxa"/>
          </w:tcPr>
          <w:p w:rsidR="006A18FD" w:rsidRDefault="002D29FC">
            <w:pPr>
              <w:spacing w:before="1" w:line="223" w:lineRule="exact"/>
              <w:ind w:left="1220" w:right="1121"/>
              <w:jc w:val="center"/>
              <w:rPr>
                <w:rFonts w:ascii="Calibri"/>
                <w:sz w:val="20"/>
              </w:rPr>
            </w:pPr>
            <w:r>
              <w:rPr>
                <w:rFonts w:ascii="Calibri"/>
                <w:sz w:val="20"/>
              </w:rPr>
              <w:t>2.6</w:t>
            </w:r>
          </w:p>
        </w:tc>
        <w:tc>
          <w:tcPr>
            <w:tcW w:w="2650" w:type="dxa"/>
          </w:tcPr>
          <w:p w:rsidR="006A18FD" w:rsidRDefault="002D29FC">
            <w:pPr>
              <w:spacing w:before="1" w:line="223" w:lineRule="exact"/>
              <w:ind w:right="1156"/>
              <w:jc w:val="right"/>
              <w:rPr>
                <w:rFonts w:ascii="Calibri"/>
                <w:sz w:val="20"/>
              </w:rPr>
            </w:pPr>
            <w:r>
              <w:rPr>
                <w:rFonts w:ascii="Calibri"/>
                <w:w w:val="95"/>
                <w:sz w:val="20"/>
              </w:rPr>
              <w:t>2.8</w:t>
            </w:r>
          </w:p>
        </w:tc>
      </w:tr>
    </w:tbl>
    <w:p w:rsidR="006A18FD" w:rsidRDefault="002D29FC" w:rsidP="00EE69D4">
      <w:pPr>
        <w:pStyle w:val="Heading3"/>
        <w:numPr>
          <w:ilvl w:val="2"/>
          <w:numId w:val="4"/>
        </w:numPr>
      </w:pPr>
      <w:r>
        <w:t>The PSS annual percentage increases for adult independent sector</w:t>
      </w:r>
      <w:r>
        <w:rPr>
          <w:spacing w:val="-25"/>
        </w:rPr>
        <w:t xml:space="preserve"> </w:t>
      </w:r>
      <w:r>
        <w:t>services</w:t>
      </w:r>
    </w:p>
    <w:p w:rsidR="006A18FD" w:rsidRDefault="006A18FD">
      <w:pPr>
        <w:spacing w:before="2" w:after="1"/>
        <w:rPr>
          <w:rFonts w:ascii="Cambria"/>
          <w:b/>
          <w:sz w:val="13"/>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2650"/>
        <w:gridCol w:w="2650"/>
        <w:gridCol w:w="2648"/>
      </w:tblGrid>
      <w:tr w:rsidR="006A18FD" w:rsidTr="00CA19E0">
        <w:trPr>
          <w:trHeight w:val="360"/>
          <w:tblHeader/>
        </w:trPr>
        <w:tc>
          <w:tcPr>
            <w:tcW w:w="2096" w:type="dxa"/>
            <w:vMerge w:val="restart"/>
          </w:tcPr>
          <w:p w:rsidR="006A18FD" w:rsidRDefault="002D29FC">
            <w:pPr>
              <w:spacing w:before="3"/>
              <w:ind w:left="105"/>
              <w:rPr>
                <w:rFonts w:ascii="Calibri"/>
                <w:b/>
                <w:sz w:val="20"/>
              </w:rPr>
            </w:pPr>
            <w:r>
              <w:rPr>
                <w:rFonts w:ascii="Calibri"/>
                <w:b/>
                <w:sz w:val="20"/>
              </w:rPr>
              <w:t>Year</w:t>
            </w:r>
          </w:p>
        </w:tc>
        <w:tc>
          <w:tcPr>
            <w:tcW w:w="7948" w:type="dxa"/>
            <w:gridSpan w:val="3"/>
          </w:tcPr>
          <w:p w:rsidR="006A18FD" w:rsidRDefault="002D29FC">
            <w:pPr>
              <w:ind w:left="2527"/>
              <w:rPr>
                <w:rFonts w:ascii="Calibri"/>
                <w:b/>
                <w:sz w:val="13"/>
              </w:rPr>
            </w:pPr>
            <w:r>
              <w:rPr>
                <w:rFonts w:ascii="Calibri"/>
                <w:b/>
                <w:sz w:val="20"/>
              </w:rPr>
              <w:t>PSS independent care, adults only</w:t>
            </w:r>
            <w:r>
              <w:rPr>
                <w:rFonts w:ascii="Calibri"/>
                <w:b/>
                <w:position w:val="7"/>
                <w:sz w:val="13"/>
              </w:rPr>
              <w:t>1</w:t>
            </w:r>
          </w:p>
        </w:tc>
      </w:tr>
      <w:tr w:rsidR="006A18FD" w:rsidTr="00CA19E0">
        <w:trPr>
          <w:trHeight w:val="360"/>
          <w:tblHeader/>
        </w:trPr>
        <w:tc>
          <w:tcPr>
            <w:tcW w:w="2096" w:type="dxa"/>
            <w:vMerge/>
            <w:tcBorders>
              <w:top w:val="nil"/>
            </w:tcBorders>
          </w:tcPr>
          <w:p w:rsidR="006A18FD" w:rsidRDefault="006A18FD">
            <w:pPr>
              <w:rPr>
                <w:sz w:val="2"/>
                <w:szCs w:val="2"/>
              </w:rPr>
            </w:pPr>
          </w:p>
        </w:tc>
        <w:tc>
          <w:tcPr>
            <w:tcW w:w="7948" w:type="dxa"/>
            <w:gridSpan w:val="3"/>
          </w:tcPr>
          <w:p w:rsidR="006A18FD" w:rsidRDefault="002D29FC">
            <w:pPr>
              <w:spacing w:before="1"/>
              <w:ind w:left="2453"/>
              <w:rPr>
                <w:rFonts w:ascii="Calibri"/>
                <w:b/>
                <w:sz w:val="20"/>
              </w:rPr>
            </w:pPr>
            <w:r>
              <w:rPr>
                <w:rFonts w:ascii="Calibri"/>
                <w:b/>
                <w:sz w:val="20"/>
              </w:rPr>
              <w:t>Annual % increases on previous year</w:t>
            </w:r>
          </w:p>
        </w:tc>
      </w:tr>
      <w:tr w:rsidR="006A18FD" w:rsidTr="00CA19E0">
        <w:trPr>
          <w:trHeight w:val="600"/>
          <w:tblHeader/>
        </w:trPr>
        <w:tc>
          <w:tcPr>
            <w:tcW w:w="2096" w:type="dxa"/>
            <w:vMerge/>
            <w:tcBorders>
              <w:top w:val="nil"/>
            </w:tcBorders>
          </w:tcPr>
          <w:p w:rsidR="006A18FD" w:rsidRDefault="006A18FD">
            <w:pPr>
              <w:rPr>
                <w:sz w:val="2"/>
                <w:szCs w:val="2"/>
              </w:rPr>
            </w:pPr>
          </w:p>
        </w:tc>
        <w:tc>
          <w:tcPr>
            <w:tcW w:w="2650" w:type="dxa"/>
          </w:tcPr>
          <w:p w:rsidR="006A18FD" w:rsidRDefault="002D29FC">
            <w:pPr>
              <w:spacing w:before="1"/>
              <w:ind w:left="1010" w:right="339" w:hanging="651"/>
              <w:rPr>
                <w:rFonts w:ascii="Calibri"/>
                <w:b/>
                <w:sz w:val="20"/>
              </w:rPr>
            </w:pPr>
            <w:r>
              <w:rPr>
                <w:rFonts w:ascii="Calibri"/>
                <w:b/>
                <w:sz w:val="20"/>
              </w:rPr>
              <w:t>Pay &amp; prices (excluding capital)</w:t>
            </w:r>
          </w:p>
        </w:tc>
        <w:tc>
          <w:tcPr>
            <w:tcW w:w="2650" w:type="dxa"/>
          </w:tcPr>
          <w:p w:rsidR="006A18FD" w:rsidRDefault="002D29FC">
            <w:pPr>
              <w:spacing w:before="1"/>
              <w:ind w:left="1010" w:right="358" w:hanging="634"/>
              <w:rPr>
                <w:rFonts w:ascii="Calibri"/>
                <w:b/>
                <w:sz w:val="20"/>
              </w:rPr>
            </w:pPr>
            <w:r>
              <w:rPr>
                <w:rFonts w:ascii="Calibri"/>
                <w:b/>
                <w:sz w:val="20"/>
              </w:rPr>
              <w:t>Pay &amp; prices (including capital)</w:t>
            </w:r>
          </w:p>
        </w:tc>
        <w:tc>
          <w:tcPr>
            <w:tcW w:w="2648" w:type="dxa"/>
          </w:tcPr>
          <w:p w:rsidR="006A18FD" w:rsidRDefault="002D29FC">
            <w:pPr>
              <w:spacing w:before="1"/>
              <w:ind w:right="1168"/>
              <w:jc w:val="right"/>
              <w:rPr>
                <w:rFonts w:ascii="Calibri"/>
                <w:b/>
                <w:sz w:val="20"/>
              </w:rPr>
            </w:pPr>
            <w:r>
              <w:rPr>
                <w:rFonts w:ascii="Calibri"/>
                <w:b/>
                <w:sz w:val="20"/>
              </w:rPr>
              <w:t>Pay</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2010/2011</w:t>
            </w:r>
          </w:p>
        </w:tc>
        <w:tc>
          <w:tcPr>
            <w:tcW w:w="2650" w:type="dxa"/>
          </w:tcPr>
          <w:p w:rsidR="006A18FD" w:rsidRDefault="002D29FC">
            <w:pPr>
              <w:spacing w:before="1" w:line="223" w:lineRule="exact"/>
              <w:ind w:left="1149" w:right="1150"/>
              <w:jc w:val="center"/>
              <w:rPr>
                <w:rFonts w:ascii="Calibri"/>
                <w:sz w:val="20"/>
              </w:rPr>
            </w:pPr>
            <w:r>
              <w:rPr>
                <w:rFonts w:ascii="Calibri"/>
                <w:sz w:val="20"/>
              </w:rPr>
              <w:t>2.1</w:t>
            </w:r>
          </w:p>
        </w:tc>
        <w:tc>
          <w:tcPr>
            <w:tcW w:w="2650" w:type="dxa"/>
          </w:tcPr>
          <w:p w:rsidR="006A18FD" w:rsidRDefault="002D29FC">
            <w:pPr>
              <w:spacing w:before="1" w:line="223" w:lineRule="exact"/>
              <w:ind w:left="1227" w:right="1119"/>
              <w:jc w:val="center"/>
              <w:rPr>
                <w:rFonts w:ascii="Calibri"/>
                <w:sz w:val="20"/>
              </w:rPr>
            </w:pPr>
            <w:r>
              <w:rPr>
                <w:rFonts w:ascii="Calibri"/>
                <w:sz w:val="20"/>
              </w:rPr>
              <w:t>2.1</w:t>
            </w:r>
          </w:p>
        </w:tc>
        <w:tc>
          <w:tcPr>
            <w:tcW w:w="2648" w:type="dxa"/>
          </w:tcPr>
          <w:p w:rsidR="006A18FD" w:rsidRDefault="002D29FC">
            <w:pPr>
              <w:spacing w:before="1" w:line="223" w:lineRule="exact"/>
              <w:ind w:right="1149"/>
              <w:jc w:val="right"/>
              <w:rPr>
                <w:rFonts w:ascii="Calibri"/>
                <w:sz w:val="20"/>
              </w:rPr>
            </w:pPr>
            <w:r>
              <w:rPr>
                <w:rFonts w:ascii="Calibri"/>
                <w:w w:val="95"/>
                <w:sz w:val="20"/>
              </w:rPr>
              <w:t>2.2</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2011/2012</w:t>
            </w:r>
          </w:p>
        </w:tc>
        <w:tc>
          <w:tcPr>
            <w:tcW w:w="2650" w:type="dxa"/>
          </w:tcPr>
          <w:p w:rsidR="006A18FD" w:rsidRDefault="002D29FC">
            <w:pPr>
              <w:spacing w:before="1" w:line="223" w:lineRule="exact"/>
              <w:ind w:left="1172" w:right="1126"/>
              <w:jc w:val="center"/>
              <w:rPr>
                <w:rFonts w:ascii="Calibri"/>
                <w:sz w:val="20"/>
              </w:rPr>
            </w:pPr>
            <w:r>
              <w:rPr>
                <w:rFonts w:ascii="Calibri"/>
                <w:sz w:val="20"/>
              </w:rPr>
              <w:t>0.0</w:t>
            </w:r>
          </w:p>
        </w:tc>
        <w:tc>
          <w:tcPr>
            <w:tcW w:w="2650" w:type="dxa"/>
          </w:tcPr>
          <w:p w:rsidR="006A18FD" w:rsidRDefault="002D29FC">
            <w:pPr>
              <w:spacing w:before="1" w:line="223" w:lineRule="exact"/>
              <w:ind w:left="1227" w:right="1119"/>
              <w:jc w:val="center"/>
              <w:rPr>
                <w:rFonts w:ascii="Calibri"/>
                <w:sz w:val="20"/>
              </w:rPr>
            </w:pPr>
            <w:r>
              <w:rPr>
                <w:rFonts w:ascii="Calibri"/>
                <w:sz w:val="20"/>
              </w:rPr>
              <w:t>0.4</w:t>
            </w:r>
          </w:p>
        </w:tc>
        <w:tc>
          <w:tcPr>
            <w:tcW w:w="2648" w:type="dxa"/>
          </w:tcPr>
          <w:p w:rsidR="006A18FD" w:rsidRDefault="002D29FC">
            <w:pPr>
              <w:spacing w:before="1" w:line="223" w:lineRule="exact"/>
              <w:ind w:right="1149"/>
              <w:jc w:val="right"/>
              <w:rPr>
                <w:rFonts w:ascii="Calibri"/>
                <w:sz w:val="20"/>
              </w:rPr>
            </w:pPr>
            <w:r>
              <w:rPr>
                <w:rFonts w:ascii="Calibri"/>
                <w:sz w:val="20"/>
              </w:rPr>
              <w:t>-0.4</w:t>
            </w:r>
          </w:p>
        </w:tc>
      </w:tr>
      <w:tr w:rsidR="006A18FD">
        <w:trPr>
          <w:trHeight w:val="240"/>
        </w:trPr>
        <w:tc>
          <w:tcPr>
            <w:tcW w:w="2096" w:type="dxa"/>
          </w:tcPr>
          <w:p w:rsidR="006A18FD" w:rsidRDefault="002D29FC">
            <w:pPr>
              <w:spacing w:line="222" w:lineRule="exact"/>
              <w:ind w:left="105"/>
              <w:rPr>
                <w:rFonts w:ascii="Calibri"/>
                <w:sz w:val="20"/>
              </w:rPr>
            </w:pPr>
            <w:r>
              <w:rPr>
                <w:rFonts w:ascii="Calibri"/>
                <w:sz w:val="20"/>
              </w:rPr>
              <w:t>2012/2013</w:t>
            </w:r>
          </w:p>
        </w:tc>
        <w:tc>
          <w:tcPr>
            <w:tcW w:w="2650" w:type="dxa"/>
          </w:tcPr>
          <w:p w:rsidR="006A18FD" w:rsidRDefault="002D29FC">
            <w:pPr>
              <w:spacing w:line="222" w:lineRule="exact"/>
              <w:ind w:left="1172" w:right="1126"/>
              <w:jc w:val="center"/>
              <w:rPr>
                <w:rFonts w:ascii="Calibri"/>
                <w:sz w:val="20"/>
              </w:rPr>
            </w:pPr>
            <w:r>
              <w:rPr>
                <w:rFonts w:ascii="Calibri"/>
                <w:sz w:val="20"/>
              </w:rPr>
              <w:t>0.7</w:t>
            </w:r>
          </w:p>
        </w:tc>
        <w:tc>
          <w:tcPr>
            <w:tcW w:w="2650" w:type="dxa"/>
          </w:tcPr>
          <w:p w:rsidR="006A18FD" w:rsidRDefault="002D29FC">
            <w:pPr>
              <w:spacing w:line="222" w:lineRule="exact"/>
              <w:ind w:left="1227" w:right="1119"/>
              <w:jc w:val="center"/>
              <w:rPr>
                <w:rFonts w:ascii="Calibri"/>
                <w:sz w:val="20"/>
              </w:rPr>
            </w:pPr>
            <w:r>
              <w:rPr>
                <w:rFonts w:ascii="Calibri"/>
                <w:sz w:val="20"/>
              </w:rPr>
              <w:t>1.1</w:t>
            </w:r>
          </w:p>
        </w:tc>
        <w:tc>
          <w:tcPr>
            <w:tcW w:w="2648" w:type="dxa"/>
          </w:tcPr>
          <w:p w:rsidR="006A18FD" w:rsidRDefault="002D29FC">
            <w:pPr>
              <w:spacing w:line="222" w:lineRule="exact"/>
              <w:ind w:right="1149"/>
              <w:jc w:val="right"/>
              <w:rPr>
                <w:rFonts w:ascii="Calibri"/>
                <w:sz w:val="20"/>
              </w:rPr>
            </w:pPr>
            <w:r>
              <w:rPr>
                <w:rFonts w:ascii="Calibri"/>
                <w:w w:val="95"/>
                <w:sz w:val="20"/>
              </w:rPr>
              <w:t>0.2</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2013/2014</w:t>
            </w:r>
          </w:p>
        </w:tc>
        <w:tc>
          <w:tcPr>
            <w:tcW w:w="2650" w:type="dxa"/>
          </w:tcPr>
          <w:p w:rsidR="006A18FD" w:rsidRDefault="002D29FC">
            <w:pPr>
              <w:spacing w:before="1" w:line="223" w:lineRule="exact"/>
              <w:ind w:left="1149" w:right="1150"/>
              <w:jc w:val="center"/>
              <w:rPr>
                <w:rFonts w:ascii="Calibri"/>
                <w:sz w:val="20"/>
              </w:rPr>
            </w:pPr>
            <w:r>
              <w:rPr>
                <w:rFonts w:ascii="Calibri"/>
                <w:sz w:val="20"/>
              </w:rPr>
              <w:t>0.9</w:t>
            </w:r>
          </w:p>
        </w:tc>
        <w:tc>
          <w:tcPr>
            <w:tcW w:w="2650" w:type="dxa"/>
          </w:tcPr>
          <w:p w:rsidR="006A18FD" w:rsidRDefault="002D29FC">
            <w:pPr>
              <w:spacing w:before="1" w:line="223" w:lineRule="exact"/>
              <w:ind w:left="1227" w:right="1119"/>
              <w:jc w:val="center"/>
              <w:rPr>
                <w:rFonts w:ascii="Calibri"/>
                <w:sz w:val="20"/>
              </w:rPr>
            </w:pPr>
            <w:r>
              <w:rPr>
                <w:rFonts w:ascii="Calibri"/>
                <w:sz w:val="20"/>
              </w:rPr>
              <w:t>1.4</w:t>
            </w:r>
          </w:p>
        </w:tc>
        <w:tc>
          <w:tcPr>
            <w:tcW w:w="2648" w:type="dxa"/>
          </w:tcPr>
          <w:p w:rsidR="006A18FD" w:rsidRDefault="002D29FC">
            <w:pPr>
              <w:spacing w:before="1" w:line="223" w:lineRule="exact"/>
              <w:ind w:right="1149"/>
              <w:jc w:val="right"/>
              <w:rPr>
                <w:rFonts w:ascii="Calibri"/>
                <w:sz w:val="20"/>
              </w:rPr>
            </w:pPr>
            <w:r>
              <w:rPr>
                <w:rFonts w:ascii="Calibri"/>
                <w:w w:val="95"/>
                <w:sz w:val="20"/>
              </w:rPr>
              <w:t>0.6</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2014/2015</w:t>
            </w:r>
          </w:p>
        </w:tc>
        <w:tc>
          <w:tcPr>
            <w:tcW w:w="2650" w:type="dxa"/>
          </w:tcPr>
          <w:p w:rsidR="006A18FD" w:rsidRDefault="002D29FC">
            <w:pPr>
              <w:spacing w:before="1" w:line="223" w:lineRule="exact"/>
              <w:ind w:left="1149" w:right="1150"/>
              <w:jc w:val="center"/>
              <w:rPr>
                <w:rFonts w:ascii="Calibri"/>
                <w:sz w:val="20"/>
              </w:rPr>
            </w:pPr>
            <w:r>
              <w:rPr>
                <w:rFonts w:ascii="Calibri"/>
                <w:sz w:val="20"/>
              </w:rPr>
              <w:t>1.0</w:t>
            </w:r>
          </w:p>
        </w:tc>
        <w:tc>
          <w:tcPr>
            <w:tcW w:w="2650" w:type="dxa"/>
          </w:tcPr>
          <w:p w:rsidR="006A18FD" w:rsidRDefault="002D29FC">
            <w:pPr>
              <w:spacing w:before="1" w:line="223" w:lineRule="exact"/>
              <w:ind w:left="1227" w:right="1119"/>
              <w:jc w:val="center"/>
              <w:rPr>
                <w:rFonts w:ascii="Calibri"/>
                <w:sz w:val="20"/>
              </w:rPr>
            </w:pPr>
            <w:r>
              <w:rPr>
                <w:rFonts w:ascii="Calibri"/>
                <w:sz w:val="20"/>
              </w:rPr>
              <w:t>1.6</w:t>
            </w:r>
          </w:p>
        </w:tc>
        <w:tc>
          <w:tcPr>
            <w:tcW w:w="2648" w:type="dxa"/>
          </w:tcPr>
          <w:p w:rsidR="006A18FD" w:rsidRDefault="002D29FC">
            <w:pPr>
              <w:spacing w:before="1" w:line="223" w:lineRule="exact"/>
              <w:ind w:right="1149"/>
              <w:jc w:val="right"/>
              <w:rPr>
                <w:rFonts w:ascii="Calibri"/>
                <w:sz w:val="20"/>
              </w:rPr>
            </w:pPr>
            <w:r>
              <w:rPr>
                <w:rFonts w:ascii="Calibri"/>
                <w:w w:val="95"/>
                <w:sz w:val="20"/>
              </w:rPr>
              <w:t>0.9</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2015/2016</w:t>
            </w:r>
          </w:p>
        </w:tc>
        <w:tc>
          <w:tcPr>
            <w:tcW w:w="2650" w:type="dxa"/>
          </w:tcPr>
          <w:p w:rsidR="006A18FD" w:rsidRDefault="002D29FC">
            <w:pPr>
              <w:spacing w:before="1" w:line="223" w:lineRule="exact"/>
              <w:ind w:left="1149" w:right="1150"/>
              <w:jc w:val="center"/>
              <w:rPr>
                <w:rFonts w:ascii="Calibri"/>
                <w:sz w:val="20"/>
              </w:rPr>
            </w:pPr>
            <w:r>
              <w:rPr>
                <w:rFonts w:ascii="Calibri"/>
                <w:sz w:val="20"/>
              </w:rPr>
              <w:t>1.8</w:t>
            </w:r>
          </w:p>
        </w:tc>
        <w:tc>
          <w:tcPr>
            <w:tcW w:w="2650" w:type="dxa"/>
          </w:tcPr>
          <w:p w:rsidR="006A18FD" w:rsidRDefault="002D29FC">
            <w:pPr>
              <w:spacing w:before="1" w:line="223" w:lineRule="exact"/>
              <w:ind w:left="1227" w:right="1119"/>
              <w:jc w:val="center"/>
              <w:rPr>
                <w:rFonts w:ascii="Calibri"/>
                <w:sz w:val="20"/>
              </w:rPr>
            </w:pPr>
            <w:r>
              <w:rPr>
                <w:rFonts w:ascii="Calibri"/>
                <w:sz w:val="20"/>
              </w:rPr>
              <w:t>1.7</w:t>
            </w:r>
          </w:p>
        </w:tc>
        <w:tc>
          <w:tcPr>
            <w:tcW w:w="2648" w:type="dxa"/>
          </w:tcPr>
          <w:p w:rsidR="006A18FD" w:rsidRDefault="002D29FC">
            <w:pPr>
              <w:spacing w:before="1" w:line="223" w:lineRule="exact"/>
              <w:ind w:right="1149"/>
              <w:jc w:val="right"/>
              <w:rPr>
                <w:rFonts w:ascii="Calibri"/>
                <w:sz w:val="20"/>
              </w:rPr>
            </w:pPr>
            <w:r>
              <w:rPr>
                <w:rFonts w:ascii="Calibri"/>
                <w:w w:val="95"/>
                <w:sz w:val="20"/>
              </w:rPr>
              <w:t>2.1</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2016/2017</w:t>
            </w:r>
          </w:p>
        </w:tc>
        <w:tc>
          <w:tcPr>
            <w:tcW w:w="2650" w:type="dxa"/>
          </w:tcPr>
          <w:p w:rsidR="006A18FD" w:rsidRDefault="002D29FC">
            <w:pPr>
              <w:spacing w:before="1" w:line="223" w:lineRule="exact"/>
              <w:ind w:left="1149" w:right="1150"/>
              <w:jc w:val="center"/>
              <w:rPr>
                <w:rFonts w:ascii="Calibri"/>
                <w:sz w:val="20"/>
              </w:rPr>
            </w:pPr>
            <w:r>
              <w:rPr>
                <w:rFonts w:ascii="Calibri"/>
                <w:sz w:val="20"/>
              </w:rPr>
              <w:t>3.6</w:t>
            </w:r>
          </w:p>
        </w:tc>
        <w:tc>
          <w:tcPr>
            <w:tcW w:w="2650" w:type="dxa"/>
          </w:tcPr>
          <w:p w:rsidR="006A18FD" w:rsidRDefault="002D29FC">
            <w:pPr>
              <w:spacing w:before="1" w:line="223" w:lineRule="exact"/>
              <w:ind w:left="1227" w:right="1119"/>
              <w:jc w:val="center"/>
              <w:rPr>
                <w:rFonts w:ascii="Calibri"/>
                <w:sz w:val="20"/>
              </w:rPr>
            </w:pPr>
            <w:r>
              <w:rPr>
                <w:rFonts w:ascii="Calibri"/>
                <w:sz w:val="20"/>
              </w:rPr>
              <w:t>4.2</w:t>
            </w:r>
          </w:p>
        </w:tc>
        <w:tc>
          <w:tcPr>
            <w:tcW w:w="2648" w:type="dxa"/>
          </w:tcPr>
          <w:p w:rsidR="006A18FD" w:rsidRDefault="002D29FC">
            <w:pPr>
              <w:spacing w:before="1" w:line="223" w:lineRule="exact"/>
              <w:ind w:right="1149"/>
              <w:jc w:val="right"/>
              <w:rPr>
                <w:rFonts w:ascii="Calibri"/>
                <w:sz w:val="20"/>
              </w:rPr>
            </w:pPr>
            <w:r>
              <w:rPr>
                <w:rFonts w:ascii="Calibri"/>
                <w:w w:val="95"/>
                <w:sz w:val="20"/>
              </w:rPr>
              <w:t>4.1</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2017/2018</w:t>
            </w:r>
          </w:p>
        </w:tc>
        <w:tc>
          <w:tcPr>
            <w:tcW w:w="2650" w:type="dxa"/>
          </w:tcPr>
          <w:p w:rsidR="006A18FD" w:rsidRDefault="002D29FC">
            <w:pPr>
              <w:spacing w:before="1" w:line="223" w:lineRule="exact"/>
              <w:ind w:left="1149" w:right="1150"/>
              <w:jc w:val="center"/>
              <w:rPr>
                <w:rFonts w:ascii="Calibri"/>
                <w:sz w:val="20"/>
              </w:rPr>
            </w:pPr>
            <w:r>
              <w:rPr>
                <w:rFonts w:ascii="Calibri"/>
                <w:sz w:val="20"/>
              </w:rPr>
              <w:t>2.5</w:t>
            </w:r>
          </w:p>
        </w:tc>
        <w:tc>
          <w:tcPr>
            <w:tcW w:w="2650" w:type="dxa"/>
          </w:tcPr>
          <w:p w:rsidR="006A18FD" w:rsidRDefault="002D29FC">
            <w:pPr>
              <w:spacing w:before="1" w:line="223" w:lineRule="exact"/>
              <w:ind w:left="1227" w:right="1119"/>
              <w:jc w:val="center"/>
              <w:rPr>
                <w:rFonts w:ascii="Calibri"/>
                <w:sz w:val="20"/>
              </w:rPr>
            </w:pPr>
            <w:r>
              <w:rPr>
                <w:rFonts w:ascii="Calibri"/>
                <w:sz w:val="20"/>
              </w:rPr>
              <w:t>3.4</w:t>
            </w:r>
          </w:p>
        </w:tc>
        <w:tc>
          <w:tcPr>
            <w:tcW w:w="2648" w:type="dxa"/>
          </w:tcPr>
          <w:p w:rsidR="006A18FD" w:rsidRDefault="002D29FC">
            <w:pPr>
              <w:spacing w:before="1" w:line="223" w:lineRule="exact"/>
              <w:ind w:right="1149"/>
              <w:jc w:val="right"/>
              <w:rPr>
                <w:rFonts w:ascii="Calibri"/>
                <w:sz w:val="20"/>
              </w:rPr>
            </w:pPr>
            <w:r>
              <w:rPr>
                <w:rFonts w:ascii="Calibri"/>
                <w:w w:val="95"/>
                <w:sz w:val="20"/>
              </w:rPr>
              <w:t>2.7</w:t>
            </w:r>
          </w:p>
        </w:tc>
      </w:tr>
      <w:tr w:rsidR="006A18FD">
        <w:trPr>
          <w:trHeight w:val="240"/>
        </w:trPr>
        <w:tc>
          <w:tcPr>
            <w:tcW w:w="2096" w:type="dxa"/>
          </w:tcPr>
          <w:p w:rsidR="006A18FD" w:rsidRDefault="002D29FC">
            <w:pPr>
              <w:spacing w:before="1" w:line="223" w:lineRule="exact"/>
              <w:ind w:left="105"/>
              <w:rPr>
                <w:rFonts w:ascii="Calibri"/>
                <w:sz w:val="20"/>
              </w:rPr>
            </w:pPr>
            <w:r>
              <w:rPr>
                <w:rFonts w:ascii="Calibri"/>
                <w:sz w:val="20"/>
              </w:rPr>
              <w:t>2018/2019</w:t>
            </w:r>
          </w:p>
        </w:tc>
        <w:tc>
          <w:tcPr>
            <w:tcW w:w="2650" w:type="dxa"/>
          </w:tcPr>
          <w:p w:rsidR="006A18FD" w:rsidRDefault="002D29FC">
            <w:pPr>
              <w:spacing w:before="1" w:line="223" w:lineRule="exact"/>
              <w:ind w:left="1149" w:right="1150"/>
              <w:jc w:val="center"/>
              <w:rPr>
                <w:rFonts w:ascii="Calibri"/>
                <w:sz w:val="20"/>
              </w:rPr>
            </w:pPr>
            <w:r>
              <w:rPr>
                <w:rFonts w:ascii="Calibri"/>
                <w:sz w:val="20"/>
              </w:rPr>
              <w:t>3.0</w:t>
            </w:r>
          </w:p>
        </w:tc>
        <w:tc>
          <w:tcPr>
            <w:tcW w:w="2650" w:type="dxa"/>
          </w:tcPr>
          <w:p w:rsidR="006A18FD" w:rsidRDefault="002D29FC">
            <w:pPr>
              <w:spacing w:before="1" w:line="223" w:lineRule="exact"/>
              <w:ind w:left="1227" w:right="1119"/>
              <w:jc w:val="center"/>
              <w:rPr>
                <w:rFonts w:ascii="Calibri"/>
                <w:sz w:val="20"/>
              </w:rPr>
            </w:pPr>
            <w:r>
              <w:rPr>
                <w:rFonts w:ascii="Calibri"/>
                <w:sz w:val="20"/>
              </w:rPr>
              <w:t>3.0</w:t>
            </w:r>
          </w:p>
        </w:tc>
        <w:tc>
          <w:tcPr>
            <w:tcW w:w="2648" w:type="dxa"/>
          </w:tcPr>
          <w:p w:rsidR="006A18FD" w:rsidRDefault="002D29FC">
            <w:pPr>
              <w:spacing w:before="1" w:line="223" w:lineRule="exact"/>
              <w:ind w:right="1149"/>
              <w:jc w:val="right"/>
              <w:rPr>
                <w:rFonts w:ascii="Calibri"/>
                <w:sz w:val="20"/>
              </w:rPr>
            </w:pPr>
            <w:r>
              <w:rPr>
                <w:rFonts w:ascii="Calibri"/>
                <w:w w:val="95"/>
                <w:sz w:val="20"/>
              </w:rPr>
              <w:t>3.4</w:t>
            </w:r>
          </w:p>
        </w:tc>
      </w:tr>
    </w:tbl>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6A18FD">
      <w:pPr>
        <w:rPr>
          <w:rFonts w:ascii="Cambria"/>
          <w:b/>
          <w:sz w:val="26"/>
        </w:rPr>
      </w:pPr>
    </w:p>
    <w:p w:rsidR="006A18FD" w:rsidRDefault="002D29FC">
      <w:pPr>
        <w:spacing w:before="182"/>
        <w:ind w:left="152"/>
        <w:rPr>
          <w:rFonts w:ascii="Calibri"/>
          <w:sz w:val="16"/>
        </w:rPr>
      </w:pPr>
      <w:r>
        <w:rPr>
          <w:rFonts w:ascii="Calibri"/>
          <w:position w:val="5"/>
          <w:sz w:val="10"/>
        </w:rPr>
        <w:t xml:space="preserve">1  </w:t>
      </w:r>
      <w:r>
        <w:rPr>
          <w:rFonts w:ascii="Calibri"/>
          <w:sz w:val="16"/>
        </w:rPr>
        <w:t>Provided by the Department of Health, 2019.</w:t>
      </w:r>
    </w:p>
    <w:p w:rsidR="006A18FD" w:rsidRDefault="006A18FD">
      <w:pPr>
        <w:rPr>
          <w:rFonts w:ascii="Calibri"/>
          <w:sz w:val="16"/>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0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6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68" name="Line 2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B874A0" id="Group 2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wADCdn4CAAB/BQAA&#10;DgAAAAAAAAAAAAAAAAAuAgAAZHJzL2Uyb0RvYy54bWxQSwECLQAUAAYACAAAACEALXfkXNoAAAAE&#10;AQAADwAAAAAAAAAAAAAAAADYBAAAZHJzL2Rvd25yZXYueG1sUEsFBgAAAAAEAAQA8wAAAN8FAAAA&#10;AA==&#10;">
                <v:line id="Line 2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w10:anchorlock/>
              </v:group>
            </w:pict>
          </mc:Fallback>
        </mc:AlternateContent>
      </w:r>
    </w:p>
    <w:p w:rsidR="006A18FD" w:rsidRDefault="002D29FC" w:rsidP="00EE69D4">
      <w:pPr>
        <w:pStyle w:val="Heading1"/>
        <w:numPr>
          <w:ilvl w:val="0"/>
          <w:numId w:val="4"/>
        </w:numPr>
        <w:jc w:val="left"/>
        <w:rPr>
          <w:sz w:val="23"/>
        </w:rPr>
      </w:pPr>
      <w:r>
        <w:t>NHS staff earnings</w:t>
      </w:r>
      <w:r>
        <w:rPr>
          <w:spacing w:val="-13"/>
        </w:rPr>
        <w:t xml:space="preserve"> </w:t>
      </w:r>
      <w:r>
        <w:t>estimates</w:t>
      </w:r>
      <w:r>
        <w:rPr>
          <w:position w:val="9"/>
          <w:sz w:val="23"/>
        </w:rPr>
        <w:t>1</w:t>
      </w:r>
    </w:p>
    <w:p w:rsidR="006A18FD" w:rsidRDefault="002D29FC" w:rsidP="00EE69D4">
      <w:pPr>
        <w:pStyle w:val="Heading2"/>
        <w:numPr>
          <w:ilvl w:val="1"/>
          <w:numId w:val="4"/>
        </w:numPr>
        <w:ind w:left="851" w:hanging="709"/>
      </w:pPr>
      <w:r>
        <w:t>Mean annual basic pay per FTE for non-medical occupational groupings, NHS</w:t>
      </w:r>
      <w:r>
        <w:rPr>
          <w:spacing w:val="-3"/>
        </w:rPr>
        <w:t xml:space="preserve"> </w:t>
      </w:r>
      <w:r>
        <w:t>England</w:t>
      </w:r>
    </w:p>
    <w:p w:rsidR="006A18FD" w:rsidRDefault="006A18FD">
      <w:pPr>
        <w:spacing w:before="5"/>
        <w:rPr>
          <w:rFonts w:ascii="Cambria"/>
          <w:b/>
          <w:sz w:val="5"/>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5022"/>
      </w:tblGrid>
      <w:tr w:rsidR="006A18FD" w:rsidTr="00CA19E0">
        <w:trPr>
          <w:trHeight w:val="360"/>
          <w:tblHeader/>
        </w:trPr>
        <w:tc>
          <w:tcPr>
            <w:tcW w:w="5022" w:type="dxa"/>
          </w:tcPr>
          <w:p w:rsidR="006A18FD" w:rsidRDefault="002D29FC">
            <w:pPr>
              <w:spacing w:before="1"/>
              <w:ind w:left="103"/>
              <w:rPr>
                <w:rFonts w:ascii="Calibri"/>
                <w:b/>
                <w:sz w:val="20"/>
              </w:rPr>
            </w:pPr>
            <w:r>
              <w:rPr>
                <w:rFonts w:ascii="Calibri"/>
                <w:b/>
                <w:sz w:val="20"/>
              </w:rPr>
              <w:t>Non-medical occupational grouping</w:t>
            </w:r>
          </w:p>
        </w:tc>
        <w:tc>
          <w:tcPr>
            <w:tcW w:w="5022" w:type="dxa"/>
          </w:tcPr>
          <w:p w:rsidR="006A18FD" w:rsidRDefault="002D29FC">
            <w:pPr>
              <w:spacing w:before="1"/>
              <w:ind w:left="1224"/>
              <w:rPr>
                <w:rFonts w:ascii="Calibri"/>
                <w:b/>
                <w:sz w:val="20"/>
              </w:rPr>
            </w:pPr>
            <w:r>
              <w:rPr>
                <w:rFonts w:ascii="Calibri"/>
                <w:b/>
                <w:sz w:val="20"/>
              </w:rPr>
              <w:t>Mean annual basic pay per FTE</w:t>
            </w:r>
          </w:p>
        </w:tc>
      </w:tr>
      <w:tr w:rsidR="006A18FD">
        <w:trPr>
          <w:trHeight w:val="240"/>
        </w:trPr>
        <w:tc>
          <w:tcPr>
            <w:tcW w:w="5022" w:type="dxa"/>
          </w:tcPr>
          <w:p w:rsidR="006A18FD" w:rsidRDefault="002D29FC">
            <w:pPr>
              <w:spacing w:line="222" w:lineRule="exact"/>
              <w:ind w:left="103"/>
              <w:rPr>
                <w:rFonts w:ascii="Calibri"/>
                <w:sz w:val="20"/>
              </w:rPr>
            </w:pPr>
            <w:r>
              <w:rPr>
                <w:rFonts w:ascii="Calibri"/>
                <w:sz w:val="20"/>
              </w:rPr>
              <w:t>Ambulance staff</w:t>
            </w:r>
          </w:p>
        </w:tc>
        <w:tc>
          <w:tcPr>
            <w:tcW w:w="5022" w:type="dxa"/>
          </w:tcPr>
          <w:p w:rsidR="006A18FD" w:rsidRDefault="002D29FC">
            <w:pPr>
              <w:spacing w:line="222" w:lineRule="exact"/>
              <w:ind w:left="1819" w:right="1678"/>
              <w:jc w:val="center"/>
              <w:rPr>
                <w:rFonts w:ascii="Calibri" w:hAnsi="Calibri"/>
                <w:sz w:val="20"/>
              </w:rPr>
            </w:pPr>
            <w:r>
              <w:rPr>
                <w:rFonts w:ascii="Calibri" w:hAnsi="Calibri"/>
                <w:sz w:val="20"/>
              </w:rPr>
              <w:t>£25,873</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Administration and estates staff</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£29,344</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Healthcare assistants and other support staff</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£18,452</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Nursing, midwifery and health visiting staff</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£30,532</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Nursing, midwifery and health visiting learners</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£22,180</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Scientific, therapeutic and technical staff</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£32,985</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Healthcare scientists</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£30,594</w:t>
            </w:r>
          </w:p>
        </w:tc>
      </w:tr>
    </w:tbl>
    <w:p w:rsidR="006A18FD" w:rsidRDefault="002D29FC" w:rsidP="00EE69D4">
      <w:pPr>
        <w:pStyle w:val="Heading2"/>
        <w:numPr>
          <w:ilvl w:val="1"/>
          <w:numId w:val="4"/>
        </w:numPr>
        <w:ind w:left="851" w:hanging="709"/>
      </w:pPr>
      <w:r>
        <w:t>Mean annual basic pay per FTE for nursing, midwifery &amp; health visiting staff by Agenda for Change band, NHS</w:t>
      </w:r>
      <w:r>
        <w:rPr>
          <w:spacing w:val="-22"/>
        </w:rPr>
        <w:t xml:space="preserve"> </w:t>
      </w:r>
      <w:r>
        <w:t>England</w:t>
      </w:r>
    </w:p>
    <w:p w:rsidR="006A18FD" w:rsidRDefault="006A18FD">
      <w:pPr>
        <w:spacing w:before="4"/>
        <w:rPr>
          <w:rFonts w:ascii="Cambria"/>
          <w:b/>
          <w:sz w:val="5"/>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5022"/>
      </w:tblGrid>
      <w:tr w:rsidR="006A18FD" w:rsidTr="00CA19E0">
        <w:trPr>
          <w:trHeight w:val="240"/>
          <w:tblHeader/>
        </w:trPr>
        <w:tc>
          <w:tcPr>
            <w:tcW w:w="5022" w:type="dxa"/>
          </w:tcPr>
          <w:p w:rsidR="006A18FD" w:rsidRDefault="002D29FC">
            <w:pPr>
              <w:spacing w:line="222" w:lineRule="exact"/>
              <w:ind w:left="103"/>
              <w:rPr>
                <w:rFonts w:ascii="Calibri"/>
                <w:b/>
                <w:sz w:val="20"/>
              </w:rPr>
            </w:pPr>
            <w:r>
              <w:rPr>
                <w:rFonts w:ascii="Calibri"/>
                <w:b/>
                <w:sz w:val="20"/>
              </w:rPr>
              <w:t>Band</w:t>
            </w:r>
          </w:p>
        </w:tc>
        <w:tc>
          <w:tcPr>
            <w:tcW w:w="5022" w:type="dxa"/>
          </w:tcPr>
          <w:p w:rsidR="006A18FD" w:rsidRDefault="002D29FC">
            <w:pPr>
              <w:spacing w:line="222" w:lineRule="exact"/>
              <w:ind w:left="1224"/>
              <w:rPr>
                <w:rFonts w:ascii="Calibri"/>
                <w:b/>
                <w:sz w:val="20"/>
              </w:rPr>
            </w:pPr>
            <w:r>
              <w:rPr>
                <w:rFonts w:ascii="Calibri"/>
                <w:b/>
                <w:sz w:val="20"/>
              </w:rPr>
              <w:t>Mean annual basic pay per FTE</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2</w:t>
            </w:r>
          </w:p>
        </w:tc>
        <w:tc>
          <w:tcPr>
            <w:tcW w:w="5022" w:type="dxa"/>
          </w:tcPr>
          <w:p w:rsidR="006A18FD" w:rsidRDefault="002D29FC">
            <w:pPr>
              <w:spacing w:before="1" w:line="223" w:lineRule="exact"/>
              <w:ind w:left="1790" w:right="2057"/>
              <w:jc w:val="center"/>
              <w:rPr>
                <w:rFonts w:ascii="Calibri"/>
                <w:sz w:val="20"/>
              </w:rPr>
            </w:pPr>
            <w:r>
              <w:rPr>
                <w:rFonts w:ascii="Calibri"/>
                <w:sz w:val="20"/>
              </w:rPr>
              <w:t>Not available</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3</w:t>
            </w:r>
          </w:p>
        </w:tc>
        <w:tc>
          <w:tcPr>
            <w:tcW w:w="5022" w:type="dxa"/>
          </w:tcPr>
          <w:p w:rsidR="006A18FD" w:rsidRDefault="002D29FC">
            <w:pPr>
              <w:spacing w:before="1" w:line="223" w:lineRule="exact"/>
              <w:ind w:left="1790" w:right="2057"/>
              <w:jc w:val="center"/>
              <w:rPr>
                <w:rFonts w:ascii="Calibri"/>
                <w:sz w:val="20"/>
              </w:rPr>
            </w:pPr>
            <w:r>
              <w:rPr>
                <w:rFonts w:ascii="Calibri"/>
                <w:sz w:val="20"/>
              </w:rPr>
              <w:t>Not available</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4</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£20,628</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5</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£26,894</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6</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£33,411</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7</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£39,994</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8a</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£47,176</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8b</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£56,102</w:t>
            </w:r>
          </w:p>
        </w:tc>
      </w:tr>
      <w:tr w:rsidR="006A18FD">
        <w:trPr>
          <w:trHeight w:val="240"/>
        </w:trPr>
        <w:tc>
          <w:tcPr>
            <w:tcW w:w="5022" w:type="dxa"/>
          </w:tcPr>
          <w:p w:rsidR="006A18FD" w:rsidRDefault="002D29FC">
            <w:pPr>
              <w:spacing w:line="222" w:lineRule="exact"/>
              <w:ind w:left="103"/>
              <w:rPr>
                <w:rFonts w:ascii="Calibri"/>
                <w:sz w:val="20"/>
              </w:rPr>
            </w:pPr>
            <w:r>
              <w:rPr>
                <w:rFonts w:ascii="Calibri"/>
                <w:sz w:val="20"/>
              </w:rPr>
              <w:t>Band 8c</w:t>
            </w:r>
          </w:p>
        </w:tc>
        <w:tc>
          <w:tcPr>
            <w:tcW w:w="5022" w:type="dxa"/>
          </w:tcPr>
          <w:p w:rsidR="006A18FD" w:rsidRDefault="002D29FC">
            <w:pPr>
              <w:spacing w:line="222" w:lineRule="exact"/>
              <w:ind w:left="1819" w:right="1678"/>
              <w:jc w:val="center"/>
              <w:rPr>
                <w:rFonts w:ascii="Calibri" w:hAnsi="Calibri"/>
                <w:sz w:val="20"/>
              </w:rPr>
            </w:pPr>
            <w:r>
              <w:rPr>
                <w:rFonts w:ascii="Calibri" w:hAnsi="Calibri"/>
                <w:sz w:val="20"/>
              </w:rPr>
              <w:t>£65,739</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8d</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£77,494</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9</w:t>
            </w:r>
          </w:p>
        </w:tc>
        <w:tc>
          <w:tcPr>
            <w:tcW w:w="5022" w:type="dxa"/>
          </w:tcPr>
          <w:p w:rsidR="006A18FD" w:rsidRDefault="002D29FC">
            <w:pPr>
              <w:spacing w:before="1" w:line="223" w:lineRule="exact"/>
              <w:ind w:left="1819" w:right="1678"/>
              <w:jc w:val="center"/>
              <w:rPr>
                <w:rFonts w:ascii="Calibri" w:hAnsi="Calibri"/>
                <w:sz w:val="20"/>
              </w:rPr>
            </w:pPr>
            <w:r>
              <w:rPr>
                <w:rFonts w:ascii="Calibri" w:hAnsi="Calibri"/>
                <w:sz w:val="20"/>
              </w:rPr>
              <w:t>£92,329</w:t>
            </w:r>
          </w:p>
        </w:tc>
      </w:tr>
    </w:tbl>
    <w:p w:rsidR="006A18FD" w:rsidRDefault="002D29FC" w:rsidP="00EE69D4">
      <w:pPr>
        <w:pStyle w:val="Heading2"/>
        <w:numPr>
          <w:ilvl w:val="1"/>
          <w:numId w:val="4"/>
        </w:numPr>
        <w:ind w:left="851" w:hanging="709"/>
      </w:pPr>
      <w:r>
        <w:t>Mean annual basic pay per FTE for allied health professional staff by Agenda for Change band, NHS</w:t>
      </w:r>
      <w:r>
        <w:rPr>
          <w:spacing w:val="-17"/>
        </w:rPr>
        <w:t xml:space="preserve"> </w:t>
      </w:r>
      <w:r>
        <w:t>England</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5022"/>
      </w:tblGrid>
      <w:tr w:rsidR="006A18FD" w:rsidTr="00CA19E0">
        <w:trPr>
          <w:trHeight w:val="360"/>
          <w:tblHeader/>
        </w:trPr>
        <w:tc>
          <w:tcPr>
            <w:tcW w:w="5022" w:type="dxa"/>
          </w:tcPr>
          <w:p w:rsidR="006A18FD" w:rsidRDefault="002D29FC">
            <w:pPr>
              <w:spacing w:before="1"/>
              <w:ind w:left="103"/>
              <w:rPr>
                <w:rFonts w:ascii="Calibri"/>
                <w:b/>
                <w:sz w:val="20"/>
              </w:rPr>
            </w:pPr>
            <w:r>
              <w:rPr>
                <w:rFonts w:ascii="Calibri"/>
                <w:b/>
                <w:sz w:val="20"/>
              </w:rPr>
              <w:t>Band</w:t>
            </w:r>
          </w:p>
        </w:tc>
        <w:tc>
          <w:tcPr>
            <w:tcW w:w="5022" w:type="dxa"/>
          </w:tcPr>
          <w:p w:rsidR="006A18FD" w:rsidRDefault="002D29FC">
            <w:pPr>
              <w:spacing w:before="1"/>
              <w:ind w:left="1224"/>
              <w:rPr>
                <w:rFonts w:ascii="Calibri"/>
                <w:b/>
                <w:sz w:val="20"/>
              </w:rPr>
            </w:pPr>
            <w:r>
              <w:rPr>
                <w:rFonts w:ascii="Calibri"/>
                <w:b/>
                <w:sz w:val="20"/>
              </w:rPr>
              <w:t>Mean annual basic pay per FTE</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4</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£22,256</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5</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£24,212</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6</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£32,686</w:t>
            </w:r>
          </w:p>
        </w:tc>
      </w:tr>
      <w:tr w:rsidR="006A18FD">
        <w:trPr>
          <w:trHeight w:val="240"/>
        </w:trPr>
        <w:tc>
          <w:tcPr>
            <w:tcW w:w="5022" w:type="dxa"/>
          </w:tcPr>
          <w:p w:rsidR="006A18FD" w:rsidRDefault="002D29FC">
            <w:pPr>
              <w:spacing w:line="222" w:lineRule="exact"/>
              <w:ind w:left="103"/>
              <w:rPr>
                <w:rFonts w:ascii="Calibri"/>
                <w:sz w:val="20"/>
              </w:rPr>
            </w:pPr>
            <w:r>
              <w:rPr>
                <w:rFonts w:ascii="Calibri"/>
                <w:sz w:val="20"/>
              </w:rPr>
              <w:t>Band 7</w:t>
            </w:r>
          </w:p>
        </w:tc>
        <w:tc>
          <w:tcPr>
            <w:tcW w:w="5022" w:type="dxa"/>
          </w:tcPr>
          <w:p w:rsidR="006A18FD" w:rsidRDefault="002D29FC">
            <w:pPr>
              <w:spacing w:line="222" w:lineRule="exact"/>
              <w:ind w:left="1819" w:right="1620"/>
              <w:jc w:val="center"/>
              <w:rPr>
                <w:rFonts w:ascii="Calibri" w:hAnsi="Calibri"/>
                <w:sz w:val="20"/>
              </w:rPr>
            </w:pPr>
            <w:r>
              <w:rPr>
                <w:rFonts w:ascii="Calibri" w:hAnsi="Calibri"/>
                <w:sz w:val="20"/>
              </w:rPr>
              <w:t>£40,180</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8a</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£47,987</w:t>
            </w:r>
          </w:p>
        </w:tc>
      </w:tr>
      <w:tr w:rsidR="006A18FD">
        <w:trPr>
          <w:trHeight w:val="240"/>
        </w:trPr>
        <w:tc>
          <w:tcPr>
            <w:tcW w:w="5022" w:type="dxa"/>
          </w:tcPr>
          <w:p w:rsidR="006A18FD" w:rsidRDefault="002D29FC">
            <w:pPr>
              <w:spacing w:before="2" w:line="223" w:lineRule="exact"/>
              <w:ind w:left="103"/>
              <w:rPr>
                <w:rFonts w:ascii="Calibri"/>
                <w:sz w:val="20"/>
              </w:rPr>
            </w:pPr>
            <w:r>
              <w:rPr>
                <w:rFonts w:ascii="Calibri"/>
                <w:sz w:val="20"/>
              </w:rPr>
              <w:t>Band 8b</w:t>
            </w:r>
          </w:p>
        </w:tc>
        <w:tc>
          <w:tcPr>
            <w:tcW w:w="5022" w:type="dxa"/>
          </w:tcPr>
          <w:p w:rsidR="006A18FD" w:rsidRDefault="002D29FC">
            <w:pPr>
              <w:spacing w:before="2" w:line="223" w:lineRule="exact"/>
              <w:ind w:left="1819" w:right="1620"/>
              <w:jc w:val="center"/>
              <w:rPr>
                <w:rFonts w:ascii="Calibri" w:hAnsi="Calibri"/>
                <w:sz w:val="20"/>
              </w:rPr>
            </w:pPr>
            <w:r>
              <w:rPr>
                <w:rFonts w:ascii="Calibri" w:hAnsi="Calibri"/>
                <w:sz w:val="20"/>
              </w:rPr>
              <w:t>£57,495</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8c</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£67,818</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8d</w:t>
            </w:r>
          </w:p>
        </w:tc>
        <w:tc>
          <w:tcPr>
            <w:tcW w:w="5022" w:type="dxa"/>
          </w:tcPr>
          <w:p w:rsidR="006A18FD" w:rsidRDefault="002D29FC">
            <w:pPr>
              <w:spacing w:before="1" w:line="223" w:lineRule="exact"/>
              <w:ind w:left="1819" w:right="1620"/>
              <w:jc w:val="center"/>
              <w:rPr>
                <w:rFonts w:ascii="Calibri" w:hAnsi="Calibri"/>
                <w:sz w:val="20"/>
              </w:rPr>
            </w:pPr>
            <w:r>
              <w:rPr>
                <w:rFonts w:ascii="Calibri" w:hAnsi="Calibri"/>
                <w:sz w:val="20"/>
              </w:rPr>
              <w:t>£81,836</w:t>
            </w:r>
          </w:p>
        </w:tc>
      </w:tr>
      <w:tr w:rsidR="006A18FD">
        <w:trPr>
          <w:trHeight w:val="240"/>
        </w:trPr>
        <w:tc>
          <w:tcPr>
            <w:tcW w:w="5022" w:type="dxa"/>
          </w:tcPr>
          <w:p w:rsidR="006A18FD" w:rsidRDefault="002D29FC">
            <w:pPr>
              <w:spacing w:before="1" w:line="223" w:lineRule="exact"/>
              <w:ind w:left="103"/>
              <w:rPr>
                <w:rFonts w:ascii="Calibri"/>
                <w:sz w:val="20"/>
              </w:rPr>
            </w:pPr>
            <w:r>
              <w:rPr>
                <w:rFonts w:ascii="Calibri"/>
                <w:sz w:val="20"/>
              </w:rPr>
              <w:t>Band 9</w:t>
            </w:r>
          </w:p>
        </w:tc>
        <w:tc>
          <w:tcPr>
            <w:tcW w:w="5022" w:type="dxa"/>
          </w:tcPr>
          <w:p w:rsidR="006A18FD" w:rsidRDefault="002D29FC">
            <w:pPr>
              <w:spacing w:before="1" w:line="223" w:lineRule="exact"/>
              <w:ind w:left="1819" w:right="1721"/>
              <w:jc w:val="center"/>
              <w:rPr>
                <w:rFonts w:ascii="Calibri" w:hAnsi="Calibri"/>
                <w:sz w:val="20"/>
              </w:rPr>
            </w:pPr>
            <w:r>
              <w:rPr>
                <w:rFonts w:ascii="Calibri" w:hAnsi="Calibri"/>
                <w:sz w:val="20"/>
              </w:rPr>
              <w:t>£100,075</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2"/>
        <w:rPr>
          <w:rFonts w:ascii="Cambria"/>
          <w:b/>
          <w:sz w:val="43"/>
        </w:rPr>
      </w:pPr>
    </w:p>
    <w:p w:rsidR="006A18FD" w:rsidRDefault="002D29FC">
      <w:pPr>
        <w:ind w:left="423" w:hanging="284"/>
        <w:rPr>
          <w:rFonts w:ascii="Calibri"/>
          <w:sz w:val="16"/>
        </w:rPr>
      </w:pPr>
      <w:r>
        <w:rPr>
          <w:rFonts w:ascii="Calibri"/>
          <w:position w:val="5"/>
          <w:sz w:val="10"/>
        </w:rPr>
        <w:t xml:space="preserve">1 </w:t>
      </w:r>
      <w:r>
        <w:rPr>
          <w:rFonts w:ascii="Calibri"/>
          <w:sz w:val="16"/>
        </w:rPr>
        <w:t xml:space="preserve">Salaries have been provided by NHS Digital and more specific enquiries relating to pay by grade or staff group should be directed to them: </w:t>
      </w:r>
      <w:r>
        <w:rPr>
          <w:rFonts w:ascii="Calibri"/>
          <w:sz w:val="16"/>
          <w:u w:val="single"/>
        </w:rPr>
        <w:t>https//digital.nhs.uk/</w:t>
      </w:r>
      <w:r>
        <w:rPr>
          <w:rFonts w:ascii="Calibri"/>
          <w:sz w:val="16"/>
        </w:rPr>
        <w:t>.</w:t>
      </w:r>
    </w:p>
    <w:p w:rsidR="006A18FD" w:rsidRDefault="006A18FD">
      <w:pPr>
        <w:rPr>
          <w:rFonts w:ascii="Calibri"/>
          <w:sz w:val="16"/>
        </w:rPr>
        <w:sectPr w:rsidR="006A18FD">
          <w:pgSz w:w="11910" w:h="16840"/>
          <w:pgMar w:top="96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6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66" name="Line 2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5057DF" id="Group 2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CkzQwR8AgAAfwUAAA4A&#10;AAAAAAAAAAAAAAAALgIAAGRycy9lMm9Eb2MueG1sUEsBAi0AFAAGAAgAAAAhAC135FzaAAAABAEA&#10;AA8AAAAAAAAAAAAAAAAA1gQAAGRycy9kb3ducmV2LnhtbFBLBQYAAAAABAAEAPMAAADdBQAAAAA=&#10;">
                <v:line id="Line 2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w10:anchorlock/>
              </v:group>
            </w:pict>
          </mc:Fallback>
        </mc:AlternateContent>
      </w:r>
    </w:p>
    <w:p w:rsidR="006A18FD" w:rsidRDefault="002D29FC" w:rsidP="005629E5">
      <w:pPr>
        <w:pStyle w:val="Heading2"/>
        <w:numPr>
          <w:ilvl w:val="1"/>
          <w:numId w:val="4"/>
        </w:numPr>
        <w:ind w:left="851" w:hanging="709"/>
      </w:pPr>
      <w:r>
        <w:t>Mean annual basic pay per FTE for administration and estates staff by Agenda for Change band, NHS</w:t>
      </w:r>
      <w:r>
        <w:rPr>
          <w:spacing w:val="-17"/>
        </w:rPr>
        <w:t xml:space="preserve"> </w:t>
      </w:r>
      <w:r>
        <w:t>England</w:t>
      </w:r>
    </w:p>
    <w:p w:rsidR="006A18FD" w:rsidRDefault="006A18FD">
      <w:pPr>
        <w:spacing w:before="2"/>
        <w:rPr>
          <w:rFonts w:ascii="Cambria"/>
          <w:b/>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5022"/>
      </w:tblGrid>
      <w:tr w:rsidR="006A18FD" w:rsidTr="00CA19E0">
        <w:trPr>
          <w:trHeight w:val="340"/>
          <w:tblHeader/>
        </w:trPr>
        <w:tc>
          <w:tcPr>
            <w:tcW w:w="5022" w:type="dxa"/>
          </w:tcPr>
          <w:p w:rsidR="006A18FD" w:rsidRDefault="002D29FC">
            <w:pPr>
              <w:spacing w:before="1"/>
              <w:ind w:left="105"/>
              <w:rPr>
                <w:rFonts w:ascii="Calibri"/>
                <w:b/>
                <w:sz w:val="19"/>
              </w:rPr>
            </w:pPr>
            <w:r>
              <w:rPr>
                <w:rFonts w:ascii="Calibri"/>
                <w:b/>
                <w:sz w:val="19"/>
              </w:rPr>
              <w:t>Band</w:t>
            </w:r>
          </w:p>
        </w:tc>
        <w:tc>
          <w:tcPr>
            <w:tcW w:w="5022" w:type="dxa"/>
          </w:tcPr>
          <w:p w:rsidR="006A18FD" w:rsidRDefault="002D29FC">
            <w:pPr>
              <w:spacing w:before="3"/>
              <w:ind w:left="1288"/>
              <w:rPr>
                <w:rFonts w:ascii="Calibri"/>
                <w:b/>
                <w:sz w:val="19"/>
              </w:rPr>
            </w:pPr>
            <w:r>
              <w:rPr>
                <w:rFonts w:ascii="Calibri"/>
                <w:b/>
                <w:sz w:val="19"/>
              </w:rPr>
              <w:t>Mean annual basic pay per FTE</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1</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£17,440</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2</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£18,123</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3</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£19,355</w:t>
            </w:r>
          </w:p>
        </w:tc>
      </w:tr>
      <w:tr w:rsidR="006A18FD">
        <w:trPr>
          <w:trHeight w:val="220"/>
        </w:trPr>
        <w:tc>
          <w:tcPr>
            <w:tcW w:w="5022" w:type="dxa"/>
          </w:tcPr>
          <w:p w:rsidR="006A18FD" w:rsidRDefault="002D29FC">
            <w:pPr>
              <w:spacing w:line="210" w:lineRule="exact"/>
              <w:ind w:left="105"/>
              <w:rPr>
                <w:rFonts w:ascii="Calibri"/>
                <w:sz w:val="19"/>
              </w:rPr>
            </w:pPr>
            <w:r>
              <w:rPr>
                <w:rFonts w:ascii="Calibri"/>
                <w:sz w:val="19"/>
              </w:rPr>
              <w:t>Band 4</w:t>
            </w:r>
          </w:p>
        </w:tc>
        <w:tc>
          <w:tcPr>
            <w:tcW w:w="5022" w:type="dxa"/>
          </w:tcPr>
          <w:p w:rsidR="006A18FD" w:rsidRDefault="002D29FC">
            <w:pPr>
              <w:spacing w:line="210" w:lineRule="exact"/>
              <w:ind w:left="1819" w:right="1642"/>
              <w:jc w:val="center"/>
              <w:rPr>
                <w:rFonts w:ascii="Calibri" w:hAnsi="Calibri"/>
                <w:sz w:val="19"/>
              </w:rPr>
            </w:pPr>
            <w:r>
              <w:rPr>
                <w:rFonts w:ascii="Calibri" w:hAnsi="Calibri"/>
                <w:sz w:val="19"/>
              </w:rPr>
              <w:t>£22,219</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5</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£26,394</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6</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£32,201</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7</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£38,664</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8a</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£46,783</w:t>
            </w:r>
          </w:p>
        </w:tc>
      </w:tr>
      <w:tr w:rsidR="006A18FD">
        <w:trPr>
          <w:trHeight w:val="220"/>
        </w:trPr>
        <w:tc>
          <w:tcPr>
            <w:tcW w:w="5022" w:type="dxa"/>
          </w:tcPr>
          <w:p w:rsidR="006A18FD" w:rsidRDefault="002D29FC">
            <w:pPr>
              <w:spacing w:line="210" w:lineRule="exact"/>
              <w:ind w:left="105"/>
              <w:rPr>
                <w:rFonts w:ascii="Calibri"/>
                <w:sz w:val="19"/>
              </w:rPr>
            </w:pPr>
            <w:r>
              <w:rPr>
                <w:rFonts w:ascii="Calibri"/>
                <w:sz w:val="19"/>
              </w:rPr>
              <w:t>Band 8b</w:t>
            </w:r>
          </w:p>
        </w:tc>
        <w:tc>
          <w:tcPr>
            <w:tcW w:w="5022" w:type="dxa"/>
          </w:tcPr>
          <w:p w:rsidR="006A18FD" w:rsidRDefault="002D29FC">
            <w:pPr>
              <w:spacing w:line="210" w:lineRule="exact"/>
              <w:ind w:left="1819" w:right="1642"/>
              <w:jc w:val="center"/>
              <w:rPr>
                <w:rFonts w:ascii="Calibri" w:hAnsi="Calibri"/>
                <w:sz w:val="19"/>
              </w:rPr>
            </w:pPr>
            <w:r>
              <w:rPr>
                <w:rFonts w:ascii="Calibri" w:hAnsi="Calibri"/>
                <w:sz w:val="19"/>
              </w:rPr>
              <w:t>£55,947</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8c</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£66,404</w:t>
            </w:r>
          </w:p>
        </w:tc>
      </w:tr>
      <w:tr w:rsidR="006A18FD">
        <w:trPr>
          <w:trHeight w:val="220"/>
        </w:trPr>
        <w:tc>
          <w:tcPr>
            <w:tcW w:w="5022" w:type="dxa"/>
          </w:tcPr>
          <w:p w:rsidR="006A18FD" w:rsidRDefault="002D29FC">
            <w:pPr>
              <w:spacing w:before="1" w:line="211" w:lineRule="exact"/>
              <w:ind w:left="105"/>
              <w:rPr>
                <w:rFonts w:ascii="Calibri"/>
                <w:sz w:val="19"/>
              </w:rPr>
            </w:pPr>
            <w:r>
              <w:rPr>
                <w:rFonts w:ascii="Calibri"/>
                <w:sz w:val="19"/>
              </w:rPr>
              <w:t>Band 8d</w:t>
            </w:r>
          </w:p>
        </w:tc>
        <w:tc>
          <w:tcPr>
            <w:tcW w:w="5022" w:type="dxa"/>
          </w:tcPr>
          <w:p w:rsidR="006A18FD" w:rsidRDefault="002D29FC">
            <w:pPr>
              <w:spacing w:before="1" w:line="211" w:lineRule="exact"/>
              <w:ind w:left="1819" w:right="1642"/>
              <w:jc w:val="center"/>
              <w:rPr>
                <w:rFonts w:ascii="Calibri" w:hAnsi="Calibri"/>
                <w:sz w:val="19"/>
              </w:rPr>
            </w:pPr>
            <w:r>
              <w:rPr>
                <w:rFonts w:ascii="Calibri" w:hAnsi="Calibri"/>
                <w:sz w:val="19"/>
              </w:rPr>
              <w:t>£79,677</w:t>
            </w:r>
          </w:p>
        </w:tc>
      </w:tr>
      <w:tr w:rsidR="006A18FD">
        <w:trPr>
          <w:trHeight w:val="220"/>
        </w:trPr>
        <w:tc>
          <w:tcPr>
            <w:tcW w:w="5022" w:type="dxa"/>
          </w:tcPr>
          <w:p w:rsidR="006A18FD" w:rsidRDefault="002D29FC">
            <w:pPr>
              <w:spacing w:before="2" w:line="211" w:lineRule="exact"/>
              <w:ind w:left="105"/>
              <w:rPr>
                <w:rFonts w:ascii="Calibri"/>
                <w:sz w:val="19"/>
              </w:rPr>
            </w:pPr>
            <w:r>
              <w:rPr>
                <w:rFonts w:ascii="Calibri"/>
                <w:sz w:val="19"/>
              </w:rPr>
              <w:t>Band 9</w:t>
            </w:r>
          </w:p>
        </w:tc>
        <w:tc>
          <w:tcPr>
            <w:tcW w:w="5022" w:type="dxa"/>
          </w:tcPr>
          <w:p w:rsidR="006A18FD" w:rsidRDefault="002D29FC">
            <w:pPr>
              <w:spacing w:before="2" w:line="211" w:lineRule="exact"/>
              <w:ind w:left="1819" w:right="1642"/>
              <w:jc w:val="center"/>
              <w:rPr>
                <w:rFonts w:ascii="Calibri" w:hAnsi="Calibri"/>
                <w:sz w:val="19"/>
              </w:rPr>
            </w:pPr>
            <w:r>
              <w:rPr>
                <w:rFonts w:ascii="Calibri" w:hAnsi="Calibri"/>
                <w:sz w:val="19"/>
              </w:rPr>
              <w:t>£96,381</w:t>
            </w:r>
          </w:p>
        </w:tc>
      </w:tr>
    </w:tbl>
    <w:p w:rsidR="006A18FD" w:rsidRDefault="006A18FD">
      <w:pPr>
        <w:rPr>
          <w:rFonts w:ascii="Cambria"/>
          <w:b/>
          <w:sz w:val="32"/>
        </w:rPr>
      </w:pPr>
    </w:p>
    <w:p w:rsidR="006A18FD" w:rsidRDefault="002D29FC" w:rsidP="005629E5">
      <w:pPr>
        <w:pStyle w:val="Heading2"/>
        <w:numPr>
          <w:ilvl w:val="1"/>
          <w:numId w:val="4"/>
        </w:numPr>
        <w:ind w:left="851" w:hanging="709"/>
      </w:pPr>
      <w:r>
        <w:t>Mean annual basic pay per FTE for NHS staff</w:t>
      </w:r>
      <w:r>
        <w:rPr>
          <w:spacing w:val="-30"/>
        </w:rPr>
        <w:t xml:space="preserve"> </w:t>
      </w:r>
      <w:r>
        <w:t>groups</w:t>
      </w:r>
    </w:p>
    <w:p w:rsidR="006A18FD" w:rsidRDefault="006A18FD">
      <w:pPr>
        <w:spacing w:before="4" w:after="1"/>
        <w:rPr>
          <w:rFonts w:ascii="Cambria"/>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9"/>
        <w:gridCol w:w="4755"/>
      </w:tblGrid>
      <w:tr w:rsidR="006A18FD" w:rsidTr="00CA19E0">
        <w:trPr>
          <w:trHeight w:val="340"/>
          <w:tblHeader/>
        </w:trPr>
        <w:tc>
          <w:tcPr>
            <w:tcW w:w="5289" w:type="dxa"/>
          </w:tcPr>
          <w:p w:rsidR="006A18FD" w:rsidRDefault="002D29FC">
            <w:pPr>
              <w:spacing w:before="1"/>
              <w:ind w:left="105"/>
              <w:rPr>
                <w:rFonts w:ascii="Calibri"/>
                <w:b/>
                <w:sz w:val="19"/>
              </w:rPr>
            </w:pPr>
            <w:r>
              <w:rPr>
                <w:rFonts w:ascii="Calibri"/>
                <w:b/>
                <w:sz w:val="19"/>
              </w:rPr>
              <w:t>NHS staff group</w:t>
            </w:r>
          </w:p>
        </w:tc>
        <w:tc>
          <w:tcPr>
            <w:tcW w:w="4755" w:type="dxa"/>
          </w:tcPr>
          <w:p w:rsidR="006A18FD" w:rsidRDefault="002D29FC">
            <w:pPr>
              <w:spacing w:before="1"/>
              <w:ind w:left="712"/>
              <w:rPr>
                <w:rFonts w:ascii="Calibri"/>
                <w:b/>
                <w:sz w:val="19"/>
              </w:rPr>
            </w:pPr>
            <w:r>
              <w:rPr>
                <w:rFonts w:ascii="Calibri"/>
                <w:b/>
                <w:sz w:val="19"/>
              </w:rPr>
              <w:t>Mean basic salary per full-time equivalent</w:t>
            </w:r>
          </w:p>
        </w:tc>
      </w:tr>
      <w:tr w:rsidR="006A18FD">
        <w:trPr>
          <w:trHeight w:val="220"/>
        </w:trPr>
        <w:tc>
          <w:tcPr>
            <w:tcW w:w="5289" w:type="dxa"/>
          </w:tcPr>
          <w:p w:rsidR="006A18FD" w:rsidRDefault="002D29FC">
            <w:pPr>
              <w:spacing w:before="1" w:line="211" w:lineRule="exact"/>
              <w:ind w:left="105"/>
              <w:rPr>
                <w:rFonts w:ascii="Calibri"/>
                <w:b/>
                <w:sz w:val="19"/>
              </w:rPr>
            </w:pPr>
            <w:r>
              <w:rPr>
                <w:rFonts w:ascii="Calibri"/>
                <w:b/>
                <w:sz w:val="19"/>
              </w:rPr>
              <w:t>All nurses, midwives and health visiting staff</w:t>
            </w:r>
          </w:p>
        </w:tc>
        <w:tc>
          <w:tcPr>
            <w:tcW w:w="4755" w:type="dxa"/>
          </w:tcPr>
          <w:p w:rsidR="006A18FD" w:rsidRDefault="006A18FD">
            <w:pPr>
              <w:rPr>
                <w:rFonts w:ascii="Times New Roman"/>
                <w:sz w:val="16"/>
              </w:rPr>
            </w:pP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£32,693</w:t>
            </w: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Nursery nurses and nursing assistants</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£19,376</w:t>
            </w:r>
          </w:p>
        </w:tc>
      </w:tr>
      <w:tr w:rsidR="006A18FD">
        <w:trPr>
          <w:trHeight w:val="460"/>
        </w:trPr>
        <w:tc>
          <w:tcPr>
            <w:tcW w:w="5289" w:type="dxa"/>
          </w:tcPr>
          <w:p w:rsidR="006A18FD" w:rsidRDefault="002D29FC">
            <w:pPr>
              <w:spacing w:line="231" w:lineRule="exact"/>
              <w:ind w:left="105"/>
              <w:rPr>
                <w:rFonts w:ascii="Calibri"/>
                <w:b/>
                <w:sz w:val="19"/>
              </w:rPr>
            </w:pPr>
            <w:r>
              <w:rPr>
                <w:rFonts w:ascii="Calibri"/>
                <w:b/>
                <w:sz w:val="19"/>
              </w:rPr>
              <w:t>Science technical &amp; therapeutic staff (ST&amp;T): allied health</w:t>
            </w:r>
          </w:p>
          <w:p w:rsidR="006A18FD" w:rsidRDefault="002D29FC">
            <w:pPr>
              <w:spacing w:before="1" w:line="211" w:lineRule="exact"/>
              <w:ind w:left="105"/>
              <w:rPr>
                <w:rFonts w:ascii="Calibri"/>
                <w:b/>
                <w:sz w:val="19"/>
              </w:rPr>
            </w:pPr>
            <w:r>
              <w:rPr>
                <w:rFonts w:ascii="Calibri"/>
                <w:b/>
                <w:sz w:val="19"/>
              </w:rPr>
              <w:t>professionals</w:t>
            </w:r>
          </w:p>
        </w:tc>
        <w:tc>
          <w:tcPr>
            <w:tcW w:w="4755" w:type="dxa"/>
          </w:tcPr>
          <w:p w:rsidR="006A18FD" w:rsidRDefault="006A18FD">
            <w:pPr>
              <w:rPr>
                <w:rFonts w:ascii="Times New Roman"/>
                <w:sz w:val="18"/>
              </w:rPr>
            </w:pP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£35,036</w:t>
            </w: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Unqualified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£20,100</w:t>
            </w:r>
          </w:p>
        </w:tc>
      </w:tr>
      <w:tr w:rsidR="006A18FD">
        <w:trPr>
          <w:trHeight w:val="220"/>
        </w:trPr>
        <w:tc>
          <w:tcPr>
            <w:tcW w:w="5289" w:type="dxa"/>
          </w:tcPr>
          <w:p w:rsidR="006A18FD" w:rsidRDefault="002D29FC">
            <w:pPr>
              <w:spacing w:line="210" w:lineRule="exact"/>
              <w:ind w:left="105"/>
              <w:rPr>
                <w:rFonts w:ascii="Calibri"/>
                <w:b/>
                <w:sz w:val="19"/>
              </w:rPr>
            </w:pPr>
            <w:r>
              <w:rPr>
                <w:rFonts w:ascii="Calibri"/>
                <w:b/>
                <w:sz w:val="19"/>
              </w:rPr>
              <w:t>ST&amp;T staff: other</w:t>
            </w:r>
          </w:p>
        </w:tc>
        <w:tc>
          <w:tcPr>
            <w:tcW w:w="4755" w:type="dxa"/>
          </w:tcPr>
          <w:p w:rsidR="006A18FD" w:rsidRDefault="006A18FD">
            <w:pPr>
              <w:rPr>
                <w:rFonts w:ascii="Times New Roman"/>
                <w:sz w:val="16"/>
              </w:rPr>
            </w:pP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£37,381</w:t>
            </w: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Unqualified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£21,165</w:t>
            </w:r>
          </w:p>
        </w:tc>
      </w:tr>
      <w:tr w:rsidR="006A18FD">
        <w:trPr>
          <w:trHeight w:val="220"/>
        </w:trPr>
        <w:tc>
          <w:tcPr>
            <w:tcW w:w="5289" w:type="dxa"/>
          </w:tcPr>
          <w:p w:rsidR="006A18FD" w:rsidRDefault="002D29FC">
            <w:pPr>
              <w:spacing w:before="1" w:line="211" w:lineRule="exact"/>
              <w:ind w:left="105"/>
              <w:rPr>
                <w:rFonts w:ascii="Calibri"/>
                <w:b/>
                <w:sz w:val="19"/>
              </w:rPr>
            </w:pPr>
            <w:r>
              <w:rPr>
                <w:rFonts w:ascii="Calibri"/>
                <w:b/>
                <w:sz w:val="19"/>
              </w:rPr>
              <w:t>Ambulance staff</w:t>
            </w:r>
          </w:p>
        </w:tc>
        <w:tc>
          <w:tcPr>
            <w:tcW w:w="4755" w:type="dxa"/>
          </w:tcPr>
          <w:p w:rsidR="006A18FD" w:rsidRDefault="006A18FD">
            <w:pPr>
              <w:rPr>
                <w:rFonts w:ascii="Times New Roman"/>
                <w:sz w:val="16"/>
              </w:rPr>
            </w:pP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Qualified</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£28,572</w:t>
            </w:r>
          </w:p>
        </w:tc>
      </w:tr>
      <w:tr w:rsidR="006A18FD">
        <w:trPr>
          <w:trHeight w:val="220"/>
        </w:trPr>
        <w:tc>
          <w:tcPr>
            <w:tcW w:w="5289" w:type="dxa"/>
          </w:tcPr>
          <w:p w:rsidR="006A18FD" w:rsidRDefault="002D29FC">
            <w:pPr>
              <w:spacing w:line="210" w:lineRule="exact"/>
              <w:ind w:left="149"/>
              <w:rPr>
                <w:rFonts w:ascii="Calibri"/>
                <w:sz w:val="19"/>
              </w:rPr>
            </w:pPr>
            <w:r>
              <w:rPr>
                <w:rFonts w:ascii="Calibri"/>
                <w:sz w:val="19"/>
              </w:rPr>
              <w:t>Unqualified</w:t>
            </w:r>
          </w:p>
        </w:tc>
        <w:tc>
          <w:tcPr>
            <w:tcW w:w="4755" w:type="dxa"/>
          </w:tcPr>
          <w:p w:rsidR="006A18FD" w:rsidRDefault="002D29FC">
            <w:pPr>
              <w:spacing w:line="210" w:lineRule="exact"/>
              <w:ind w:left="2131" w:right="1947"/>
              <w:jc w:val="center"/>
              <w:rPr>
                <w:rFonts w:ascii="Calibri" w:hAnsi="Calibri"/>
                <w:sz w:val="19"/>
              </w:rPr>
            </w:pPr>
            <w:r>
              <w:rPr>
                <w:rFonts w:ascii="Calibri" w:hAnsi="Calibri"/>
                <w:sz w:val="19"/>
              </w:rPr>
              <w:t>£19,478</w:t>
            </w:r>
          </w:p>
        </w:tc>
      </w:tr>
      <w:tr w:rsidR="006A18FD">
        <w:trPr>
          <w:trHeight w:val="220"/>
        </w:trPr>
        <w:tc>
          <w:tcPr>
            <w:tcW w:w="5289" w:type="dxa"/>
          </w:tcPr>
          <w:p w:rsidR="006A18FD" w:rsidRDefault="002D29FC">
            <w:pPr>
              <w:spacing w:before="1" w:line="211" w:lineRule="exact"/>
              <w:ind w:left="105"/>
              <w:rPr>
                <w:rFonts w:ascii="Calibri"/>
                <w:b/>
                <w:sz w:val="19"/>
              </w:rPr>
            </w:pPr>
            <w:r>
              <w:rPr>
                <w:rFonts w:ascii="Calibri"/>
                <w:b/>
                <w:sz w:val="19"/>
              </w:rPr>
              <w:t>Former pay negotiating council groups</w:t>
            </w:r>
          </w:p>
        </w:tc>
        <w:tc>
          <w:tcPr>
            <w:tcW w:w="4755" w:type="dxa"/>
          </w:tcPr>
          <w:p w:rsidR="006A18FD" w:rsidRDefault="006A18FD">
            <w:pPr>
              <w:rPr>
                <w:rFonts w:ascii="Times New Roman"/>
                <w:sz w:val="16"/>
              </w:rPr>
            </w:pP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Senior managers</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£82,161</w:t>
            </w: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Managers</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£51,292</w:t>
            </w:r>
          </w:p>
        </w:tc>
      </w:tr>
      <w:tr w:rsidR="006A18FD">
        <w:trPr>
          <w:trHeight w:val="220"/>
        </w:trPr>
        <w:tc>
          <w:tcPr>
            <w:tcW w:w="5289" w:type="dxa"/>
          </w:tcPr>
          <w:p w:rsidR="006A18FD" w:rsidRDefault="002D29FC">
            <w:pPr>
              <w:spacing w:before="1" w:line="211" w:lineRule="exact"/>
              <w:ind w:left="149"/>
              <w:rPr>
                <w:rFonts w:ascii="Calibri"/>
                <w:sz w:val="19"/>
              </w:rPr>
            </w:pPr>
            <w:r>
              <w:rPr>
                <w:rFonts w:ascii="Calibri"/>
                <w:sz w:val="19"/>
              </w:rPr>
              <w:t>Administrative and clerical staff</w:t>
            </w:r>
          </w:p>
        </w:tc>
        <w:tc>
          <w:tcPr>
            <w:tcW w:w="4755" w:type="dxa"/>
          </w:tcPr>
          <w:p w:rsidR="006A18FD" w:rsidRDefault="002D29FC">
            <w:pPr>
              <w:spacing w:before="1" w:line="211" w:lineRule="exact"/>
              <w:ind w:left="2131" w:right="1947"/>
              <w:jc w:val="center"/>
              <w:rPr>
                <w:rFonts w:ascii="Calibri" w:hAnsi="Calibri"/>
                <w:sz w:val="19"/>
              </w:rPr>
            </w:pPr>
            <w:r>
              <w:rPr>
                <w:rFonts w:ascii="Calibri" w:hAnsi="Calibri"/>
                <w:sz w:val="19"/>
              </w:rPr>
              <w:t>£24,391</w:t>
            </w:r>
          </w:p>
        </w:tc>
      </w:tr>
      <w:tr w:rsidR="006A18FD">
        <w:trPr>
          <w:trHeight w:val="220"/>
        </w:trPr>
        <w:tc>
          <w:tcPr>
            <w:tcW w:w="5289" w:type="dxa"/>
          </w:tcPr>
          <w:p w:rsidR="006A18FD" w:rsidRDefault="002D29FC">
            <w:pPr>
              <w:spacing w:line="212" w:lineRule="exact"/>
              <w:ind w:left="149"/>
              <w:rPr>
                <w:rFonts w:ascii="Calibri"/>
                <w:sz w:val="19"/>
              </w:rPr>
            </w:pPr>
            <w:r>
              <w:rPr>
                <w:rFonts w:ascii="Calibri"/>
                <w:sz w:val="19"/>
              </w:rPr>
              <w:t>Maintenance and works staff</w:t>
            </w:r>
          </w:p>
        </w:tc>
        <w:tc>
          <w:tcPr>
            <w:tcW w:w="4755" w:type="dxa"/>
          </w:tcPr>
          <w:p w:rsidR="006A18FD" w:rsidRDefault="002D29FC">
            <w:pPr>
              <w:spacing w:line="212" w:lineRule="exact"/>
              <w:ind w:left="2131" w:right="1947"/>
              <w:jc w:val="center"/>
              <w:rPr>
                <w:rFonts w:ascii="Calibri" w:hAnsi="Calibri"/>
                <w:sz w:val="19"/>
              </w:rPr>
            </w:pPr>
            <w:r>
              <w:rPr>
                <w:rFonts w:ascii="Calibri" w:hAnsi="Calibri"/>
                <w:sz w:val="19"/>
              </w:rPr>
              <w:t>£23,235</w:t>
            </w:r>
          </w:p>
        </w:tc>
      </w:tr>
    </w:tbl>
    <w:p w:rsidR="006A18FD" w:rsidRDefault="002D29FC">
      <w:pPr>
        <w:spacing w:before="1" w:line="276" w:lineRule="auto"/>
        <w:ind w:left="436" w:right="455" w:hanging="284"/>
        <w:rPr>
          <w:rFonts w:ascii="Times New Roman" w:hAnsi="Times New Roman"/>
          <w:sz w:val="19"/>
        </w:rPr>
      </w:pPr>
      <w:r>
        <w:rPr>
          <w:rFonts w:ascii="Calibri" w:hAnsi="Calibri"/>
          <w:sz w:val="19"/>
        </w:rPr>
        <w:t xml:space="preserve">Source of tables 17.1-17.6: NHS Digital (2019) </w:t>
      </w:r>
      <w:r>
        <w:rPr>
          <w:rFonts w:ascii="Calibri" w:hAnsi="Calibri"/>
          <w:i/>
          <w:sz w:val="19"/>
        </w:rPr>
        <w:t xml:space="preserve">NHS staff earnings estimates, 12-month period from May 2018 – April 2019 </w:t>
      </w:r>
      <w:r>
        <w:rPr>
          <w:rFonts w:ascii="Calibri" w:hAnsi="Calibri"/>
          <w:sz w:val="19"/>
        </w:rPr>
        <w:t>(not publicly available), NHS Digital, Leeds</w:t>
      </w:r>
      <w:r>
        <w:rPr>
          <w:rFonts w:ascii="Times New Roman" w:hAnsi="Times New Roman"/>
          <w:sz w:val="19"/>
        </w:rPr>
        <w:t>.</w:t>
      </w:r>
    </w:p>
    <w:p w:rsidR="006A18FD" w:rsidRDefault="006A18FD">
      <w:pPr>
        <w:spacing w:before="1"/>
        <w:rPr>
          <w:rFonts w:ascii="Times New Roman"/>
          <w:sz w:val="23"/>
        </w:rPr>
      </w:pPr>
    </w:p>
    <w:p w:rsidR="006A18FD" w:rsidRDefault="002D29FC">
      <w:pPr>
        <w:ind w:left="152"/>
        <w:rPr>
          <w:rFonts w:ascii="Calibri"/>
          <w:b/>
          <w:sz w:val="19"/>
        </w:rPr>
      </w:pPr>
      <w:r>
        <w:rPr>
          <w:rFonts w:ascii="Calibri"/>
          <w:b/>
          <w:sz w:val="19"/>
        </w:rPr>
        <w:t>General notes for NHS earnings estimates</w:t>
      </w:r>
    </w:p>
    <w:p w:rsidR="006A18FD" w:rsidRDefault="002D29FC">
      <w:pPr>
        <w:spacing w:before="33"/>
        <w:ind w:left="152"/>
        <w:rPr>
          <w:rFonts w:ascii="Calibri"/>
          <w:sz w:val="19"/>
        </w:rPr>
      </w:pPr>
      <w:r>
        <w:rPr>
          <w:rFonts w:ascii="Calibri"/>
          <w:color w:val="221F1F"/>
          <w:sz w:val="19"/>
        </w:rPr>
        <w:t xml:space="preserve">Inspection of data suggests that discretionary point payments are </w:t>
      </w:r>
      <w:r>
        <w:rPr>
          <w:rFonts w:ascii="Calibri"/>
          <w:sz w:val="19"/>
        </w:rPr>
        <w:t xml:space="preserve">sometimes </w:t>
      </w:r>
      <w:r>
        <w:rPr>
          <w:rFonts w:ascii="Calibri"/>
          <w:color w:val="221F1F"/>
          <w:sz w:val="19"/>
        </w:rPr>
        <w:t>included with basic pay for consultants.</w:t>
      </w:r>
    </w:p>
    <w:p w:rsidR="006A18FD" w:rsidRDefault="002D29FC">
      <w:pPr>
        <w:spacing w:before="93"/>
        <w:ind w:left="152" w:right="159"/>
        <w:rPr>
          <w:rFonts w:ascii="Calibri"/>
          <w:sz w:val="19"/>
        </w:rPr>
      </w:pPr>
      <w:r>
        <w:rPr>
          <w:rFonts w:ascii="Calibri"/>
          <w:color w:val="221F1F"/>
          <w:sz w:val="19"/>
        </w:rPr>
        <w:t>These figures represent payments made using the Electronic Staff Record (ESR) to NHS Staff who are directly paid by NHS organisations. It does not include, for example, elements of pay for clinical staff which are paid to the individual by universities, or other non-NHS organisations providing NHS care.</w:t>
      </w:r>
    </w:p>
    <w:p w:rsidR="006A18FD" w:rsidRDefault="002D29FC">
      <w:pPr>
        <w:spacing w:before="117"/>
        <w:ind w:left="152"/>
        <w:rPr>
          <w:rFonts w:ascii="Calibri" w:hAnsi="Calibri"/>
          <w:sz w:val="19"/>
        </w:rPr>
      </w:pPr>
      <w:r>
        <w:rPr>
          <w:rFonts w:ascii="Calibri" w:hAnsi="Calibri"/>
          <w:color w:val="221F1F"/>
          <w:sz w:val="19"/>
        </w:rPr>
        <w:t>Figures rounded to the nearest £100.</w:t>
      </w:r>
    </w:p>
    <w:p w:rsidR="006A18FD" w:rsidRDefault="002D29FC">
      <w:pPr>
        <w:spacing w:before="120"/>
        <w:ind w:left="152"/>
        <w:rPr>
          <w:rFonts w:ascii="Calibri"/>
          <w:sz w:val="19"/>
        </w:rPr>
      </w:pPr>
      <w:r>
        <w:rPr>
          <w:rFonts w:ascii="Calibri"/>
          <w:color w:val="221F1F"/>
          <w:sz w:val="19"/>
        </w:rPr>
        <w:t>Figures based on data from all NHS organisations who are using ESR (two Foundation Trusts have not taken up ESR).</w:t>
      </w:r>
    </w:p>
    <w:p w:rsidR="006A18FD" w:rsidRDefault="006A18FD">
      <w:pPr>
        <w:rPr>
          <w:rFonts w:ascii="Calibri"/>
          <w:sz w:val="19"/>
        </w:rPr>
        <w:sectPr w:rsidR="006A18FD">
          <w:pgSz w:w="11910" w:h="16840"/>
          <w:pgMar w:top="960" w:right="580" w:bottom="280" w:left="980" w:header="751" w:footer="0" w:gutter="0"/>
          <w:cols w:space="720"/>
        </w:sectPr>
      </w:pPr>
    </w:p>
    <w:p w:rsidR="006A18FD" w:rsidRDefault="006A18FD">
      <w:pPr>
        <w:spacing w:before="1"/>
        <w:rPr>
          <w:rFonts w:ascii="Calibri"/>
          <w:sz w:val="2"/>
        </w:rPr>
      </w:pPr>
    </w:p>
    <w:p w:rsidR="006A18FD" w:rsidRDefault="00E60AD2">
      <w:pPr>
        <w:spacing w:line="20" w:lineRule="exact"/>
        <w:ind w:left="186"/>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6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64" name="Line 2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ADC165" id="Group 2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FGXWhx8AgAAfwUAAA4A&#10;AAAAAAAAAAAAAAAALgIAAGRycy9lMm9Eb2MueG1sUEsBAi0AFAAGAAgAAAAhAC135FzaAAAABAEA&#10;AA8AAAAAAAAAAAAAAAAA1gQAAGRycy9kb3ducmV2LnhtbFBLBQYAAAAABAAEAPMAAADdBQAAAAA=&#10;">
                <v:line id="Line 2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anchorlock/>
              </v:group>
            </w:pict>
          </mc:Fallback>
        </mc:AlternateContent>
      </w:r>
    </w:p>
    <w:p w:rsidR="006A18FD" w:rsidRDefault="002D29FC" w:rsidP="005629E5">
      <w:pPr>
        <w:pStyle w:val="Heading1"/>
        <w:numPr>
          <w:ilvl w:val="0"/>
          <w:numId w:val="4"/>
        </w:numPr>
        <w:jc w:val="left"/>
      </w:pPr>
      <w:r>
        <w:t>Examples of roles in each Agenda for Change</w:t>
      </w:r>
      <w:r>
        <w:rPr>
          <w:spacing w:val="-28"/>
        </w:rPr>
        <w:t xml:space="preserve"> </w:t>
      </w:r>
      <w:r>
        <w:t>band</w:t>
      </w:r>
    </w:p>
    <w:p w:rsidR="006A18FD" w:rsidRDefault="002D29FC" w:rsidP="005629E5">
      <w:pPr>
        <w:pStyle w:val="Heading2"/>
      </w:pPr>
      <w:r>
        <w:t>Allied health professionals</w:t>
      </w:r>
    </w:p>
    <w:p w:rsidR="006A18FD" w:rsidRDefault="002D29FC" w:rsidP="005629E5">
      <w:pPr>
        <w:pStyle w:val="Heading3"/>
      </w:pPr>
      <w:r>
        <w:t>Physiotherapist</w:t>
      </w:r>
    </w:p>
    <w:p w:rsidR="006A18FD" w:rsidRDefault="006A18FD">
      <w:pPr>
        <w:spacing w:before="2"/>
        <w:rPr>
          <w:rFonts w:ascii="Cambria"/>
          <w:b/>
          <w:sz w:val="13"/>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3"/>
        <w:gridCol w:w="8996"/>
      </w:tblGrid>
      <w:tr w:rsidR="004337D0" w:rsidRPr="004337D0" w:rsidTr="004337D0">
        <w:trPr>
          <w:trHeight w:val="320"/>
          <w:tblHeader/>
        </w:trPr>
        <w:tc>
          <w:tcPr>
            <w:tcW w:w="1283" w:type="dxa"/>
            <w:tcBorders>
              <w:right w:val="nil"/>
            </w:tcBorders>
          </w:tcPr>
          <w:p w:rsidR="004337D0" w:rsidRPr="004337D0" w:rsidRDefault="004337D0">
            <w:pPr>
              <w:spacing w:before="23"/>
              <w:ind w:left="107"/>
              <w:rPr>
                <w:rFonts w:ascii="Calibri"/>
                <w:b/>
                <w:sz w:val="20"/>
              </w:rPr>
            </w:pPr>
            <w:r w:rsidRPr="004337D0">
              <w:rPr>
                <w:rFonts w:ascii="Calibri"/>
                <w:b/>
                <w:sz w:val="20"/>
              </w:rPr>
              <w:t>Band</w:t>
            </w:r>
          </w:p>
        </w:tc>
        <w:tc>
          <w:tcPr>
            <w:tcW w:w="8996" w:type="dxa"/>
            <w:tcBorders>
              <w:left w:val="nil"/>
            </w:tcBorders>
          </w:tcPr>
          <w:p w:rsidR="004337D0" w:rsidRPr="004337D0" w:rsidRDefault="004337D0">
            <w:pPr>
              <w:spacing w:before="23"/>
              <w:ind w:left="270"/>
              <w:rPr>
                <w:rFonts w:ascii="Calibri"/>
                <w:b/>
                <w:sz w:val="20"/>
              </w:rPr>
            </w:pPr>
            <w:r w:rsidRPr="004337D0">
              <w:rPr>
                <w:rFonts w:ascii="Calibri"/>
                <w:b/>
                <w:sz w:val="20"/>
              </w:rPr>
              <w:t>Role</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2</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(physiotherapy)</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3</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higher level (physiotherapy)</w:t>
            </w:r>
          </w:p>
        </w:tc>
      </w:tr>
      <w:tr w:rsidR="006A18FD">
        <w:trPr>
          <w:trHeight w:val="300"/>
        </w:trPr>
        <w:tc>
          <w:tcPr>
            <w:tcW w:w="1283" w:type="dxa"/>
            <w:tcBorders>
              <w:right w:val="nil"/>
            </w:tcBorders>
          </w:tcPr>
          <w:p w:rsidR="006A18FD" w:rsidRDefault="002D29FC">
            <w:pPr>
              <w:spacing w:before="23"/>
              <w:ind w:left="107"/>
              <w:rPr>
                <w:rFonts w:ascii="Calibri"/>
                <w:sz w:val="20"/>
              </w:rPr>
            </w:pPr>
            <w:r>
              <w:rPr>
                <w:rFonts w:ascii="Calibri"/>
                <w:sz w:val="20"/>
              </w:rPr>
              <w:t>Band 5</w:t>
            </w:r>
          </w:p>
        </w:tc>
        <w:tc>
          <w:tcPr>
            <w:tcW w:w="8996" w:type="dxa"/>
            <w:tcBorders>
              <w:left w:val="nil"/>
            </w:tcBorders>
          </w:tcPr>
          <w:p w:rsidR="006A18FD" w:rsidRDefault="002D29FC">
            <w:pPr>
              <w:spacing w:before="23"/>
              <w:ind w:left="270"/>
              <w:rPr>
                <w:rFonts w:ascii="Calibri"/>
                <w:sz w:val="20"/>
              </w:rPr>
            </w:pPr>
            <w:r>
              <w:rPr>
                <w:rFonts w:ascii="Calibri"/>
                <w:sz w:val="20"/>
              </w:rPr>
              <w:t>Physiotherapist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6</w:t>
            </w:r>
          </w:p>
        </w:tc>
        <w:tc>
          <w:tcPr>
            <w:tcW w:w="8996" w:type="dxa"/>
            <w:tcBorders>
              <w:left w:val="nil"/>
            </w:tcBorders>
          </w:tcPr>
          <w:p w:rsidR="006A18FD" w:rsidRDefault="002D29FC">
            <w:pPr>
              <w:spacing w:before="23"/>
              <w:ind w:left="270"/>
              <w:rPr>
                <w:rFonts w:ascii="Calibri"/>
                <w:sz w:val="20"/>
              </w:rPr>
            </w:pPr>
            <w:r>
              <w:rPr>
                <w:rFonts w:ascii="Calibri"/>
                <w:sz w:val="20"/>
              </w:rPr>
              <w:t>Physiotherapist specialist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7</w:t>
            </w:r>
          </w:p>
        </w:tc>
        <w:tc>
          <w:tcPr>
            <w:tcW w:w="8996" w:type="dxa"/>
            <w:tcBorders>
              <w:left w:val="nil"/>
            </w:tcBorders>
          </w:tcPr>
          <w:p w:rsidR="006A18FD" w:rsidRDefault="002D29FC">
            <w:pPr>
              <w:spacing w:before="23"/>
              <w:ind w:left="270"/>
              <w:rPr>
                <w:rFonts w:ascii="Calibri"/>
                <w:sz w:val="20"/>
              </w:rPr>
            </w:pPr>
            <w:r>
              <w:rPr>
                <w:rFonts w:ascii="Calibri"/>
                <w:sz w:val="20"/>
              </w:rPr>
              <w:t>Physiotherapist advanced, specialist physiotherapist, physiotherapy team manager</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8a</w:t>
            </w:r>
          </w:p>
        </w:tc>
        <w:tc>
          <w:tcPr>
            <w:tcW w:w="8996" w:type="dxa"/>
            <w:tcBorders>
              <w:left w:val="nil"/>
            </w:tcBorders>
          </w:tcPr>
          <w:p w:rsidR="006A18FD" w:rsidRDefault="002D29FC">
            <w:pPr>
              <w:spacing w:before="23"/>
              <w:ind w:left="270"/>
              <w:rPr>
                <w:rFonts w:ascii="Calibri"/>
                <w:sz w:val="20"/>
              </w:rPr>
            </w:pPr>
            <w:r>
              <w:rPr>
                <w:rFonts w:ascii="Calibri"/>
                <w:sz w:val="20"/>
              </w:rPr>
              <w:t>Physiotherapist principal</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Bands 8a-b</w:t>
            </w:r>
          </w:p>
        </w:tc>
        <w:tc>
          <w:tcPr>
            <w:tcW w:w="8996" w:type="dxa"/>
            <w:tcBorders>
              <w:left w:val="nil"/>
            </w:tcBorders>
          </w:tcPr>
          <w:p w:rsidR="006A18FD" w:rsidRDefault="002D29FC">
            <w:pPr>
              <w:spacing w:before="23"/>
              <w:ind w:left="270"/>
              <w:rPr>
                <w:rFonts w:ascii="Calibri"/>
                <w:sz w:val="20"/>
              </w:rPr>
            </w:pPr>
            <w:r>
              <w:rPr>
                <w:rFonts w:ascii="Calibri"/>
                <w:sz w:val="20"/>
              </w:rPr>
              <w:t>Physiotherapist consultant</w:t>
            </w:r>
          </w:p>
        </w:tc>
      </w:tr>
    </w:tbl>
    <w:p w:rsidR="006A18FD" w:rsidRDefault="002D29FC" w:rsidP="005629E5">
      <w:pPr>
        <w:pStyle w:val="Heading3"/>
      </w:pPr>
      <w:r>
        <w:t>Occupational therapist</w:t>
      </w:r>
    </w:p>
    <w:p w:rsidR="006A18FD" w:rsidRDefault="006A18FD">
      <w:pPr>
        <w:spacing w:before="2"/>
        <w:rPr>
          <w:rFonts w:ascii="Cambria"/>
          <w:b/>
          <w:sz w:val="13"/>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3"/>
        <w:gridCol w:w="8996"/>
      </w:tblGrid>
      <w:tr w:rsidR="004337D0" w:rsidRPr="004337D0" w:rsidTr="004337D0">
        <w:trPr>
          <w:trHeight w:val="320"/>
          <w:tblHeader/>
        </w:trPr>
        <w:tc>
          <w:tcPr>
            <w:tcW w:w="1283" w:type="dxa"/>
            <w:tcBorders>
              <w:right w:val="nil"/>
            </w:tcBorders>
          </w:tcPr>
          <w:p w:rsidR="004337D0" w:rsidRPr="004337D0" w:rsidRDefault="004337D0">
            <w:pPr>
              <w:spacing w:before="23"/>
              <w:ind w:left="107"/>
              <w:rPr>
                <w:rFonts w:ascii="Calibri"/>
                <w:b/>
                <w:sz w:val="20"/>
              </w:rPr>
            </w:pPr>
            <w:r w:rsidRPr="004337D0">
              <w:rPr>
                <w:rFonts w:ascii="Calibri"/>
                <w:b/>
                <w:sz w:val="20"/>
              </w:rPr>
              <w:t>Band</w:t>
            </w:r>
          </w:p>
        </w:tc>
        <w:tc>
          <w:tcPr>
            <w:tcW w:w="8996" w:type="dxa"/>
            <w:tcBorders>
              <w:left w:val="nil"/>
            </w:tcBorders>
          </w:tcPr>
          <w:p w:rsidR="004337D0" w:rsidRPr="004337D0" w:rsidRDefault="004337D0">
            <w:pPr>
              <w:spacing w:before="23"/>
              <w:ind w:left="270"/>
              <w:rPr>
                <w:rFonts w:ascii="Calibri"/>
                <w:b/>
                <w:sz w:val="20"/>
              </w:rPr>
            </w:pPr>
            <w:r w:rsidRPr="004337D0">
              <w:rPr>
                <w:rFonts w:ascii="Calibri"/>
                <w:b/>
                <w:sz w:val="20"/>
              </w:rPr>
              <w:t>Role</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2</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(occupational therapy)</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3</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higher level (occupational therapy)</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4</w:t>
            </w:r>
          </w:p>
        </w:tc>
        <w:tc>
          <w:tcPr>
            <w:tcW w:w="8996" w:type="dxa"/>
            <w:tcBorders>
              <w:left w:val="nil"/>
            </w:tcBorders>
          </w:tcPr>
          <w:p w:rsidR="006A18FD" w:rsidRDefault="002D29FC">
            <w:pPr>
              <w:spacing w:before="23"/>
              <w:ind w:left="270"/>
              <w:rPr>
                <w:rFonts w:ascii="Calibri"/>
                <w:sz w:val="20"/>
              </w:rPr>
            </w:pPr>
            <w:r>
              <w:rPr>
                <w:rFonts w:ascii="Calibri"/>
                <w:sz w:val="20"/>
              </w:rPr>
              <w:t>Occupational therapy technician</w:t>
            </w:r>
          </w:p>
        </w:tc>
      </w:tr>
      <w:tr w:rsidR="006A18FD">
        <w:trPr>
          <w:trHeight w:val="300"/>
        </w:trPr>
        <w:tc>
          <w:tcPr>
            <w:tcW w:w="1283" w:type="dxa"/>
            <w:tcBorders>
              <w:right w:val="nil"/>
            </w:tcBorders>
          </w:tcPr>
          <w:p w:rsidR="006A18FD" w:rsidRDefault="002D29FC">
            <w:pPr>
              <w:spacing w:before="23"/>
              <w:ind w:left="107"/>
              <w:rPr>
                <w:rFonts w:ascii="Calibri"/>
                <w:sz w:val="20"/>
              </w:rPr>
            </w:pPr>
            <w:r>
              <w:rPr>
                <w:rFonts w:ascii="Calibri"/>
                <w:sz w:val="20"/>
              </w:rPr>
              <w:t>Band 5</w:t>
            </w:r>
          </w:p>
        </w:tc>
        <w:tc>
          <w:tcPr>
            <w:tcW w:w="8996" w:type="dxa"/>
            <w:tcBorders>
              <w:left w:val="nil"/>
            </w:tcBorders>
          </w:tcPr>
          <w:p w:rsidR="006A18FD" w:rsidRDefault="002D29FC">
            <w:pPr>
              <w:spacing w:before="23"/>
              <w:ind w:left="270"/>
              <w:rPr>
                <w:rFonts w:ascii="Calibri"/>
                <w:sz w:val="20"/>
              </w:rPr>
            </w:pPr>
            <w:r>
              <w:rPr>
                <w:rFonts w:ascii="Calibri"/>
                <w:sz w:val="20"/>
              </w:rPr>
              <w:t>Occupational therapist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6</w:t>
            </w:r>
          </w:p>
        </w:tc>
        <w:tc>
          <w:tcPr>
            <w:tcW w:w="8996" w:type="dxa"/>
            <w:tcBorders>
              <w:left w:val="nil"/>
            </w:tcBorders>
          </w:tcPr>
          <w:p w:rsidR="006A18FD" w:rsidRDefault="002D29FC">
            <w:pPr>
              <w:spacing w:before="23"/>
              <w:ind w:left="270"/>
              <w:rPr>
                <w:rFonts w:ascii="Calibri"/>
                <w:sz w:val="20"/>
              </w:rPr>
            </w:pPr>
            <w:r>
              <w:rPr>
                <w:rFonts w:ascii="Calibri"/>
                <w:sz w:val="20"/>
              </w:rPr>
              <w:t>Occupational therapist specialist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7</w:t>
            </w:r>
          </w:p>
        </w:tc>
        <w:tc>
          <w:tcPr>
            <w:tcW w:w="8996" w:type="dxa"/>
            <w:tcBorders>
              <w:left w:val="nil"/>
            </w:tcBorders>
          </w:tcPr>
          <w:p w:rsidR="006A18FD" w:rsidRDefault="002D29FC">
            <w:pPr>
              <w:spacing w:before="23"/>
              <w:ind w:left="270"/>
              <w:rPr>
                <w:rFonts w:ascii="Calibri"/>
                <w:sz w:val="20"/>
              </w:rPr>
            </w:pPr>
            <w:r>
              <w:rPr>
                <w:rFonts w:ascii="Calibri"/>
                <w:sz w:val="20"/>
              </w:rPr>
              <w:t>Occupational therapist advanced/team manager</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8a</w:t>
            </w:r>
          </w:p>
        </w:tc>
        <w:tc>
          <w:tcPr>
            <w:tcW w:w="8996" w:type="dxa"/>
            <w:tcBorders>
              <w:left w:val="nil"/>
            </w:tcBorders>
          </w:tcPr>
          <w:p w:rsidR="006A18FD" w:rsidRDefault="002D29FC">
            <w:pPr>
              <w:spacing w:before="23"/>
              <w:ind w:left="270"/>
              <w:rPr>
                <w:rFonts w:ascii="Calibri"/>
                <w:sz w:val="20"/>
              </w:rPr>
            </w:pPr>
            <w:r>
              <w:rPr>
                <w:rFonts w:ascii="Calibri"/>
                <w:sz w:val="20"/>
              </w:rPr>
              <w:t>Occupational therapist principal</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Bands 8a-b</w:t>
            </w:r>
          </w:p>
        </w:tc>
        <w:tc>
          <w:tcPr>
            <w:tcW w:w="8996" w:type="dxa"/>
            <w:tcBorders>
              <w:left w:val="nil"/>
            </w:tcBorders>
          </w:tcPr>
          <w:p w:rsidR="006A18FD" w:rsidRDefault="002D29FC">
            <w:pPr>
              <w:spacing w:before="23"/>
              <w:ind w:left="270"/>
              <w:rPr>
                <w:rFonts w:ascii="Calibri"/>
                <w:sz w:val="20"/>
              </w:rPr>
            </w:pPr>
            <w:r>
              <w:rPr>
                <w:rFonts w:ascii="Calibri"/>
                <w:sz w:val="20"/>
              </w:rPr>
              <w:t>Occupational therapist consultant</w:t>
            </w:r>
          </w:p>
        </w:tc>
      </w:tr>
    </w:tbl>
    <w:p w:rsidR="006A18FD" w:rsidRDefault="002D29FC" w:rsidP="005629E5">
      <w:pPr>
        <w:pStyle w:val="Heading3"/>
      </w:pPr>
      <w:r>
        <w:t>Speech and language therapist</w:t>
      </w:r>
    </w:p>
    <w:p w:rsidR="006A18FD" w:rsidRDefault="006A18FD">
      <w:pPr>
        <w:spacing w:before="2"/>
        <w:rPr>
          <w:rFonts w:ascii="Cambria"/>
          <w:b/>
          <w:sz w:val="13"/>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9006"/>
      </w:tblGrid>
      <w:tr w:rsidR="004337D0" w:rsidTr="004337D0">
        <w:trPr>
          <w:trHeight w:val="320"/>
          <w:tblHeader/>
        </w:trPr>
        <w:tc>
          <w:tcPr>
            <w:tcW w:w="1273" w:type="dxa"/>
            <w:tcBorders>
              <w:right w:val="nil"/>
            </w:tcBorders>
          </w:tcPr>
          <w:p w:rsidR="004337D0" w:rsidRPr="004337D0" w:rsidRDefault="004337D0">
            <w:pPr>
              <w:spacing w:before="23"/>
              <w:ind w:left="107"/>
              <w:rPr>
                <w:rFonts w:ascii="Calibri"/>
                <w:b/>
                <w:sz w:val="20"/>
              </w:rPr>
            </w:pPr>
            <w:r>
              <w:rPr>
                <w:rFonts w:ascii="Calibri"/>
                <w:b/>
                <w:sz w:val="20"/>
              </w:rPr>
              <w:t>Band</w:t>
            </w:r>
          </w:p>
        </w:tc>
        <w:tc>
          <w:tcPr>
            <w:tcW w:w="9006" w:type="dxa"/>
            <w:tcBorders>
              <w:left w:val="nil"/>
            </w:tcBorders>
          </w:tcPr>
          <w:p w:rsidR="004337D0" w:rsidRPr="004337D0" w:rsidRDefault="004337D0">
            <w:pPr>
              <w:spacing w:before="23"/>
              <w:ind w:left="280"/>
              <w:rPr>
                <w:rFonts w:ascii="Calibri"/>
                <w:b/>
                <w:sz w:val="20"/>
              </w:rPr>
            </w:pPr>
            <w:r>
              <w:rPr>
                <w:rFonts w:ascii="Calibri"/>
                <w:b/>
                <w:sz w:val="20"/>
              </w:rPr>
              <w:t>Role</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2</w:t>
            </w:r>
          </w:p>
        </w:tc>
        <w:tc>
          <w:tcPr>
            <w:tcW w:w="9006" w:type="dxa"/>
            <w:tcBorders>
              <w:left w:val="nil"/>
            </w:tcBorders>
          </w:tcPr>
          <w:p w:rsidR="006A18FD" w:rsidRDefault="002D29FC">
            <w:pPr>
              <w:spacing w:before="23"/>
              <w:ind w:left="280"/>
              <w:rPr>
                <w:rFonts w:ascii="Calibri"/>
                <w:sz w:val="20"/>
              </w:rPr>
            </w:pPr>
            <w:r>
              <w:rPr>
                <w:rFonts w:ascii="Calibri"/>
                <w:sz w:val="20"/>
              </w:rPr>
              <w:t>Clinical support worker (speech and language therapy)</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3</w:t>
            </w:r>
          </w:p>
        </w:tc>
        <w:tc>
          <w:tcPr>
            <w:tcW w:w="9006" w:type="dxa"/>
            <w:tcBorders>
              <w:left w:val="nil"/>
            </w:tcBorders>
          </w:tcPr>
          <w:p w:rsidR="006A18FD" w:rsidRDefault="002D29FC">
            <w:pPr>
              <w:spacing w:before="23"/>
              <w:ind w:left="280"/>
              <w:rPr>
                <w:rFonts w:ascii="Calibri"/>
                <w:sz w:val="20"/>
              </w:rPr>
            </w:pPr>
            <w:r>
              <w:rPr>
                <w:rFonts w:ascii="Calibri"/>
                <w:sz w:val="20"/>
              </w:rPr>
              <w:t>Clinical support worker higher level (speech and language therapy)</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4</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therapy assistant/associate practitioner</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5</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therapist</w:t>
            </w:r>
          </w:p>
        </w:tc>
      </w:tr>
      <w:tr w:rsidR="006A18FD">
        <w:trPr>
          <w:trHeight w:val="300"/>
        </w:trPr>
        <w:tc>
          <w:tcPr>
            <w:tcW w:w="1273" w:type="dxa"/>
            <w:tcBorders>
              <w:right w:val="nil"/>
            </w:tcBorders>
          </w:tcPr>
          <w:p w:rsidR="006A18FD" w:rsidRDefault="002D29FC">
            <w:pPr>
              <w:spacing w:before="23"/>
              <w:ind w:left="107"/>
              <w:rPr>
                <w:rFonts w:ascii="Calibri"/>
                <w:sz w:val="20"/>
              </w:rPr>
            </w:pPr>
            <w:r>
              <w:rPr>
                <w:rFonts w:ascii="Calibri"/>
                <w:sz w:val="20"/>
              </w:rPr>
              <w:t>Band 6</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therapist specialist</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7</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therapist advanced</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 8a</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therapist principal</w:t>
            </w:r>
          </w:p>
        </w:tc>
      </w:tr>
      <w:tr w:rsidR="006A18FD">
        <w:trPr>
          <w:trHeight w:val="320"/>
        </w:trPr>
        <w:tc>
          <w:tcPr>
            <w:tcW w:w="1273" w:type="dxa"/>
            <w:tcBorders>
              <w:right w:val="nil"/>
            </w:tcBorders>
          </w:tcPr>
          <w:p w:rsidR="006A18FD" w:rsidRDefault="002D29FC">
            <w:pPr>
              <w:spacing w:before="23"/>
              <w:ind w:left="107"/>
              <w:rPr>
                <w:rFonts w:ascii="Calibri"/>
                <w:sz w:val="20"/>
              </w:rPr>
            </w:pPr>
            <w:r>
              <w:rPr>
                <w:rFonts w:ascii="Calibri"/>
                <w:sz w:val="20"/>
              </w:rPr>
              <w:t>Bands 8a-c</w:t>
            </w:r>
          </w:p>
        </w:tc>
        <w:tc>
          <w:tcPr>
            <w:tcW w:w="9006" w:type="dxa"/>
            <w:tcBorders>
              <w:left w:val="nil"/>
            </w:tcBorders>
          </w:tcPr>
          <w:p w:rsidR="006A18FD" w:rsidRDefault="002D29FC">
            <w:pPr>
              <w:spacing w:before="23"/>
              <w:ind w:left="280"/>
              <w:rPr>
                <w:rFonts w:ascii="Calibri"/>
                <w:sz w:val="20"/>
              </w:rPr>
            </w:pPr>
            <w:r>
              <w:rPr>
                <w:rFonts w:ascii="Calibri"/>
                <w:sz w:val="20"/>
              </w:rPr>
              <w:t>Speech and language therapist consultant</w:t>
            </w:r>
          </w:p>
        </w:tc>
      </w:tr>
    </w:tbl>
    <w:p w:rsidR="006A18FD" w:rsidRDefault="002D29FC" w:rsidP="005629E5">
      <w:pPr>
        <w:pStyle w:val="Heading3"/>
      </w:pPr>
      <w:r>
        <w:t>Chiropodist/Podiatrist</w:t>
      </w:r>
    </w:p>
    <w:p w:rsidR="006A18FD" w:rsidRDefault="006A18FD">
      <w:pPr>
        <w:spacing w:before="2"/>
        <w:rPr>
          <w:rFonts w:ascii="Cambria"/>
          <w:b/>
          <w:sz w:val="13"/>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3"/>
        <w:gridCol w:w="8996"/>
      </w:tblGrid>
      <w:tr w:rsidR="004337D0" w:rsidTr="004337D0">
        <w:trPr>
          <w:trHeight w:val="320"/>
          <w:tblHeader/>
        </w:trPr>
        <w:tc>
          <w:tcPr>
            <w:tcW w:w="1283" w:type="dxa"/>
            <w:tcBorders>
              <w:right w:val="nil"/>
            </w:tcBorders>
          </w:tcPr>
          <w:p w:rsidR="004337D0" w:rsidRPr="004337D0" w:rsidRDefault="004337D0">
            <w:pPr>
              <w:spacing w:before="23"/>
              <w:ind w:left="107"/>
              <w:rPr>
                <w:rFonts w:ascii="Calibri"/>
                <w:b/>
                <w:sz w:val="20"/>
              </w:rPr>
            </w:pPr>
            <w:r>
              <w:rPr>
                <w:rFonts w:ascii="Calibri"/>
                <w:b/>
                <w:sz w:val="20"/>
              </w:rPr>
              <w:t>Band</w:t>
            </w:r>
          </w:p>
        </w:tc>
        <w:tc>
          <w:tcPr>
            <w:tcW w:w="8996" w:type="dxa"/>
            <w:tcBorders>
              <w:left w:val="nil"/>
            </w:tcBorders>
          </w:tcPr>
          <w:p w:rsidR="004337D0" w:rsidRPr="004337D0" w:rsidRDefault="004337D0">
            <w:pPr>
              <w:spacing w:before="23"/>
              <w:ind w:left="270"/>
              <w:rPr>
                <w:rFonts w:ascii="Calibri"/>
                <w:b/>
                <w:sz w:val="20"/>
              </w:rPr>
            </w:pPr>
            <w:r>
              <w:rPr>
                <w:rFonts w:ascii="Calibri"/>
                <w:b/>
                <w:sz w:val="20"/>
              </w:rPr>
              <w:t>Role</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2</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(podiatry)</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3</w:t>
            </w:r>
          </w:p>
        </w:tc>
        <w:tc>
          <w:tcPr>
            <w:tcW w:w="8996" w:type="dxa"/>
            <w:tcBorders>
              <w:left w:val="nil"/>
            </w:tcBorders>
          </w:tcPr>
          <w:p w:rsidR="006A18FD" w:rsidRDefault="002D29FC">
            <w:pPr>
              <w:spacing w:before="23"/>
              <w:ind w:left="270"/>
              <w:rPr>
                <w:rFonts w:ascii="Calibri"/>
                <w:sz w:val="20"/>
              </w:rPr>
            </w:pPr>
            <w:r>
              <w:rPr>
                <w:rFonts w:ascii="Calibri"/>
                <w:sz w:val="20"/>
              </w:rPr>
              <w:t>Clinical support worker higher level (podiatry)</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4</w:t>
            </w:r>
          </w:p>
        </w:tc>
        <w:tc>
          <w:tcPr>
            <w:tcW w:w="8996" w:type="dxa"/>
            <w:tcBorders>
              <w:left w:val="nil"/>
            </w:tcBorders>
          </w:tcPr>
          <w:p w:rsidR="006A18FD" w:rsidRDefault="002D29FC">
            <w:pPr>
              <w:spacing w:before="23"/>
              <w:ind w:left="270"/>
              <w:rPr>
                <w:rFonts w:ascii="Calibri"/>
                <w:sz w:val="20"/>
              </w:rPr>
            </w:pPr>
            <w:r>
              <w:rPr>
                <w:rFonts w:ascii="Calibri"/>
                <w:sz w:val="20"/>
              </w:rPr>
              <w:t>Podiatry technician</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5</w:t>
            </w:r>
          </w:p>
        </w:tc>
        <w:tc>
          <w:tcPr>
            <w:tcW w:w="8996" w:type="dxa"/>
            <w:tcBorders>
              <w:left w:val="nil"/>
            </w:tcBorders>
          </w:tcPr>
          <w:p w:rsidR="006A18FD" w:rsidRDefault="002D29FC">
            <w:pPr>
              <w:spacing w:before="23"/>
              <w:ind w:left="270"/>
              <w:rPr>
                <w:rFonts w:ascii="Calibri"/>
                <w:sz w:val="20"/>
              </w:rPr>
            </w:pPr>
            <w:r>
              <w:rPr>
                <w:rFonts w:ascii="Calibri"/>
                <w:sz w:val="20"/>
              </w:rPr>
              <w:t>Podiatrist</w:t>
            </w:r>
          </w:p>
        </w:tc>
      </w:tr>
      <w:tr w:rsidR="006A18FD">
        <w:trPr>
          <w:trHeight w:val="300"/>
        </w:trPr>
        <w:tc>
          <w:tcPr>
            <w:tcW w:w="1283" w:type="dxa"/>
            <w:tcBorders>
              <w:right w:val="nil"/>
            </w:tcBorders>
          </w:tcPr>
          <w:p w:rsidR="006A18FD" w:rsidRDefault="002D29FC">
            <w:pPr>
              <w:spacing w:before="23"/>
              <w:ind w:left="107"/>
              <w:rPr>
                <w:rFonts w:ascii="Calibri"/>
                <w:sz w:val="20"/>
              </w:rPr>
            </w:pPr>
            <w:r>
              <w:rPr>
                <w:rFonts w:ascii="Calibri"/>
                <w:sz w:val="20"/>
              </w:rPr>
              <w:t>Band 6</w:t>
            </w:r>
          </w:p>
        </w:tc>
        <w:tc>
          <w:tcPr>
            <w:tcW w:w="8996" w:type="dxa"/>
            <w:tcBorders>
              <w:left w:val="nil"/>
            </w:tcBorders>
          </w:tcPr>
          <w:p w:rsidR="006A18FD" w:rsidRDefault="002D29FC">
            <w:pPr>
              <w:spacing w:before="23"/>
              <w:ind w:left="270"/>
              <w:rPr>
                <w:rFonts w:ascii="Calibri"/>
                <w:sz w:val="20"/>
              </w:rPr>
            </w:pPr>
            <w:r>
              <w:rPr>
                <w:rFonts w:ascii="Calibri"/>
                <w:sz w:val="20"/>
              </w:rPr>
              <w:t>Podiatrist specialist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7</w:t>
            </w:r>
          </w:p>
        </w:tc>
        <w:tc>
          <w:tcPr>
            <w:tcW w:w="8996" w:type="dxa"/>
            <w:tcBorders>
              <w:left w:val="nil"/>
            </w:tcBorders>
          </w:tcPr>
          <w:p w:rsidR="006A18FD" w:rsidRDefault="002D29FC">
            <w:pPr>
              <w:spacing w:before="23"/>
              <w:ind w:left="270"/>
              <w:rPr>
                <w:rFonts w:ascii="Calibri"/>
                <w:sz w:val="20"/>
              </w:rPr>
            </w:pPr>
            <w:r>
              <w:rPr>
                <w:rFonts w:ascii="Calibri"/>
                <w:sz w:val="20"/>
              </w:rPr>
              <w:t>Podiatrist advanced/team manager</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8a</w:t>
            </w:r>
          </w:p>
        </w:tc>
        <w:tc>
          <w:tcPr>
            <w:tcW w:w="8996" w:type="dxa"/>
            <w:tcBorders>
              <w:left w:val="nil"/>
            </w:tcBorders>
          </w:tcPr>
          <w:p w:rsidR="006A18FD" w:rsidRDefault="002D29FC">
            <w:pPr>
              <w:spacing w:before="23"/>
              <w:ind w:left="270"/>
              <w:rPr>
                <w:rFonts w:ascii="Calibri"/>
                <w:sz w:val="20"/>
              </w:rPr>
            </w:pPr>
            <w:r>
              <w:rPr>
                <w:rFonts w:ascii="Calibri"/>
                <w:sz w:val="20"/>
              </w:rPr>
              <w:t>Podiatrist principal</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Bands 8a-b</w:t>
            </w:r>
          </w:p>
        </w:tc>
        <w:tc>
          <w:tcPr>
            <w:tcW w:w="8996" w:type="dxa"/>
            <w:tcBorders>
              <w:left w:val="nil"/>
            </w:tcBorders>
          </w:tcPr>
          <w:p w:rsidR="006A18FD" w:rsidRDefault="002D29FC">
            <w:pPr>
              <w:spacing w:before="23"/>
              <w:ind w:left="270"/>
              <w:rPr>
                <w:rFonts w:ascii="Calibri"/>
                <w:sz w:val="20"/>
              </w:rPr>
            </w:pPr>
            <w:r>
              <w:rPr>
                <w:rFonts w:ascii="Calibri"/>
                <w:sz w:val="20"/>
              </w:rPr>
              <w:t>Podiatric registrar</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Bands 8c-d</w:t>
            </w:r>
          </w:p>
        </w:tc>
        <w:tc>
          <w:tcPr>
            <w:tcW w:w="8996" w:type="dxa"/>
            <w:tcBorders>
              <w:left w:val="nil"/>
            </w:tcBorders>
          </w:tcPr>
          <w:p w:rsidR="006A18FD" w:rsidRDefault="002D29FC">
            <w:pPr>
              <w:spacing w:before="23"/>
              <w:ind w:left="270"/>
              <w:rPr>
                <w:rFonts w:ascii="Calibri"/>
                <w:sz w:val="20"/>
              </w:rPr>
            </w:pPr>
            <w:r>
              <w:rPr>
                <w:rFonts w:ascii="Calibri"/>
                <w:sz w:val="20"/>
              </w:rPr>
              <w:t>Podiatric consultant</w:t>
            </w:r>
          </w:p>
        </w:tc>
      </w:tr>
      <w:tr w:rsidR="006A18FD">
        <w:trPr>
          <w:trHeight w:val="320"/>
        </w:trPr>
        <w:tc>
          <w:tcPr>
            <w:tcW w:w="1283" w:type="dxa"/>
            <w:tcBorders>
              <w:right w:val="nil"/>
            </w:tcBorders>
          </w:tcPr>
          <w:p w:rsidR="006A18FD" w:rsidRDefault="002D29FC">
            <w:pPr>
              <w:spacing w:before="23"/>
              <w:ind w:left="107"/>
              <w:rPr>
                <w:rFonts w:ascii="Calibri"/>
                <w:sz w:val="20"/>
              </w:rPr>
            </w:pPr>
            <w:r>
              <w:rPr>
                <w:rFonts w:ascii="Calibri"/>
                <w:sz w:val="20"/>
              </w:rPr>
              <w:t>Band 9</w:t>
            </w:r>
          </w:p>
        </w:tc>
        <w:tc>
          <w:tcPr>
            <w:tcW w:w="8996" w:type="dxa"/>
            <w:tcBorders>
              <w:left w:val="nil"/>
            </w:tcBorders>
          </w:tcPr>
          <w:p w:rsidR="006A18FD" w:rsidRDefault="002D29FC">
            <w:pPr>
              <w:spacing w:before="23"/>
              <w:ind w:left="270"/>
              <w:rPr>
                <w:rFonts w:ascii="Calibri"/>
                <w:sz w:val="20"/>
              </w:rPr>
            </w:pPr>
            <w:r>
              <w:rPr>
                <w:rFonts w:ascii="Calibri"/>
                <w:sz w:val="20"/>
              </w:rPr>
              <w:t>Podiatric consultant</w:t>
            </w:r>
          </w:p>
        </w:tc>
      </w:tr>
    </w:tbl>
    <w:p w:rsidR="006A18FD" w:rsidRDefault="006A18FD">
      <w:pPr>
        <w:rPr>
          <w:rFonts w:ascii="Calibri"/>
          <w:sz w:val="20"/>
        </w:rPr>
        <w:sectPr w:rsidR="006A18FD">
          <w:pgSz w:w="11910" w:h="16840"/>
          <w:pgMar w:top="960" w:right="900" w:bottom="280" w:left="500" w:header="751" w:footer="0" w:gutter="0"/>
          <w:cols w:space="720"/>
        </w:sectPr>
      </w:pPr>
    </w:p>
    <w:p w:rsidR="006A18FD" w:rsidRDefault="006A18FD">
      <w:pPr>
        <w:spacing w:before="2"/>
        <w:rPr>
          <w:rFonts w:ascii="Cambria"/>
          <w:b/>
          <w:sz w:val="2"/>
        </w:rPr>
      </w:pPr>
    </w:p>
    <w:p w:rsidR="006A18FD" w:rsidRDefault="00E60AD2">
      <w:pPr>
        <w:spacing w:line="20" w:lineRule="exact"/>
        <w:ind w:left="199"/>
        <w:rPr>
          <w:rFonts w:ascii="Cambria"/>
          <w:sz w:val="2"/>
        </w:rPr>
      </w:pPr>
      <w:r>
        <w:rPr>
          <w:rFonts w:ascii="Cambria"/>
          <w:noProof/>
          <w:sz w:val="2"/>
          <w:lang w:val="en-GB" w:eastAsia="en-GB"/>
        </w:rPr>
        <mc:AlternateContent>
          <mc:Choice Requires="wpg">
            <w:drawing>
              <wp:inline distT="0" distB="0" distL="0" distR="0">
                <wp:extent cx="6426835" cy="6350"/>
                <wp:effectExtent l="9525" t="9525" r="2540" b="3175"/>
                <wp:docPr id="16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62" name="Line 1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029EF" id="Group 1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WwihMfQIAAH8FAAAO&#10;AAAAAAAAAAAAAAAAAC4CAABkcnMvZTJvRG9jLnhtbFBLAQItABQABgAIAAAAIQAtd+Rc2gAAAAQB&#10;AAAPAAAAAAAAAAAAAAAAANcEAABkcnMvZG93bnJldi54bWxQSwUGAAAAAAQABADzAAAA3gUAAAAA&#10;">
                <v:line id="Line 1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w10:anchorlock/>
              </v:group>
            </w:pict>
          </mc:Fallback>
        </mc:AlternateContent>
      </w:r>
    </w:p>
    <w:p w:rsidR="006A18FD" w:rsidRDefault="006A18FD">
      <w:pPr>
        <w:spacing w:before="7"/>
        <w:rPr>
          <w:rFonts w:ascii="Cambria"/>
          <w:b/>
          <w:sz w:val="13"/>
        </w:rPr>
      </w:pPr>
    </w:p>
    <w:p w:rsidR="006A18FD" w:rsidRDefault="002D29FC" w:rsidP="005629E5">
      <w:pPr>
        <w:pStyle w:val="Heading3"/>
      </w:pPr>
      <w:r>
        <w:t>Psychologist</w:t>
      </w:r>
    </w:p>
    <w:p w:rsidR="006A18FD" w:rsidRDefault="006A18FD">
      <w:pPr>
        <w:spacing w:before="4" w:after="1"/>
        <w:rPr>
          <w:rFonts w:ascii="Cambria"/>
          <w:b/>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8910"/>
      </w:tblGrid>
      <w:tr w:rsidR="004337D0" w:rsidTr="004337D0">
        <w:trPr>
          <w:trHeight w:val="300"/>
          <w:tblHeader/>
        </w:trPr>
        <w:tc>
          <w:tcPr>
            <w:tcW w:w="1369" w:type="dxa"/>
            <w:tcBorders>
              <w:right w:val="nil"/>
            </w:tcBorders>
          </w:tcPr>
          <w:p w:rsidR="004337D0" w:rsidRPr="004337D0" w:rsidRDefault="004337D0">
            <w:pPr>
              <w:spacing w:before="23"/>
              <w:ind w:left="107"/>
              <w:rPr>
                <w:rFonts w:ascii="Calibri"/>
                <w:b/>
                <w:sz w:val="20"/>
              </w:rPr>
            </w:pPr>
            <w:r>
              <w:rPr>
                <w:rFonts w:ascii="Calibri"/>
                <w:b/>
                <w:sz w:val="20"/>
              </w:rPr>
              <w:t>Band</w:t>
            </w:r>
          </w:p>
        </w:tc>
        <w:tc>
          <w:tcPr>
            <w:tcW w:w="8910" w:type="dxa"/>
            <w:tcBorders>
              <w:left w:val="nil"/>
            </w:tcBorders>
          </w:tcPr>
          <w:p w:rsidR="004337D0" w:rsidRPr="004337D0" w:rsidRDefault="004337D0">
            <w:pPr>
              <w:spacing w:before="23"/>
              <w:ind w:left="184"/>
              <w:rPr>
                <w:rFonts w:ascii="Calibri"/>
                <w:b/>
                <w:sz w:val="20"/>
              </w:rPr>
            </w:pPr>
            <w:r>
              <w:rPr>
                <w:rFonts w:ascii="Calibri"/>
                <w:b/>
                <w:sz w:val="20"/>
              </w:rPr>
              <w:t>Role</w:t>
            </w:r>
          </w:p>
        </w:tc>
      </w:tr>
      <w:tr w:rsidR="006A18FD">
        <w:trPr>
          <w:trHeight w:val="300"/>
        </w:trPr>
        <w:tc>
          <w:tcPr>
            <w:tcW w:w="1369" w:type="dxa"/>
            <w:tcBorders>
              <w:right w:val="nil"/>
            </w:tcBorders>
          </w:tcPr>
          <w:p w:rsidR="006A18FD" w:rsidRDefault="002D29FC">
            <w:pPr>
              <w:spacing w:before="23"/>
              <w:ind w:left="107"/>
              <w:rPr>
                <w:rFonts w:ascii="Calibri"/>
                <w:sz w:val="20"/>
              </w:rPr>
            </w:pPr>
            <w:r>
              <w:rPr>
                <w:rFonts w:ascii="Calibri"/>
                <w:sz w:val="20"/>
              </w:rPr>
              <w:t>Band 4</w:t>
            </w:r>
          </w:p>
        </w:tc>
        <w:tc>
          <w:tcPr>
            <w:tcW w:w="8910" w:type="dxa"/>
            <w:tcBorders>
              <w:left w:val="nil"/>
            </w:tcBorders>
          </w:tcPr>
          <w:p w:rsidR="006A18FD" w:rsidRDefault="002D29FC">
            <w:pPr>
              <w:spacing w:before="23"/>
              <w:ind w:left="184"/>
              <w:rPr>
                <w:rFonts w:ascii="Calibri"/>
                <w:sz w:val="20"/>
              </w:rPr>
            </w:pPr>
            <w:r>
              <w:rPr>
                <w:rFonts w:ascii="Calibri"/>
                <w:sz w:val="20"/>
              </w:rPr>
              <w:t>Clinical psychology assistant practitioner</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 5</w:t>
            </w:r>
          </w:p>
        </w:tc>
        <w:tc>
          <w:tcPr>
            <w:tcW w:w="8910" w:type="dxa"/>
            <w:tcBorders>
              <w:left w:val="nil"/>
            </w:tcBorders>
          </w:tcPr>
          <w:p w:rsidR="006A18FD" w:rsidRDefault="002D29FC">
            <w:pPr>
              <w:spacing w:before="23"/>
              <w:ind w:left="184"/>
              <w:rPr>
                <w:rFonts w:ascii="Calibri"/>
                <w:sz w:val="20"/>
              </w:rPr>
            </w:pPr>
            <w:r>
              <w:rPr>
                <w:rFonts w:ascii="Calibri"/>
                <w:sz w:val="20"/>
              </w:rPr>
              <w:t>Clinical psychology assistant practitioner higher level, Counsellor entry level</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 6</w:t>
            </w:r>
          </w:p>
        </w:tc>
        <w:tc>
          <w:tcPr>
            <w:tcW w:w="8910" w:type="dxa"/>
            <w:tcBorders>
              <w:left w:val="nil"/>
            </w:tcBorders>
          </w:tcPr>
          <w:p w:rsidR="006A18FD" w:rsidRDefault="002D29FC">
            <w:pPr>
              <w:spacing w:before="23"/>
              <w:ind w:left="184"/>
              <w:rPr>
                <w:rFonts w:ascii="Calibri"/>
                <w:sz w:val="20"/>
              </w:rPr>
            </w:pPr>
            <w:r>
              <w:rPr>
                <w:rFonts w:ascii="Calibri"/>
                <w:sz w:val="20"/>
              </w:rPr>
              <w:t>Clinical psychology trainee, Counsellor</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 7</w:t>
            </w:r>
          </w:p>
        </w:tc>
        <w:tc>
          <w:tcPr>
            <w:tcW w:w="8910" w:type="dxa"/>
            <w:tcBorders>
              <w:left w:val="nil"/>
            </w:tcBorders>
          </w:tcPr>
          <w:p w:rsidR="006A18FD" w:rsidRDefault="002D29FC">
            <w:pPr>
              <w:spacing w:before="23"/>
              <w:ind w:left="184"/>
              <w:rPr>
                <w:rFonts w:ascii="Calibri"/>
                <w:sz w:val="20"/>
              </w:rPr>
            </w:pPr>
            <w:r>
              <w:rPr>
                <w:rFonts w:ascii="Calibri"/>
                <w:sz w:val="20"/>
              </w:rPr>
              <w:t>Clinical psychologist, Counsellor specialist</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Bands 8a-b</w:t>
            </w:r>
          </w:p>
        </w:tc>
        <w:tc>
          <w:tcPr>
            <w:tcW w:w="8910" w:type="dxa"/>
            <w:tcBorders>
              <w:left w:val="nil"/>
            </w:tcBorders>
          </w:tcPr>
          <w:p w:rsidR="006A18FD" w:rsidRDefault="002D29FC">
            <w:pPr>
              <w:spacing w:before="23"/>
              <w:ind w:left="184"/>
              <w:rPr>
                <w:rFonts w:ascii="Calibri"/>
                <w:sz w:val="20"/>
              </w:rPr>
            </w:pPr>
            <w:r>
              <w:rPr>
                <w:rFonts w:ascii="Calibri"/>
                <w:sz w:val="20"/>
              </w:rPr>
              <w:t>Clinical psychologist principal</w:t>
            </w:r>
          </w:p>
        </w:tc>
      </w:tr>
      <w:tr w:rsidR="006A18FD">
        <w:trPr>
          <w:trHeight w:val="300"/>
        </w:trPr>
        <w:tc>
          <w:tcPr>
            <w:tcW w:w="1369" w:type="dxa"/>
            <w:tcBorders>
              <w:right w:val="nil"/>
            </w:tcBorders>
          </w:tcPr>
          <w:p w:rsidR="006A18FD" w:rsidRDefault="002D29FC">
            <w:pPr>
              <w:spacing w:before="23"/>
              <w:ind w:left="107"/>
              <w:rPr>
                <w:rFonts w:ascii="Calibri"/>
                <w:sz w:val="20"/>
              </w:rPr>
            </w:pPr>
            <w:r>
              <w:rPr>
                <w:rFonts w:ascii="Calibri"/>
                <w:sz w:val="20"/>
              </w:rPr>
              <w:t>Bands 8a-c</w:t>
            </w:r>
          </w:p>
        </w:tc>
        <w:tc>
          <w:tcPr>
            <w:tcW w:w="8910" w:type="dxa"/>
            <w:tcBorders>
              <w:left w:val="nil"/>
            </w:tcBorders>
          </w:tcPr>
          <w:p w:rsidR="006A18FD" w:rsidRDefault="002D29FC">
            <w:pPr>
              <w:spacing w:before="23"/>
              <w:ind w:left="184"/>
              <w:rPr>
                <w:rFonts w:ascii="Calibri"/>
                <w:sz w:val="20"/>
              </w:rPr>
            </w:pPr>
            <w:r>
              <w:rPr>
                <w:rFonts w:ascii="Calibri"/>
                <w:sz w:val="20"/>
              </w:rPr>
              <w:t>Counsellor professional manager/consultant</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Bands 8c-d</w:t>
            </w:r>
          </w:p>
        </w:tc>
        <w:tc>
          <w:tcPr>
            <w:tcW w:w="8910" w:type="dxa"/>
            <w:tcBorders>
              <w:left w:val="nil"/>
            </w:tcBorders>
          </w:tcPr>
          <w:p w:rsidR="006A18FD" w:rsidRDefault="002D29FC">
            <w:pPr>
              <w:spacing w:before="23"/>
              <w:ind w:left="184"/>
              <w:rPr>
                <w:rFonts w:ascii="Calibri"/>
                <w:sz w:val="20"/>
              </w:rPr>
            </w:pPr>
            <w:r>
              <w:rPr>
                <w:rFonts w:ascii="Calibri"/>
                <w:sz w:val="20"/>
              </w:rPr>
              <w:t>Clinical psychologist consultant</w:t>
            </w:r>
          </w:p>
        </w:tc>
      </w:tr>
      <w:tr w:rsidR="006A18FD">
        <w:trPr>
          <w:trHeight w:val="320"/>
        </w:trPr>
        <w:tc>
          <w:tcPr>
            <w:tcW w:w="1369" w:type="dxa"/>
            <w:tcBorders>
              <w:right w:val="nil"/>
            </w:tcBorders>
          </w:tcPr>
          <w:p w:rsidR="006A18FD" w:rsidRDefault="002D29FC">
            <w:pPr>
              <w:spacing w:before="23"/>
              <w:ind w:left="107"/>
              <w:rPr>
                <w:rFonts w:ascii="Calibri"/>
                <w:sz w:val="20"/>
              </w:rPr>
            </w:pPr>
            <w:r>
              <w:rPr>
                <w:rFonts w:ascii="Calibri"/>
                <w:sz w:val="20"/>
              </w:rPr>
              <w:t>Bands 8d &amp; 9</w:t>
            </w:r>
          </w:p>
        </w:tc>
        <w:tc>
          <w:tcPr>
            <w:tcW w:w="8910" w:type="dxa"/>
            <w:tcBorders>
              <w:left w:val="nil"/>
            </w:tcBorders>
          </w:tcPr>
          <w:p w:rsidR="006A18FD" w:rsidRDefault="002D29FC">
            <w:pPr>
              <w:spacing w:before="23"/>
              <w:ind w:left="184"/>
              <w:rPr>
                <w:rFonts w:ascii="Calibri"/>
                <w:sz w:val="20"/>
              </w:rPr>
            </w:pPr>
            <w:r>
              <w:rPr>
                <w:rFonts w:ascii="Calibri"/>
                <w:sz w:val="20"/>
              </w:rPr>
              <w:t>Professional lead/Head of psychology services</w:t>
            </w:r>
          </w:p>
        </w:tc>
      </w:tr>
    </w:tbl>
    <w:p w:rsidR="006A18FD" w:rsidRDefault="002D29FC" w:rsidP="005629E5">
      <w:pPr>
        <w:pStyle w:val="Heading3"/>
      </w:pPr>
      <w:r>
        <w:t>Pharmacist</w:t>
      </w:r>
    </w:p>
    <w:p w:rsidR="006A18FD" w:rsidRDefault="006A18FD">
      <w:pPr>
        <w:spacing w:before="4"/>
        <w:rPr>
          <w:rFonts w:ascii="Cambria"/>
          <w:b/>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8"/>
        <w:gridCol w:w="8991"/>
      </w:tblGrid>
      <w:tr w:rsidR="004337D0" w:rsidTr="004337D0">
        <w:trPr>
          <w:trHeight w:val="300"/>
          <w:tblHeader/>
        </w:trPr>
        <w:tc>
          <w:tcPr>
            <w:tcW w:w="1288" w:type="dxa"/>
            <w:tcBorders>
              <w:right w:val="nil"/>
            </w:tcBorders>
          </w:tcPr>
          <w:p w:rsidR="004337D0" w:rsidRPr="004337D0" w:rsidRDefault="004337D0">
            <w:pPr>
              <w:spacing w:before="23"/>
              <w:ind w:left="107"/>
              <w:rPr>
                <w:rFonts w:ascii="Calibri"/>
                <w:b/>
                <w:sz w:val="20"/>
              </w:rPr>
            </w:pPr>
            <w:r>
              <w:rPr>
                <w:rFonts w:ascii="Calibri"/>
                <w:b/>
                <w:sz w:val="20"/>
              </w:rPr>
              <w:t>Band</w:t>
            </w:r>
          </w:p>
        </w:tc>
        <w:tc>
          <w:tcPr>
            <w:tcW w:w="8991" w:type="dxa"/>
            <w:tcBorders>
              <w:left w:val="nil"/>
            </w:tcBorders>
          </w:tcPr>
          <w:p w:rsidR="004337D0" w:rsidRPr="004337D0" w:rsidRDefault="004337D0">
            <w:pPr>
              <w:spacing w:before="23"/>
              <w:ind w:left="265"/>
              <w:rPr>
                <w:rFonts w:ascii="Calibri"/>
                <w:b/>
                <w:sz w:val="20"/>
              </w:rPr>
            </w:pPr>
            <w:r>
              <w:rPr>
                <w:rFonts w:ascii="Calibri"/>
                <w:b/>
                <w:sz w:val="20"/>
              </w:rPr>
              <w:t>Role</w:t>
            </w:r>
          </w:p>
        </w:tc>
      </w:tr>
      <w:tr w:rsidR="006A18FD">
        <w:trPr>
          <w:trHeight w:val="300"/>
        </w:trPr>
        <w:tc>
          <w:tcPr>
            <w:tcW w:w="1288" w:type="dxa"/>
            <w:tcBorders>
              <w:right w:val="nil"/>
            </w:tcBorders>
          </w:tcPr>
          <w:p w:rsidR="006A18FD" w:rsidRDefault="002D29FC">
            <w:pPr>
              <w:spacing w:before="23"/>
              <w:ind w:left="107"/>
              <w:rPr>
                <w:rFonts w:ascii="Calibri"/>
                <w:sz w:val="20"/>
              </w:rPr>
            </w:pPr>
            <w:r>
              <w:rPr>
                <w:rFonts w:ascii="Calibri"/>
                <w:sz w:val="20"/>
              </w:rPr>
              <w:t>Band 2</w:t>
            </w:r>
          </w:p>
        </w:tc>
        <w:tc>
          <w:tcPr>
            <w:tcW w:w="8991" w:type="dxa"/>
            <w:tcBorders>
              <w:left w:val="nil"/>
            </w:tcBorders>
          </w:tcPr>
          <w:p w:rsidR="006A18FD" w:rsidRDefault="002D29FC">
            <w:pPr>
              <w:spacing w:before="23"/>
              <w:ind w:left="265"/>
              <w:rPr>
                <w:rFonts w:ascii="Calibri"/>
                <w:sz w:val="20"/>
              </w:rPr>
            </w:pPr>
            <w:r>
              <w:rPr>
                <w:rFonts w:ascii="Calibri"/>
                <w:sz w:val="20"/>
              </w:rPr>
              <w:t>Pharmacy support worker</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 3</w:t>
            </w:r>
          </w:p>
        </w:tc>
        <w:tc>
          <w:tcPr>
            <w:tcW w:w="8991" w:type="dxa"/>
            <w:tcBorders>
              <w:left w:val="nil"/>
            </w:tcBorders>
          </w:tcPr>
          <w:p w:rsidR="006A18FD" w:rsidRDefault="002D29FC">
            <w:pPr>
              <w:spacing w:before="23"/>
              <w:ind w:left="265"/>
              <w:rPr>
                <w:rFonts w:ascii="Calibri"/>
                <w:sz w:val="20"/>
              </w:rPr>
            </w:pPr>
            <w:r>
              <w:rPr>
                <w:rFonts w:ascii="Calibri"/>
                <w:sz w:val="20"/>
              </w:rPr>
              <w:t>Pharmacy support worker higher level</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 4</w:t>
            </w:r>
          </w:p>
        </w:tc>
        <w:tc>
          <w:tcPr>
            <w:tcW w:w="8991" w:type="dxa"/>
            <w:tcBorders>
              <w:left w:val="nil"/>
            </w:tcBorders>
          </w:tcPr>
          <w:p w:rsidR="006A18FD" w:rsidRDefault="002D29FC">
            <w:pPr>
              <w:spacing w:before="23"/>
              <w:ind w:left="265"/>
              <w:rPr>
                <w:rFonts w:ascii="Calibri"/>
                <w:sz w:val="20"/>
              </w:rPr>
            </w:pPr>
            <w:r>
              <w:rPr>
                <w:rFonts w:ascii="Calibri"/>
                <w:sz w:val="20"/>
              </w:rPr>
              <w:t>Pharmacy technician</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 5</w:t>
            </w:r>
          </w:p>
        </w:tc>
        <w:tc>
          <w:tcPr>
            <w:tcW w:w="8991" w:type="dxa"/>
            <w:tcBorders>
              <w:left w:val="nil"/>
            </w:tcBorders>
          </w:tcPr>
          <w:p w:rsidR="006A18FD" w:rsidRDefault="002D29FC">
            <w:pPr>
              <w:spacing w:before="23"/>
              <w:ind w:left="265"/>
              <w:rPr>
                <w:rFonts w:ascii="Calibri"/>
                <w:sz w:val="20"/>
              </w:rPr>
            </w:pPr>
            <w:r>
              <w:rPr>
                <w:rFonts w:ascii="Calibri"/>
                <w:sz w:val="20"/>
              </w:rPr>
              <w:t>Pharmacy technician higher level/Pharmacist entry level</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 6</w:t>
            </w:r>
          </w:p>
        </w:tc>
        <w:tc>
          <w:tcPr>
            <w:tcW w:w="8991" w:type="dxa"/>
            <w:tcBorders>
              <w:left w:val="nil"/>
            </w:tcBorders>
          </w:tcPr>
          <w:p w:rsidR="006A18FD" w:rsidRDefault="002D29FC">
            <w:pPr>
              <w:spacing w:before="23"/>
              <w:ind w:left="265"/>
              <w:rPr>
                <w:rFonts w:ascii="Calibri"/>
                <w:sz w:val="20"/>
              </w:rPr>
            </w:pPr>
            <w:r>
              <w:rPr>
                <w:rFonts w:ascii="Calibri"/>
                <w:sz w:val="20"/>
              </w:rPr>
              <w:t>Pharmacist</w:t>
            </w:r>
          </w:p>
        </w:tc>
      </w:tr>
      <w:tr w:rsidR="006A18FD">
        <w:trPr>
          <w:trHeight w:val="300"/>
        </w:trPr>
        <w:tc>
          <w:tcPr>
            <w:tcW w:w="1288" w:type="dxa"/>
            <w:tcBorders>
              <w:right w:val="nil"/>
            </w:tcBorders>
          </w:tcPr>
          <w:p w:rsidR="006A18FD" w:rsidRDefault="002D29FC">
            <w:pPr>
              <w:spacing w:before="23"/>
              <w:ind w:left="107"/>
              <w:rPr>
                <w:rFonts w:ascii="Calibri"/>
                <w:sz w:val="20"/>
              </w:rPr>
            </w:pPr>
            <w:r>
              <w:rPr>
                <w:rFonts w:ascii="Calibri"/>
                <w:sz w:val="20"/>
              </w:rPr>
              <w:t>Band 7</w:t>
            </w:r>
          </w:p>
        </w:tc>
        <w:tc>
          <w:tcPr>
            <w:tcW w:w="8991" w:type="dxa"/>
            <w:tcBorders>
              <w:left w:val="nil"/>
            </w:tcBorders>
          </w:tcPr>
          <w:p w:rsidR="006A18FD" w:rsidRDefault="002D29FC">
            <w:pPr>
              <w:spacing w:before="23"/>
              <w:ind w:left="265"/>
              <w:rPr>
                <w:rFonts w:ascii="Calibri"/>
                <w:sz w:val="20"/>
              </w:rPr>
            </w:pPr>
            <w:r>
              <w:rPr>
                <w:rFonts w:ascii="Calibri"/>
                <w:sz w:val="20"/>
              </w:rPr>
              <w:t>Pharmacist specialist</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Bands 8a-b</w:t>
            </w:r>
          </w:p>
        </w:tc>
        <w:tc>
          <w:tcPr>
            <w:tcW w:w="8991" w:type="dxa"/>
            <w:tcBorders>
              <w:left w:val="nil"/>
            </w:tcBorders>
          </w:tcPr>
          <w:p w:rsidR="006A18FD" w:rsidRDefault="002D29FC">
            <w:pPr>
              <w:spacing w:before="23"/>
              <w:ind w:left="265"/>
              <w:rPr>
                <w:rFonts w:ascii="Calibri"/>
                <w:sz w:val="20"/>
              </w:rPr>
            </w:pPr>
            <w:r>
              <w:rPr>
                <w:rFonts w:ascii="Calibri"/>
                <w:sz w:val="20"/>
              </w:rPr>
              <w:t>Pharmacist advanced</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Bands 8b-c</w:t>
            </w:r>
          </w:p>
        </w:tc>
        <w:tc>
          <w:tcPr>
            <w:tcW w:w="8991" w:type="dxa"/>
            <w:tcBorders>
              <w:left w:val="nil"/>
            </w:tcBorders>
          </w:tcPr>
          <w:p w:rsidR="006A18FD" w:rsidRDefault="002D29FC">
            <w:pPr>
              <w:spacing w:before="23"/>
              <w:ind w:left="265"/>
              <w:rPr>
                <w:rFonts w:ascii="Calibri"/>
                <w:sz w:val="20"/>
              </w:rPr>
            </w:pPr>
            <w:r>
              <w:rPr>
                <w:rFonts w:ascii="Calibri"/>
                <w:sz w:val="20"/>
              </w:rPr>
              <w:t>Pharmacist team manager</w:t>
            </w:r>
          </w:p>
        </w:tc>
      </w:tr>
      <w:tr w:rsidR="006A18FD">
        <w:trPr>
          <w:trHeight w:val="320"/>
        </w:trPr>
        <w:tc>
          <w:tcPr>
            <w:tcW w:w="1288" w:type="dxa"/>
            <w:tcBorders>
              <w:right w:val="nil"/>
            </w:tcBorders>
          </w:tcPr>
          <w:p w:rsidR="006A18FD" w:rsidRDefault="002D29FC">
            <w:pPr>
              <w:spacing w:before="23"/>
              <w:ind w:left="107"/>
              <w:rPr>
                <w:rFonts w:ascii="Calibri"/>
                <w:sz w:val="20"/>
              </w:rPr>
            </w:pPr>
            <w:r>
              <w:rPr>
                <w:rFonts w:ascii="Calibri"/>
                <w:sz w:val="20"/>
              </w:rPr>
              <w:t>Bands 8b-d</w:t>
            </w:r>
          </w:p>
        </w:tc>
        <w:tc>
          <w:tcPr>
            <w:tcW w:w="8991" w:type="dxa"/>
            <w:tcBorders>
              <w:left w:val="nil"/>
            </w:tcBorders>
          </w:tcPr>
          <w:p w:rsidR="006A18FD" w:rsidRDefault="002D29FC">
            <w:pPr>
              <w:spacing w:before="23"/>
              <w:ind w:left="265"/>
              <w:rPr>
                <w:rFonts w:ascii="Calibri"/>
                <w:sz w:val="20"/>
              </w:rPr>
            </w:pPr>
            <w:r>
              <w:rPr>
                <w:rFonts w:ascii="Calibri"/>
                <w:sz w:val="20"/>
              </w:rPr>
              <w:t>Pharmacist consultant</w:t>
            </w:r>
          </w:p>
        </w:tc>
      </w:tr>
      <w:tr w:rsidR="006A18FD">
        <w:trPr>
          <w:trHeight w:val="320"/>
        </w:trPr>
        <w:tc>
          <w:tcPr>
            <w:tcW w:w="10279" w:type="dxa"/>
            <w:gridSpan w:val="2"/>
          </w:tcPr>
          <w:p w:rsidR="006A18FD" w:rsidRDefault="002D29FC">
            <w:pPr>
              <w:spacing w:before="23"/>
              <w:ind w:left="107"/>
              <w:rPr>
                <w:rFonts w:ascii="Calibri"/>
                <w:sz w:val="20"/>
              </w:rPr>
            </w:pPr>
            <w:r>
              <w:rPr>
                <w:rFonts w:ascii="Calibri"/>
                <w:sz w:val="20"/>
              </w:rPr>
              <w:t>Bands 8c-Band 9  Professional manager pharmaceutical services</w:t>
            </w:r>
          </w:p>
        </w:tc>
      </w:tr>
    </w:tbl>
    <w:p w:rsidR="006A18FD" w:rsidRDefault="006A18FD">
      <w:pPr>
        <w:rPr>
          <w:rFonts w:ascii="Calibri"/>
          <w:sz w:val="20"/>
        </w:rPr>
        <w:sectPr w:rsidR="006A18FD">
          <w:pgSz w:w="11910" w:h="16840"/>
          <w:pgMar w:top="960" w:right="480" w:bottom="280" w:left="900" w:header="751" w:footer="0" w:gutter="0"/>
          <w:cols w:space="720"/>
        </w:sectPr>
      </w:pPr>
    </w:p>
    <w:p w:rsidR="006A18FD" w:rsidRDefault="002D29FC">
      <w:pPr>
        <w:tabs>
          <w:tab w:val="right" w:pos="10304"/>
        </w:tabs>
        <w:spacing w:before="29" w:after="22"/>
        <w:ind w:left="152"/>
        <w:rPr>
          <w:rFonts w:ascii="Calibri"/>
        </w:rPr>
      </w:pPr>
      <w:r>
        <w:rPr>
          <w:rFonts w:ascii="Calibri"/>
        </w:rPr>
        <w:t>Unit Costs of Health and Social</w:t>
      </w:r>
      <w:r>
        <w:rPr>
          <w:rFonts w:ascii="Calibri"/>
          <w:spacing w:val="-5"/>
        </w:rPr>
        <w:t xml:space="preserve"> </w:t>
      </w:r>
      <w:r>
        <w:rPr>
          <w:rFonts w:ascii="Calibri"/>
        </w:rPr>
        <w:t>Care</w:t>
      </w:r>
      <w:r>
        <w:rPr>
          <w:rFonts w:ascii="Calibri"/>
          <w:spacing w:val="-3"/>
        </w:rPr>
        <w:t xml:space="preserve"> </w:t>
      </w:r>
      <w:r>
        <w:rPr>
          <w:rFonts w:ascii="Calibri"/>
        </w:rPr>
        <w:t>2019</w:t>
      </w:r>
      <w:r>
        <w:rPr>
          <w:rFonts w:ascii="Calibri"/>
        </w:rPr>
        <w:tab/>
        <w:t>160</w:t>
      </w: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5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60" name="Line 1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C5AF4" id="Group 1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4feGHX4CAAB/BQAA&#10;DgAAAAAAAAAAAAAAAAAuAgAAZHJzL2Uyb0RvYy54bWxQSwECLQAUAAYACAAAACEALXfkXNoAAAAE&#10;AQAADwAAAAAAAAAAAAAAAADYBAAAZHJzL2Rvd25yZXYueG1sUEsFBgAAAAAEAAQA8wAAAN8FAAAA&#10;AA==&#10;">
                <v:line id="Line 1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w10:anchorlock/>
              </v:group>
            </w:pict>
          </mc:Fallback>
        </mc:AlternateContent>
      </w:r>
    </w:p>
    <w:p w:rsidR="006A18FD" w:rsidRDefault="002D29FC" w:rsidP="005629E5">
      <w:pPr>
        <w:pStyle w:val="Heading1"/>
        <w:numPr>
          <w:ilvl w:val="0"/>
          <w:numId w:val="4"/>
        </w:numPr>
        <w:jc w:val="left"/>
      </w:pPr>
      <w:r>
        <w:t>Training costs of health and social care</w:t>
      </w:r>
      <w:r>
        <w:rPr>
          <w:spacing w:val="-20"/>
        </w:rPr>
        <w:t xml:space="preserve"> </w:t>
      </w:r>
      <w:r>
        <w:t>professionals</w:t>
      </w:r>
    </w:p>
    <w:p w:rsidR="006A18FD" w:rsidRDefault="002D29FC">
      <w:pPr>
        <w:spacing w:before="180" w:line="276" w:lineRule="auto"/>
        <w:ind w:left="152" w:right="258"/>
        <w:rPr>
          <w:rFonts w:ascii="Calibri"/>
          <w:sz w:val="20"/>
        </w:rPr>
      </w:pPr>
      <w:r>
        <w:rPr>
          <w:rFonts w:ascii="Calibri"/>
          <w:sz w:val="20"/>
        </w:rPr>
        <w:t>Tables 18.1 and 18.2 provide a breakdown of the training costs incurred using standard estimation approaches.</w:t>
      </w:r>
      <w:r>
        <w:rPr>
          <w:rFonts w:ascii="Calibri"/>
          <w:color w:val="221F1F"/>
          <w:position w:val="7"/>
          <w:sz w:val="13"/>
        </w:rPr>
        <w:t xml:space="preserve">1 </w:t>
      </w:r>
      <w:r>
        <w:rPr>
          <w:rFonts w:ascii="Calibri"/>
          <w:sz w:val="20"/>
        </w:rPr>
        <w:t xml:space="preserve">The investment costs of education should be included when evaluating the cost-effectiveness of different approaches to using health service staff so that all the costs implicit in changing the professional mix are considered. For the most part, these investment costs are borne by the wider NHS and individuals undertaking the training, rather than NHS trusts. The tables show details of the total investment incurred during the working life of the professional </w:t>
      </w:r>
      <w:r>
        <w:rPr>
          <w:rFonts w:ascii="Calibri"/>
          <w:b/>
          <w:sz w:val="20"/>
        </w:rPr>
        <w:t xml:space="preserve">after allowing for the distribution of the costs over time. </w:t>
      </w:r>
      <w:r>
        <w:rPr>
          <w:rFonts w:ascii="Calibri"/>
          <w:sz w:val="20"/>
        </w:rPr>
        <w:t>The expected working life of the professional, based on previous research carried out at PSSRU, has been noted in brackets in Table 18.1 after the title of the professional group.</w:t>
      </w:r>
      <w:r>
        <w:rPr>
          <w:rFonts w:ascii="Calibri"/>
          <w:position w:val="7"/>
          <w:sz w:val="13"/>
        </w:rPr>
        <w:t xml:space="preserve">2 </w:t>
      </w:r>
      <w:r>
        <w:rPr>
          <w:rFonts w:ascii="Calibri"/>
          <w:sz w:val="20"/>
        </w:rPr>
        <w:t>See preface for changes to the expected working life made this year.</w:t>
      </w:r>
    </w:p>
    <w:p w:rsidR="006A18FD" w:rsidRDefault="002D29FC">
      <w:pPr>
        <w:spacing w:before="119" w:line="276" w:lineRule="auto"/>
        <w:ind w:left="152" w:right="267"/>
        <w:rPr>
          <w:rFonts w:ascii="Calibri" w:hAnsi="Calibri"/>
          <w:sz w:val="20"/>
        </w:rPr>
      </w:pPr>
      <w:r>
        <w:rPr>
          <w:rFonts w:ascii="Calibri" w:hAnsi="Calibri"/>
          <w:sz w:val="20"/>
        </w:rPr>
        <w:t>The cost of training for health service professionals covers both pre-registration and post-graduation training. They include the costs of tuition; infrastructure costs (such as libraries); costs or benefits from clinical placement activities; and lost production costs during the period of training where staff are away from their posts. Although further training is available to all professionals to enable them to progress to higher grades, the cost of post-graduate training is only known for doctors. Each year after registration a substantial proportion of the salary (100% or 60% depending on the level of seniority) can be attributed to the investment costs of training for subsequent stages in the doctor’s career. This cost, together with additional expenditure representing infrastructure costs for maintaining post-graduate medical education, is taken as the total training cost for that year. During training Health Education England pays 50 per cent of the</w:t>
      </w:r>
    </w:p>
    <w:p w:rsidR="006A18FD" w:rsidRDefault="002D29FC">
      <w:pPr>
        <w:ind w:left="152"/>
        <w:rPr>
          <w:rFonts w:ascii="Calibri" w:hAnsi="Calibri"/>
          <w:sz w:val="20"/>
        </w:rPr>
      </w:pPr>
      <w:r>
        <w:rPr>
          <w:rFonts w:ascii="Calibri" w:hAnsi="Calibri"/>
          <w:sz w:val="20"/>
        </w:rPr>
        <w:t>professional’s salary plus oncosts to the employing NHS Trust.</w:t>
      </w:r>
    </w:p>
    <w:p w:rsidR="006A18FD" w:rsidRDefault="002D29FC" w:rsidP="005629E5">
      <w:pPr>
        <w:pStyle w:val="Heading2"/>
        <w:numPr>
          <w:ilvl w:val="1"/>
          <w:numId w:val="4"/>
        </w:numPr>
        <w:ind w:left="851" w:hanging="709"/>
      </w:pPr>
      <w:r>
        <w:t>Training costs of health and social care professionals, excluding</w:t>
      </w:r>
      <w:r>
        <w:rPr>
          <w:spacing w:val="-31"/>
        </w:rPr>
        <w:t xml:space="preserve"> </w:t>
      </w:r>
      <w:r>
        <w:t>doctors</w:t>
      </w:r>
    </w:p>
    <w:p w:rsidR="006A18FD" w:rsidRDefault="006A18FD">
      <w:pPr>
        <w:spacing w:before="4"/>
        <w:rPr>
          <w:rFonts w:ascii="Cambria"/>
          <w:b/>
          <w:sz w:val="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1246"/>
        <w:gridCol w:w="1385"/>
        <w:gridCol w:w="1253"/>
        <w:gridCol w:w="1246"/>
        <w:gridCol w:w="1387"/>
      </w:tblGrid>
      <w:tr w:rsidR="006A18FD" w:rsidTr="00CA19E0">
        <w:trPr>
          <w:trHeight w:val="240"/>
          <w:tblHeader/>
        </w:trPr>
        <w:tc>
          <w:tcPr>
            <w:tcW w:w="3296" w:type="dxa"/>
          </w:tcPr>
          <w:p w:rsidR="006A18FD" w:rsidRDefault="006A18FD">
            <w:pPr>
              <w:rPr>
                <w:rFonts w:ascii="Times New Roman"/>
                <w:sz w:val="16"/>
              </w:rPr>
            </w:pPr>
          </w:p>
        </w:tc>
        <w:tc>
          <w:tcPr>
            <w:tcW w:w="3884" w:type="dxa"/>
            <w:gridSpan w:val="3"/>
          </w:tcPr>
          <w:p w:rsidR="006A18FD" w:rsidRDefault="002D29FC">
            <w:pPr>
              <w:spacing w:before="1" w:line="223" w:lineRule="exact"/>
              <w:ind w:left="1281"/>
              <w:rPr>
                <w:rFonts w:ascii="Calibri"/>
                <w:b/>
                <w:sz w:val="20"/>
              </w:rPr>
            </w:pPr>
            <w:r>
              <w:rPr>
                <w:rFonts w:ascii="Calibri"/>
                <w:b/>
                <w:sz w:val="20"/>
              </w:rPr>
              <w:t>Pre-registration</w:t>
            </w:r>
          </w:p>
        </w:tc>
        <w:tc>
          <w:tcPr>
            <w:tcW w:w="2633" w:type="dxa"/>
            <w:gridSpan w:val="2"/>
          </w:tcPr>
          <w:p w:rsidR="006A18FD" w:rsidRDefault="002D29FC">
            <w:pPr>
              <w:spacing w:before="1" w:line="223" w:lineRule="exact"/>
              <w:ind w:left="1039" w:right="1040"/>
              <w:jc w:val="center"/>
              <w:rPr>
                <w:rFonts w:ascii="Calibri"/>
                <w:b/>
                <w:sz w:val="20"/>
              </w:rPr>
            </w:pPr>
            <w:r>
              <w:rPr>
                <w:rFonts w:ascii="Calibri"/>
                <w:b/>
                <w:sz w:val="20"/>
              </w:rPr>
              <w:t>Totals</w:t>
            </w:r>
          </w:p>
        </w:tc>
      </w:tr>
      <w:tr w:rsidR="006A18FD" w:rsidTr="00CA19E0">
        <w:trPr>
          <w:trHeight w:val="960"/>
          <w:tblHeader/>
        </w:trPr>
        <w:tc>
          <w:tcPr>
            <w:tcW w:w="3296" w:type="dxa"/>
          </w:tcPr>
          <w:p w:rsidR="006A18FD" w:rsidRDefault="002D29FC">
            <w:pPr>
              <w:spacing w:before="1"/>
              <w:ind w:left="105"/>
              <w:rPr>
                <w:rFonts w:ascii="Calibri"/>
                <w:b/>
                <w:sz w:val="20"/>
              </w:rPr>
            </w:pPr>
            <w:r>
              <w:rPr>
                <w:rFonts w:ascii="Calibri"/>
                <w:b/>
                <w:sz w:val="20"/>
              </w:rPr>
              <w:t>Professional (working life in years)</w:t>
            </w:r>
          </w:p>
        </w:tc>
        <w:tc>
          <w:tcPr>
            <w:tcW w:w="1246" w:type="dxa"/>
          </w:tcPr>
          <w:p w:rsidR="006A18FD" w:rsidRDefault="002D29FC">
            <w:pPr>
              <w:spacing w:line="246" w:lineRule="exact"/>
              <w:ind w:left="90" w:right="91"/>
              <w:jc w:val="center"/>
              <w:rPr>
                <w:rFonts w:ascii="Calibri"/>
                <w:b/>
                <w:sz w:val="13"/>
              </w:rPr>
            </w:pPr>
            <w:r>
              <w:rPr>
                <w:rFonts w:ascii="Calibri"/>
                <w:b/>
                <w:sz w:val="20"/>
              </w:rPr>
              <w:t>Tuition</w:t>
            </w:r>
            <w:r>
              <w:rPr>
                <w:rFonts w:ascii="Calibri"/>
                <w:b/>
                <w:position w:val="7"/>
                <w:sz w:val="13"/>
              </w:rPr>
              <w:t>3</w:t>
            </w:r>
          </w:p>
        </w:tc>
        <w:tc>
          <w:tcPr>
            <w:tcW w:w="1385" w:type="dxa"/>
          </w:tcPr>
          <w:p w:rsidR="006A18FD" w:rsidRDefault="002D29FC">
            <w:pPr>
              <w:spacing w:before="1"/>
              <w:ind w:left="120" w:right="113"/>
              <w:jc w:val="center"/>
              <w:rPr>
                <w:rFonts w:ascii="Calibri"/>
                <w:b/>
                <w:sz w:val="20"/>
              </w:rPr>
            </w:pPr>
            <w:r>
              <w:rPr>
                <w:rFonts w:ascii="Calibri"/>
                <w:b/>
                <w:sz w:val="20"/>
              </w:rPr>
              <w:t xml:space="preserve">Living </w:t>
            </w:r>
            <w:r>
              <w:rPr>
                <w:rFonts w:ascii="Calibri"/>
                <w:b/>
                <w:w w:val="95"/>
                <w:sz w:val="20"/>
              </w:rPr>
              <w:t xml:space="preserve">expenses/lost </w:t>
            </w:r>
            <w:r>
              <w:rPr>
                <w:rFonts w:ascii="Calibri"/>
                <w:b/>
                <w:sz w:val="20"/>
              </w:rPr>
              <w:t>production</w:t>
            </w:r>
          </w:p>
          <w:p w:rsidR="006A18FD" w:rsidRDefault="002D29FC">
            <w:pPr>
              <w:spacing w:line="224" w:lineRule="exact"/>
              <w:ind w:left="116" w:right="113"/>
              <w:jc w:val="center"/>
              <w:rPr>
                <w:rFonts w:ascii="Calibri"/>
                <w:b/>
                <w:sz w:val="13"/>
              </w:rPr>
            </w:pPr>
            <w:r>
              <w:rPr>
                <w:rFonts w:ascii="Calibri"/>
                <w:b/>
                <w:sz w:val="20"/>
              </w:rPr>
              <w:t>costs</w:t>
            </w:r>
            <w:r>
              <w:rPr>
                <w:rFonts w:ascii="Calibri"/>
                <w:b/>
                <w:position w:val="7"/>
                <w:sz w:val="13"/>
              </w:rPr>
              <w:t>4</w:t>
            </w:r>
          </w:p>
        </w:tc>
        <w:tc>
          <w:tcPr>
            <w:tcW w:w="1253" w:type="dxa"/>
          </w:tcPr>
          <w:p w:rsidR="006A18FD" w:rsidRDefault="002D29FC">
            <w:pPr>
              <w:spacing w:before="4" w:line="237" w:lineRule="auto"/>
              <w:ind w:left="150" w:right="127" w:firstLine="177"/>
              <w:rPr>
                <w:rFonts w:ascii="Calibri"/>
                <w:b/>
                <w:sz w:val="13"/>
              </w:rPr>
            </w:pPr>
            <w:r>
              <w:rPr>
                <w:rFonts w:ascii="Calibri"/>
                <w:b/>
                <w:sz w:val="20"/>
              </w:rPr>
              <w:t>Clinical placement</w:t>
            </w:r>
            <w:r>
              <w:rPr>
                <w:rFonts w:ascii="Calibri"/>
                <w:b/>
                <w:position w:val="7"/>
                <w:sz w:val="13"/>
              </w:rPr>
              <w:t>5</w:t>
            </w:r>
          </w:p>
        </w:tc>
        <w:tc>
          <w:tcPr>
            <w:tcW w:w="1246" w:type="dxa"/>
          </w:tcPr>
          <w:p w:rsidR="006A18FD" w:rsidRDefault="002D29FC">
            <w:pPr>
              <w:spacing w:before="1"/>
              <w:ind w:left="146" w:firstLine="259"/>
              <w:rPr>
                <w:rFonts w:ascii="Calibri"/>
                <w:b/>
                <w:sz w:val="20"/>
              </w:rPr>
            </w:pPr>
            <w:r>
              <w:rPr>
                <w:rFonts w:ascii="Calibri"/>
                <w:b/>
                <w:sz w:val="20"/>
              </w:rPr>
              <w:t xml:space="preserve">Total </w:t>
            </w:r>
            <w:r>
              <w:rPr>
                <w:rFonts w:ascii="Calibri"/>
                <w:b/>
                <w:w w:val="95"/>
                <w:sz w:val="20"/>
              </w:rPr>
              <w:t>investment</w:t>
            </w:r>
          </w:p>
        </w:tc>
        <w:tc>
          <w:tcPr>
            <w:tcW w:w="1387" w:type="dxa"/>
          </w:tcPr>
          <w:p w:rsidR="006A18FD" w:rsidRDefault="002D29FC">
            <w:pPr>
              <w:spacing w:before="1"/>
              <w:ind w:left="122" w:right="118"/>
              <w:jc w:val="center"/>
              <w:rPr>
                <w:rFonts w:ascii="Calibri"/>
                <w:b/>
                <w:sz w:val="20"/>
              </w:rPr>
            </w:pPr>
            <w:r>
              <w:rPr>
                <w:rFonts w:ascii="Calibri"/>
                <w:b/>
                <w:sz w:val="20"/>
              </w:rPr>
              <w:t>Expected annual cost discounted at</w:t>
            </w:r>
          </w:p>
          <w:p w:rsidR="006A18FD" w:rsidRDefault="002D29FC">
            <w:pPr>
              <w:spacing w:line="223" w:lineRule="exact"/>
              <w:ind w:left="119" w:right="118"/>
              <w:jc w:val="center"/>
              <w:rPr>
                <w:rFonts w:ascii="Calibri"/>
                <w:b/>
                <w:sz w:val="20"/>
              </w:rPr>
            </w:pPr>
            <w:r>
              <w:rPr>
                <w:rFonts w:ascii="Calibri"/>
                <w:b/>
                <w:sz w:val="20"/>
              </w:rPr>
              <w:t>3.5%</w:t>
            </w:r>
          </w:p>
        </w:tc>
      </w:tr>
      <w:tr w:rsidR="006A18FD">
        <w:trPr>
          <w:trHeight w:val="260"/>
        </w:trPr>
        <w:tc>
          <w:tcPr>
            <w:tcW w:w="3296" w:type="dxa"/>
            <w:tcBorders>
              <w:bottom w:val="nil"/>
            </w:tcBorders>
          </w:tcPr>
          <w:p w:rsidR="006A18FD" w:rsidRDefault="002D29FC">
            <w:pPr>
              <w:spacing w:before="1" w:line="243" w:lineRule="exact"/>
              <w:ind w:left="105"/>
              <w:rPr>
                <w:rFonts w:ascii="Calibri"/>
                <w:b/>
                <w:sz w:val="20"/>
              </w:rPr>
            </w:pPr>
            <w:r>
              <w:rPr>
                <w:rFonts w:ascii="Calibri"/>
                <w:b/>
                <w:sz w:val="20"/>
              </w:rPr>
              <w:t>Scientific and professional</w:t>
            </w:r>
          </w:p>
        </w:tc>
        <w:tc>
          <w:tcPr>
            <w:tcW w:w="1246" w:type="dxa"/>
            <w:tcBorders>
              <w:bottom w:val="nil"/>
            </w:tcBorders>
          </w:tcPr>
          <w:p w:rsidR="006A18FD" w:rsidRDefault="006A18FD">
            <w:pPr>
              <w:rPr>
                <w:rFonts w:ascii="Times New Roman"/>
                <w:sz w:val="18"/>
              </w:rPr>
            </w:pPr>
          </w:p>
        </w:tc>
        <w:tc>
          <w:tcPr>
            <w:tcW w:w="1385" w:type="dxa"/>
            <w:tcBorders>
              <w:bottom w:val="nil"/>
            </w:tcBorders>
          </w:tcPr>
          <w:p w:rsidR="006A18FD" w:rsidRDefault="006A18FD">
            <w:pPr>
              <w:rPr>
                <w:rFonts w:ascii="Times New Roman"/>
                <w:sz w:val="18"/>
              </w:rPr>
            </w:pPr>
          </w:p>
        </w:tc>
        <w:tc>
          <w:tcPr>
            <w:tcW w:w="1253" w:type="dxa"/>
            <w:tcBorders>
              <w:bottom w:val="nil"/>
            </w:tcBorders>
          </w:tcPr>
          <w:p w:rsidR="006A18FD" w:rsidRDefault="006A18FD">
            <w:pPr>
              <w:rPr>
                <w:rFonts w:ascii="Times New Roman"/>
                <w:sz w:val="18"/>
              </w:rPr>
            </w:pPr>
          </w:p>
        </w:tc>
        <w:tc>
          <w:tcPr>
            <w:tcW w:w="1246" w:type="dxa"/>
            <w:tcBorders>
              <w:bottom w:val="nil"/>
            </w:tcBorders>
          </w:tcPr>
          <w:p w:rsidR="006A18FD" w:rsidRDefault="006A18FD">
            <w:pPr>
              <w:rPr>
                <w:rFonts w:ascii="Times New Roman"/>
                <w:sz w:val="18"/>
              </w:rPr>
            </w:pPr>
          </w:p>
        </w:tc>
        <w:tc>
          <w:tcPr>
            <w:tcW w:w="1387" w:type="dxa"/>
            <w:tcBorders>
              <w:bottom w:val="nil"/>
            </w:tcBorders>
          </w:tcPr>
          <w:p w:rsidR="006A18FD" w:rsidRDefault="006A18FD">
            <w:pPr>
              <w:rPr>
                <w:rFonts w:ascii="Times New Roman"/>
                <w:sz w:val="18"/>
              </w:rPr>
            </w:pPr>
          </w:p>
        </w:tc>
      </w:tr>
      <w:tr w:rsidR="006A18FD">
        <w:trPr>
          <w:trHeight w:val="240"/>
        </w:trPr>
        <w:tc>
          <w:tcPr>
            <w:tcW w:w="3296" w:type="dxa"/>
            <w:tcBorders>
              <w:top w:val="nil"/>
              <w:bottom w:val="nil"/>
            </w:tcBorders>
          </w:tcPr>
          <w:p w:rsidR="006A18FD" w:rsidRDefault="002D29FC">
            <w:pPr>
              <w:spacing w:line="224" w:lineRule="exact"/>
              <w:ind w:left="105"/>
              <w:rPr>
                <w:rFonts w:ascii="Calibri"/>
                <w:sz w:val="20"/>
              </w:rPr>
            </w:pPr>
            <w:r>
              <w:rPr>
                <w:rFonts w:ascii="Calibri"/>
                <w:sz w:val="20"/>
              </w:rPr>
              <w:t>Physiotherapist (24.3)</w:t>
            </w:r>
          </w:p>
        </w:tc>
        <w:tc>
          <w:tcPr>
            <w:tcW w:w="1246" w:type="dxa"/>
            <w:tcBorders>
              <w:top w:val="nil"/>
              <w:bottom w:val="nil"/>
            </w:tcBorders>
          </w:tcPr>
          <w:p w:rsidR="006A18FD" w:rsidRDefault="002D29FC">
            <w:pPr>
              <w:spacing w:line="224"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4" w:lineRule="exact"/>
              <w:ind w:right="338"/>
              <w:jc w:val="right"/>
              <w:rPr>
                <w:rFonts w:ascii="Calibri" w:hAnsi="Calibri"/>
                <w:sz w:val="20"/>
              </w:rPr>
            </w:pPr>
            <w:r>
              <w:rPr>
                <w:rFonts w:ascii="Calibri" w:hAnsi="Calibri"/>
                <w:w w:val="95"/>
                <w:sz w:val="20"/>
              </w:rPr>
              <w:t>£34,980</w:t>
            </w:r>
          </w:p>
        </w:tc>
        <w:tc>
          <w:tcPr>
            <w:tcW w:w="1253" w:type="dxa"/>
            <w:tcBorders>
              <w:top w:val="nil"/>
              <w:bottom w:val="nil"/>
            </w:tcBorders>
          </w:tcPr>
          <w:p w:rsidR="006A18FD" w:rsidRDefault="002D29FC">
            <w:pPr>
              <w:spacing w:line="224"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4" w:lineRule="exact"/>
              <w:ind w:right="290"/>
              <w:jc w:val="right"/>
              <w:rPr>
                <w:rFonts w:ascii="Calibri" w:hAnsi="Calibri"/>
                <w:sz w:val="20"/>
              </w:rPr>
            </w:pPr>
            <w:r>
              <w:rPr>
                <w:rFonts w:ascii="Calibri" w:hAnsi="Calibri"/>
                <w:sz w:val="20"/>
              </w:rPr>
              <w:t>£66,554</w:t>
            </w:r>
          </w:p>
        </w:tc>
        <w:tc>
          <w:tcPr>
            <w:tcW w:w="1387" w:type="dxa"/>
            <w:tcBorders>
              <w:top w:val="nil"/>
              <w:bottom w:val="nil"/>
            </w:tcBorders>
          </w:tcPr>
          <w:p w:rsidR="006A18FD" w:rsidRDefault="002D29FC">
            <w:pPr>
              <w:spacing w:line="224" w:lineRule="exact"/>
              <w:ind w:left="120" w:right="118"/>
              <w:jc w:val="center"/>
              <w:rPr>
                <w:rFonts w:ascii="Calibri" w:hAnsi="Calibri"/>
                <w:sz w:val="20"/>
              </w:rPr>
            </w:pPr>
            <w:r>
              <w:rPr>
                <w:rFonts w:ascii="Calibri" w:hAnsi="Calibri"/>
                <w:sz w:val="20"/>
              </w:rPr>
              <w:t>£5,446</w:t>
            </w:r>
          </w:p>
        </w:tc>
      </w:tr>
      <w:tr w:rsidR="006A18FD">
        <w:trPr>
          <w:trHeight w:val="240"/>
        </w:trPr>
        <w:tc>
          <w:tcPr>
            <w:tcW w:w="3296" w:type="dxa"/>
            <w:tcBorders>
              <w:top w:val="nil"/>
              <w:bottom w:val="nil"/>
            </w:tcBorders>
          </w:tcPr>
          <w:p w:rsidR="006A18FD" w:rsidRDefault="002D29FC">
            <w:pPr>
              <w:spacing w:line="224" w:lineRule="exact"/>
              <w:ind w:left="105"/>
              <w:rPr>
                <w:rFonts w:ascii="Calibri"/>
                <w:sz w:val="20"/>
              </w:rPr>
            </w:pPr>
            <w:r>
              <w:rPr>
                <w:rFonts w:ascii="Calibri"/>
                <w:sz w:val="20"/>
              </w:rPr>
              <w:t>Occupational therapist (23.5)</w:t>
            </w:r>
          </w:p>
        </w:tc>
        <w:tc>
          <w:tcPr>
            <w:tcW w:w="1246" w:type="dxa"/>
            <w:tcBorders>
              <w:top w:val="nil"/>
              <w:bottom w:val="nil"/>
            </w:tcBorders>
          </w:tcPr>
          <w:p w:rsidR="006A18FD" w:rsidRDefault="002D29FC">
            <w:pPr>
              <w:spacing w:line="224"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4" w:lineRule="exact"/>
              <w:ind w:right="357"/>
              <w:jc w:val="right"/>
              <w:rPr>
                <w:rFonts w:ascii="Calibri" w:hAnsi="Calibri"/>
                <w:sz w:val="20"/>
              </w:rPr>
            </w:pPr>
            <w:r>
              <w:rPr>
                <w:rFonts w:ascii="Calibri" w:hAnsi="Calibri"/>
                <w:w w:val="95"/>
                <w:sz w:val="20"/>
              </w:rPr>
              <w:t>£34,980</w:t>
            </w:r>
          </w:p>
        </w:tc>
        <w:tc>
          <w:tcPr>
            <w:tcW w:w="1253" w:type="dxa"/>
            <w:tcBorders>
              <w:top w:val="nil"/>
              <w:bottom w:val="nil"/>
            </w:tcBorders>
          </w:tcPr>
          <w:p w:rsidR="006A18FD" w:rsidRDefault="002D29FC">
            <w:pPr>
              <w:spacing w:line="224"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4" w:lineRule="exact"/>
              <w:ind w:right="290"/>
              <w:jc w:val="right"/>
              <w:rPr>
                <w:rFonts w:ascii="Calibri" w:hAnsi="Calibri"/>
                <w:sz w:val="20"/>
              </w:rPr>
            </w:pPr>
            <w:r>
              <w:rPr>
                <w:rFonts w:ascii="Calibri" w:hAnsi="Calibri"/>
                <w:sz w:val="20"/>
              </w:rPr>
              <w:t>£66,554</w:t>
            </w:r>
          </w:p>
        </w:tc>
        <w:tc>
          <w:tcPr>
            <w:tcW w:w="1387" w:type="dxa"/>
            <w:tcBorders>
              <w:top w:val="nil"/>
              <w:bottom w:val="nil"/>
            </w:tcBorders>
          </w:tcPr>
          <w:p w:rsidR="006A18FD" w:rsidRDefault="002D29FC">
            <w:pPr>
              <w:spacing w:line="224" w:lineRule="exact"/>
              <w:ind w:left="120" w:right="118"/>
              <w:jc w:val="center"/>
              <w:rPr>
                <w:rFonts w:ascii="Calibri" w:hAnsi="Calibri"/>
                <w:sz w:val="20"/>
              </w:rPr>
            </w:pPr>
            <w:r>
              <w:rPr>
                <w:rFonts w:ascii="Calibri" w:hAnsi="Calibri"/>
                <w:sz w:val="20"/>
              </w:rPr>
              <w:t>£5,454</w:t>
            </w:r>
          </w:p>
        </w:tc>
      </w:tr>
      <w:tr w:rsidR="006A18FD">
        <w:trPr>
          <w:trHeight w:val="240"/>
        </w:trPr>
        <w:tc>
          <w:tcPr>
            <w:tcW w:w="3296" w:type="dxa"/>
            <w:tcBorders>
              <w:top w:val="nil"/>
              <w:bottom w:val="nil"/>
            </w:tcBorders>
          </w:tcPr>
          <w:p w:rsidR="006A18FD" w:rsidRDefault="002D29FC">
            <w:pPr>
              <w:spacing w:line="225" w:lineRule="exact"/>
              <w:ind w:left="105"/>
              <w:rPr>
                <w:rFonts w:ascii="Calibri"/>
                <w:sz w:val="20"/>
              </w:rPr>
            </w:pPr>
            <w:r>
              <w:rPr>
                <w:rFonts w:ascii="Calibri"/>
                <w:sz w:val="20"/>
              </w:rPr>
              <w:t>Speech and language therapist (24.7)</w:t>
            </w:r>
          </w:p>
        </w:tc>
        <w:tc>
          <w:tcPr>
            <w:tcW w:w="1246" w:type="dxa"/>
            <w:tcBorders>
              <w:top w:val="nil"/>
              <w:bottom w:val="nil"/>
            </w:tcBorders>
          </w:tcPr>
          <w:p w:rsidR="006A18FD" w:rsidRDefault="002D29FC">
            <w:pPr>
              <w:spacing w:line="225"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5" w:lineRule="exact"/>
              <w:ind w:right="357"/>
              <w:jc w:val="right"/>
              <w:rPr>
                <w:rFonts w:ascii="Calibri" w:hAnsi="Calibri"/>
                <w:sz w:val="20"/>
              </w:rPr>
            </w:pPr>
            <w:r>
              <w:rPr>
                <w:rFonts w:ascii="Calibri" w:hAnsi="Calibri"/>
                <w:w w:val="95"/>
                <w:sz w:val="20"/>
              </w:rPr>
              <w:t>£34,980</w:t>
            </w:r>
          </w:p>
        </w:tc>
        <w:tc>
          <w:tcPr>
            <w:tcW w:w="1253" w:type="dxa"/>
            <w:tcBorders>
              <w:top w:val="nil"/>
              <w:bottom w:val="nil"/>
            </w:tcBorders>
          </w:tcPr>
          <w:p w:rsidR="006A18FD" w:rsidRDefault="002D29FC">
            <w:pPr>
              <w:spacing w:line="225"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5" w:lineRule="exact"/>
              <w:ind w:right="290"/>
              <w:jc w:val="right"/>
              <w:rPr>
                <w:rFonts w:ascii="Calibri" w:hAnsi="Calibri"/>
                <w:sz w:val="20"/>
              </w:rPr>
            </w:pPr>
            <w:r>
              <w:rPr>
                <w:rFonts w:ascii="Calibri" w:hAnsi="Calibri"/>
                <w:sz w:val="20"/>
              </w:rPr>
              <w:t>£66,554</w:t>
            </w:r>
          </w:p>
        </w:tc>
        <w:tc>
          <w:tcPr>
            <w:tcW w:w="1387" w:type="dxa"/>
            <w:tcBorders>
              <w:top w:val="nil"/>
              <w:bottom w:val="nil"/>
            </w:tcBorders>
          </w:tcPr>
          <w:p w:rsidR="006A18FD" w:rsidRDefault="002D29FC">
            <w:pPr>
              <w:spacing w:line="225" w:lineRule="exact"/>
              <w:ind w:left="120" w:right="118"/>
              <w:jc w:val="center"/>
              <w:rPr>
                <w:rFonts w:ascii="Calibri" w:hAnsi="Calibri"/>
                <w:sz w:val="20"/>
              </w:rPr>
            </w:pPr>
            <w:r>
              <w:rPr>
                <w:rFonts w:ascii="Calibri" w:hAnsi="Calibri"/>
                <w:sz w:val="20"/>
              </w:rPr>
              <w:t>£5,592</w:t>
            </w:r>
          </w:p>
        </w:tc>
      </w:tr>
      <w:tr w:rsidR="006A18FD">
        <w:trPr>
          <w:trHeight w:val="240"/>
        </w:trPr>
        <w:tc>
          <w:tcPr>
            <w:tcW w:w="3296" w:type="dxa"/>
            <w:tcBorders>
              <w:top w:val="nil"/>
              <w:bottom w:val="nil"/>
            </w:tcBorders>
          </w:tcPr>
          <w:p w:rsidR="006A18FD" w:rsidRDefault="002D29FC">
            <w:pPr>
              <w:spacing w:line="225" w:lineRule="exact"/>
              <w:ind w:left="105"/>
              <w:rPr>
                <w:rFonts w:ascii="Calibri"/>
                <w:sz w:val="20"/>
              </w:rPr>
            </w:pPr>
            <w:r>
              <w:rPr>
                <w:rFonts w:ascii="Calibri"/>
                <w:sz w:val="20"/>
              </w:rPr>
              <w:t>Dietitian (23.3)</w:t>
            </w:r>
          </w:p>
        </w:tc>
        <w:tc>
          <w:tcPr>
            <w:tcW w:w="1246" w:type="dxa"/>
            <w:tcBorders>
              <w:top w:val="nil"/>
              <w:bottom w:val="nil"/>
            </w:tcBorders>
          </w:tcPr>
          <w:p w:rsidR="006A18FD" w:rsidRDefault="002D29FC">
            <w:pPr>
              <w:spacing w:line="225"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5" w:lineRule="exact"/>
              <w:ind w:right="357"/>
              <w:jc w:val="right"/>
              <w:rPr>
                <w:rFonts w:ascii="Calibri" w:hAnsi="Calibri"/>
                <w:sz w:val="20"/>
              </w:rPr>
            </w:pPr>
            <w:r>
              <w:rPr>
                <w:rFonts w:ascii="Calibri" w:hAnsi="Calibri"/>
                <w:w w:val="95"/>
                <w:sz w:val="20"/>
              </w:rPr>
              <w:t>£34,980</w:t>
            </w:r>
          </w:p>
        </w:tc>
        <w:tc>
          <w:tcPr>
            <w:tcW w:w="1253" w:type="dxa"/>
            <w:tcBorders>
              <w:top w:val="nil"/>
              <w:bottom w:val="nil"/>
            </w:tcBorders>
          </w:tcPr>
          <w:p w:rsidR="006A18FD" w:rsidRDefault="002D29FC">
            <w:pPr>
              <w:spacing w:line="225"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5" w:lineRule="exact"/>
              <w:ind w:right="290"/>
              <w:jc w:val="right"/>
              <w:rPr>
                <w:rFonts w:ascii="Calibri" w:hAnsi="Calibri"/>
                <w:sz w:val="20"/>
              </w:rPr>
            </w:pPr>
            <w:r>
              <w:rPr>
                <w:rFonts w:ascii="Calibri" w:hAnsi="Calibri"/>
                <w:sz w:val="20"/>
              </w:rPr>
              <w:t>£66,554</w:t>
            </w:r>
          </w:p>
        </w:tc>
        <w:tc>
          <w:tcPr>
            <w:tcW w:w="1387" w:type="dxa"/>
            <w:tcBorders>
              <w:top w:val="nil"/>
              <w:bottom w:val="nil"/>
            </w:tcBorders>
          </w:tcPr>
          <w:p w:rsidR="006A18FD" w:rsidRDefault="002D29FC">
            <w:pPr>
              <w:spacing w:line="225" w:lineRule="exact"/>
              <w:ind w:left="120" w:right="118"/>
              <w:jc w:val="center"/>
              <w:rPr>
                <w:rFonts w:ascii="Calibri" w:hAnsi="Calibri"/>
                <w:sz w:val="20"/>
              </w:rPr>
            </w:pPr>
            <w:r>
              <w:rPr>
                <w:rFonts w:ascii="Calibri" w:hAnsi="Calibri"/>
                <w:sz w:val="20"/>
              </w:rPr>
              <w:t>£5,659</w:t>
            </w:r>
          </w:p>
        </w:tc>
      </w:tr>
      <w:tr w:rsidR="006A18FD">
        <w:trPr>
          <w:trHeight w:val="240"/>
        </w:trPr>
        <w:tc>
          <w:tcPr>
            <w:tcW w:w="3296" w:type="dxa"/>
            <w:tcBorders>
              <w:top w:val="nil"/>
              <w:bottom w:val="nil"/>
            </w:tcBorders>
          </w:tcPr>
          <w:p w:rsidR="006A18FD" w:rsidRDefault="002D29FC">
            <w:pPr>
              <w:spacing w:line="224" w:lineRule="exact"/>
              <w:ind w:left="105"/>
              <w:rPr>
                <w:rFonts w:ascii="Calibri"/>
                <w:sz w:val="20"/>
              </w:rPr>
            </w:pPr>
            <w:r>
              <w:rPr>
                <w:rFonts w:ascii="Calibri"/>
                <w:sz w:val="20"/>
              </w:rPr>
              <w:t>Radiographer (24.3)</w:t>
            </w:r>
          </w:p>
        </w:tc>
        <w:tc>
          <w:tcPr>
            <w:tcW w:w="1246" w:type="dxa"/>
            <w:tcBorders>
              <w:top w:val="nil"/>
              <w:bottom w:val="nil"/>
            </w:tcBorders>
          </w:tcPr>
          <w:p w:rsidR="006A18FD" w:rsidRDefault="002D29FC">
            <w:pPr>
              <w:spacing w:line="224"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4" w:lineRule="exact"/>
              <w:ind w:right="357"/>
              <w:jc w:val="right"/>
              <w:rPr>
                <w:rFonts w:ascii="Calibri" w:hAnsi="Calibri"/>
                <w:sz w:val="20"/>
              </w:rPr>
            </w:pPr>
            <w:r>
              <w:rPr>
                <w:rFonts w:ascii="Calibri" w:hAnsi="Calibri"/>
                <w:w w:val="95"/>
                <w:sz w:val="20"/>
              </w:rPr>
              <w:t>£34,980</w:t>
            </w:r>
          </w:p>
        </w:tc>
        <w:tc>
          <w:tcPr>
            <w:tcW w:w="1253" w:type="dxa"/>
            <w:tcBorders>
              <w:top w:val="nil"/>
              <w:bottom w:val="nil"/>
            </w:tcBorders>
          </w:tcPr>
          <w:p w:rsidR="006A18FD" w:rsidRDefault="002D29FC">
            <w:pPr>
              <w:spacing w:line="224"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4" w:lineRule="exact"/>
              <w:ind w:right="290"/>
              <w:jc w:val="right"/>
              <w:rPr>
                <w:rFonts w:ascii="Calibri" w:hAnsi="Calibri"/>
                <w:sz w:val="20"/>
              </w:rPr>
            </w:pPr>
            <w:r>
              <w:rPr>
                <w:rFonts w:ascii="Calibri" w:hAnsi="Calibri"/>
                <w:sz w:val="20"/>
              </w:rPr>
              <w:t>£66,112</w:t>
            </w:r>
          </w:p>
        </w:tc>
        <w:tc>
          <w:tcPr>
            <w:tcW w:w="1387" w:type="dxa"/>
            <w:tcBorders>
              <w:top w:val="nil"/>
              <w:bottom w:val="nil"/>
            </w:tcBorders>
          </w:tcPr>
          <w:p w:rsidR="006A18FD" w:rsidRDefault="002D29FC">
            <w:pPr>
              <w:spacing w:line="224" w:lineRule="exact"/>
              <w:ind w:left="120" w:right="118"/>
              <w:jc w:val="center"/>
              <w:rPr>
                <w:rFonts w:ascii="Calibri" w:hAnsi="Calibri"/>
                <w:sz w:val="20"/>
              </w:rPr>
            </w:pPr>
            <w:r>
              <w:rPr>
                <w:rFonts w:ascii="Calibri" w:hAnsi="Calibri"/>
                <w:sz w:val="20"/>
              </w:rPr>
              <w:t>£5,423</w:t>
            </w:r>
          </w:p>
        </w:tc>
      </w:tr>
      <w:tr w:rsidR="006A18FD">
        <w:trPr>
          <w:trHeight w:val="240"/>
        </w:trPr>
        <w:tc>
          <w:tcPr>
            <w:tcW w:w="3296" w:type="dxa"/>
            <w:tcBorders>
              <w:top w:val="nil"/>
              <w:bottom w:val="nil"/>
            </w:tcBorders>
          </w:tcPr>
          <w:p w:rsidR="006A18FD" w:rsidRDefault="002D29FC">
            <w:pPr>
              <w:spacing w:line="224" w:lineRule="exact"/>
              <w:ind w:left="105"/>
              <w:rPr>
                <w:rFonts w:ascii="Calibri"/>
                <w:sz w:val="20"/>
              </w:rPr>
            </w:pPr>
            <w:r>
              <w:rPr>
                <w:rFonts w:ascii="Calibri"/>
                <w:sz w:val="20"/>
              </w:rPr>
              <w:t>Hospital pharmacist (27.6)</w:t>
            </w:r>
          </w:p>
        </w:tc>
        <w:tc>
          <w:tcPr>
            <w:tcW w:w="1246" w:type="dxa"/>
            <w:tcBorders>
              <w:top w:val="nil"/>
              <w:bottom w:val="nil"/>
            </w:tcBorders>
          </w:tcPr>
          <w:p w:rsidR="006A18FD" w:rsidRDefault="002D29FC">
            <w:pPr>
              <w:spacing w:line="224" w:lineRule="exact"/>
              <w:ind w:left="89" w:right="91"/>
              <w:jc w:val="center"/>
              <w:rPr>
                <w:rFonts w:ascii="Calibri" w:hAnsi="Calibri"/>
                <w:sz w:val="20"/>
              </w:rPr>
            </w:pPr>
            <w:r>
              <w:rPr>
                <w:rFonts w:ascii="Calibri" w:hAnsi="Calibri"/>
                <w:sz w:val="20"/>
              </w:rPr>
              <w:t>£34,929</w:t>
            </w:r>
          </w:p>
        </w:tc>
        <w:tc>
          <w:tcPr>
            <w:tcW w:w="1385" w:type="dxa"/>
            <w:tcBorders>
              <w:top w:val="nil"/>
              <w:bottom w:val="nil"/>
            </w:tcBorders>
          </w:tcPr>
          <w:p w:rsidR="006A18FD" w:rsidRDefault="002D29FC">
            <w:pPr>
              <w:spacing w:line="224" w:lineRule="exact"/>
              <w:ind w:right="357"/>
              <w:jc w:val="right"/>
              <w:rPr>
                <w:rFonts w:ascii="Calibri" w:hAnsi="Calibri"/>
                <w:sz w:val="20"/>
              </w:rPr>
            </w:pPr>
            <w:r>
              <w:rPr>
                <w:rFonts w:ascii="Calibri" w:hAnsi="Calibri"/>
                <w:sz w:val="20"/>
              </w:rPr>
              <w:t>£45,176</w:t>
            </w:r>
          </w:p>
        </w:tc>
        <w:tc>
          <w:tcPr>
            <w:tcW w:w="1253" w:type="dxa"/>
            <w:tcBorders>
              <w:top w:val="nil"/>
              <w:bottom w:val="nil"/>
            </w:tcBorders>
          </w:tcPr>
          <w:p w:rsidR="006A18FD" w:rsidRDefault="002D29FC">
            <w:pPr>
              <w:spacing w:line="224" w:lineRule="exact"/>
              <w:ind w:left="273" w:right="271"/>
              <w:jc w:val="center"/>
              <w:rPr>
                <w:rFonts w:ascii="Calibri" w:hAnsi="Calibri"/>
                <w:sz w:val="20"/>
              </w:rPr>
            </w:pPr>
            <w:r>
              <w:rPr>
                <w:rFonts w:ascii="Calibri" w:hAnsi="Calibri"/>
                <w:sz w:val="20"/>
              </w:rPr>
              <w:t>£38,665</w:t>
            </w:r>
          </w:p>
        </w:tc>
        <w:tc>
          <w:tcPr>
            <w:tcW w:w="1246" w:type="dxa"/>
            <w:tcBorders>
              <w:top w:val="nil"/>
              <w:bottom w:val="nil"/>
            </w:tcBorders>
          </w:tcPr>
          <w:p w:rsidR="006A18FD" w:rsidRDefault="002D29FC">
            <w:pPr>
              <w:spacing w:line="224" w:lineRule="exact"/>
              <w:ind w:right="240"/>
              <w:jc w:val="right"/>
              <w:rPr>
                <w:rFonts w:ascii="Calibri" w:hAnsi="Calibri"/>
                <w:sz w:val="20"/>
              </w:rPr>
            </w:pPr>
            <w:r>
              <w:rPr>
                <w:rFonts w:ascii="Calibri" w:hAnsi="Calibri"/>
                <w:sz w:val="20"/>
              </w:rPr>
              <w:t>£118,770</w:t>
            </w:r>
          </w:p>
        </w:tc>
        <w:tc>
          <w:tcPr>
            <w:tcW w:w="1387" w:type="dxa"/>
            <w:tcBorders>
              <w:top w:val="nil"/>
              <w:bottom w:val="nil"/>
            </w:tcBorders>
          </w:tcPr>
          <w:p w:rsidR="006A18FD" w:rsidRDefault="002D29FC">
            <w:pPr>
              <w:spacing w:line="224" w:lineRule="exact"/>
              <w:ind w:left="120" w:right="118"/>
              <w:jc w:val="center"/>
              <w:rPr>
                <w:rFonts w:ascii="Calibri" w:hAnsi="Calibri"/>
                <w:sz w:val="20"/>
              </w:rPr>
            </w:pPr>
            <w:r>
              <w:rPr>
                <w:rFonts w:ascii="Calibri" w:hAnsi="Calibri"/>
                <w:sz w:val="20"/>
              </w:rPr>
              <w:t>£9,359</w:t>
            </w:r>
          </w:p>
        </w:tc>
      </w:tr>
      <w:tr w:rsidR="006A18FD">
        <w:trPr>
          <w:trHeight w:val="240"/>
        </w:trPr>
        <w:tc>
          <w:tcPr>
            <w:tcW w:w="3296" w:type="dxa"/>
            <w:tcBorders>
              <w:top w:val="nil"/>
              <w:bottom w:val="nil"/>
            </w:tcBorders>
          </w:tcPr>
          <w:p w:rsidR="006A18FD" w:rsidRDefault="002D29FC">
            <w:pPr>
              <w:spacing w:line="225" w:lineRule="exact"/>
              <w:ind w:left="105"/>
              <w:rPr>
                <w:rFonts w:ascii="Calibri"/>
                <w:sz w:val="20"/>
              </w:rPr>
            </w:pPr>
            <w:r>
              <w:rPr>
                <w:rFonts w:ascii="Calibri"/>
                <w:sz w:val="20"/>
              </w:rPr>
              <w:t>Community pharmacist (27.6)</w:t>
            </w:r>
          </w:p>
        </w:tc>
        <w:tc>
          <w:tcPr>
            <w:tcW w:w="1246" w:type="dxa"/>
            <w:tcBorders>
              <w:top w:val="nil"/>
              <w:bottom w:val="nil"/>
            </w:tcBorders>
          </w:tcPr>
          <w:p w:rsidR="006A18FD" w:rsidRDefault="002D29FC">
            <w:pPr>
              <w:spacing w:line="225" w:lineRule="exact"/>
              <w:ind w:left="89" w:right="91"/>
              <w:jc w:val="center"/>
              <w:rPr>
                <w:rFonts w:ascii="Calibri" w:hAnsi="Calibri"/>
                <w:sz w:val="20"/>
              </w:rPr>
            </w:pPr>
            <w:r>
              <w:rPr>
                <w:rFonts w:ascii="Calibri" w:hAnsi="Calibri"/>
                <w:sz w:val="20"/>
              </w:rPr>
              <w:t>£34,929</w:t>
            </w:r>
          </w:p>
        </w:tc>
        <w:tc>
          <w:tcPr>
            <w:tcW w:w="1385" w:type="dxa"/>
            <w:tcBorders>
              <w:top w:val="nil"/>
              <w:bottom w:val="nil"/>
            </w:tcBorders>
          </w:tcPr>
          <w:p w:rsidR="006A18FD" w:rsidRDefault="002D29FC">
            <w:pPr>
              <w:spacing w:line="225" w:lineRule="exact"/>
              <w:ind w:right="357"/>
              <w:jc w:val="right"/>
              <w:rPr>
                <w:rFonts w:ascii="Calibri" w:hAnsi="Calibri"/>
                <w:sz w:val="20"/>
              </w:rPr>
            </w:pPr>
            <w:r>
              <w:rPr>
                <w:rFonts w:ascii="Calibri" w:hAnsi="Calibri"/>
                <w:sz w:val="20"/>
              </w:rPr>
              <w:t>£45,167</w:t>
            </w:r>
          </w:p>
        </w:tc>
        <w:tc>
          <w:tcPr>
            <w:tcW w:w="1253" w:type="dxa"/>
            <w:tcBorders>
              <w:top w:val="nil"/>
              <w:bottom w:val="nil"/>
            </w:tcBorders>
          </w:tcPr>
          <w:p w:rsidR="006A18FD" w:rsidRDefault="002D29FC">
            <w:pPr>
              <w:spacing w:line="225" w:lineRule="exact"/>
              <w:ind w:left="273" w:right="271"/>
              <w:jc w:val="center"/>
              <w:rPr>
                <w:rFonts w:ascii="Calibri" w:hAnsi="Calibri"/>
                <w:sz w:val="20"/>
              </w:rPr>
            </w:pPr>
            <w:r>
              <w:rPr>
                <w:rFonts w:ascii="Calibri" w:hAnsi="Calibri"/>
                <w:sz w:val="20"/>
              </w:rPr>
              <w:t>£25,743</w:t>
            </w:r>
          </w:p>
        </w:tc>
        <w:tc>
          <w:tcPr>
            <w:tcW w:w="1246" w:type="dxa"/>
            <w:tcBorders>
              <w:top w:val="nil"/>
              <w:bottom w:val="nil"/>
            </w:tcBorders>
          </w:tcPr>
          <w:p w:rsidR="006A18FD" w:rsidRDefault="002D29FC">
            <w:pPr>
              <w:spacing w:line="225" w:lineRule="exact"/>
              <w:ind w:right="240"/>
              <w:jc w:val="right"/>
              <w:rPr>
                <w:rFonts w:ascii="Calibri" w:hAnsi="Calibri"/>
                <w:sz w:val="20"/>
              </w:rPr>
            </w:pPr>
            <w:r>
              <w:rPr>
                <w:rFonts w:ascii="Calibri" w:hAnsi="Calibri"/>
                <w:sz w:val="20"/>
              </w:rPr>
              <w:t>£105,839</w:t>
            </w:r>
          </w:p>
        </w:tc>
        <w:tc>
          <w:tcPr>
            <w:tcW w:w="1387" w:type="dxa"/>
            <w:tcBorders>
              <w:top w:val="nil"/>
              <w:bottom w:val="nil"/>
            </w:tcBorders>
          </w:tcPr>
          <w:p w:rsidR="006A18FD" w:rsidRDefault="002D29FC">
            <w:pPr>
              <w:spacing w:line="225" w:lineRule="exact"/>
              <w:ind w:left="120" w:right="118"/>
              <w:jc w:val="center"/>
              <w:rPr>
                <w:rFonts w:ascii="Calibri" w:hAnsi="Calibri"/>
                <w:sz w:val="20"/>
              </w:rPr>
            </w:pPr>
            <w:r>
              <w:rPr>
                <w:rFonts w:ascii="Calibri" w:hAnsi="Calibri"/>
                <w:sz w:val="20"/>
              </w:rPr>
              <w:t>£8,340</w:t>
            </w:r>
          </w:p>
        </w:tc>
      </w:tr>
      <w:tr w:rsidR="006A18FD">
        <w:trPr>
          <w:trHeight w:val="220"/>
        </w:trPr>
        <w:tc>
          <w:tcPr>
            <w:tcW w:w="3296" w:type="dxa"/>
            <w:tcBorders>
              <w:top w:val="nil"/>
              <w:bottom w:val="nil"/>
            </w:tcBorders>
          </w:tcPr>
          <w:p w:rsidR="006A18FD" w:rsidRDefault="002D29FC">
            <w:pPr>
              <w:spacing w:line="215" w:lineRule="exact"/>
              <w:ind w:left="105"/>
              <w:rPr>
                <w:rFonts w:ascii="Calibri"/>
                <w:sz w:val="20"/>
              </w:rPr>
            </w:pPr>
            <w:r>
              <w:rPr>
                <w:rFonts w:ascii="Calibri"/>
                <w:sz w:val="20"/>
              </w:rPr>
              <w:t>Psychologist (not estimated by</w:t>
            </w:r>
          </w:p>
        </w:tc>
        <w:tc>
          <w:tcPr>
            <w:tcW w:w="1246" w:type="dxa"/>
            <w:tcBorders>
              <w:top w:val="nil"/>
              <w:bottom w:val="nil"/>
            </w:tcBorders>
          </w:tcPr>
          <w:p w:rsidR="006A18FD" w:rsidRDefault="006A18FD">
            <w:pPr>
              <w:rPr>
                <w:rFonts w:ascii="Times New Roman"/>
                <w:sz w:val="16"/>
              </w:rPr>
            </w:pPr>
          </w:p>
        </w:tc>
        <w:tc>
          <w:tcPr>
            <w:tcW w:w="1385" w:type="dxa"/>
            <w:tcBorders>
              <w:top w:val="nil"/>
              <w:bottom w:val="nil"/>
            </w:tcBorders>
          </w:tcPr>
          <w:p w:rsidR="006A18FD" w:rsidRDefault="006A18FD">
            <w:pPr>
              <w:rPr>
                <w:rFonts w:ascii="Times New Roman"/>
                <w:sz w:val="16"/>
              </w:rPr>
            </w:pPr>
          </w:p>
        </w:tc>
        <w:tc>
          <w:tcPr>
            <w:tcW w:w="1253" w:type="dxa"/>
            <w:tcBorders>
              <w:top w:val="nil"/>
              <w:bottom w:val="nil"/>
            </w:tcBorders>
          </w:tcPr>
          <w:p w:rsidR="006A18FD" w:rsidRDefault="006A18FD">
            <w:pPr>
              <w:rPr>
                <w:rFonts w:ascii="Times New Roman"/>
                <w:sz w:val="16"/>
              </w:rPr>
            </w:pPr>
          </w:p>
        </w:tc>
        <w:tc>
          <w:tcPr>
            <w:tcW w:w="1246" w:type="dxa"/>
            <w:tcBorders>
              <w:top w:val="nil"/>
              <w:bottom w:val="nil"/>
            </w:tcBorders>
          </w:tcPr>
          <w:p w:rsidR="006A18FD" w:rsidRDefault="006A18FD">
            <w:pPr>
              <w:rPr>
                <w:rFonts w:ascii="Times New Roman"/>
                <w:sz w:val="16"/>
              </w:rPr>
            </w:pPr>
          </w:p>
        </w:tc>
        <w:tc>
          <w:tcPr>
            <w:tcW w:w="1387" w:type="dxa"/>
            <w:tcBorders>
              <w:top w:val="nil"/>
              <w:bottom w:val="nil"/>
            </w:tcBorders>
          </w:tcPr>
          <w:p w:rsidR="006A18FD" w:rsidRDefault="006A18FD">
            <w:pPr>
              <w:rPr>
                <w:rFonts w:ascii="Times New Roman"/>
                <w:sz w:val="16"/>
              </w:rPr>
            </w:pPr>
          </w:p>
        </w:tc>
      </w:tr>
      <w:tr w:rsidR="006A18FD">
        <w:trPr>
          <w:trHeight w:val="240"/>
        </w:trPr>
        <w:tc>
          <w:tcPr>
            <w:tcW w:w="3296" w:type="dxa"/>
            <w:tcBorders>
              <w:top w:val="nil"/>
              <w:bottom w:val="nil"/>
            </w:tcBorders>
          </w:tcPr>
          <w:p w:rsidR="006A18FD" w:rsidRDefault="002D29FC">
            <w:pPr>
              <w:spacing w:line="232" w:lineRule="exact"/>
              <w:ind w:left="105"/>
              <w:rPr>
                <w:rFonts w:ascii="Calibri"/>
                <w:sz w:val="13"/>
              </w:rPr>
            </w:pPr>
            <w:r>
              <w:rPr>
                <w:rFonts w:ascii="Calibri"/>
                <w:sz w:val="20"/>
              </w:rPr>
              <w:t>PSSRU)</w:t>
            </w:r>
            <w:r>
              <w:rPr>
                <w:rFonts w:ascii="Calibri"/>
                <w:position w:val="7"/>
                <w:sz w:val="13"/>
              </w:rPr>
              <w:t>6</w:t>
            </w:r>
          </w:p>
        </w:tc>
        <w:tc>
          <w:tcPr>
            <w:tcW w:w="1246" w:type="dxa"/>
            <w:tcBorders>
              <w:top w:val="nil"/>
              <w:bottom w:val="nil"/>
            </w:tcBorders>
          </w:tcPr>
          <w:p w:rsidR="006A18FD" w:rsidRDefault="006A18FD">
            <w:pPr>
              <w:rPr>
                <w:rFonts w:ascii="Times New Roman"/>
                <w:sz w:val="18"/>
              </w:rPr>
            </w:pPr>
          </w:p>
        </w:tc>
        <w:tc>
          <w:tcPr>
            <w:tcW w:w="1385" w:type="dxa"/>
            <w:tcBorders>
              <w:top w:val="nil"/>
              <w:bottom w:val="nil"/>
            </w:tcBorders>
          </w:tcPr>
          <w:p w:rsidR="006A18FD" w:rsidRDefault="006A18FD">
            <w:pPr>
              <w:rPr>
                <w:rFonts w:ascii="Times New Roman"/>
                <w:sz w:val="18"/>
              </w:rPr>
            </w:pPr>
          </w:p>
        </w:tc>
        <w:tc>
          <w:tcPr>
            <w:tcW w:w="1253" w:type="dxa"/>
            <w:tcBorders>
              <w:top w:val="nil"/>
              <w:bottom w:val="nil"/>
            </w:tcBorders>
          </w:tcPr>
          <w:p w:rsidR="006A18FD" w:rsidRDefault="006A18FD">
            <w:pPr>
              <w:rPr>
                <w:rFonts w:ascii="Times New Roman"/>
                <w:sz w:val="18"/>
              </w:rPr>
            </w:pPr>
          </w:p>
        </w:tc>
        <w:tc>
          <w:tcPr>
            <w:tcW w:w="1246" w:type="dxa"/>
            <w:tcBorders>
              <w:top w:val="nil"/>
              <w:bottom w:val="nil"/>
            </w:tcBorders>
          </w:tcPr>
          <w:p w:rsidR="006A18FD" w:rsidRDefault="006A18FD">
            <w:pPr>
              <w:rPr>
                <w:rFonts w:ascii="Times New Roman"/>
                <w:sz w:val="18"/>
              </w:rPr>
            </w:pPr>
          </w:p>
        </w:tc>
        <w:tc>
          <w:tcPr>
            <w:tcW w:w="1387" w:type="dxa"/>
            <w:tcBorders>
              <w:top w:val="nil"/>
              <w:bottom w:val="nil"/>
            </w:tcBorders>
          </w:tcPr>
          <w:p w:rsidR="006A18FD" w:rsidRDefault="006A18FD">
            <w:pPr>
              <w:rPr>
                <w:rFonts w:ascii="Times New Roman"/>
                <w:sz w:val="18"/>
              </w:rPr>
            </w:pPr>
          </w:p>
        </w:tc>
      </w:tr>
      <w:tr w:rsidR="006A18FD">
        <w:trPr>
          <w:trHeight w:val="240"/>
        </w:trPr>
        <w:tc>
          <w:tcPr>
            <w:tcW w:w="3296" w:type="dxa"/>
            <w:tcBorders>
              <w:top w:val="nil"/>
              <w:bottom w:val="nil"/>
            </w:tcBorders>
          </w:tcPr>
          <w:p w:rsidR="006A18FD" w:rsidRDefault="002D29FC">
            <w:pPr>
              <w:spacing w:line="225" w:lineRule="exact"/>
              <w:ind w:left="105"/>
              <w:rPr>
                <w:rFonts w:ascii="Calibri"/>
                <w:sz w:val="20"/>
              </w:rPr>
            </w:pPr>
            <w:r>
              <w:rPr>
                <w:rFonts w:ascii="Calibri"/>
                <w:sz w:val="20"/>
              </w:rPr>
              <w:t>Nurse (24)</w:t>
            </w:r>
          </w:p>
        </w:tc>
        <w:tc>
          <w:tcPr>
            <w:tcW w:w="1246" w:type="dxa"/>
            <w:tcBorders>
              <w:top w:val="nil"/>
              <w:bottom w:val="nil"/>
            </w:tcBorders>
          </w:tcPr>
          <w:p w:rsidR="006A18FD" w:rsidRDefault="002D29FC">
            <w:pPr>
              <w:spacing w:line="225" w:lineRule="exact"/>
              <w:ind w:left="89" w:right="91"/>
              <w:jc w:val="center"/>
              <w:rPr>
                <w:rFonts w:ascii="Calibri" w:hAnsi="Calibri"/>
                <w:sz w:val="20"/>
              </w:rPr>
            </w:pPr>
            <w:r>
              <w:rPr>
                <w:rFonts w:ascii="Calibri" w:hAnsi="Calibri"/>
                <w:sz w:val="20"/>
              </w:rPr>
              <w:t>£26,822</w:t>
            </w:r>
          </w:p>
        </w:tc>
        <w:tc>
          <w:tcPr>
            <w:tcW w:w="1385" w:type="dxa"/>
            <w:tcBorders>
              <w:top w:val="nil"/>
              <w:bottom w:val="nil"/>
            </w:tcBorders>
          </w:tcPr>
          <w:p w:rsidR="006A18FD" w:rsidRDefault="002D29FC">
            <w:pPr>
              <w:spacing w:line="225" w:lineRule="exact"/>
              <w:ind w:right="357"/>
              <w:jc w:val="right"/>
              <w:rPr>
                <w:rFonts w:ascii="Calibri" w:hAnsi="Calibri"/>
                <w:sz w:val="20"/>
              </w:rPr>
            </w:pPr>
            <w:r>
              <w:rPr>
                <w:rFonts w:ascii="Calibri" w:hAnsi="Calibri"/>
                <w:sz w:val="20"/>
              </w:rPr>
              <w:t>£34,980</w:t>
            </w:r>
          </w:p>
        </w:tc>
        <w:tc>
          <w:tcPr>
            <w:tcW w:w="1253" w:type="dxa"/>
            <w:tcBorders>
              <w:top w:val="nil"/>
              <w:bottom w:val="nil"/>
            </w:tcBorders>
          </w:tcPr>
          <w:p w:rsidR="006A18FD" w:rsidRDefault="002D29FC">
            <w:pPr>
              <w:spacing w:line="225" w:lineRule="exact"/>
              <w:ind w:left="273" w:right="271"/>
              <w:jc w:val="center"/>
              <w:rPr>
                <w:rFonts w:ascii="Calibri" w:hAnsi="Calibri"/>
                <w:sz w:val="20"/>
              </w:rPr>
            </w:pPr>
            <w:r>
              <w:rPr>
                <w:rFonts w:ascii="Calibri" w:hAnsi="Calibri"/>
                <w:sz w:val="20"/>
              </w:rPr>
              <w:t>£4,742</w:t>
            </w:r>
          </w:p>
        </w:tc>
        <w:tc>
          <w:tcPr>
            <w:tcW w:w="1246" w:type="dxa"/>
            <w:tcBorders>
              <w:top w:val="nil"/>
              <w:bottom w:val="nil"/>
            </w:tcBorders>
          </w:tcPr>
          <w:p w:rsidR="006A18FD" w:rsidRDefault="002D29FC">
            <w:pPr>
              <w:spacing w:line="225" w:lineRule="exact"/>
              <w:ind w:right="290"/>
              <w:jc w:val="right"/>
              <w:rPr>
                <w:rFonts w:ascii="Calibri" w:hAnsi="Calibri"/>
                <w:sz w:val="20"/>
              </w:rPr>
            </w:pPr>
            <w:r>
              <w:rPr>
                <w:rFonts w:ascii="Calibri" w:hAnsi="Calibri"/>
                <w:w w:val="95"/>
                <w:sz w:val="20"/>
              </w:rPr>
              <w:t>£66,544</w:t>
            </w:r>
          </w:p>
        </w:tc>
        <w:tc>
          <w:tcPr>
            <w:tcW w:w="1387" w:type="dxa"/>
            <w:tcBorders>
              <w:top w:val="nil"/>
              <w:bottom w:val="nil"/>
            </w:tcBorders>
          </w:tcPr>
          <w:p w:rsidR="006A18FD" w:rsidRDefault="002D29FC">
            <w:pPr>
              <w:spacing w:line="225" w:lineRule="exact"/>
              <w:ind w:left="120" w:right="118"/>
              <w:jc w:val="center"/>
              <w:rPr>
                <w:rFonts w:ascii="Calibri" w:hAnsi="Calibri"/>
                <w:sz w:val="20"/>
              </w:rPr>
            </w:pPr>
            <w:r>
              <w:rPr>
                <w:rFonts w:ascii="Calibri" w:hAnsi="Calibri"/>
                <w:sz w:val="20"/>
              </w:rPr>
              <w:t>£8,687</w:t>
            </w:r>
          </w:p>
        </w:tc>
      </w:tr>
      <w:tr w:rsidR="006A18FD">
        <w:trPr>
          <w:trHeight w:val="220"/>
        </w:trPr>
        <w:tc>
          <w:tcPr>
            <w:tcW w:w="3296" w:type="dxa"/>
            <w:tcBorders>
              <w:top w:val="nil"/>
            </w:tcBorders>
          </w:tcPr>
          <w:p w:rsidR="006A18FD" w:rsidRDefault="002D29FC">
            <w:pPr>
              <w:spacing w:line="205" w:lineRule="exact"/>
              <w:ind w:left="105"/>
              <w:rPr>
                <w:rFonts w:ascii="Calibri"/>
                <w:sz w:val="20"/>
              </w:rPr>
            </w:pPr>
            <w:r>
              <w:rPr>
                <w:rFonts w:ascii="Calibri"/>
                <w:sz w:val="20"/>
              </w:rPr>
              <w:t>Social worker (19) (degree)</w:t>
            </w:r>
          </w:p>
        </w:tc>
        <w:tc>
          <w:tcPr>
            <w:tcW w:w="1246" w:type="dxa"/>
            <w:tcBorders>
              <w:top w:val="nil"/>
            </w:tcBorders>
          </w:tcPr>
          <w:p w:rsidR="006A18FD" w:rsidRDefault="002D29FC">
            <w:pPr>
              <w:spacing w:line="205" w:lineRule="exact"/>
              <w:ind w:left="89" w:right="91"/>
              <w:jc w:val="center"/>
              <w:rPr>
                <w:rFonts w:ascii="Calibri" w:hAnsi="Calibri"/>
                <w:sz w:val="20"/>
              </w:rPr>
            </w:pPr>
            <w:r>
              <w:rPr>
                <w:rFonts w:ascii="Calibri" w:hAnsi="Calibri"/>
                <w:sz w:val="20"/>
              </w:rPr>
              <w:t>£26,822</w:t>
            </w:r>
          </w:p>
        </w:tc>
        <w:tc>
          <w:tcPr>
            <w:tcW w:w="1385" w:type="dxa"/>
            <w:tcBorders>
              <w:top w:val="nil"/>
            </w:tcBorders>
          </w:tcPr>
          <w:p w:rsidR="006A18FD" w:rsidRDefault="002D29FC">
            <w:pPr>
              <w:spacing w:line="205" w:lineRule="exact"/>
              <w:ind w:right="357"/>
              <w:jc w:val="right"/>
              <w:rPr>
                <w:rFonts w:ascii="Calibri" w:hAnsi="Calibri"/>
                <w:sz w:val="20"/>
              </w:rPr>
            </w:pPr>
            <w:r>
              <w:rPr>
                <w:rFonts w:ascii="Calibri" w:hAnsi="Calibri"/>
                <w:w w:val="95"/>
                <w:sz w:val="20"/>
              </w:rPr>
              <w:t>£35,568</w:t>
            </w:r>
          </w:p>
        </w:tc>
        <w:tc>
          <w:tcPr>
            <w:tcW w:w="1253" w:type="dxa"/>
            <w:tcBorders>
              <w:top w:val="nil"/>
            </w:tcBorders>
          </w:tcPr>
          <w:p w:rsidR="006A18FD" w:rsidRDefault="002D29FC">
            <w:pPr>
              <w:spacing w:line="205" w:lineRule="exact"/>
              <w:ind w:left="273" w:right="271"/>
              <w:jc w:val="center"/>
              <w:rPr>
                <w:rFonts w:ascii="Calibri" w:hAnsi="Calibri"/>
                <w:sz w:val="20"/>
              </w:rPr>
            </w:pPr>
            <w:r>
              <w:rPr>
                <w:rFonts w:ascii="Calibri" w:hAnsi="Calibri"/>
                <w:sz w:val="20"/>
              </w:rPr>
              <w:t>£6,639</w:t>
            </w:r>
          </w:p>
        </w:tc>
        <w:tc>
          <w:tcPr>
            <w:tcW w:w="1246" w:type="dxa"/>
            <w:tcBorders>
              <w:top w:val="nil"/>
            </w:tcBorders>
          </w:tcPr>
          <w:p w:rsidR="006A18FD" w:rsidRDefault="002D29FC">
            <w:pPr>
              <w:spacing w:line="205" w:lineRule="exact"/>
              <w:ind w:right="290"/>
              <w:jc w:val="right"/>
              <w:rPr>
                <w:rFonts w:ascii="Calibri" w:hAnsi="Calibri"/>
                <w:sz w:val="20"/>
              </w:rPr>
            </w:pPr>
            <w:r>
              <w:rPr>
                <w:rFonts w:ascii="Calibri" w:hAnsi="Calibri"/>
                <w:sz w:val="20"/>
              </w:rPr>
              <w:t>£69,029</w:t>
            </w:r>
          </w:p>
        </w:tc>
        <w:tc>
          <w:tcPr>
            <w:tcW w:w="1387" w:type="dxa"/>
            <w:tcBorders>
              <w:top w:val="nil"/>
            </w:tcBorders>
          </w:tcPr>
          <w:p w:rsidR="006A18FD" w:rsidRDefault="002D29FC">
            <w:pPr>
              <w:spacing w:line="205" w:lineRule="exact"/>
              <w:ind w:left="120" w:right="118"/>
              <w:jc w:val="center"/>
              <w:rPr>
                <w:rFonts w:ascii="Calibri" w:hAnsi="Calibri"/>
                <w:sz w:val="20"/>
              </w:rPr>
            </w:pPr>
            <w:r>
              <w:rPr>
                <w:rFonts w:ascii="Calibri" w:hAnsi="Calibri"/>
                <w:sz w:val="20"/>
              </w:rPr>
              <w:t>£9,469</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4"/>
        <w:rPr>
          <w:rFonts w:ascii="Cambria"/>
          <w:b/>
          <w:sz w:val="37"/>
        </w:rPr>
      </w:pPr>
    </w:p>
    <w:p w:rsidR="006A18FD" w:rsidRDefault="002D29FC">
      <w:pPr>
        <w:numPr>
          <w:ilvl w:val="0"/>
          <w:numId w:val="3"/>
        </w:numPr>
        <w:tabs>
          <w:tab w:val="left" w:pos="271"/>
        </w:tabs>
        <w:ind w:right="461" w:hanging="284"/>
        <w:rPr>
          <w:rFonts w:ascii="Calibri"/>
          <w:sz w:val="16"/>
        </w:rPr>
      </w:pPr>
      <w:r>
        <w:rPr>
          <w:rFonts w:ascii="Calibri"/>
          <w:sz w:val="16"/>
        </w:rPr>
        <w:t>Netten, A., Knight, J., Dennett, J., Cooley, R. &amp; Slight, A. (1998) Development of a ready reckoner for staff costs in the NHS, Vols 1 &amp; 2, Personal Social Services Research Unit, University of Kent,</w:t>
      </w:r>
      <w:r>
        <w:rPr>
          <w:rFonts w:ascii="Calibri"/>
          <w:spacing w:val="-24"/>
          <w:sz w:val="16"/>
        </w:rPr>
        <w:t xml:space="preserve"> </w:t>
      </w:r>
      <w:r>
        <w:rPr>
          <w:rFonts w:ascii="Calibri"/>
          <w:sz w:val="16"/>
        </w:rPr>
        <w:t>Canterbury.</w:t>
      </w:r>
    </w:p>
    <w:p w:rsidR="006A18FD" w:rsidRDefault="002D29FC">
      <w:pPr>
        <w:numPr>
          <w:ilvl w:val="0"/>
          <w:numId w:val="3"/>
        </w:numPr>
        <w:tabs>
          <w:tab w:val="left" w:pos="271"/>
        </w:tabs>
        <w:spacing w:before="1" w:line="195" w:lineRule="exact"/>
        <w:ind w:hanging="284"/>
        <w:rPr>
          <w:rFonts w:ascii="Calibri"/>
          <w:sz w:val="16"/>
        </w:rPr>
      </w:pPr>
      <w:r>
        <w:rPr>
          <w:rFonts w:ascii="Calibri"/>
          <w:sz w:val="16"/>
        </w:rPr>
        <w:t>Estimates</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expected</w:t>
      </w:r>
      <w:r>
        <w:rPr>
          <w:rFonts w:ascii="Calibri"/>
          <w:spacing w:val="-3"/>
          <w:sz w:val="16"/>
        </w:rPr>
        <w:t xml:space="preserve"> </w:t>
      </w:r>
      <w:r>
        <w:rPr>
          <w:rFonts w:ascii="Calibri"/>
          <w:sz w:val="16"/>
        </w:rPr>
        <w:t>working</w:t>
      </w:r>
      <w:r>
        <w:rPr>
          <w:rFonts w:ascii="Calibri"/>
          <w:spacing w:val="-2"/>
          <w:sz w:val="16"/>
        </w:rPr>
        <w:t xml:space="preserve"> </w:t>
      </w:r>
      <w:r>
        <w:rPr>
          <w:rFonts w:ascii="Calibri"/>
          <w:sz w:val="16"/>
        </w:rPr>
        <w:t>life</w:t>
      </w:r>
      <w:r>
        <w:rPr>
          <w:rFonts w:ascii="Calibri"/>
          <w:spacing w:val="-3"/>
          <w:sz w:val="16"/>
        </w:rPr>
        <w:t xml:space="preserve"> </w:t>
      </w:r>
      <w:r>
        <w:rPr>
          <w:rFonts w:ascii="Calibri"/>
          <w:sz w:val="16"/>
        </w:rPr>
        <w:t>have</w:t>
      </w:r>
      <w:r>
        <w:rPr>
          <w:rFonts w:ascii="Calibri"/>
          <w:spacing w:val="-3"/>
          <w:sz w:val="16"/>
        </w:rPr>
        <w:t xml:space="preserve"> </w:t>
      </w:r>
      <w:r>
        <w:rPr>
          <w:rFonts w:ascii="Calibri"/>
          <w:sz w:val="16"/>
        </w:rPr>
        <w:t>been</w:t>
      </w:r>
      <w:r>
        <w:rPr>
          <w:rFonts w:ascii="Calibri"/>
          <w:spacing w:val="-3"/>
          <w:sz w:val="16"/>
        </w:rPr>
        <w:t xml:space="preserve"> </w:t>
      </w:r>
      <w:r>
        <w:rPr>
          <w:rFonts w:ascii="Calibri"/>
          <w:sz w:val="16"/>
        </w:rPr>
        <w:t>calculated</w:t>
      </w:r>
      <w:r>
        <w:rPr>
          <w:rFonts w:ascii="Calibri"/>
          <w:spacing w:val="-3"/>
          <w:sz w:val="16"/>
        </w:rPr>
        <w:t xml:space="preserve"> </w:t>
      </w:r>
      <w:r>
        <w:rPr>
          <w:rFonts w:ascii="Calibri"/>
          <w:sz w:val="16"/>
        </w:rPr>
        <w:t>using</w:t>
      </w:r>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2001</w:t>
      </w:r>
      <w:r>
        <w:rPr>
          <w:rFonts w:ascii="Calibri"/>
          <w:spacing w:val="-2"/>
          <w:sz w:val="16"/>
        </w:rPr>
        <w:t xml:space="preserve"> </w:t>
      </w:r>
      <w:r>
        <w:rPr>
          <w:rFonts w:ascii="Calibri"/>
          <w:sz w:val="16"/>
        </w:rPr>
        <w:t>census</w:t>
      </w:r>
      <w:r>
        <w:rPr>
          <w:rFonts w:ascii="Calibri"/>
          <w:spacing w:val="-1"/>
          <w:sz w:val="16"/>
        </w:rPr>
        <w:t xml:space="preserve"> </w:t>
      </w:r>
      <w:r>
        <w:rPr>
          <w:rFonts w:ascii="Calibri"/>
          <w:sz w:val="16"/>
        </w:rPr>
        <w:t>and</w:t>
      </w:r>
      <w:r>
        <w:rPr>
          <w:rFonts w:ascii="Calibri"/>
          <w:spacing w:val="-3"/>
          <w:sz w:val="16"/>
        </w:rPr>
        <w:t xml:space="preserve"> </w:t>
      </w:r>
      <w:r>
        <w:rPr>
          <w:rFonts w:ascii="Calibri"/>
          <w:sz w:val="16"/>
        </w:rPr>
        <w:t>where</w:t>
      </w:r>
      <w:r>
        <w:rPr>
          <w:rFonts w:ascii="Calibri"/>
          <w:spacing w:val="-3"/>
          <w:sz w:val="16"/>
        </w:rPr>
        <w:t xml:space="preserve"> </w:t>
      </w:r>
      <w:r>
        <w:rPr>
          <w:rFonts w:ascii="Calibri"/>
          <w:sz w:val="16"/>
        </w:rPr>
        <w:t>possible,</w:t>
      </w:r>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2017/18</w:t>
      </w:r>
      <w:r>
        <w:rPr>
          <w:rFonts w:ascii="Calibri"/>
          <w:spacing w:val="-2"/>
          <w:sz w:val="16"/>
        </w:rPr>
        <w:t xml:space="preserve"> </w:t>
      </w:r>
      <w:r>
        <w:rPr>
          <w:rFonts w:ascii="Calibri"/>
          <w:sz w:val="16"/>
        </w:rPr>
        <w:t>Labour</w:t>
      </w:r>
      <w:r>
        <w:rPr>
          <w:rFonts w:ascii="Calibri"/>
          <w:spacing w:val="-4"/>
          <w:sz w:val="16"/>
        </w:rPr>
        <w:t xml:space="preserve"> </w:t>
      </w:r>
      <w:r>
        <w:rPr>
          <w:rFonts w:ascii="Calibri"/>
          <w:sz w:val="16"/>
        </w:rPr>
        <w:t>Force</w:t>
      </w:r>
      <w:r>
        <w:rPr>
          <w:rFonts w:ascii="Calibri"/>
          <w:spacing w:val="-3"/>
          <w:sz w:val="16"/>
        </w:rPr>
        <w:t xml:space="preserve"> </w:t>
      </w:r>
      <w:r>
        <w:rPr>
          <w:rFonts w:ascii="Calibri"/>
          <w:sz w:val="16"/>
        </w:rPr>
        <w:t>Survey.</w:t>
      </w:r>
    </w:p>
    <w:p w:rsidR="006A18FD" w:rsidRDefault="002D29FC">
      <w:pPr>
        <w:numPr>
          <w:ilvl w:val="0"/>
          <w:numId w:val="3"/>
        </w:numPr>
        <w:tabs>
          <w:tab w:val="left" w:pos="271"/>
        </w:tabs>
        <w:ind w:right="204" w:hanging="284"/>
        <w:rPr>
          <w:rFonts w:ascii="Calibri"/>
          <w:sz w:val="16"/>
        </w:rPr>
      </w:pPr>
      <w:r>
        <w:rPr>
          <w:rFonts w:ascii="Calibri"/>
          <w:sz w:val="16"/>
        </w:rPr>
        <w:t>Based on the maximum fe</w:t>
      </w:r>
      <w:hyperlink r:id="rId476">
        <w:r>
          <w:rPr>
            <w:rFonts w:ascii="Calibri"/>
            <w:sz w:val="16"/>
          </w:rPr>
          <w:t>e loan; https://www.thecompleteuniversityguide.co.uk/university-tuition-fees/university-tuition-fees-and-financial-supp</w:t>
        </w:r>
      </w:hyperlink>
      <w:r>
        <w:rPr>
          <w:rFonts w:ascii="Calibri"/>
          <w:sz w:val="16"/>
        </w:rPr>
        <w:t>ort/if-</w:t>
      </w:r>
      <w:hyperlink r:id="rId477">
        <w:r>
          <w:rPr>
            <w:rFonts w:ascii="Calibri"/>
            <w:sz w:val="16"/>
          </w:rPr>
          <w:t xml:space="preserve"> you-come-from-eng</w:t>
        </w:r>
      </w:hyperlink>
      <w:r>
        <w:rPr>
          <w:rFonts w:ascii="Calibri"/>
          <w:sz w:val="16"/>
        </w:rPr>
        <w:t>land/ [accessed October</w:t>
      </w:r>
      <w:r>
        <w:rPr>
          <w:rFonts w:ascii="Calibri"/>
          <w:spacing w:val="-14"/>
          <w:sz w:val="16"/>
        </w:rPr>
        <w:t xml:space="preserve"> </w:t>
      </w:r>
      <w:r>
        <w:rPr>
          <w:rFonts w:ascii="Calibri"/>
          <w:sz w:val="16"/>
        </w:rPr>
        <w:t>2019].</w:t>
      </w:r>
    </w:p>
    <w:p w:rsidR="006A18FD" w:rsidRDefault="002D29FC">
      <w:pPr>
        <w:numPr>
          <w:ilvl w:val="0"/>
          <w:numId w:val="3"/>
        </w:numPr>
        <w:tabs>
          <w:tab w:val="left" w:pos="271"/>
        </w:tabs>
        <w:spacing w:before="2"/>
        <w:ind w:left="152" w:right="1061" w:firstLine="0"/>
        <w:rPr>
          <w:rFonts w:ascii="Calibri" w:hAnsi="Calibri"/>
          <w:sz w:val="16"/>
        </w:rPr>
      </w:pPr>
      <w:r>
        <w:rPr>
          <w:rFonts w:ascii="Calibri" w:hAnsi="Calibri"/>
          <w:sz w:val="16"/>
        </w:rPr>
        <w:t xml:space="preserve">Drawn </w:t>
      </w:r>
      <w:hyperlink r:id="rId478">
        <w:r>
          <w:rPr>
            <w:rFonts w:ascii="Calibri" w:hAnsi="Calibri"/>
            <w:sz w:val="16"/>
          </w:rPr>
          <w:t>from https://university.which.co.uk/advice/student-finance/whats-the-average-cost-of-living-at-univ</w:t>
        </w:r>
      </w:hyperlink>
      <w:r>
        <w:rPr>
          <w:rFonts w:ascii="Calibri" w:hAnsi="Calibri"/>
          <w:sz w:val="16"/>
        </w:rPr>
        <w:t>ersity [accessed October 2019]. 5 The placement tariff for non-medical placements is £3,112+MFF per annum in 2018/19.</w:t>
      </w:r>
      <w:r>
        <w:rPr>
          <w:rFonts w:ascii="Calibri" w:hAnsi="Calibri"/>
          <w:spacing w:val="-2"/>
          <w:sz w:val="16"/>
        </w:rPr>
        <w:t xml:space="preserve"> </w:t>
      </w:r>
      <w:r>
        <w:rPr>
          <w:rFonts w:ascii="Calibri" w:hAnsi="Calibri"/>
          <w:sz w:val="16"/>
        </w:rPr>
        <w:t>Gov.uk (2019) Education &amp; Training Tariffs,</w:t>
      </w:r>
    </w:p>
    <w:p w:rsidR="006A18FD" w:rsidRDefault="00E60AD2">
      <w:pPr>
        <w:ind w:left="436" w:right="250"/>
        <w:rPr>
          <w:rFonts w:ascii="Calibri"/>
          <w:sz w:val="16"/>
        </w:rPr>
      </w:pPr>
      <w:hyperlink r:id="rId479">
        <w:r w:rsidR="002D29FC">
          <w:rPr>
            <w:rFonts w:ascii="Calibri"/>
            <w:sz w:val="16"/>
          </w:rPr>
          <w:t>https://assets.publishing.service.gov.uk/government/uploads/system/uploads/attachment_data/file/791560/education-and-training-tariffs-2019</w:t>
        </w:r>
      </w:hyperlink>
      <w:r w:rsidR="002D29FC">
        <w:rPr>
          <w:rFonts w:ascii="Calibri"/>
          <w:sz w:val="16"/>
        </w:rPr>
        <w:t>-to- 2020.pdf [accessed October, 2019).</w:t>
      </w:r>
    </w:p>
    <w:p w:rsidR="006A18FD" w:rsidRDefault="002D29FC">
      <w:pPr>
        <w:spacing w:before="1" w:line="194" w:lineRule="exact"/>
        <w:ind w:left="152"/>
        <w:rPr>
          <w:rFonts w:ascii="Calibri"/>
          <w:sz w:val="16"/>
        </w:rPr>
      </w:pPr>
      <w:r>
        <w:rPr>
          <w:rFonts w:ascii="Calibri"/>
          <w:sz w:val="16"/>
        </w:rPr>
        <w:t xml:space="preserve">6 NHS England (2016) </w:t>
      </w:r>
      <w:r>
        <w:rPr>
          <w:rFonts w:ascii="Calibri"/>
          <w:i/>
          <w:sz w:val="16"/>
        </w:rPr>
        <w:t>Review of clinical and educational psychology training arrangements</w:t>
      </w:r>
      <w:r>
        <w:rPr>
          <w:rFonts w:ascii="Calibri"/>
          <w:sz w:val="16"/>
        </w:rPr>
        <w:t>, National College for Teaching and Leadership, London.</w:t>
      </w:r>
    </w:p>
    <w:p w:rsidR="006A18FD" w:rsidRDefault="006A18FD">
      <w:pPr>
        <w:spacing w:line="194" w:lineRule="exact"/>
        <w:rPr>
          <w:rFonts w:ascii="Calibri"/>
          <w:sz w:val="16"/>
        </w:rPr>
        <w:sectPr w:rsidR="006A18FD">
          <w:headerReference w:type="even" r:id="rId480"/>
          <w:pgSz w:w="11910" w:h="16840"/>
          <w:pgMar w:top="660" w:right="520" w:bottom="280" w:left="980" w:header="0" w:footer="0" w:gutter="0"/>
          <w:cols w:space="720"/>
        </w:sectPr>
      </w:pPr>
    </w:p>
    <w:p w:rsidR="006A18FD" w:rsidRDefault="002D29FC">
      <w:pPr>
        <w:tabs>
          <w:tab w:val="left" w:pos="6380"/>
        </w:tabs>
        <w:spacing w:before="41" w:after="22"/>
        <w:ind w:left="146"/>
        <w:rPr>
          <w:rFonts w:ascii="Calibri"/>
        </w:rPr>
      </w:pPr>
      <w:r>
        <w:rPr>
          <w:rFonts w:ascii="Calibri"/>
        </w:rPr>
        <w:t>161</w:t>
      </w:r>
      <w:r>
        <w:rPr>
          <w:rFonts w:ascii="Calibri"/>
        </w:rPr>
        <w:tab/>
        <w:t>Unit Costs of Health and Social Care</w:t>
      </w:r>
      <w:r>
        <w:rPr>
          <w:rFonts w:ascii="Calibri"/>
          <w:spacing w:val="-14"/>
        </w:rPr>
        <w:t xml:space="preserve"> </w:t>
      </w:r>
      <w:r>
        <w:rPr>
          <w:rFonts w:ascii="Calibri"/>
        </w:rPr>
        <w:t>2019</w:t>
      </w:r>
    </w:p>
    <w:p w:rsidR="006A18FD" w:rsidRDefault="00E60AD2">
      <w:pPr>
        <w:spacing w:line="20" w:lineRule="exact"/>
        <w:ind w:left="112"/>
        <w:rPr>
          <w:rFonts w:ascii="Calibri"/>
          <w:sz w:val="2"/>
        </w:rPr>
      </w:pPr>
      <w:r>
        <w:rPr>
          <w:rFonts w:ascii="Calibri"/>
          <w:noProof/>
          <w:sz w:val="2"/>
          <w:lang w:val="en-GB" w:eastAsia="en-GB"/>
        </w:rPr>
        <mc:AlternateContent>
          <mc:Choice Requires="wpg">
            <w:drawing>
              <wp:inline distT="0" distB="0" distL="0" distR="0">
                <wp:extent cx="9919970" cy="6350"/>
                <wp:effectExtent l="9525" t="9525" r="5080" b="3175"/>
                <wp:docPr id="15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9970" cy="6350"/>
                          <a:chOff x="0" y="0"/>
                          <a:chExt cx="15622" cy="10"/>
                        </a:xfrm>
                      </wpg:grpSpPr>
                      <wps:wsp>
                        <wps:cNvPr id="158" name="Line 15"/>
                        <wps:cNvCnPr>
                          <a:cxnSpLocks noChangeShapeType="1"/>
                        </wps:cNvCnPr>
                        <wps:spPr bwMode="auto">
                          <a:xfrm>
                            <a:off x="5" y="5"/>
                            <a:ext cx="156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7E9222" id="Group 14" o:spid="_x0000_s1026" style="width:781.1pt;height:.5pt;mso-position-horizontal-relative:char;mso-position-vertical-relative:line" coordsize="156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">
                <v:line id="Line 15" o:spid="_x0000_s1027" style="position:absolute;visibility:visible;mso-wrap-style:square" from="5,5" to="1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anchorlock/>
              </v:group>
            </w:pict>
          </mc:Fallback>
        </mc:AlternateContent>
      </w:r>
    </w:p>
    <w:p w:rsidR="006A18FD" w:rsidRDefault="002D29FC" w:rsidP="005629E5">
      <w:pPr>
        <w:pStyle w:val="Heading2"/>
        <w:numPr>
          <w:ilvl w:val="1"/>
          <w:numId w:val="4"/>
        </w:numPr>
        <w:ind w:left="851" w:hanging="851"/>
      </w:pPr>
      <w:r>
        <w:t>Training costs of doctors (after</w:t>
      </w:r>
      <w:r>
        <w:rPr>
          <w:spacing w:val="-16"/>
        </w:rPr>
        <w:t xml:space="preserve"> </w:t>
      </w:r>
      <w:r>
        <w:t>discounting)</w:t>
      </w:r>
    </w:p>
    <w:p w:rsidR="006A18FD" w:rsidRDefault="006A18FD">
      <w:pPr>
        <w:spacing w:before="7" w:after="1"/>
        <w:rPr>
          <w:rFonts w:ascii="Cambria"/>
          <w:b/>
          <w:sz w:val="9"/>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5"/>
        <w:gridCol w:w="1685"/>
        <w:gridCol w:w="2138"/>
        <w:gridCol w:w="1707"/>
        <w:gridCol w:w="1754"/>
        <w:gridCol w:w="1664"/>
        <w:gridCol w:w="1774"/>
        <w:gridCol w:w="1575"/>
      </w:tblGrid>
      <w:tr w:rsidR="006A18FD" w:rsidTr="00CA19E0">
        <w:trPr>
          <w:trHeight w:val="960"/>
          <w:tblHeader/>
        </w:trPr>
        <w:tc>
          <w:tcPr>
            <w:tcW w:w="3075" w:type="dxa"/>
          </w:tcPr>
          <w:p w:rsidR="006A18FD" w:rsidRDefault="002D29FC">
            <w:pPr>
              <w:spacing w:before="1"/>
              <w:ind w:left="103"/>
              <w:rPr>
                <w:rFonts w:ascii="Calibri"/>
                <w:b/>
                <w:sz w:val="20"/>
              </w:rPr>
            </w:pPr>
            <w:r>
              <w:rPr>
                <w:rFonts w:ascii="Calibri"/>
                <w:b/>
                <w:sz w:val="20"/>
              </w:rPr>
              <w:t>Doctor (working life in years)</w:t>
            </w:r>
          </w:p>
        </w:tc>
        <w:tc>
          <w:tcPr>
            <w:tcW w:w="1685" w:type="dxa"/>
          </w:tcPr>
          <w:p w:rsidR="006A18FD" w:rsidRDefault="002D29FC">
            <w:pPr>
              <w:spacing w:before="1"/>
              <w:ind w:left="542"/>
              <w:rPr>
                <w:rFonts w:ascii="Calibri"/>
                <w:b/>
                <w:sz w:val="20"/>
              </w:rPr>
            </w:pPr>
            <w:r>
              <w:rPr>
                <w:rFonts w:ascii="Calibri"/>
                <w:b/>
                <w:sz w:val="20"/>
              </w:rPr>
              <w:t>Tuition</w:t>
            </w:r>
          </w:p>
        </w:tc>
        <w:tc>
          <w:tcPr>
            <w:tcW w:w="2138" w:type="dxa"/>
          </w:tcPr>
          <w:p w:rsidR="006A18FD" w:rsidRDefault="002D29FC">
            <w:pPr>
              <w:spacing w:before="1"/>
              <w:ind w:left="374" w:right="201" w:hanging="152"/>
              <w:rPr>
                <w:rFonts w:ascii="Calibri"/>
                <w:b/>
                <w:sz w:val="20"/>
              </w:rPr>
            </w:pPr>
            <w:r>
              <w:rPr>
                <w:rFonts w:ascii="Calibri"/>
                <w:b/>
                <w:sz w:val="20"/>
              </w:rPr>
              <w:t>Living expenses/lost production costs</w:t>
            </w:r>
          </w:p>
        </w:tc>
        <w:tc>
          <w:tcPr>
            <w:tcW w:w="1707" w:type="dxa"/>
          </w:tcPr>
          <w:p w:rsidR="006A18FD" w:rsidRDefault="002D29FC">
            <w:pPr>
              <w:spacing w:before="1"/>
              <w:ind w:left="410" w:firstLine="144"/>
              <w:rPr>
                <w:rFonts w:ascii="Calibri"/>
                <w:b/>
                <w:sz w:val="20"/>
              </w:rPr>
            </w:pPr>
            <w:r>
              <w:rPr>
                <w:rFonts w:ascii="Calibri"/>
                <w:b/>
                <w:sz w:val="20"/>
              </w:rPr>
              <w:t xml:space="preserve">Clinical </w:t>
            </w:r>
            <w:r>
              <w:rPr>
                <w:rFonts w:ascii="Calibri"/>
                <w:b/>
                <w:w w:val="95"/>
                <w:sz w:val="20"/>
              </w:rPr>
              <w:t>placement</w:t>
            </w:r>
          </w:p>
        </w:tc>
        <w:tc>
          <w:tcPr>
            <w:tcW w:w="1754" w:type="dxa"/>
          </w:tcPr>
          <w:p w:rsidR="006A18FD" w:rsidRDefault="002D29FC">
            <w:pPr>
              <w:spacing w:before="4" w:line="237" w:lineRule="auto"/>
              <w:ind w:left="158" w:right="157" w:hanging="3"/>
              <w:jc w:val="center"/>
              <w:rPr>
                <w:rFonts w:ascii="Calibri"/>
                <w:b/>
                <w:sz w:val="20"/>
              </w:rPr>
            </w:pPr>
            <w:r>
              <w:rPr>
                <w:rFonts w:ascii="Calibri"/>
                <w:b/>
                <w:sz w:val="20"/>
              </w:rPr>
              <w:t>Placement fee</w:t>
            </w:r>
            <w:r>
              <w:rPr>
                <w:rFonts w:ascii="Calibri"/>
                <w:b/>
                <w:position w:val="7"/>
                <w:sz w:val="13"/>
              </w:rPr>
              <w:t>1,2</w:t>
            </w:r>
            <w:r>
              <w:rPr>
                <w:rFonts w:ascii="Calibri"/>
                <w:b/>
                <w:sz w:val="20"/>
              </w:rPr>
              <w:t>plus Market Forces Factor (a)</w:t>
            </w:r>
          </w:p>
        </w:tc>
        <w:tc>
          <w:tcPr>
            <w:tcW w:w="1664" w:type="dxa"/>
          </w:tcPr>
          <w:p w:rsidR="006A18FD" w:rsidRDefault="002D29FC">
            <w:pPr>
              <w:spacing w:before="1"/>
              <w:ind w:left="182" w:right="179"/>
              <w:jc w:val="center"/>
              <w:rPr>
                <w:rFonts w:ascii="Calibri"/>
                <w:b/>
                <w:sz w:val="20"/>
              </w:rPr>
            </w:pPr>
            <w:r>
              <w:rPr>
                <w:rFonts w:ascii="Calibri"/>
                <w:b/>
                <w:sz w:val="20"/>
              </w:rPr>
              <w:t>Salary (inc overheads) and post-graduate</w:t>
            </w:r>
          </w:p>
          <w:p w:rsidR="006A18FD" w:rsidRDefault="002D29FC">
            <w:pPr>
              <w:spacing w:line="223" w:lineRule="exact"/>
              <w:ind w:left="182" w:right="179"/>
              <w:jc w:val="center"/>
              <w:rPr>
                <w:rFonts w:ascii="Calibri"/>
                <w:b/>
                <w:sz w:val="20"/>
              </w:rPr>
            </w:pPr>
            <w:r>
              <w:rPr>
                <w:rFonts w:ascii="Calibri"/>
                <w:b/>
                <w:sz w:val="20"/>
              </w:rPr>
              <w:t>centre costs</w:t>
            </w:r>
          </w:p>
        </w:tc>
        <w:tc>
          <w:tcPr>
            <w:tcW w:w="1774" w:type="dxa"/>
          </w:tcPr>
          <w:p w:rsidR="006A18FD" w:rsidRDefault="002D29FC">
            <w:pPr>
              <w:spacing w:before="1"/>
              <w:ind w:left="158" w:right="155"/>
              <w:jc w:val="center"/>
              <w:rPr>
                <w:rFonts w:ascii="Calibri"/>
                <w:b/>
                <w:sz w:val="20"/>
              </w:rPr>
            </w:pPr>
            <w:r>
              <w:rPr>
                <w:rFonts w:ascii="Calibri"/>
                <w:b/>
                <w:sz w:val="20"/>
              </w:rPr>
              <w:t>Total investment</w:t>
            </w:r>
          </w:p>
        </w:tc>
        <w:tc>
          <w:tcPr>
            <w:tcW w:w="1575" w:type="dxa"/>
          </w:tcPr>
          <w:p w:rsidR="006A18FD" w:rsidRDefault="002D29FC">
            <w:pPr>
              <w:spacing w:before="1"/>
              <w:ind w:left="215" w:right="211" w:firstLine="1"/>
              <w:jc w:val="center"/>
              <w:rPr>
                <w:rFonts w:ascii="Calibri"/>
                <w:b/>
                <w:sz w:val="20"/>
              </w:rPr>
            </w:pPr>
            <w:r>
              <w:rPr>
                <w:rFonts w:ascii="Calibri"/>
                <w:b/>
                <w:sz w:val="20"/>
              </w:rPr>
              <w:t>Expected annual cost discounted at</w:t>
            </w:r>
          </w:p>
          <w:p w:rsidR="006A18FD" w:rsidRDefault="002D29FC">
            <w:pPr>
              <w:spacing w:line="223" w:lineRule="exact"/>
              <w:ind w:left="432" w:right="431"/>
              <w:jc w:val="center"/>
              <w:rPr>
                <w:rFonts w:ascii="Calibri"/>
                <w:b/>
                <w:sz w:val="20"/>
              </w:rPr>
            </w:pPr>
            <w:r>
              <w:rPr>
                <w:rFonts w:ascii="Calibri"/>
                <w:b/>
                <w:sz w:val="20"/>
              </w:rPr>
              <w:t>3.5%</w:t>
            </w:r>
          </w:p>
        </w:tc>
      </w:tr>
      <w:tr w:rsidR="006A18FD">
        <w:trPr>
          <w:trHeight w:val="260"/>
        </w:trPr>
        <w:tc>
          <w:tcPr>
            <w:tcW w:w="3075" w:type="dxa"/>
            <w:tcBorders>
              <w:bottom w:val="nil"/>
            </w:tcBorders>
          </w:tcPr>
          <w:p w:rsidR="006A18FD" w:rsidRDefault="002D29FC">
            <w:pPr>
              <w:spacing w:before="1" w:line="242" w:lineRule="exact"/>
              <w:ind w:left="103"/>
              <w:rPr>
                <w:rFonts w:ascii="Calibri"/>
                <w:sz w:val="20"/>
              </w:rPr>
            </w:pPr>
            <w:r>
              <w:rPr>
                <w:rFonts w:ascii="Calibri"/>
                <w:sz w:val="20"/>
              </w:rPr>
              <w:t>Doctor (22)</w:t>
            </w:r>
          </w:p>
        </w:tc>
        <w:tc>
          <w:tcPr>
            <w:tcW w:w="1685" w:type="dxa"/>
            <w:tcBorders>
              <w:bottom w:val="nil"/>
            </w:tcBorders>
          </w:tcPr>
          <w:p w:rsidR="006A18FD" w:rsidRDefault="006A18FD">
            <w:pPr>
              <w:rPr>
                <w:rFonts w:ascii="Times New Roman"/>
                <w:sz w:val="18"/>
              </w:rPr>
            </w:pPr>
          </w:p>
        </w:tc>
        <w:tc>
          <w:tcPr>
            <w:tcW w:w="2138" w:type="dxa"/>
            <w:tcBorders>
              <w:bottom w:val="nil"/>
            </w:tcBorders>
          </w:tcPr>
          <w:p w:rsidR="006A18FD" w:rsidRDefault="006A18FD">
            <w:pPr>
              <w:rPr>
                <w:rFonts w:ascii="Times New Roman"/>
                <w:sz w:val="18"/>
              </w:rPr>
            </w:pPr>
          </w:p>
        </w:tc>
        <w:tc>
          <w:tcPr>
            <w:tcW w:w="1707" w:type="dxa"/>
            <w:tcBorders>
              <w:bottom w:val="nil"/>
            </w:tcBorders>
          </w:tcPr>
          <w:p w:rsidR="006A18FD" w:rsidRDefault="006A18FD">
            <w:pPr>
              <w:rPr>
                <w:rFonts w:ascii="Times New Roman"/>
                <w:sz w:val="18"/>
              </w:rPr>
            </w:pPr>
          </w:p>
        </w:tc>
        <w:tc>
          <w:tcPr>
            <w:tcW w:w="1754" w:type="dxa"/>
            <w:tcBorders>
              <w:bottom w:val="nil"/>
            </w:tcBorders>
          </w:tcPr>
          <w:p w:rsidR="006A18FD" w:rsidRDefault="006A18FD">
            <w:pPr>
              <w:rPr>
                <w:rFonts w:ascii="Times New Roman"/>
                <w:sz w:val="18"/>
              </w:rPr>
            </w:pPr>
          </w:p>
        </w:tc>
        <w:tc>
          <w:tcPr>
            <w:tcW w:w="1664" w:type="dxa"/>
            <w:tcBorders>
              <w:bottom w:val="nil"/>
            </w:tcBorders>
          </w:tcPr>
          <w:p w:rsidR="006A18FD" w:rsidRDefault="006A18FD">
            <w:pPr>
              <w:rPr>
                <w:rFonts w:ascii="Times New Roman"/>
                <w:sz w:val="18"/>
              </w:rPr>
            </w:pPr>
          </w:p>
        </w:tc>
        <w:tc>
          <w:tcPr>
            <w:tcW w:w="1774" w:type="dxa"/>
            <w:tcBorders>
              <w:bottom w:val="nil"/>
            </w:tcBorders>
          </w:tcPr>
          <w:p w:rsidR="006A18FD" w:rsidRDefault="006A18FD">
            <w:pPr>
              <w:rPr>
                <w:rFonts w:ascii="Times New Roman"/>
                <w:sz w:val="18"/>
              </w:rPr>
            </w:pPr>
          </w:p>
        </w:tc>
        <w:tc>
          <w:tcPr>
            <w:tcW w:w="1575" w:type="dxa"/>
            <w:tcBorders>
              <w:bottom w:val="nil"/>
            </w:tcBorders>
          </w:tcPr>
          <w:p w:rsidR="006A18FD" w:rsidRDefault="006A18FD">
            <w:pPr>
              <w:rPr>
                <w:rFonts w:ascii="Times New Roman"/>
                <w:sz w:val="18"/>
              </w:rPr>
            </w:pPr>
          </w:p>
        </w:tc>
      </w:tr>
      <w:tr w:rsidR="006A18FD">
        <w:trPr>
          <w:trHeight w:val="240"/>
        </w:trPr>
        <w:tc>
          <w:tcPr>
            <w:tcW w:w="3075" w:type="dxa"/>
            <w:tcBorders>
              <w:top w:val="nil"/>
              <w:bottom w:val="nil"/>
            </w:tcBorders>
          </w:tcPr>
          <w:p w:rsidR="006A18FD" w:rsidRDefault="002D29FC">
            <w:pPr>
              <w:spacing w:line="224" w:lineRule="exact"/>
              <w:ind w:left="103"/>
              <w:rPr>
                <w:rFonts w:ascii="Calibri"/>
                <w:sz w:val="20"/>
              </w:rPr>
            </w:pPr>
            <w:r>
              <w:rPr>
                <w:rFonts w:ascii="Calibri"/>
                <w:sz w:val="20"/>
              </w:rPr>
              <w:t>Pre-registration training: years 1-5</w:t>
            </w:r>
          </w:p>
        </w:tc>
        <w:tc>
          <w:tcPr>
            <w:tcW w:w="1685" w:type="dxa"/>
            <w:tcBorders>
              <w:top w:val="nil"/>
              <w:bottom w:val="nil"/>
            </w:tcBorders>
          </w:tcPr>
          <w:p w:rsidR="006A18FD" w:rsidRDefault="002D29FC">
            <w:pPr>
              <w:spacing w:line="224"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4"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4"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4" w:lineRule="exact"/>
              <w:ind w:left="522" w:right="523"/>
              <w:jc w:val="center"/>
              <w:rPr>
                <w:rFonts w:ascii="Calibri"/>
                <w:sz w:val="20"/>
              </w:rPr>
            </w:pPr>
            <w:r>
              <w:rPr>
                <w:rFonts w:ascii="Calibri"/>
                <w:sz w:val="20"/>
              </w:rPr>
              <w:t>NA</w:t>
            </w:r>
          </w:p>
        </w:tc>
        <w:tc>
          <w:tcPr>
            <w:tcW w:w="1664" w:type="dxa"/>
            <w:tcBorders>
              <w:top w:val="nil"/>
              <w:bottom w:val="nil"/>
            </w:tcBorders>
          </w:tcPr>
          <w:p w:rsidR="006A18FD" w:rsidRDefault="006A18FD">
            <w:pPr>
              <w:rPr>
                <w:rFonts w:ascii="Times New Roman"/>
                <w:sz w:val="16"/>
              </w:rPr>
            </w:pPr>
          </w:p>
        </w:tc>
        <w:tc>
          <w:tcPr>
            <w:tcW w:w="1774" w:type="dxa"/>
            <w:tcBorders>
              <w:top w:val="nil"/>
              <w:bottom w:val="nil"/>
            </w:tcBorders>
          </w:tcPr>
          <w:p w:rsidR="006A18FD" w:rsidRDefault="002D29FC">
            <w:pPr>
              <w:spacing w:line="224" w:lineRule="exact"/>
              <w:ind w:left="155" w:right="155"/>
              <w:jc w:val="center"/>
              <w:rPr>
                <w:rFonts w:ascii="Calibri" w:hAnsi="Calibri"/>
                <w:sz w:val="20"/>
              </w:rPr>
            </w:pPr>
            <w:r>
              <w:rPr>
                <w:rFonts w:ascii="Calibri" w:hAnsi="Calibri"/>
                <w:sz w:val="20"/>
              </w:rPr>
              <w:t>£245,213</w:t>
            </w:r>
          </w:p>
        </w:tc>
        <w:tc>
          <w:tcPr>
            <w:tcW w:w="1575" w:type="dxa"/>
            <w:tcBorders>
              <w:top w:val="nil"/>
              <w:bottom w:val="nil"/>
            </w:tcBorders>
          </w:tcPr>
          <w:p w:rsidR="006A18FD" w:rsidRDefault="002D29FC">
            <w:pPr>
              <w:spacing w:line="224" w:lineRule="exact"/>
              <w:ind w:left="434" w:right="431"/>
              <w:jc w:val="center"/>
              <w:rPr>
                <w:rFonts w:ascii="Calibri" w:hAnsi="Calibri"/>
                <w:sz w:val="20"/>
              </w:rPr>
            </w:pPr>
            <w:r>
              <w:rPr>
                <w:rFonts w:ascii="Calibri" w:hAnsi="Calibri"/>
                <w:sz w:val="20"/>
              </w:rPr>
              <w:t>£20,132</w:t>
            </w:r>
          </w:p>
        </w:tc>
      </w:tr>
      <w:tr w:rsidR="006A18FD">
        <w:trPr>
          <w:trHeight w:val="240"/>
        </w:trPr>
        <w:tc>
          <w:tcPr>
            <w:tcW w:w="3075" w:type="dxa"/>
            <w:tcBorders>
              <w:top w:val="nil"/>
              <w:bottom w:val="nil"/>
            </w:tcBorders>
          </w:tcPr>
          <w:p w:rsidR="006A18FD" w:rsidRDefault="002D29FC">
            <w:pPr>
              <w:spacing w:line="225" w:lineRule="exact"/>
              <w:ind w:left="103"/>
              <w:rPr>
                <w:rFonts w:ascii="Calibri"/>
                <w:sz w:val="20"/>
              </w:rPr>
            </w:pPr>
            <w:r>
              <w:rPr>
                <w:rFonts w:ascii="Calibri"/>
                <w:sz w:val="20"/>
              </w:rPr>
              <w:t>Post-graduate</w:t>
            </w:r>
          </w:p>
        </w:tc>
        <w:tc>
          <w:tcPr>
            <w:tcW w:w="1685" w:type="dxa"/>
            <w:tcBorders>
              <w:top w:val="nil"/>
              <w:bottom w:val="nil"/>
            </w:tcBorders>
          </w:tcPr>
          <w:p w:rsidR="006A18FD" w:rsidRDefault="006A18FD">
            <w:pPr>
              <w:rPr>
                <w:rFonts w:ascii="Times New Roman"/>
                <w:sz w:val="16"/>
              </w:rPr>
            </w:pPr>
          </w:p>
        </w:tc>
        <w:tc>
          <w:tcPr>
            <w:tcW w:w="2138" w:type="dxa"/>
            <w:tcBorders>
              <w:top w:val="nil"/>
              <w:bottom w:val="nil"/>
            </w:tcBorders>
          </w:tcPr>
          <w:p w:rsidR="006A18FD" w:rsidRDefault="006A18FD">
            <w:pPr>
              <w:rPr>
                <w:rFonts w:ascii="Times New Roman"/>
                <w:sz w:val="16"/>
              </w:rPr>
            </w:pPr>
          </w:p>
        </w:tc>
        <w:tc>
          <w:tcPr>
            <w:tcW w:w="1707" w:type="dxa"/>
            <w:tcBorders>
              <w:top w:val="nil"/>
              <w:bottom w:val="nil"/>
            </w:tcBorders>
          </w:tcPr>
          <w:p w:rsidR="006A18FD" w:rsidRDefault="006A18FD">
            <w:pPr>
              <w:rPr>
                <w:rFonts w:ascii="Times New Roman"/>
                <w:sz w:val="16"/>
              </w:rPr>
            </w:pPr>
          </w:p>
        </w:tc>
        <w:tc>
          <w:tcPr>
            <w:tcW w:w="1754" w:type="dxa"/>
            <w:tcBorders>
              <w:top w:val="nil"/>
              <w:bottom w:val="nil"/>
            </w:tcBorders>
          </w:tcPr>
          <w:p w:rsidR="006A18FD" w:rsidRDefault="006A18FD">
            <w:pPr>
              <w:rPr>
                <w:rFonts w:ascii="Times New Roman"/>
                <w:sz w:val="16"/>
              </w:rPr>
            </w:pPr>
          </w:p>
        </w:tc>
        <w:tc>
          <w:tcPr>
            <w:tcW w:w="1664" w:type="dxa"/>
            <w:tcBorders>
              <w:top w:val="nil"/>
              <w:bottom w:val="nil"/>
            </w:tcBorders>
          </w:tcPr>
          <w:p w:rsidR="006A18FD" w:rsidRDefault="006A18FD">
            <w:pPr>
              <w:rPr>
                <w:rFonts w:ascii="Times New Roman"/>
                <w:sz w:val="16"/>
              </w:rPr>
            </w:pPr>
          </w:p>
        </w:tc>
        <w:tc>
          <w:tcPr>
            <w:tcW w:w="1774" w:type="dxa"/>
            <w:tcBorders>
              <w:top w:val="nil"/>
              <w:bottom w:val="nil"/>
            </w:tcBorders>
          </w:tcPr>
          <w:p w:rsidR="006A18FD" w:rsidRDefault="006A18FD">
            <w:pPr>
              <w:rPr>
                <w:rFonts w:ascii="Times New Roman"/>
                <w:sz w:val="16"/>
              </w:rPr>
            </w:pPr>
          </w:p>
        </w:tc>
        <w:tc>
          <w:tcPr>
            <w:tcW w:w="1575" w:type="dxa"/>
            <w:tcBorders>
              <w:top w:val="nil"/>
              <w:bottom w:val="nil"/>
            </w:tcBorders>
          </w:tcPr>
          <w:p w:rsidR="006A18FD" w:rsidRDefault="006A18FD">
            <w:pPr>
              <w:rPr>
                <w:rFonts w:ascii="Times New Roman"/>
                <w:sz w:val="16"/>
              </w:rPr>
            </w:pPr>
          </w:p>
        </w:tc>
      </w:tr>
      <w:tr w:rsidR="006A18FD">
        <w:trPr>
          <w:trHeight w:val="240"/>
        </w:trPr>
        <w:tc>
          <w:tcPr>
            <w:tcW w:w="3075" w:type="dxa"/>
            <w:tcBorders>
              <w:top w:val="nil"/>
              <w:bottom w:val="nil"/>
            </w:tcBorders>
          </w:tcPr>
          <w:p w:rsidR="006A18FD" w:rsidRDefault="002D29FC">
            <w:pPr>
              <w:spacing w:line="225" w:lineRule="exact"/>
              <w:ind w:left="103"/>
              <w:rPr>
                <w:rFonts w:ascii="Calibri"/>
                <w:sz w:val="20"/>
              </w:rPr>
            </w:pPr>
            <w:r>
              <w:rPr>
                <w:rFonts w:ascii="Calibri"/>
                <w:sz w:val="20"/>
              </w:rPr>
              <w:t>Foundation officer 1 (included in</w:t>
            </w:r>
          </w:p>
        </w:tc>
        <w:tc>
          <w:tcPr>
            <w:tcW w:w="1685" w:type="dxa"/>
            <w:tcBorders>
              <w:top w:val="nil"/>
              <w:bottom w:val="nil"/>
            </w:tcBorders>
          </w:tcPr>
          <w:p w:rsidR="006A18FD" w:rsidRDefault="002D29FC">
            <w:pPr>
              <w:spacing w:line="225"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5"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5"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5" w:lineRule="exact"/>
              <w:ind w:left="522" w:right="524"/>
              <w:jc w:val="center"/>
              <w:rPr>
                <w:rFonts w:ascii="Calibri" w:hAnsi="Calibri"/>
                <w:sz w:val="20"/>
              </w:rPr>
            </w:pPr>
            <w:r>
              <w:rPr>
                <w:rFonts w:ascii="Calibri" w:hAnsi="Calibri"/>
                <w:sz w:val="20"/>
              </w:rPr>
              <w:t>£10,754</w:t>
            </w:r>
          </w:p>
        </w:tc>
        <w:tc>
          <w:tcPr>
            <w:tcW w:w="1664" w:type="dxa"/>
            <w:tcBorders>
              <w:top w:val="nil"/>
              <w:bottom w:val="nil"/>
            </w:tcBorders>
          </w:tcPr>
          <w:p w:rsidR="006A18FD" w:rsidRDefault="002D29FC">
            <w:pPr>
              <w:spacing w:line="225" w:lineRule="exact"/>
              <w:ind w:left="180" w:right="179"/>
              <w:jc w:val="center"/>
              <w:rPr>
                <w:rFonts w:ascii="Calibri" w:hAnsi="Calibri"/>
                <w:sz w:val="20"/>
              </w:rPr>
            </w:pPr>
            <w:r>
              <w:rPr>
                <w:rFonts w:ascii="Calibri" w:hAnsi="Calibri"/>
                <w:sz w:val="20"/>
              </w:rPr>
              <w:t>£51,708</w:t>
            </w:r>
          </w:p>
        </w:tc>
        <w:tc>
          <w:tcPr>
            <w:tcW w:w="1774" w:type="dxa"/>
            <w:tcBorders>
              <w:top w:val="nil"/>
              <w:bottom w:val="nil"/>
            </w:tcBorders>
          </w:tcPr>
          <w:p w:rsidR="006A18FD" w:rsidRDefault="002D29FC">
            <w:pPr>
              <w:spacing w:line="225" w:lineRule="exact"/>
              <w:ind w:left="155" w:right="155"/>
              <w:jc w:val="center"/>
              <w:rPr>
                <w:rFonts w:ascii="Calibri" w:hAnsi="Calibri"/>
                <w:sz w:val="20"/>
              </w:rPr>
            </w:pPr>
            <w:r>
              <w:rPr>
                <w:rFonts w:ascii="Calibri" w:hAnsi="Calibri"/>
                <w:sz w:val="20"/>
              </w:rPr>
              <w:t>£307,675</w:t>
            </w:r>
          </w:p>
        </w:tc>
        <w:tc>
          <w:tcPr>
            <w:tcW w:w="1575" w:type="dxa"/>
            <w:tcBorders>
              <w:top w:val="nil"/>
              <w:bottom w:val="nil"/>
            </w:tcBorders>
          </w:tcPr>
          <w:p w:rsidR="006A18FD" w:rsidRDefault="002D29FC">
            <w:pPr>
              <w:spacing w:line="225" w:lineRule="exact"/>
              <w:ind w:left="433" w:right="431"/>
              <w:jc w:val="center"/>
              <w:rPr>
                <w:rFonts w:ascii="Calibri" w:hAnsi="Calibri"/>
                <w:sz w:val="20"/>
              </w:rPr>
            </w:pPr>
            <w:r>
              <w:rPr>
                <w:rFonts w:ascii="Calibri" w:hAnsi="Calibri"/>
                <w:sz w:val="20"/>
              </w:rPr>
              <w:t>£25,261</w:t>
            </w:r>
          </w:p>
        </w:tc>
      </w:tr>
      <w:tr w:rsidR="006A18FD">
        <w:trPr>
          <w:trHeight w:val="240"/>
        </w:trPr>
        <w:tc>
          <w:tcPr>
            <w:tcW w:w="3075" w:type="dxa"/>
            <w:tcBorders>
              <w:top w:val="nil"/>
              <w:bottom w:val="nil"/>
            </w:tcBorders>
          </w:tcPr>
          <w:p w:rsidR="006A18FD" w:rsidRDefault="002D29FC">
            <w:pPr>
              <w:spacing w:line="224" w:lineRule="exact"/>
              <w:ind w:left="103"/>
              <w:rPr>
                <w:rFonts w:ascii="Calibri"/>
                <w:sz w:val="20"/>
              </w:rPr>
            </w:pPr>
            <w:r>
              <w:rPr>
                <w:rFonts w:ascii="Calibri"/>
                <w:sz w:val="20"/>
              </w:rPr>
              <w:t>pre-reg training)</w:t>
            </w:r>
          </w:p>
        </w:tc>
        <w:tc>
          <w:tcPr>
            <w:tcW w:w="1685" w:type="dxa"/>
            <w:tcBorders>
              <w:top w:val="nil"/>
              <w:bottom w:val="nil"/>
            </w:tcBorders>
          </w:tcPr>
          <w:p w:rsidR="006A18FD" w:rsidRDefault="006A18FD">
            <w:pPr>
              <w:rPr>
                <w:rFonts w:ascii="Times New Roman"/>
                <w:sz w:val="16"/>
              </w:rPr>
            </w:pPr>
          </w:p>
        </w:tc>
        <w:tc>
          <w:tcPr>
            <w:tcW w:w="2138" w:type="dxa"/>
            <w:tcBorders>
              <w:top w:val="nil"/>
              <w:bottom w:val="nil"/>
            </w:tcBorders>
          </w:tcPr>
          <w:p w:rsidR="006A18FD" w:rsidRDefault="006A18FD">
            <w:pPr>
              <w:rPr>
                <w:rFonts w:ascii="Times New Roman"/>
                <w:sz w:val="16"/>
              </w:rPr>
            </w:pPr>
          </w:p>
        </w:tc>
        <w:tc>
          <w:tcPr>
            <w:tcW w:w="1707" w:type="dxa"/>
            <w:tcBorders>
              <w:top w:val="nil"/>
              <w:bottom w:val="nil"/>
            </w:tcBorders>
          </w:tcPr>
          <w:p w:rsidR="006A18FD" w:rsidRDefault="006A18FD">
            <w:pPr>
              <w:rPr>
                <w:rFonts w:ascii="Times New Roman"/>
                <w:sz w:val="16"/>
              </w:rPr>
            </w:pPr>
          </w:p>
        </w:tc>
        <w:tc>
          <w:tcPr>
            <w:tcW w:w="1754" w:type="dxa"/>
            <w:tcBorders>
              <w:top w:val="nil"/>
              <w:bottom w:val="nil"/>
            </w:tcBorders>
          </w:tcPr>
          <w:p w:rsidR="006A18FD" w:rsidRDefault="006A18FD">
            <w:pPr>
              <w:rPr>
                <w:rFonts w:ascii="Times New Roman"/>
                <w:sz w:val="16"/>
              </w:rPr>
            </w:pPr>
          </w:p>
        </w:tc>
        <w:tc>
          <w:tcPr>
            <w:tcW w:w="1664" w:type="dxa"/>
            <w:tcBorders>
              <w:top w:val="nil"/>
              <w:bottom w:val="nil"/>
            </w:tcBorders>
          </w:tcPr>
          <w:p w:rsidR="006A18FD" w:rsidRDefault="006A18FD">
            <w:pPr>
              <w:rPr>
                <w:rFonts w:ascii="Times New Roman"/>
                <w:sz w:val="16"/>
              </w:rPr>
            </w:pPr>
          </w:p>
        </w:tc>
        <w:tc>
          <w:tcPr>
            <w:tcW w:w="1774" w:type="dxa"/>
            <w:tcBorders>
              <w:top w:val="nil"/>
              <w:bottom w:val="nil"/>
            </w:tcBorders>
          </w:tcPr>
          <w:p w:rsidR="006A18FD" w:rsidRDefault="006A18FD">
            <w:pPr>
              <w:rPr>
                <w:rFonts w:ascii="Times New Roman"/>
                <w:sz w:val="16"/>
              </w:rPr>
            </w:pPr>
          </w:p>
        </w:tc>
        <w:tc>
          <w:tcPr>
            <w:tcW w:w="1575" w:type="dxa"/>
            <w:tcBorders>
              <w:top w:val="nil"/>
              <w:bottom w:val="nil"/>
            </w:tcBorders>
          </w:tcPr>
          <w:p w:rsidR="006A18FD" w:rsidRDefault="006A18FD">
            <w:pPr>
              <w:rPr>
                <w:rFonts w:ascii="Times New Roman"/>
                <w:sz w:val="16"/>
              </w:rPr>
            </w:pPr>
          </w:p>
        </w:tc>
      </w:tr>
      <w:tr w:rsidR="006A18FD">
        <w:trPr>
          <w:trHeight w:val="240"/>
        </w:trPr>
        <w:tc>
          <w:tcPr>
            <w:tcW w:w="3075" w:type="dxa"/>
            <w:tcBorders>
              <w:top w:val="nil"/>
              <w:bottom w:val="nil"/>
            </w:tcBorders>
          </w:tcPr>
          <w:p w:rsidR="006A18FD" w:rsidRDefault="002D29FC">
            <w:pPr>
              <w:spacing w:line="224" w:lineRule="exact"/>
              <w:ind w:left="103"/>
              <w:rPr>
                <w:rFonts w:ascii="Calibri"/>
                <w:sz w:val="20"/>
              </w:rPr>
            </w:pPr>
            <w:r>
              <w:rPr>
                <w:rFonts w:ascii="Calibri"/>
                <w:sz w:val="20"/>
              </w:rPr>
              <w:t>Foundation officer 2</w:t>
            </w:r>
          </w:p>
        </w:tc>
        <w:tc>
          <w:tcPr>
            <w:tcW w:w="1685" w:type="dxa"/>
            <w:tcBorders>
              <w:top w:val="nil"/>
              <w:bottom w:val="nil"/>
            </w:tcBorders>
          </w:tcPr>
          <w:p w:rsidR="006A18FD" w:rsidRDefault="002D29FC">
            <w:pPr>
              <w:spacing w:line="224"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4"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4"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4" w:lineRule="exact"/>
              <w:ind w:left="522" w:right="524"/>
              <w:jc w:val="center"/>
              <w:rPr>
                <w:rFonts w:ascii="Calibri" w:hAnsi="Calibri"/>
                <w:sz w:val="20"/>
              </w:rPr>
            </w:pPr>
            <w:r>
              <w:rPr>
                <w:rFonts w:ascii="Calibri" w:hAnsi="Calibri"/>
                <w:sz w:val="20"/>
              </w:rPr>
              <w:t>£20,276</w:t>
            </w:r>
          </w:p>
        </w:tc>
        <w:tc>
          <w:tcPr>
            <w:tcW w:w="1664" w:type="dxa"/>
            <w:tcBorders>
              <w:top w:val="nil"/>
              <w:bottom w:val="nil"/>
            </w:tcBorders>
          </w:tcPr>
          <w:p w:rsidR="006A18FD" w:rsidRDefault="002D29FC">
            <w:pPr>
              <w:spacing w:line="224" w:lineRule="exact"/>
              <w:ind w:left="180" w:right="179"/>
              <w:jc w:val="center"/>
              <w:rPr>
                <w:rFonts w:ascii="Calibri" w:hAnsi="Calibri"/>
                <w:sz w:val="20"/>
              </w:rPr>
            </w:pPr>
            <w:r>
              <w:rPr>
                <w:rFonts w:ascii="Calibri" w:hAnsi="Calibri"/>
                <w:sz w:val="20"/>
              </w:rPr>
              <w:t>£56,605</w:t>
            </w:r>
          </w:p>
        </w:tc>
        <w:tc>
          <w:tcPr>
            <w:tcW w:w="1774" w:type="dxa"/>
            <w:tcBorders>
              <w:top w:val="nil"/>
              <w:bottom w:val="nil"/>
            </w:tcBorders>
          </w:tcPr>
          <w:p w:rsidR="006A18FD" w:rsidRDefault="002D29FC">
            <w:pPr>
              <w:spacing w:line="224" w:lineRule="exact"/>
              <w:ind w:left="155" w:right="155"/>
              <w:jc w:val="center"/>
              <w:rPr>
                <w:rFonts w:ascii="Calibri" w:hAnsi="Calibri"/>
                <w:sz w:val="20"/>
              </w:rPr>
            </w:pPr>
            <w:r>
              <w:rPr>
                <w:rFonts w:ascii="Calibri" w:hAnsi="Calibri"/>
                <w:sz w:val="20"/>
              </w:rPr>
              <w:t>£322,094</w:t>
            </w:r>
          </w:p>
        </w:tc>
        <w:tc>
          <w:tcPr>
            <w:tcW w:w="1575" w:type="dxa"/>
            <w:tcBorders>
              <w:top w:val="nil"/>
              <w:bottom w:val="nil"/>
            </w:tcBorders>
          </w:tcPr>
          <w:p w:rsidR="006A18FD" w:rsidRDefault="002D29FC">
            <w:pPr>
              <w:spacing w:line="224" w:lineRule="exact"/>
              <w:ind w:left="434" w:right="431"/>
              <w:jc w:val="center"/>
              <w:rPr>
                <w:rFonts w:ascii="Calibri" w:hAnsi="Calibri"/>
                <w:sz w:val="20"/>
              </w:rPr>
            </w:pPr>
            <w:r>
              <w:rPr>
                <w:rFonts w:ascii="Calibri" w:hAnsi="Calibri"/>
                <w:sz w:val="20"/>
              </w:rPr>
              <w:t>£28.008</w:t>
            </w:r>
          </w:p>
        </w:tc>
      </w:tr>
      <w:tr w:rsidR="006A18FD">
        <w:trPr>
          <w:trHeight w:val="240"/>
        </w:trPr>
        <w:tc>
          <w:tcPr>
            <w:tcW w:w="3075" w:type="dxa"/>
            <w:tcBorders>
              <w:top w:val="nil"/>
              <w:bottom w:val="nil"/>
            </w:tcBorders>
          </w:tcPr>
          <w:p w:rsidR="006A18FD" w:rsidRDefault="002D29FC">
            <w:pPr>
              <w:spacing w:line="225" w:lineRule="exact"/>
              <w:ind w:left="103"/>
              <w:rPr>
                <w:rFonts w:ascii="Calibri"/>
                <w:sz w:val="20"/>
              </w:rPr>
            </w:pPr>
            <w:r>
              <w:rPr>
                <w:rFonts w:ascii="Calibri"/>
                <w:sz w:val="20"/>
              </w:rPr>
              <w:t>Registrar group</w:t>
            </w:r>
          </w:p>
        </w:tc>
        <w:tc>
          <w:tcPr>
            <w:tcW w:w="1685" w:type="dxa"/>
            <w:tcBorders>
              <w:top w:val="nil"/>
              <w:bottom w:val="nil"/>
            </w:tcBorders>
          </w:tcPr>
          <w:p w:rsidR="006A18FD" w:rsidRDefault="002D29FC">
            <w:pPr>
              <w:spacing w:line="225"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5"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5"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5" w:lineRule="exact"/>
              <w:ind w:left="522" w:right="524"/>
              <w:jc w:val="center"/>
              <w:rPr>
                <w:rFonts w:ascii="Calibri" w:hAnsi="Calibri"/>
                <w:sz w:val="20"/>
              </w:rPr>
            </w:pPr>
            <w:r>
              <w:rPr>
                <w:rFonts w:ascii="Calibri" w:hAnsi="Calibri"/>
                <w:sz w:val="20"/>
              </w:rPr>
              <w:t>£40,155</w:t>
            </w:r>
          </w:p>
        </w:tc>
        <w:tc>
          <w:tcPr>
            <w:tcW w:w="1664" w:type="dxa"/>
            <w:tcBorders>
              <w:top w:val="nil"/>
              <w:bottom w:val="nil"/>
            </w:tcBorders>
          </w:tcPr>
          <w:p w:rsidR="006A18FD" w:rsidRDefault="002D29FC">
            <w:pPr>
              <w:spacing w:line="225" w:lineRule="exact"/>
              <w:ind w:left="179" w:right="179"/>
              <w:jc w:val="center"/>
              <w:rPr>
                <w:rFonts w:ascii="Calibri" w:hAnsi="Calibri"/>
                <w:sz w:val="20"/>
              </w:rPr>
            </w:pPr>
            <w:r>
              <w:rPr>
                <w:rFonts w:ascii="Calibri" w:hAnsi="Calibri"/>
                <w:sz w:val="20"/>
              </w:rPr>
              <w:t>£105,711</w:t>
            </w:r>
          </w:p>
        </w:tc>
        <w:tc>
          <w:tcPr>
            <w:tcW w:w="1774" w:type="dxa"/>
            <w:tcBorders>
              <w:top w:val="nil"/>
              <w:bottom w:val="nil"/>
            </w:tcBorders>
          </w:tcPr>
          <w:p w:rsidR="006A18FD" w:rsidRDefault="002D29FC">
            <w:pPr>
              <w:spacing w:line="225" w:lineRule="exact"/>
              <w:ind w:left="155" w:right="155"/>
              <w:jc w:val="center"/>
              <w:rPr>
                <w:rFonts w:ascii="Calibri" w:hAnsi="Calibri"/>
                <w:sz w:val="20"/>
              </w:rPr>
            </w:pPr>
            <w:r>
              <w:rPr>
                <w:rFonts w:ascii="Calibri" w:hAnsi="Calibri"/>
                <w:sz w:val="20"/>
              </w:rPr>
              <w:t>£391,079</w:t>
            </w:r>
          </w:p>
        </w:tc>
        <w:tc>
          <w:tcPr>
            <w:tcW w:w="1575" w:type="dxa"/>
            <w:tcBorders>
              <w:top w:val="nil"/>
              <w:bottom w:val="nil"/>
            </w:tcBorders>
          </w:tcPr>
          <w:p w:rsidR="006A18FD" w:rsidRDefault="002D29FC">
            <w:pPr>
              <w:spacing w:line="225" w:lineRule="exact"/>
              <w:ind w:left="433" w:right="431"/>
              <w:jc w:val="center"/>
              <w:rPr>
                <w:rFonts w:ascii="Calibri" w:hAnsi="Calibri"/>
                <w:sz w:val="20"/>
              </w:rPr>
            </w:pPr>
            <w:r>
              <w:rPr>
                <w:rFonts w:ascii="Calibri" w:hAnsi="Calibri"/>
                <w:sz w:val="20"/>
              </w:rPr>
              <w:t>£39,455</w:t>
            </w:r>
          </w:p>
        </w:tc>
      </w:tr>
      <w:tr w:rsidR="006A18FD">
        <w:trPr>
          <w:trHeight w:val="240"/>
        </w:trPr>
        <w:tc>
          <w:tcPr>
            <w:tcW w:w="3075" w:type="dxa"/>
            <w:tcBorders>
              <w:top w:val="nil"/>
              <w:bottom w:val="nil"/>
            </w:tcBorders>
          </w:tcPr>
          <w:p w:rsidR="006A18FD" w:rsidRDefault="002D29FC">
            <w:pPr>
              <w:spacing w:line="225" w:lineRule="exact"/>
              <w:ind w:left="103"/>
              <w:rPr>
                <w:rFonts w:ascii="Calibri"/>
                <w:sz w:val="20"/>
              </w:rPr>
            </w:pPr>
            <w:r>
              <w:rPr>
                <w:rFonts w:ascii="Calibri"/>
                <w:sz w:val="20"/>
              </w:rPr>
              <w:t>Associate specialist</w:t>
            </w:r>
          </w:p>
        </w:tc>
        <w:tc>
          <w:tcPr>
            <w:tcW w:w="1685" w:type="dxa"/>
            <w:tcBorders>
              <w:top w:val="nil"/>
              <w:bottom w:val="nil"/>
            </w:tcBorders>
          </w:tcPr>
          <w:p w:rsidR="006A18FD" w:rsidRDefault="002D29FC">
            <w:pPr>
              <w:spacing w:line="225"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5"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5"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5" w:lineRule="exact"/>
              <w:ind w:left="522" w:right="524"/>
              <w:jc w:val="center"/>
              <w:rPr>
                <w:rFonts w:ascii="Calibri" w:hAnsi="Calibri"/>
                <w:sz w:val="20"/>
              </w:rPr>
            </w:pPr>
            <w:r>
              <w:rPr>
                <w:rFonts w:ascii="Calibri" w:hAnsi="Calibri"/>
                <w:sz w:val="20"/>
              </w:rPr>
              <w:t>£48,496</w:t>
            </w:r>
          </w:p>
        </w:tc>
        <w:tc>
          <w:tcPr>
            <w:tcW w:w="1664" w:type="dxa"/>
            <w:tcBorders>
              <w:top w:val="nil"/>
              <w:bottom w:val="nil"/>
            </w:tcBorders>
          </w:tcPr>
          <w:p w:rsidR="006A18FD" w:rsidRDefault="002D29FC">
            <w:pPr>
              <w:spacing w:line="225" w:lineRule="exact"/>
              <w:ind w:left="179" w:right="179"/>
              <w:jc w:val="center"/>
              <w:rPr>
                <w:rFonts w:ascii="Calibri" w:hAnsi="Calibri"/>
                <w:sz w:val="20"/>
              </w:rPr>
            </w:pPr>
            <w:r>
              <w:rPr>
                <w:rFonts w:ascii="Calibri" w:hAnsi="Calibri"/>
                <w:sz w:val="20"/>
              </w:rPr>
              <w:t>£141,715</w:t>
            </w:r>
          </w:p>
        </w:tc>
        <w:tc>
          <w:tcPr>
            <w:tcW w:w="1774" w:type="dxa"/>
            <w:tcBorders>
              <w:top w:val="nil"/>
              <w:bottom w:val="nil"/>
            </w:tcBorders>
          </w:tcPr>
          <w:p w:rsidR="006A18FD" w:rsidRDefault="002D29FC">
            <w:pPr>
              <w:spacing w:line="225" w:lineRule="exact"/>
              <w:ind w:left="155" w:right="155"/>
              <w:jc w:val="center"/>
              <w:rPr>
                <w:rFonts w:ascii="Calibri" w:hAnsi="Calibri"/>
                <w:sz w:val="20"/>
              </w:rPr>
            </w:pPr>
            <w:r>
              <w:rPr>
                <w:rFonts w:ascii="Calibri" w:hAnsi="Calibri"/>
                <w:sz w:val="20"/>
              </w:rPr>
              <w:t>£435,424</w:t>
            </w:r>
          </w:p>
        </w:tc>
        <w:tc>
          <w:tcPr>
            <w:tcW w:w="1575" w:type="dxa"/>
            <w:tcBorders>
              <w:top w:val="nil"/>
              <w:bottom w:val="nil"/>
            </w:tcBorders>
          </w:tcPr>
          <w:p w:rsidR="006A18FD" w:rsidRDefault="002D29FC">
            <w:pPr>
              <w:spacing w:line="225" w:lineRule="exact"/>
              <w:ind w:left="433" w:right="431"/>
              <w:jc w:val="center"/>
              <w:rPr>
                <w:rFonts w:ascii="Calibri" w:hAnsi="Calibri"/>
                <w:sz w:val="20"/>
              </w:rPr>
            </w:pPr>
            <w:r>
              <w:rPr>
                <w:rFonts w:ascii="Calibri" w:hAnsi="Calibri"/>
                <w:sz w:val="20"/>
              </w:rPr>
              <w:t>£46,519</w:t>
            </w:r>
          </w:p>
        </w:tc>
      </w:tr>
      <w:tr w:rsidR="006A18FD">
        <w:trPr>
          <w:trHeight w:val="240"/>
        </w:trPr>
        <w:tc>
          <w:tcPr>
            <w:tcW w:w="3075" w:type="dxa"/>
            <w:tcBorders>
              <w:top w:val="nil"/>
              <w:bottom w:val="nil"/>
            </w:tcBorders>
          </w:tcPr>
          <w:p w:rsidR="006A18FD" w:rsidRDefault="002D29FC">
            <w:pPr>
              <w:spacing w:line="224" w:lineRule="exact"/>
              <w:ind w:left="103"/>
              <w:rPr>
                <w:rFonts w:ascii="Calibri"/>
                <w:sz w:val="20"/>
              </w:rPr>
            </w:pPr>
            <w:r>
              <w:rPr>
                <w:rFonts w:ascii="Calibri"/>
                <w:sz w:val="20"/>
              </w:rPr>
              <w:t>GP</w:t>
            </w:r>
          </w:p>
        </w:tc>
        <w:tc>
          <w:tcPr>
            <w:tcW w:w="1685" w:type="dxa"/>
            <w:tcBorders>
              <w:top w:val="nil"/>
              <w:bottom w:val="nil"/>
            </w:tcBorders>
          </w:tcPr>
          <w:p w:rsidR="006A18FD" w:rsidRDefault="002D29FC">
            <w:pPr>
              <w:spacing w:line="224" w:lineRule="exact"/>
              <w:ind w:left="508"/>
              <w:rPr>
                <w:rFonts w:ascii="Calibri" w:hAnsi="Calibri"/>
                <w:sz w:val="20"/>
              </w:rPr>
            </w:pPr>
            <w:r>
              <w:rPr>
                <w:rFonts w:ascii="Calibri" w:hAnsi="Calibri"/>
                <w:sz w:val="20"/>
              </w:rPr>
              <w:t>£45,256</w:t>
            </w:r>
          </w:p>
        </w:tc>
        <w:tc>
          <w:tcPr>
            <w:tcW w:w="2138" w:type="dxa"/>
            <w:tcBorders>
              <w:top w:val="nil"/>
              <w:bottom w:val="nil"/>
            </w:tcBorders>
          </w:tcPr>
          <w:p w:rsidR="006A18FD" w:rsidRDefault="002D29FC">
            <w:pPr>
              <w:spacing w:line="224" w:lineRule="exact"/>
              <w:ind w:left="736"/>
              <w:rPr>
                <w:rFonts w:ascii="Calibri" w:hAnsi="Calibri"/>
                <w:sz w:val="20"/>
              </w:rPr>
            </w:pPr>
            <w:r>
              <w:rPr>
                <w:rFonts w:ascii="Calibri" w:hAnsi="Calibri"/>
                <w:sz w:val="20"/>
              </w:rPr>
              <w:t>£55,425</w:t>
            </w:r>
          </w:p>
        </w:tc>
        <w:tc>
          <w:tcPr>
            <w:tcW w:w="1707" w:type="dxa"/>
            <w:tcBorders>
              <w:top w:val="nil"/>
              <w:bottom w:val="nil"/>
            </w:tcBorders>
          </w:tcPr>
          <w:p w:rsidR="006A18FD" w:rsidRDefault="002D29FC">
            <w:pPr>
              <w:spacing w:line="224" w:lineRule="exact"/>
              <w:ind w:left="448" w:right="448"/>
              <w:jc w:val="center"/>
              <w:rPr>
                <w:rFonts w:ascii="Calibri" w:hAnsi="Calibri"/>
                <w:sz w:val="20"/>
              </w:rPr>
            </w:pPr>
            <w:r>
              <w:rPr>
                <w:rFonts w:ascii="Calibri" w:hAnsi="Calibri"/>
                <w:sz w:val="20"/>
              </w:rPr>
              <w:t>£144,532</w:t>
            </w:r>
          </w:p>
        </w:tc>
        <w:tc>
          <w:tcPr>
            <w:tcW w:w="1754" w:type="dxa"/>
            <w:tcBorders>
              <w:top w:val="nil"/>
              <w:bottom w:val="nil"/>
            </w:tcBorders>
          </w:tcPr>
          <w:p w:rsidR="006A18FD" w:rsidRDefault="002D29FC">
            <w:pPr>
              <w:spacing w:line="224" w:lineRule="exact"/>
              <w:ind w:left="522" w:right="523"/>
              <w:jc w:val="center"/>
              <w:rPr>
                <w:rFonts w:ascii="Calibri"/>
                <w:sz w:val="20"/>
              </w:rPr>
            </w:pPr>
            <w:r>
              <w:rPr>
                <w:rFonts w:ascii="Calibri"/>
                <w:sz w:val="20"/>
              </w:rPr>
              <w:t>NA</w:t>
            </w:r>
          </w:p>
        </w:tc>
        <w:tc>
          <w:tcPr>
            <w:tcW w:w="1664" w:type="dxa"/>
            <w:tcBorders>
              <w:top w:val="nil"/>
              <w:bottom w:val="nil"/>
            </w:tcBorders>
          </w:tcPr>
          <w:p w:rsidR="006A18FD" w:rsidRDefault="002D29FC">
            <w:pPr>
              <w:spacing w:line="224" w:lineRule="exact"/>
              <w:ind w:left="179" w:right="179"/>
              <w:jc w:val="center"/>
              <w:rPr>
                <w:rFonts w:ascii="Calibri" w:hAnsi="Calibri"/>
                <w:sz w:val="20"/>
              </w:rPr>
            </w:pPr>
            <w:r>
              <w:rPr>
                <w:rFonts w:ascii="Calibri" w:hAnsi="Calibri"/>
                <w:sz w:val="20"/>
              </w:rPr>
              <w:t>£150,966</w:t>
            </w:r>
          </w:p>
        </w:tc>
        <w:tc>
          <w:tcPr>
            <w:tcW w:w="1774" w:type="dxa"/>
            <w:tcBorders>
              <w:top w:val="nil"/>
              <w:bottom w:val="nil"/>
            </w:tcBorders>
          </w:tcPr>
          <w:p w:rsidR="006A18FD" w:rsidRDefault="002D29FC">
            <w:pPr>
              <w:spacing w:line="224" w:lineRule="exact"/>
              <w:ind w:left="155" w:right="155"/>
              <w:jc w:val="center"/>
              <w:rPr>
                <w:rFonts w:ascii="Calibri" w:hAnsi="Calibri"/>
                <w:sz w:val="20"/>
              </w:rPr>
            </w:pPr>
            <w:r>
              <w:rPr>
                <w:rFonts w:ascii="Calibri" w:hAnsi="Calibri"/>
                <w:sz w:val="20"/>
              </w:rPr>
              <w:t>£396,179</w:t>
            </w:r>
          </w:p>
        </w:tc>
        <w:tc>
          <w:tcPr>
            <w:tcW w:w="1575" w:type="dxa"/>
            <w:tcBorders>
              <w:top w:val="nil"/>
              <w:bottom w:val="nil"/>
            </w:tcBorders>
          </w:tcPr>
          <w:p w:rsidR="006A18FD" w:rsidRDefault="002D29FC">
            <w:pPr>
              <w:spacing w:line="224" w:lineRule="exact"/>
              <w:ind w:left="433" w:right="431"/>
              <w:jc w:val="center"/>
              <w:rPr>
                <w:rFonts w:ascii="Calibri" w:hAnsi="Calibri"/>
                <w:sz w:val="20"/>
              </w:rPr>
            </w:pPr>
            <w:r>
              <w:rPr>
                <w:rFonts w:ascii="Calibri" w:hAnsi="Calibri"/>
                <w:sz w:val="20"/>
              </w:rPr>
              <w:t>£42,327</w:t>
            </w:r>
          </w:p>
        </w:tc>
      </w:tr>
      <w:tr w:rsidR="006A18FD">
        <w:trPr>
          <w:trHeight w:val="220"/>
        </w:trPr>
        <w:tc>
          <w:tcPr>
            <w:tcW w:w="3075" w:type="dxa"/>
            <w:tcBorders>
              <w:top w:val="nil"/>
            </w:tcBorders>
          </w:tcPr>
          <w:p w:rsidR="006A18FD" w:rsidRDefault="002D29FC">
            <w:pPr>
              <w:spacing w:line="204" w:lineRule="exact"/>
              <w:ind w:left="103"/>
              <w:rPr>
                <w:rFonts w:ascii="Calibri"/>
                <w:sz w:val="20"/>
              </w:rPr>
            </w:pPr>
            <w:r>
              <w:rPr>
                <w:rFonts w:ascii="Calibri"/>
                <w:sz w:val="20"/>
              </w:rPr>
              <w:t>Consultant</w:t>
            </w:r>
          </w:p>
        </w:tc>
        <w:tc>
          <w:tcPr>
            <w:tcW w:w="1685" w:type="dxa"/>
            <w:tcBorders>
              <w:top w:val="nil"/>
            </w:tcBorders>
          </w:tcPr>
          <w:p w:rsidR="006A18FD" w:rsidRDefault="002D29FC">
            <w:pPr>
              <w:spacing w:line="204" w:lineRule="exact"/>
              <w:ind w:left="508"/>
              <w:rPr>
                <w:rFonts w:ascii="Calibri" w:hAnsi="Calibri"/>
                <w:sz w:val="20"/>
              </w:rPr>
            </w:pPr>
            <w:r>
              <w:rPr>
                <w:rFonts w:ascii="Calibri" w:hAnsi="Calibri"/>
                <w:sz w:val="20"/>
              </w:rPr>
              <w:t>£45,256</w:t>
            </w:r>
          </w:p>
        </w:tc>
        <w:tc>
          <w:tcPr>
            <w:tcW w:w="2138" w:type="dxa"/>
            <w:tcBorders>
              <w:top w:val="nil"/>
            </w:tcBorders>
          </w:tcPr>
          <w:p w:rsidR="006A18FD" w:rsidRDefault="002D29FC">
            <w:pPr>
              <w:spacing w:line="204" w:lineRule="exact"/>
              <w:ind w:left="736"/>
              <w:rPr>
                <w:rFonts w:ascii="Calibri" w:hAnsi="Calibri"/>
                <w:sz w:val="20"/>
              </w:rPr>
            </w:pPr>
            <w:r>
              <w:rPr>
                <w:rFonts w:ascii="Calibri" w:hAnsi="Calibri"/>
                <w:sz w:val="20"/>
              </w:rPr>
              <w:t>£55,425</w:t>
            </w:r>
          </w:p>
        </w:tc>
        <w:tc>
          <w:tcPr>
            <w:tcW w:w="1707" w:type="dxa"/>
            <w:tcBorders>
              <w:top w:val="nil"/>
            </w:tcBorders>
          </w:tcPr>
          <w:p w:rsidR="006A18FD" w:rsidRDefault="002D29FC">
            <w:pPr>
              <w:spacing w:line="204" w:lineRule="exact"/>
              <w:ind w:left="448" w:right="448"/>
              <w:jc w:val="center"/>
              <w:rPr>
                <w:rFonts w:ascii="Calibri" w:hAnsi="Calibri"/>
                <w:sz w:val="20"/>
              </w:rPr>
            </w:pPr>
            <w:r>
              <w:rPr>
                <w:rFonts w:ascii="Calibri" w:hAnsi="Calibri"/>
                <w:sz w:val="20"/>
              </w:rPr>
              <w:t>£144,532</w:t>
            </w:r>
          </w:p>
        </w:tc>
        <w:tc>
          <w:tcPr>
            <w:tcW w:w="1754" w:type="dxa"/>
            <w:tcBorders>
              <w:top w:val="nil"/>
            </w:tcBorders>
          </w:tcPr>
          <w:p w:rsidR="006A18FD" w:rsidRDefault="002D29FC">
            <w:pPr>
              <w:spacing w:line="204" w:lineRule="exact"/>
              <w:ind w:left="522" w:right="524"/>
              <w:jc w:val="center"/>
              <w:rPr>
                <w:rFonts w:ascii="Calibri" w:hAnsi="Calibri"/>
                <w:sz w:val="20"/>
              </w:rPr>
            </w:pPr>
            <w:r>
              <w:rPr>
                <w:rFonts w:ascii="Calibri" w:hAnsi="Calibri"/>
                <w:sz w:val="20"/>
              </w:rPr>
              <w:t>£65,144</w:t>
            </w:r>
          </w:p>
        </w:tc>
        <w:tc>
          <w:tcPr>
            <w:tcW w:w="1664" w:type="dxa"/>
            <w:tcBorders>
              <w:top w:val="nil"/>
            </w:tcBorders>
          </w:tcPr>
          <w:p w:rsidR="006A18FD" w:rsidRDefault="002D29FC">
            <w:pPr>
              <w:spacing w:line="204" w:lineRule="exact"/>
              <w:ind w:left="180" w:right="179"/>
              <w:jc w:val="center"/>
              <w:rPr>
                <w:rFonts w:ascii="Calibri" w:hAnsi="Calibri"/>
                <w:sz w:val="20"/>
              </w:rPr>
            </w:pPr>
            <w:r>
              <w:rPr>
                <w:rFonts w:ascii="Calibri" w:hAnsi="Calibri"/>
                <w:sz w:val="20"/>
              </w:rPr>
              <w:t>£208,412</w:t>
            </w:r>
          </w:p>
        </w:tc>
        <w:tc>
          <w:tcPr>
            <w:tcW w:w="1774" w:type="dxa"/>
            <w:tcBorders>
              <w:top w:val="nil"/>
            </w:tcBorders>
          </w:tcPr>
          <w:p w:rsidR="006A18FD" w:rsidRDefault="002D29FC">
            <w:pPr>
              <w:spacing w:line="204" w:lineRule="exact"/>
              <w:ind w:left="155" w:right="155"/>
              <w:jc w:val="center"/>
              <w:rPr>
                <w:rFonts w:ascii="Calibri" w:hAnsi="Calibri"/>
                <w:sz w:val="20"/>
              </w:rPr>
            </w:pPr>
            <w:r>
              <w:rPr>
                <w:rFonts w:ascii="Calibri" w:hAnsi="Calibri"/>
                <w:sz w:val="20"/>
              </w:rPr>
              <w:t>£518,769</w:t>
            </w:r>
          </w:p>
        </w:tc>
        <w:tc>
          <w:tcPr>
            <w:tcW w:w="1575" w:type="dxa"/>
            <w:tcBorders>
              <w:top w:val="nil"/>
            </w:tcBorders>
          </w:tcPr>
          <w:p w:rsidR="006A18FD" w:rsidRDefault="002D29FC">
            <w:pPr>
              <w:spacing w:line="204" w:lineRule="exact"/>
              <w:ind w:left="433" w:right="431"/>
              <w:jc w:val="center"/>
              <w:rPr>
                <w:rFonts w:ascii="Calibri" w:hAnsi="Calibri"/>
                <w:sz w:val="20"/>
              </w:rPr>
            </w:pPr>
            <w:r>
              <w:rPr>
                <w:rFonts w:ascii="Calibri" w:hAnsi="Calibri"/>
                <w:sz w:val="20"/>
              </w:rPr>
              <w:t>£59,492</w:t>
            </w:r>
          </w:p>
        </w:tc>
      </w:tr>
    </w:tbl>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rPr>
          <w:rFonts w:ascii="Cambria"/>
          <w:b/>
          <w:sz w:val="32"/>
        </w:rPr>
      </w:pPr>
    </w:p>
    <w:p w:rsidR="006A18FD" w:rsidRDefault="006A18FD">
      <w:pPr>
        <w:spacing w:before="1"/>
        <w:rPr>
          <w:rFonts w:ascii="Cambria"/>
          <w:b/>
          <w:sz w:val="28"/>
        </w:rPr>
      </w:pPr>
    </w:p>
    <w:p w:rsidR="006A18FD" w:rsidRDefault="002D29FC">
      <w:pPr>
        <w:spacing w:line="195" w:lineRule="exact"/>
        <w:ind w:left="146"/>
        <w:rPr>
          <w:rFonts w:ascii="Calibri"/>
          <w:sz w:val="16"/>
        </w:rPr>
      </w:pPr>
      <w:r>
        <w:rPr>
          <w:rFonts w:ascii="Calibri"/>
          <w:position w:val="5"/>
          <w:sz w:val="10"/>
        </w:rPr>
        <w:t xml:space="preserve">1 </w:t>
      </w:r>
      <w:r>
        <w:rPr>
          <w:rFonts w:ascii="Calibri"/>
          <w:sz w:val="16"/>
        </w:rPr>
        <w:t xml:space="preserve">Gov.uk (2019) Education &amp; Training Tariffs, </w:t>
      </w:r>
      <w:hyperlink r:id="rId481">
        <w:r>
          <w:rPr>
            <w:rFonts w:ascii="Calibri"/>
            <w:sz w:val="16"/>
            <w:u w:val="single"/>
          </w:rPr>
          <w:t>https://assets.publishing.service.gov.uk/government/uploads/system/uploads/attachment_data/file/791560/education-and-training-tariffs-2019-to-2020.pdf</w:t>
        </w:r>
        <w:r>
          <w:rPr>
            <w:rFonts w:ascii="Calibri"/>
            <w:sz w:val="16"/>
          </w:rPr>
          <w:t xml:space="preserve"> </w:t>
        </w:r>
      </w:hyperlink>
      <w:r>
        <w:rPr>
          <w:rFonts w:ascii="Calibri"/>
          <w:sz w:val="16"/>
        </w:rPr>
        <w:t>[accessed October, 2019).</w:t>
      </w:r>
    </w:p>
    <w:p w:rsidR="006A18FD" w:rsidRDefault="002D29FC">
      <w:pPr>
        <w:ind w:left="429" w:right="324" w:hanging="284"/>
        <w:rPr>
          <w:rFonts w:ascii="Calibri" w:hAnsi="Calibri"/>
          <w:sz w:val="16"/>
        </w:rPr>
      </w:pPr>
      <w:r>
        <w:rPr>
          <w:rFonts w:ascii="Calibri" w:hAnsi="Calibri"/>
          <w:position w:val="5"/>
          <w:sz w:val="10"/>
        </w:rPr>
        <w:t xml:space="preserve">2 </w:t>
      </w:r>
      <w:r>
        <w:rPr>
          <w:rFonts w:ascii="Calibri" w:hAnsi="Calibri"/>
          <w:sz w:val="16"/>
        </w:rPr>
        <w:t>Placement fees for post-graduate doctors in training before discounting are: Foundation Officer 1 £12,152; Foundation Officer 2 £24,304; Registrar £48,608; Associate specialist £60,760; Consultants £85,064. Tariff for placement activity should also include a market forces factor. Placement fees are not provided for GP placements.</w:t>
      </w:r>
    </w:p>
    <w:p w:rsidR="006A18FD" w:rsidRDefault="006A18FD">
      <w:pPr>
        <w:rPr>
          <w:rFonts w:ascii="Calibri" w:hAnsi="Calibri"/>
          <w:sz w:val="16"/>
        </w:rPr>
        <w:sectPr w:rsidR="006A18FD">
          <w:headerReference w:type="default" r:id="rId482"/>
          <w:pgSz w:w="16840" w:h="11910" w:orient="landscape"/>
          <w:pgMar w:top="660" w:right="580" w:bottom="280" w:left="420" w:header="0" w:footer="0" w:gutter="0"/>
          <w:cols w:space="720"/>
        </w:sectPr>
      </w:pPr>
    </w:p>
    <w:p w:rsidR="006A18FD" w:rsidRDefault="002D29FC" w:rsidP="005629E5">
      <w:pPr>
        <w:pStyle w:val="Heading1"/>
        <w:numPr>
          <w:ilvl w:val="0"/>
          <w:numId w:val="4"/>
        </w:numPr>
        <w:jc w:val="left"/>
      </w:pPr>
      <w:r>
        <w:t>Care home</w:t>
      </w:r>
      <w:r>
        <w:rPr>
          <w:spacing w:val="-6"/>
        </w:rPr>
        <w:t xml:space="preserve"> </w:t>
      </w:r>
      <w:r>
        <w:t>fees</w:t>
      </w:r>
    </w:p>
    <w:p w:rsidR="006A18FD" w:rsidRDefault="002D29FC">
      <w:pPr>
        <w:spacing w:before="122" w:line="276" w:lineRule="auto"/>
        <w:ind w:left="100" w:right="196"/>
        <w:jc w:val="both"/>
        <w:rPr>
          <w:rFonts w:ascii="Calibri"/>
          <w:sz w:val="20"/>
        </w:rPr>
      </w:pPr>
      <w:r>
        <w:rPr>
          <w:rFonts w:ascii="Calibri"/>
          <w:sz w:val="20"/>
        </w:rPr>
        <w:t>The fees reported in this schema have been calculated using the Laing &amp; Buisson Care Homes Complete Dataset 2018/2019.</w:t>
      </w:r>
      <w:r>
        <w:rPr>
          <w:rFonts w:ascii="Calibri"/>
          <w:position w:val="7"/>
          <w:sz w:val="13"/>
        </w:rPr>
        <w:t xml:space="preserve">1 </w:t>
      </w:r>
      <w:r>
        <w:rPr>
          <w:rFonts w:ascii="Calibri"/>
          <w:sz w:val="20"/>
        </w:rPr>
        <w:t>Table 1 provides the midpoints of the minimum and maximum fees paid to for-profit providers of nursing and residential homes in England, presented by client group. It also provides the median of the minimum and maximum fee. Table 2 provides the same information but for non profit providers.</w:t>
      </w:r>
    </w:p>
    <w:p w:rsidR="006A18FD" w:rsidRDefault="002D29FC">
      <w:pPr>
        <w:spacing w:before="56"/>
        <w:ind w:left="162"/>
        <w:jc w:val="both"/>
        <w:rPr>
          <w:rFonts w:ascii="Cambria" w:hAnsi="Cambria"/>
          <w:b/>
          <w:sz w:val="18"/>
        </w:rPr>
      </w:pPr>
      <w:r>
        <w:rPr>
          <w:rFonts w:ascii="Cambria" w:hAnsi="Cambria"/>
          <w:b/>
          <w:sz w:val="28"/>
        </w:rPr>
        <w:t xml:space="preserve">Table 1 - Care home fees in England – for-profit providers </w:t>
      </w:r>
      <w:r>
        <w:rPr>
          <w:rFonts w:ascii="Cambria" w:hAnsi="Cambria"/>
          <w:b/>
          <w:position w:val="7"/>
          <w:sz w:val="18"/>
        </w:rPr>
        <w:t>2</w:t>
      </w:r>
    </w:p>
    <w:p w:rsidR="006A18FD" w:rsidRDefault="002D29FC">
      <w:pPr>
        <w:spacing w:before="50" w:after="42"/>
        <w:ind w:left="100"/>
        <w:jc w:val="both"/>
        <w:rPr>
          <w:rFonts w:ascii="Cambria"/>
          <w:b/>
          <w:sz w:val="24"/>
        </w:rPr>
      </w:pPr>
      <w:r>
        <w:rPr>
          <w:rFonts w:ascii="Cambria"/>
          <w:b/>
          <w:sz w:val="24"/>
        </w:rPr>
        <w:t>Minimum and maximum fees for 2018/2019</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1"/>
        <w:gridCol w:w="1654"/>
        <w:gridCol w:w="1560"/>
        <w:gridCol w:w="1702"/>
        <w:gridCol w:w="2876"/>
        <w:gridCol w:w="2220"/>
        <w:gridCol w:w="2218"/>
      </w:tblGrid>
      <w:tr w:rsidR="006A18FD" w:rsidTr="00CA19E0">
        <w:trPr>
          <w:trHeight w:val="480"/>
          <w:tblHeader/>
        </w:trPr>
        <w:tc>
          <w:tcPr>
            <w:tcW w:w="3161" w:type="dxa"/>
          </w:tcPr>
          <w:p w:rsidR="006A18FD" w:rsidRDefault="006A18FD">
            <w:pPr>
              <w:rPr>
                <w:rFonts w:ascii="Times New Roman"/>
                <w:sz w:val="20"/>
              </w:rPr>
            </w:pPr>
          </w:p>
        </w:tc>
        <w:tc>
          <w:tcPr>
            <w:tcW w:w="1654" w:type="dxa"/>
          </w:tcPr>
          <w:p w:rsidR="006A18FD" w:rsidRDefault="002D29FC">
            <w:pPr>
              <w:spacing w:before="1" w:line="243" w:lineRule="exact"/>
              <w:ind w:left="258" w:firstLine="67"/>
              <w:rPr>
                <w:rFonts w:ascii="Calibri"/>
                <w:b/>
                <w:sz w:val="20"/>
              </w:rPr>
            </w:pPr>
            <w:r>
              <w:rPr>
                <w:rFonts w:ascii="Calibri"/>
                <w:b/>
                <w:sz w:val="20"/>
              </w:rPr>
              <w:t>Midpoint of</w:t>
            </w:r>
          </w:p>
          <w:p w:rsidR="006A18FD" w:rsidRDefault="002D29FC">
            <w:pPr>
              <w:spacing w:line="222" w:lineRule="exact"/>
              <w:ind w:left="258"/>
              <w:rPr>
                <w:rFonts w:ascii="Calibri"/>
                <w:b/>
                <w:sz w:val="20"/>
              </w:rPr>
            </w:pPr>
            <w:r>
              <w:rPr>
                <w:rFonts w:ascii="Calibri"/>
                <w:b/>
                <w:sz w:val="20"/>
              </w:rPr>
              <w:t>Minimum fee</w:t>
            </w:r>
          </w:p>
        </w:tc>
        <w:tc>
          <w:tcPr>
            <w:tcW w:w="1560" w:type="dxa"/>
          </w:tcPr>
          <w:p w:rsidR="006A18FD" w:rsidRDefault="002D29FC">
            <w:pPr>
              <w:spacing w:before="1" w:line="243" w:lineRule="exact"/>
              <w:ind w:left="196" w:firstLine="84"/>
              <w:rPr>
                <w:rFonts w:ascii="Calibri"/>
                <w:b/>
                <w:sz w:val="20"/>
              </w:rPr>
            </w:pPr>
            <w:r>
              <w:rPr>
                <w:rFonts w:ascii="Calibri"/>
                <w:b/>
                <w:sz w:val="20"/>
              </w:rPr>
              <w:t>Midpoint of</w:t>
            </w:r>
          </w:p>
          <w:p w:rsidR="006A18FD" w:rsidRDefault="002D29FC">
            <w:pPr>
              <w:spacing w:line="222" w:lineRule="exact"/>
              <w:ind w:left="196"/>
              <w:rPr>
                <w:rFonts w:ascii="Calibri"/>
                <w:b/>
                <w:sz w:val="20"/>
              </w:rPr>
            </w:pPr>
            <w:r>
              <w:rPr>
                <w:rFonts w:ascii="Calibri"/>
                <w:b/>
                <w:sz w:val="20"/>
              </w:rPr>
              <w:t>Maximum fee</w:t>
            </w:r>
          </w:p>
        </w:tc>
        <w:tc>
          <w:tcPr>
            <w:tcW w:w="1702" w:type="dxa"/>
          </w:tcPr>
          <w:p w:rsidR="006A18FD" w:rsidRDefault="002D29FC">
            <w:pPr>
              <w:spacing w:before="1" w:line="243" w:lineRule="exact"/>
              <w:ind w:left="333" w:hanging="99"/>
              <w:rPr>
                <w:rFonts w:ascii="Calibri"/>
                <w:b/>
                <w:sz w:val="20"/>
              </w:rPr>
            </w:pPr>
            <w:r>
              <w:rPr>
                <w:rFonts w:ascii="Calibri"/>
                <w:b/>
                <w:sz w:val="20"/>
              </w:rPr>
              <w:t>Median of min</w:t>
            </w:r>
          </w:p>
          <w:p w:rsidR="006A18FD" w:rsidRDefault="002D29FC">
            <w:pPr>
              <w:spacing w:line="222" w:lineRule="exact"/>
              <w:ind w:left="333"/>
              <w:rPr>
                <w:rFonts w:ascii="Calibri"/>
                <w:b/>
                <w:sz w:val="20"/>
              </w:rPr>
            </w:pPr>
            <w:r>
              <w:rPr>
                <w:rFonts w:ascii="Calibri"/>
                <w:b/>
                <w:sz w:val="20"/>
              </w:rPr>
              <w:t>and max fee</w:t>
            </w:r>
          </w:p>
        </w:tc>
        <w:tc>
          <w:tcPr>
            <w:tcW w:w="2876" w:type="dxa"/>
          </w:tcPr>
          <w:p w:rsidR="006A18FD" w:rsidRDefault="002D29FC">
            <w:pPr>
              <w:spacing w:before="1" w:line="243" w:lineRule="exact"/>
              <w:ind w:left="868" w:firstLine="67"/>
              <w:rPr>
                <w:rFonts w:ascii="Calibri"/>
                <w:b/>
                <w:sz w:val="20"/>
              </w:rPr>
            </w:pPr>
            <w:r>
              <w:rPr>
                <w:rFonts w:ascii="Calibri"/>
                <w:b/>
                <w:sz w:val="20"/>
              </w:rPr>
              <w:t>Midpoint of</w:t>
            </w:r>
          </w:p>
          <w:p w:rsidR="006A18FD" w:rsidRDefault="002D29FC">
            <w:pPr>
              <w:spacing w:line="222" w:lineRule="exact"/>
              <w:ind w:left="868"/>
              <w:rPr>
                <w:rFonts w:ascii="Calibri"/>
                <w:b/>
                <w:sz w:val="20"/>
              </w:rPr>
            </w:pPr>
            <w:r>
              <w:rPr>
                <w:rFonts w:ascii="Calibri"/>
                <w:b/>
                <w:sz w:val="20"/>
              </w:rPr>
              <w:t>Minimum fee</w:t>
            </w:r>
          </w:p>
        </w:tc>
        <w:tc>
          <w:tcPr>
            <w:tcW w:w="2220" w:type="dxa"/>
          </w:tcPr>
          <w:p w:rsidR="006A18FD" w:rsidRDefault="002D29FC">
            <w:pPr>
              <w:spacing w:before="1" w:line="243" w:lineRule="exact"/>
              <w:ind w:left="527" w:firstLine="84"/>
              <w:rPr>
                <w:rFonts w:ascii="Calibri"/>
                <w:b/>
                <w:sz w:val="20"/>
              </w:rPr>
            </w:pPr>
            <w:r>
              <w:rPr>
                <w:rFonts w:ascii="Calibri"/>
                <w:b/>
                <w:sz w:val="20"/>
              </w:rPr>
              <w:t>Midpoint of</w:t>
            </w:r>
          </w:p>
          <w:p w:rsidR="006A18FD" w:rsidRDefault="002D29FC">
            <w:pPr>
              <w:spacing w:line="222" w:lineRule="exact"/>
              <w:ind w:left="527"/>
              <w:rPr>
                <w:rFonts w:ascii="Calibri"/>
                <w:b/>
                <w:sz w:val="20"/>
              </w:rPr>
            </w:pPr>
            <w:r>
              <w:rPr>
                <w:rFonts w:ascii="Calibri"/>
                <w:b/>
                <w:sz w:val="20"/>
              </w:rPr>
              <w:t>Maximum fee</w:t>
            </w:r>
          </w:p>
        </w:tc>
        <w:tc>
          <w:tcPr>
            <w:tcW w:w="2218" w:type="dxa"/>
          </w:tcPr>
          <w:p w:rsidR="006A18FD" w:rsidRDefault="002D29FC">
            <w:pPr>
              <w:spacing w:before="1" w:line="243" w:lineRule="exact"/>
              <w:ind w:left="94" w:right="98"/>
              <w:jc w:val="center"/>
              <w:rPr>
                <w:rFonts w:ascii="Calibri"/>
                <w:b/>
                <w:sz w:val="20"/>
              </w:rPr>
            </w:pPr>
            <w:r>
              <w:rPr>
                <w:rFonts w:ascii="Calibri"/>
                <w:b/>
                <w:sz w:val="20"/>
              </w:rPr>
              <w:t>Median of min and max</w:t>
            </w:r>
          </w:p>
          <w:p w:rsidR="006A18FD" w:rsidRDefault="002D29FC">
            <w:pPr>
              <w:spacing w:line="222" w:lineRule="exact"/>
              <w:ind w:left="94" w:right="97"/>
              <w:jc w:val="center"/>
              <w:rPr>
                <w:rFonts w:ascii="Calibri"/>
                <w:b/>
                <w:sz w:val="20"/>
              </w:rPr>
            </w:pPr>
            <w:r>
              <w:rPr>
                <w:rFonts w:ascii="Calibri"/>
                <w:b/>
                <w:sz w:val="20"/>
              </w:rPr>
              <w:t>fee</w:t>
            </w:r>
          </w:p>
        </w:tc>
      </w:tr>
      <w:tr w:rsidR="006A18FD">
        <w:trPr>
          <w:trHeight w:val="240"/>
        </w:trPr>
        <w:tc>
          <w:tcPr>
            <w:tcW w:w="3161" w:type="dxa"/>
          </w:tcPr>
          <w:p w:rsidR="006A18FD" w:rsidRDefault="006A18FD">
            <w:pPr>
              <w:rPr>
                <w:rFonts w:ascii="Times New Roman"/>
                <w:sz w:val="16"/>
              </w:rPr>
            </w:pPr>
          </w:p>
        </w:tc>
        <w:tc>
          <w:tcPr>
            <w:tcW w:w="4916" w:type="dxa"/>
            <w:gridSpan w:val="3"/>
          </w:tcPr>
          <w:p w:rsidR="006A18FD" w:rsidRDefault="002D29FC">
            <w:pPr>
              <w:spacing w:before="2" w:line="223" w:lineRule="exact"/>
              <w:ind w:left="1801" w:right="1801"/>
              <w:jc w:val="center"/>
              <w:rPr>
                <w:rFonts w:ascii="Calibri"/>
                <w:b/>
                <w:sz w:val="20"/>
              </w:rPr>
            </w:pPr>
            <w:r>
              <w:rPr>
                <w:rFonts w:ascii="Calibri"/>
                <w:b/>
                <w:sz w:val="20"/>
              </w:rPr>
              <w:t>Nursing Homes</w:t>
            </w:r>
          </w:p>
        </w:tc>
        <w:tc>
          <w:tcPr>
            <w:tcW w:w="7314" w:type="dxa"/>
            <w:gridSpan w:val="3"/>
          </w:tcPr>
          <w:p w:rsidR="006A18FD" w:rsidRDefault="002D29FC">
            <w:pPr>
              <w:spacing w:before="2" w:line="223" w:lineRule="exact"/>
              <w:ind w:left="2857" w:right="2860"/>
              <w:jc w:val="center"/>
              <w:rPr>
                <w:rFonts w:ascii="Calibri"/>
                <w:b/>
                <w:sz w:val="20"/>
              </w:rPr>
            </w:pPr>
            <w:r>
              <w:rPr>
                <w:rFonts w:ascii="Calibri"/>
                <w:b/>
                <w:sz w:val="20"/>
              </w:rPr>
              <w:t>Residential Homes</w:t>
            </w:r>
          </w:p>
        </w:tc>
      </w:tr>
      <w:tr w:rsidR="006A18FD">
        <w:trPr>
          <w:trHeight w:val="240"/>
        </w:trPr>
        <w:tc>
          <w:tcPr>
            <w:tcW w:w="3161" w:type="dxa"/>
          </w:tcPr>
          <w:p w:rsidR="006A18FD" w:rsidRDefault="002D29FC">
            <w:pPr>
              <w:spacing w:before="1" w:line="223" w:lineRule="exact"/>
              <w:ind w:left="103"/>
              <w:rPr>
                <w:rFonts w:ascii="Calibri"/>
                <w:sz w:val="20"/>
              </w:rPr>
            </w:pPr>
            <w:r>
              <w:rPr>
                <w:rFonts w:ascii="Calibri"/>
                <w:sz w:val="20"/>
              </w:rPr>
              <w:t>Dementia</w:t>
            </w:r>
          </w:p>
        </w:tc>
        <w:tc>
          <w:tcPr>
            <w:tcW w:w="1654" w:type="dxa"/>
          </w:tcPr>
          <w:p w:rsidR="006A18FD" w:rsidRDefault="002D29FC">
            <w:pPr>
              <w:spacing w:before="1" w:line="223" w:lineRule="exact"/>
              <w:ind w:right="540"/>
              <w:jc w:val="right"/>
              <w:rPr>
                <w:rFonts w:ascii="Calibri" w:hAnsi="Calibri"/>
                <w:sz w:val="20"/>
              </w:rPr>
            </w:pPr>
            <w:r>
              <w:rPr>
                <w:rFonts w:ascii="Calibri" w:hAnsi="Calibri"/>
                <w:sz w:val="20"/>
              </w:rPr>
              <w:t>£757</w:t>
            </w:r>
          </w:p>
        </w:tc>
        <w:tc>
          <w:tcPr>
            <w:tcW w:w="1560" w:type="dxa"/>
          </w:tcPr>
          <w:p w:rsidR="006A18FD" w:rsidRDefault="002D29FC">
            <w:pPr>
              <w:spacing w:before="1" w:line="223" w:lineRule="exact"/>
              <w:ind w:right="482"/>
              <w:jc w:val="right"/>
              <w:rPr>
                <w:rFonts w:ascii="Calibri" w:hAnsi="Calibri"/>
                <w:sz w:val="20"/>
              </w:rPr>
            </w:pPr>
            <w:r>
              <w:rPr>
                <w:rFonts w:ascii="Calibri" w:hAnsi="Calibri"/>
                <w:w w:val="95"/>
                <w:sz w:val="20"/>
              </w:rPr>
              <w:t>£1,071</w:t>
            </w:r>
          </w:p>
        </w:tc>
        <w:tc>
          <w:tcPr>
            <w:tcW w:w="1702" w:type="dxa"/>
          </w:tcPr>
          <w:p w:rsidR="006A18FD" w:rsidRDefault="002D29FC">
            <w:pPr>
              <w:spacing w:before="1" w:line="223" w:lineRule="exact"/>
              <w:ind w:right="514"/>
              <w:jc w:val="right"/>
              <w:rPr>
                <w:rFonts w:ascii="Calibri" w:hAnsi="Calibri"/>
                <w:sz w:val="20"/>
              </w:rPr>
            </w:pPr>
            <w:r>
              <w:rPr>
                <w:rFonts w:ascii="Calibri" w:hAnsi="Calibri"/>
                <w:sz w:val="20"/>
              </w:rPr>
              <w:t>£914</w:t>
            </w:r>
          </w:p>
        </w:tc>
        <w:tc>
          <w:tcPr>
            <w:tcW w:w="2876" w:type="dxa"/>
          </w:tcPr>
          <w:p w:rsidR="006A18FD" w:rsidRDefault="002D29FC">
            <w:pPr>
              <w:spacing w:before="1" w:line="223" w:lineRule="exact"/>
              <w:ind w:right="1102"/>
              <w:jc w:val="right"/>
              <w:rPr>
                <w:rFonts w:ascii="Calibri" w:hAnsi="Calibri"/>
                <w:sz w:val="20"/>
              </w:rPr>
            </w:pPr>
            <w:r>
              <w:rPr>
                <w:rFonts w:ascii="Calibri" w:hAnsi="Calibri"/>
                <w:sz w:val="20"/>
              </w:rPr>
              <w:t>£622</w:t>
            </w:r>
          </w:p>
        </w:tc>
        <w:tc>
          <w:tcPr>
            <w:tcW w:w="2220" w:type="dxa"/>
          </w:tcPr>
          <w:p w:rsidR="006A18FD" w:rsidRDefault="002D29FC">
            <w:pPr>
              <w:spacing w:before="1" w:line="223" w:lineRule="exact"/>
              <w:ind w:right="794"/>
              <w:jc w:val="right"/>
              <w:rPr>
                <w:rFonts w:ascii="Calibri" w:hAnsi="Calibri"/>
                <w:sz w:val="20"/>
              </w:rPr>
            </w:pPr>
            <w:r>
              <w:rPr>
                <w:rFonts w:ascii="Calibri" w:hAnsi="Calibri"/>
                <w:sz w:val="20"/>
              </w:rPr>
              <w:t>£873</w:t>
            </w:r>
          </w:p>
        </w:tc>
        <w:tc>
          <w:tcPr>
            <w:tcW w:w="2218" w:type="dxa"/>
          </w:tcPr>
          <w:p w:rsidR="006A18FD" w:rsidRDefault="002D29FC">
            <w:pPr>
              <w:spacing w:before="1" w:line="223" w:lineRule="exact"/>
              <w:ind w:right="798"/>
              <w:jc w:val="right"/>
              <w:rPr>
                <w:rFonts w:ascii="Calibri" w:hAnsi="Calibri"/>
                <w:sz w:val="20"/>
              </w:rPr>
            </w:pPr>
            <w:r>
              <w:rPr>
                <w:rFonts w:ascii="Calibri" w:hAnsi="Calibri"/>
                <w:sz w:val="20"/>
              </w:rPr>
              <w:t>£748</w:t>
            </w:r>
          </w:p>
        </w:tc>
      </w:tr>
      <w:tr w:rsidR="006A18FD">
        <w:trPr>
          <w:trHeight w:val="240"/>
        </w:trPr>
        <w:tc>
          <w:tcPr>
            <w:tcW w:w="3161" w:type="dxa"/>
          </w:tcPr>
          <w:p w:rsidR="006A18FD" w:rsidRDefault="002D29FC">
            <w:pPr>
              <w:spacing w:before="1" w:line="223" w:lineRule="exact"/>
              <w:ind w:left="103"/>
              <w:rPr>
                <w:rFonts w:ascii="Calibri"/>
                <w:sz w:val="20"/>
              </w:rPr>
            </w:pPr>
            <w:r>
              <w:rPr>
                <w:rFonts w:ascii="Calibri"/>
                <w:sz w:val="20"/>
              </w:rPr>
              <w:t>Learning disability</w:t>
            </w:r>
          </w:p>
        </w:tc>
        <w:tc>
          <w:tcPr>
            <w:tcW w:w="1654" w:type="dxa"/>
          </w:tcPr>
          <w:p w:rsidR="006A18FD" w:rsidRDefault="002D29FC">
            <w:pPr>
              <w:spacing w:before="1" w:line="223" w:lineRule="exact"/>
              <w:ind w:right="540"/>
              <w:jc w:val="right"/>
              <w:rPr>
                <w:rFonts w:ascii="Calibri" w:hAnsi="Calibri"/>
                <w:sz w:val="20"/>
              </w:rPr>
            </w:pPr>
            <w:r>
              <w:rPr>
                <w:rFonts w:ascii="Calibri" w:hAnsi="Calibri"/>
                <w:sz w:val="20"/>
              </w:rPr>
              <w:t>£665</w:t>
            </w:r>
          </w:p>
        </w:tc>
        <w:tc>
          <w:tcPr>
            <w:tcW w:w="1560" w:type="dxa"/>
          </w:tcPr>
          <w:p w:rsidR="006A18FD" w:rsidRDefault="002D29FC">
            <w:pPr>
              <w:spacing w:before="1" w:line="223" w:lineRule="exact"/>
              <w:ind w:right="482"/>
              <w:jc w:val="right"/>
              <w:rPr>
                <w:rFonts w:ascii="Calibri" w:hAnsi="Calibri"/>
                <w:sz w:val="20"/>
              </w:rPr>
            </w:pPr>
            <w:r>
              <w:rPr>
                <w:rFonts w:ascii="Calibri" w:hAnsi="Calibri"/>
                <w:w w:val="95"/>
                <w:sz w:val="20"/>
              </w:rPr>
              <w:t>£1,950</w:t>
            </w:r>
          </w:p>
        </w:tc>
        <w:tc>
          <w:tcPr>
            <w:tcW w:w="1702" w:type="dxa"/>
          </w:tcPr>
          <w:p w:rsidR="006A18FD" w:rsidRDefault="002D29FC">
            <w:pPr>
              <w:spacing w:before="1" w:line="223" w:lineRule="exact"/>
              <w:ind w:right="513"/>
              <w:jc w:val="right"/>
              <w:rPr>
                <w:rFonts w:ascii="Calibri" w:hAnsi="Calibri"/>
                <w:sz w:val="20"/>
              </w:rPr>
            </w:pPr>
            <w:r>
              <w:rPr>
                <w:rFonts w:ascii="Calibri" w:hAnsi="Calibri"/>
                <w:w w:val="95"/>
                <w:sz w:val="20"/>
              </w:rPr>
              <w:t>£1,308</w:t>
            </w:r>
          </w:p>
        </w:tc>
        <w:tc>
          <w:tcPr>
            <w:tcW w:w="2876" w:type="dxa"/>
          </w:tcPr>
          <w:p w:rsidR="006A18FD" w:rsidRDefault="002D29FC">
            <w:pPr>
              <w:spacing w:before="1" w:line="223" w:lineRule="exact"/>
              <w:ind w:right="1102"/>
              <w:jc w:val="right"/>
              <w:rPr>
                <w:rFonts w:ascii="Calibri" w:hAnsi="Calibri"/>
                <w:sz w:val="20"/>
              </w:rPr>
            </w:pPr>
            <w:r>
              <w:rPr>
                <w:rFonts w:ascii="Calibri" w:hAnsi="Calibri"/>
                <w:sz w:val="20"/>
              </w:rPr>
              <w:t>£646</w:t>
            </w:r>
          </w:p>
        </w:tc>
        <w:tc>
          <w:tcPr>
            <w:tcW w:w="2220" w:type="dxa"/>
          </w:tcPr>
          <w:p w:rsidR="006A18FD" w:rsidRDefault="002D29FC">
            <w:pPr>
              <w:spacing w:before="1" w:line="223" w:lineRule="exact"/>
              <w:ind w:right="794"/>
              <w:jc w:val="right"/>
              <w:rPr>
                <w:rFonts w:ascii="Calibri" w:hAnsi="Calibri"/>
                <w:sz w:val="20"/>
              </w:rPr>
            </w:pPr>
            <w:r>
              <w:rPr>
                <w:rFonts w:ascii="Calibri" w:hAnsi="Calibri"/>
                <w:w w:val="95"/>
                <w:sz w:val="20"/>
              </w:rPr>
              <w:t>£1,661</w:t>
            </w:r>
          </w:p>
        </w:tc>
        <w:tc>
          <w:tcPr>
            <w:tcW w:w="2218" w:type="dxa"/>
          </w:tcPr>
          <w:p w:rsidR="006A18FD" w:rsidRDefault="002D29FC">
            <w:pPr>
              <w:spacing w:before="1" w:line="223" w:lineRule="exact"/>
              <w:ind w:right="796"/>
              <w:jc w:val="right"/>
              <w:rPr>
                <w:rFonts w:ascii="Calibri" w:hAnsi="Calibri"/>
                <w:sz w:val="20"/>
              </w:rPr>
            </w:pPr>
            <w:r>
              <w:rPr>
                <w:rFonts w:ascii="Calibri" w:hAnsi="Calibri"/>
                <w:w w:val="95"/>
                <w:sz w:val="20"/>
              </w:rPr>
              <w:t>£1,154</w:t>
            </w:r>
          </w:p>
        </w:tc>
      </w:tr>
      <w:tr w:rsidR="006A18FD">
        <w:trPr>
          <w:trHeight w:val="240"/>
        </w:trPr>
        <w:tc>
          <w:tcPr>
            <w:tcW w:w="3161" w:type="dxa"/>
          </w:tcPr>
          <w:p w:rsidR="006A18FD" w:rsidRDefault="002D29FC">
            <w:pPr>
              <w:spacing w:before="1" w:line="223" w:lineRule="exact"/>
              <w:ind w:left="103"/>
              <w:rPr>
                <w:rFonts w:ascii="Calibri"/>
                <w:sz w:val="20"/>
              </w:rPr>
            </w:pPr>
            <w:r>
              <w:rPr>
                <w:rFonts w:ascii="Calibri"/>
                <w:sz w:val="20"/>
              </w:rPr>
              <w:t>Mental health</w:t>
            </w:r>
          </w:p>
        </w:tc>
        <w:tc>
          <w:tcPr>
            <w:tcW w:w="1654" w:type="dxa"/>
          </w:tcPr>
          <w:p w:rsidR="006A18FD" w:rsidRDefault="002D29FC">
            <w:pPr>
              <w:spacing w:before="1" w:line="223" w:lineRule="exact"/>
              <w:ind w:right="540"/>
              <w:jc w:val="right"/>
              <w:rPr>
                <w:rFonts w:ascii="Calibri" w:hAnsi="Calibri"/>
                <w:sz w:val="20"/>
              </w:rPr>
            </w:pPr>
            <w:r>
              <w:rPr>
                <w:rFonts w:ascii="Calibri" w:hAnsi="Calibri"/>
                <w:w w:val="95"/>
                <w:sz w:val="20"/>
              </w:rPr>
              <w:t>£1,089</w:t>
            </w:r>
          </w:p>
        </w:tc>
        <w:tc>
          <w:tcPr>
            <w:tcW w:w="1560" w:type="dxa"/>
          </w:tcPr>
          <w:p w:rsidR="006A18FD" w:rsidRDefault="002D29FC">
            <w:pPr>
              <w:spacing w:before="1" w:line="223" w:lineRule="exact"/>
              <w:ind w:right="482"/>
              <w:jc w:val="right"/>
              <w:rPr>
                <w:rFonts w:ascii="Calibri" w:hAnsi="Calibri"/>
                <w:sz w:val="20"/>
              </w:rPr>
            </w:pPr>
            <w:r>
              <w:rPr>
                <w:rFonts w:ascii="Calibri" w:hAnsi="Calibri"/>
                <w:w w:val="95"/>
                <w:sz w:val="20"/>
              </w:rPr>
              <w:t>£1,163</w:t>
            </w:r>
          </w:p>
        </w:tc>
        <w:tc>
          <w:tcPr>
            <w:tcW w:w="1702" w:type="dxa"/>
          </w:tcPr>
          <w:p w:rsidR="006A18FD" w:rsidRDefault="002D29FC">
            <w:pPr>
              <w:spacing w:before="1" w:line="223" w:lineRule="exact"/>
              <w:ind w:right="513"/>
              <w:jc w:val="right"/>
              <w:rPr>
                <w:rFonts w:ascii="Calibri" w:hAnsi="Calibri"/>
                <w:sz w:val="20"/>
              </w:rPr>
            </w:pPr>
            <w:r>
              <w:rPr>
                <w:rFonts w:ascii="Calibri" w:hAnsi="Calibri"/>
                <w:w w:val="95"/>
                <w:sz w:val="20"/>
              </w:rPr>
              <w:t>£1,126</w:t>
            </w:r>
          </w:p>
        </w:tc>
        <w:tc>
          <w:tcPr>
            <w:tcW w:w="2876" w:type="dxa"/>
          </w:tcPr>
          <w:p w:rsidR="006A18FD" w:rsidRDefault="002D29FC">
            <w:pPr>
              <w:spacing w:before="1" w:line="223" w:lineRule="exact"/>
              <w:ind w:right="1102"/>
              <w:jc w:val="right"/>
              <w:rPr>
                <w:rFonts w:ascii="Calibri" w:hAnsi="Calibri"/>
                <w:sz w:val="20"/>
              </w:rPr>
            </w:pPr>
            <w:r>
              <w:rPr>
                <w:rFonts w:ascii="Calibri" w:hAnsi="Calibri"/>
                <w:sz w:val="20"/>
              </w:rPr>
              <w:t>£473</w:t>
            </w:r>
          </w:p>
        </w:tc>
        <w:tc>
          <w:tcPr>
            <w:tcW w:w="2220" w:type="dxa"/>
          </w:tcPr>
          <w:p w:rsidR="006A18FD" w:rsidRDefault="002D29FC">
            <w:pPr>
              <w:spacing w:before="1" w:line="223" w:lineRule="exact"/>
              <w:ind w:right="794"/>
              <w:jc w:val="right"/>
              <w:rPr>
                <w:rFonts w:ascii="Calibri" w:hAnsi="Calibri"/>
                <w:sz w:val="20"/>
              </w:rPr>
            </w:pPr>
            <w:r>
              <w:rPr>
                <w:rFonts w:ascii="Calibri" w:hAnsi="Calibri"/>
                <w:w w:val="95"/>
                <w:sz w:val="20"/>
              </w:rPr>
              <w:t>£1,226</w:t>
            </w:r>
          </w:p>
        </w:tc>
        <w:tc>
          <w:tcPr>
            <w:tcW w:w="2218" w:type="dxa"/>
          </w:tcPr>
          <w:p w:rsidR="006A18FD" w:rsidRDefault="002D29FC">
            <w:pPr>
              <w:spacing w:before="1" w:line="223" w:lineRule="exact"/>
              <w:ind w:right="798"/>
              <w:jc w:val="right"/>
              <w:rPr>
                <w:rFonts w:ascii="Calibri" w:hAnsi="Calibri"/>
                <w:sz w:val="20"/>
              </w:rPr>
            </w:pPr>
            <w:r>
              <w:rPr>
                <w:rFonts w:ascii="Calibri" w:hAnsi="Calibri"/>
                <w:sz w:val="20"/>
              </w:rPr>
              <w:t>£849</w:t>
            </w:r>
          </w:p>
        </w:tc>
      </w:tr>
      <w:tr w:rsidR="006A18FD">
        <w:trPr>
          <w:trHeight w:val="240"/>
        </w:trPr>
        <w:tc>
          <w:tcPr>
            <w:tcW w:w="3161" w:type="dxa"/>
          </w:tcPr>
          <w:p w:rsidR="006A18FD" w:rsidRDefault="002D29FC">
            <w:pPr>
              <w:spacing w:before="1" w:line="223" w:lineRule="exact"/>
              <w:ind w:left="103"/>
              <w:rPr>
                <w:rFonts w:ascii="Calibri"/>
                <w:sz w:val="20"/>
              </w:rPr>
            </w:pPr>
            <w:r>
              <w:rPr>
                <w:rFonts w:ascii="Calibri"/>
                <w:sz w:val="20"/>
              </w:rPr>
              <w:t>Older people (65+)</w:t>
            </w:r>
          </w:p>
        </w:tc>
        <w:tc>
          <w:tcPr>
            <w:tcW w:w="1654" w:type="dxa"/>
          </w:tcPr>
          <w:p w:rsidR="006A18FD" w:rsidRDefault="002D29FC">
            <w:pPr>
              <w:spacing w:before="1" w:line="223" w:lineRule="exact"/>
              <w:ind w:right="540"/>
              <w:jc w:val="right"/>
              <w:rPr>
                <w:rFonts w:ascii="Calibri" w:hAnsi="Calibri"/>
                <w:sz w:val="20"/>
              </w:rPr>
            </w:pPr>
            <w:r>
              <w:rPr>
                <w:rFonts w:ascii="Calibri" w:hAnsi="Calibri"/>
                <w:sz w:val="20"/>
              </w:rPr>
              <w:t>£735</w:t>
            </w:r>
          </w:p>
        </w:tc>
        <w:tc>
          <w:tcPr>
            <w:tcW w:w="1560" w:type="dxa"/>
          </w:tcPr>
          <w:p w:rsidR="006A18FD" w:rsidRDefault="002D29FC">
            <w:pPr>
              <w:spacing w:before="1" w:line="223" w:lineRule="exact"/>
              <w:ind w:right="482"/>
              <w:jc w:val="right"/>
              <w:rPr>
                <w:rFonts w:ascii="Calibri" w:hAnsi="Calibri"/>
                <w:sz w:val="20"/>
              </w:rPr>
            </w:pPr>
            <w:r>
              <w:rPr>
                <w:rFonts w:ascii="Calibri" w:hAnsi="Calibri"/>
                <w:sz w:val="20"/>
              </w:rPr>
              <w:t>£926</w:t>
            </w:r>
          </w:p>
        </w:tc>
        <w:tc>
          <w:tcPr>
            <w:tcW w:w="1702" w:type="dxa"/>
          </w:tcPr>
          <w:p w:rsidR="006A18FD" w:rsidRDefault="002D29FC">
            <w:pPr>
              <w:spacing w:before="1" w:line="223" w:lineRule="exact"/>
              <w:ind w:right="514"/>
              <w:jc w:val="right"/>
              <w:rPr>
                <w:rFonts w:ascii="Calibri" w:hAnsi="Calibri"/>
                <w:sz w:val="20"/>
              </w:rPr>
            </w:pPr>
            <w:r>
              <w:rPr>
                <w:rFonts w:ascii="Calibri" w:hAnsi="Calibri"/>
                <w:sz w:val="20"/>
              </w:rPr>
              <w:t>£830</w:t>
            </w:r>
          </w:p>
        </w:tc>
        <w:tc>
          <w:tcPr>
            <w:tcW w:w="2876" w:type="dxa"/>
          </w:tcPr>
          <w:p w:rsidR="006A18FD" w:rsidRDefault="002D29FC">
            <w:pPr>
              <w:spacing w:before="1" w:line="223" w:lineRule="exact"/>
              <w:ind w:right="1102"/>
              <w:jc w:val="right"/>
              <w:rPr>
                <w:rFonts w:ascii="Calibri" w:hAnsi="Calibri"/>
                <w:sz w:val="20"/>
              </w:rPr>
            </w:pPr>
            <w:r>
              <w:rPr>
                <w:rFonts w:ascii="Calibri" w:hAnsi="Calibri"/>
                <w:sz w:val="20"/>
              </w:rPr>
              <w:t>£604</w:t>
            </w:r>
          </w:p>
        </w:tc>
        <w:tc>
          <w:tcPr>
            <w:tcW w:w="2220" w:type="dxa"/>
          </w:tcPr>
          <w:p w:rsidR="006A18FD" w:rsidRDefault="002D29FC">
            <w:pPr>
              <w:spacing w:before="1" w:line="223" w:lineRule="exact"/>
              <w:ind w:right="794"/>
              <w:jc w:val="right"/>
              <w:rPr>
                <w:rFonts w:ascii="Calibri" w:hAnsi="Calibri"/>
                <w:sz w:val="20"/>
              </w:rPr>
            </w:pPr>
            <w:r>
              <w:rPr>
                <w:rFonts w:ascii="Calibri" w:hAnsi="Calibri"/>
                <w:sz w:val="20"/>
              </w:rPr>
              <w:t>£777</w:t>
            </w:r>
          </w:p>
        </w:tc>
        <w:tc>
          <w:tcPr>
            <w:tcW w:w="2218" w:type="dxa"/>
          </w:tcPr>
          <w:p w:rsidR="006A18FD" w:rsidRDefault="002D29FC">
            <w:pPr>
              <w:spacing w:before="1" w:line="223" w:lineRule="exact"/>
              <w:ind w:right="798"/>
              <w:jc w:val="right"/>
              <w:rPr>
                <w:rFonts w:ascii="Calibri" w:hAnsi="Calibri"/>
                <w:sz w:val="20"/>
              </w:rPr>
            </w:pPr>
            <w:r>
              <w:rPr>
                <w:rFonts w:ascii="Calibri" w:hAnsi="Calibri"/>
                <w:sz w:val="20"/>
              </w:rPr>
              <w:t>£691</w:t>
            </w:r>
          </w:p>
        </w:tc>
      </w:tr>
      <w:tr w:rsidR="006A18FD">
        <w:trPr>
          <w:trHeight w:val="240"/>
        </w:trPr>
        <w:tc>
          <w:tcPr>
            <w:tcW w:w="3161" w:type="dxa"/>
          </w:tcPr>
          <w:p w:rsidR="006A18FD" w:rsidRDefault="002D29FC">
            <w:pPr>
              <w:spacing w:before="1" w:line="223" w:lineRule="exact"/>
              <w:ind w:left="103"/>
              <w:rPr>
                <w:rFonts w:ascii="Calibri"/>
                <w:sz w:val="20"/>
              </w:rPr>
            </w:pPr>
            <w:r>
              <w:rPr>
                <w:rFonts w:ascii="Calibri"/>
                <w:sz w:val="20"/>
              </w:rPr>
              <w:t>Physical disability</w:t>
            </w:r>
          </w:p>
        </w:tc>
        <w:tc>
          <w:tcPr>
            <w:tcW w:w="1654" w:type="dxa"/>
          </w:tcPr>
          <w:p w:rsidR="006A18FD" w:rsidRDefault="002D29FC">
            <w:pPr>
              <w:spacing w:before="1" w:line="223" w:lineRule="exact"/>
              <w:ind w:right="540"/>
              <w:jc w:val="right"/>
              <w:rPr>
                <w:rFonts w:ascii="Calibri" w:hAnsi="Calibri"/>
                <w:sz w:val="20"/>
              </w:rPr>
            </w:pPr>
            <w:r>
              <w:rPr>
                <w:rFonts w:ascii="Calibri" w:hAnsi="Calibri"/>
                <w:w w:val="95"/>
                <w:sz w:val="20"/>
              </w:rPr>
              <w:t>£1,280</w:t>
            </w:r>
          </w:p>
        </w:tc>
        <w:tc>
          <w:tcPr>
            <w:tcW w:w="1560" w:type="dxa"/>
          </w:tcPr>
          <w:p w:rsidR="006A18FD" w:rsidRDefault="002D29FC">
            <w:pPr>
              <w:spacing w:before="1" w:line="223" w:lineRule="exact"/>
              <w:ind w:right="482"/>
              <w:jc w:val="right"/>
              <w:rPr>
                <w:rFonts w:ascii="Calibri" w:hAnsi="Calibri"/>
                <w:sz w:val="20"/>
              </w:rPr>
            </w:pPr>
            <w:r>
              <w:rPr>
                <w:rFonts w:ascii="Calibri" w:hAnsi="Calibri"/>
                <w:w w:val="95"/>
                <w:sz w:val="20"/>
              </w:rPr>
              <w:t>£1,424</w:t>
            </w:r>
          </w:p>
        </w:tc>
        <w:tc>
          <w:tcPr>
            <w:tcW w:w="1702" w:type="dxa"/>
          </w:tcPr>
          <w:p w:rsidR="006A18FD" w:rsidRDefault="002D29FC">
            <w:pPr>
              <w:spacing w:before="1" w:line="223" w:lineRule="exact"/>
              <w:ind w:right="513"/>
              <w:jc w:val="right"/>
              <w:rPr>
                <w:rFonts w:ascii="Calibri" w:hAnsi="Calibri"/>
                <w:sz w:val="20"/>
              </w:rPr>
            </w:pPr>
            <w:r>
              <w:rPr>
                <w:rFonts w:ascii="Calibri" w:hAnsi="Calibri"/>
                <w:w w:val="95"/>
                <w:sz w:val="20"/>
              </w:rPr>
              <w:t>£1,352</w:t>
            </w:r>
          </w:p>
        </w:tc>
        <w:tc>
          <w:tcPr>
            <w:tcW w:w="2876" w:type="dxa"/>
          </w:tcPr>
          <w:p w:rsidR="006A18FD" w:rsidRDefault="002D29FC">
            <w:pPr>
              <w:spacing w:before="1" w:line="223" w:lineRule="exact"/>
              <w:ind w:right="1102"/>
              <w:jc w:val="right"/>
              <w:rPr>
                <w:rFonts w:ascii="Calibri" w:hAnsi="Calibri"/>
                <w:sz w:val="20"/>
              </w:rPr>
            </w:pPr>
            <w:r>
              <w:rPr>
                <w:rFonts w:ascii="Calibri" w:hAnsi="Calibri"/>
                <w:sz w:val="20"/>
              </w:rPr>
              <w:t>£390</w:t>
            </w:r>
          </w:p>
        </w:tc>
        <w:tc>
          <w:tcPr>
            <w:tcW w:w="2220" w:type="dxa"/>
          </w:tcPr>
          <w:p w:rsidR="006A18FD" w:rsidRDefault="002D29FC">
            <w:pPr>
              <w:spacing w:before="1" w:line="223" w:lineRule="exact"/>
              <w:ind w:right="794"/>
              <w:jc w:val="right"/>
              <w:rPr>
                <w:rFonts w:ascii="Calibri" w:hAnsi="Calibri"/>
                <w:sz w:val="20"/>
              </w:rPr>
            </w:pPr>
            <w:r>
              <w:rPr>
                <w:rFonts w:ascii="Calibri" w:hAnsi="Calibri"/>
                <w:sz w:val="20"/>
              </w:rPr>
              <w:t>£451</w:t>
            </w:r>
          </w:p>
        </w:tc>
        <w:tc>
          <w:tcPr>
            <w:tcW w:w="2218" w:type="dxa"/>
          </w:tcPr>
          <w:p w:rsidR="006A18FD" w:rsidRDefault="002D29FC">
            <w:pPr>
              <w:spacing w:before="1" w:line="223" w:lineRule="exact"/>
              <w:ind w:right="798"/>
              <w:jc w:val="right"/>
              <w:rPr>
                <w:rFonts w:ascii="Calibri" w:hAnsi="Calibri"/>
                <w:sz w:val="20"/>
              </w:rPr>
            </w:pPr>
            <w:r>
              <w:rPr>
                <w:rFonts w:ascii="Calibri" w:hAnsi="Calibri"/>
                <w:sz w:val="20"/>
              </w:rPr>
              <w:t>£420</w:t>
            </w:r>
          </w:p>
        </w:tc>
      </w:tr>
    </w:tbl>
    <w:p w:rsidR="006A18FD" w:rsidRDefault="006A18FD">
      <w:pPr>
        <w:rPr>
          <w:rFonts w:ascii="Cambria"/>
          <w:b/>
          <w:sz w:val="37"/>
        </w:rPr>
      </w:pPr>
    </w:p>
    <w:p w:rsidR="006A18FD" w:rsidRDefault="002D29FC">
      <w:pPr>
        <w:spacing w:before="1"/>
        <w:ind w:left="100"/>
        <w:jc w:val="both"/>
        <w:rPr>
          <w:rFonts w:ascii="Cambria" w:hAnsi="Cambria"/>
          <w:b/>
          <w:sz w:val="18"/>
        </w:rPr>
      </w:pPr>
      <w:r>
        <w:rPr>
          <w:rFonts w:ascii="Cambria" w:hAnsi="Cambria"/>
          <w:b/>
          <w:sz w:val="28"/>
        </w:rPr>
        <w:t xml:space="preserve">Table 2 Care home fees in England – non profit providers </w:t>
      </w:r>
      <w:r>
        <w:rPr>
          <w:rFonts w:ascii="Cambria" w:hAnsi="Cambria"/>
          <w:b/>
          <w:position w:val="7"/>
          <w:sz w:val="18"/>
        </w:rPr>
        <w:t>2</w:t>
      </w:r>
    </w:p>
    <w:p w:rsidR="006A18FD" w:rsidRDefault="002D29FC">
      <w:pPr>
        <w:spacing w:before="113"/>
        <w:ind w:left="100"/>
        <w:jc w:val="both"/>
        <w:rPr>
          <w:rFonts w:ascii="Cambria"/>
          <w:b/>
          <w:sz w:val="24"/>
        </w:rPr>
      </w:pPr>
      <w:r>
        <w:rPr>
          <w:rFonts w:ascii="Cambria"/>
          <w:b/>
          <w:sz w:val="24"/>
        </w:rPr>
        <w:t>Minimum and maximum fees for 2018/2019</w:t>
      </w:r>
    </w:p>
    <w:p w:rsidR="006A18FD" w:rsidRDefault="006A18FD">
      <w:pPr>
        <w:spacing w:before="6"/>
        <w:rPr>
          <w:rFonts w:ascii="Cambria"/>
          <w:b/>
          <w:sz w:val="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702"/>
        <w:gridCol w:w="1558"/>
        <w:gridCol w:w="1702"/>
        <w:gridCol w:w="2977"/>
        <w:gridCol w:w="2126"/>
        <w:gridCol w:w="2069"/>
      </w:tblGrid>
      <w:tr w:rsidR="006A18FD" w:rsidTr="00CA19E0">
        <w:trPr>
          <w:trHeight w:val="720"/>
          <w:tblHeader/>
        </w:trPr>
        <w:tc>
          <w:tcPr>
            <w:tcW w:w="3116" w:type="dxa"/>
          </w:tcPr>
          <w:p w:rsidR="006A18FD" w:rsidRDefault="006A18FD">
            <w:pPr>
              <w:rPr>
                <w:rFonts w:ascii="Times New Roman"/>
                <w:sz w:val="20"/>
              </w:rPr>
            </w:pPr>
          </w:p>
        </w:tc>
        <w:tc>
          <w:tcPr>
            <w:tcW w:w="1702" w:type="dxa"/>
          </w:tcPr>
          <w:p w:rsidR="006A18FD" w:rsidRDefault="002D29FC">
            <w:pPr>
              <w:spacing w:before="1"/>
              <w:ind w:left="282" w:right="267" w:firstLine="67"/>
              <w:rPr>
                <w:rFonts w:ascii="Calibri"/>
                <w:b/>
                <w:sz w:val="20"/>
              </w:rPr>
            </w:pPr>
            <w:r>
              <w:rPr>
                <w:rFonts w:ascii="Calibri"/>
                <w:b/>
                <w:sz w:val="20"/>
              </w:rPr>
              <w:t>Midpoint of Minimum fee</w:t>
            </w:r>
          </w:p>
        </w:tc>
        <w:tc>
          <w:tcPr>
            <w:tcW w:w="1558" w:type="dxa"/>
          </w:tcPr>
          <w:p w:rsidR="006A18FD" w:rsidRDefault="002D29FC">
            <w:pPr>
              <w:spacing w:before="1"/>
              <w:ind w:left="194" w:firstLine="84"/>
              <w:rPr>
                <w:rFonts w:ascii="Calibri"/>
                <w:b/>
                <w:sz w:val="20"/>
              </w:rPr>
            </w:pPr>
            <w:r>
              <w:rPr>
                <w:rFonts w:ascii="Calibri"/>
                <w:b/>
                <w:sz w:val="20"/>
              </w:rPr>
              <w:t>Midpoint of Maximum fee</w:t>
            </w:r>
          </w:p>
        </w:tc>
        <w:tc>
          <w:tcPr>
            <w:tcW w:w="1702" w:type="dxa"/>
          </w:tcPr>
          <w:p w:rsidR="006A18FD" w:rsidRDefault="002D29FC">
            <w:pPr>
              <w:spacing w:before="1" w:line="240" w:lineRule="atLeast"/>
              <w:ind w:left="114" w:right="116" w:hanging="1"/>
              <w:jc w:val="center"/>
              <w:rPr>
                <w:rFonts w:ascii="Calibri"/>
                <w:b/>
                <w:sz w:val="20"/>
              </w:rPr>
            </w:pPr>
            <w:r>
              <w:rPr>
                <w:rFonts w:ascii="Calibri"/>
                <w:b/>
                <w:sz w:val="20"/>
              </w:rPr>
              <w:t>Midpoint between min and max fee</w:t>
            </w:r>
          </w:p>
        </w:tc>
        <w:tc>
          <w:tcPr>
            <w:tcW w:w="2977" w:type="dxa"/>
          </w:tcPr>
          <w:p w:rsidR="006A18FD" w:rsidRDefault="002D29FC">
            <w:pPr>
              <w:spacing w:before="1"/>
              <w:ind w:left="921" w:right="902" w:firstLine="67"/>
              <w:rPr>
                <w:rFonts w:ascii="Calibri"/>
                <w:b/>
                <w:sz w:val="20"/>
              </w:rPr>
            </w:pPr>
            <w:r>
              <w:rPr>
                <w:rFonts w:ascii="Calibri"/>
                <w:b/>
                <w:sz w:val="20"/>
              </w:rPr>
              <w:t>Midpoint of Minimum fee</w:t>
            </w:r>
          </w:p>
        </w:tc>
        <w:tc>
          <w:tcPr>
            <w:tcW w:w="2126" w:type="dxa"/>
          </w:tcPr>
          <w:p w:rsidR="006A18FD" w:rsidRDefault="002D29FC">
            <w:pPr>
              <w:spacing w:before="1"/>
              <w:ind w:left="479" w:right="460" w:firstLine="84"/>
              <w:rPr>
                <w:rFonts w:ascii="Calibri"/>
                <w:b/>
                <w:sz w:val="20"/>
              </w:rPr>
            </w:pPr>
            <w:r>
              <w:rPr>
                <w:rFonts w:ascii="Calibri"/>
                <w:b/>
                <w:sz w:val="20"/>
              </w:rPr>
              <w:t>Midpoint of Maximum fee</w:t>
            </w:r>
          </w:p>
        </w:tc>
        <w:tc>
          <w:tcPr>
            <w:tcW w:w="2069" w:type="dxa"/>
          </w:tcPr>
          <w:p w:rsidR="006A18FD" w:rsidRDefault="002D29FC">
            <w:pPr>
              <w:spacing w:before="1"/>
              <w:ind w:left="333" w:right="238" w:hanging="84"/>
              <w:rPr>
                <w:rFonts w:ascii="Calibri"/>
                <w:b/>
                <w:sz w:val="20"/>
              </w:rPr>
            </w:pPr>
            <w:r>
              <w:rPr>
                <w:rFonts w:ascii="Calibri"/>
                <w:b/>
                <w:sz w:val="20"/>
              </w:rPr>
              <w:t>Midpoint between min and max fee</w:t>
            </w:r>
          </w:p>
        </w:tc>
      </w:tr>
      <w:tr w:rsidR="006A18FD">
        <w:trPr>
          <w:trHeight w:val="239"/>
        </w:trPr>
        <w:tc>
          <w:tcPr>
            <w:tcW w:w="3116" w:type="dxa"/>
          </w:tcPr>
          <w:p w:rsidR="006A18FD" w:rsidRDefault="006A18FD">
            <w:pPr>
              <w:rPr>
                <w:rFonts w:ascii="Times New Roman"/>
                <w:sz w:val="16"/>
              </w:rPr>
            </w:pPr>
          </w:p>
        </w:tc>
        <w:tc>
          <w:tcPr>
            <w:tcW w:w="4962" w:type="dxa"/>
            <w:gridSpan w:val="3"/>
          </w:tcPr>
          <w:p w:rsidR="006A18FD" w:rsidRDefault="002D29FC">
            <w:pPr>
              <w:spacing w:line="223" w:lineRule="exact"/>
              <w:ind w:left="1823" w:right="1824"/>
              <w:jc w:val="center"/>
              <w:rPr>
                <w:rFonts w:ascii="Calibri"/>
                <w:b/>
                <w:sz w:val="20"/>
              </w:rPr>
            </w:pPr>
            <w:r>
              <w:rPr>
                <w:rFonts w:ascii="Calibri"/>
                <w:b/>
                <w:sz w:val="20"/>
              </w:rPr>
              <w:t>Nursing Homes</w:t>
            </w:r>
          </w:p>
        </w:tc>
        <w:tc>
          <w:tcPr>
            <w:tcW w:w="7172" w:type="dxa"/>
            <w:gridSpan w:val="3"/>
          </w:tcPr>
          <w:p w:rsidR="006A18FD" w:rsidRDefault="002D29FC">
            <w:pPr>
              <w:spacing w:line="223" w:lineRule="exact"/>
              <w:ind w:left="2787" w:right="2788"/>
              <w:jc w:val="center"/>
              <w:rPr>
                <w:rFonts w:ascii="Calibri"/>
                <w:b/>
                <w:sz w:val="20"/>
              </w:rPr>
            </w:pPr>
            <w:r>
              <w:rPr>
                <w:rFonts w:ascii="Calibri"/>
                <w:b/>
                <w:sz w:val="20"/>
              </w:rPr>
              <w:t>Residential Homes</w:t>
            </w:r>
          </w:p>
        </w:tc>
      </w:tr>
      <w:tr w:rsidR="006A18FD">
        <w:trPr>
          <w:trHeight w:val="240"/>
        </w:trPr>
        <w:tc>
          <w:tcPr>
            <w:tcW w:w="3116" w:type="dxa"/>
          </w:tcPr>
          <w:p w:rsidR="006A18FD" w:rsidRDefault="002D29FC">
            <w:pPr>
              <w:spacing w:line="222" w:lineRule="exact"/>
              <w:ind w:left="103"/>
              <w:rPr>
                <w:rFonts w:ascii="Calibri"/>
                <w:sz w:val="20"/>
              </w:rPr>
            </w:pPr>
            <w:r>
              <w:rPr>
                <w:rFonts w:ascii="Calibri"/>
                <w:sz w:val="20"/>
              </w:rPr>
              <w:t>Dementia</w:t>
            </w:r>
          </w:p>
        </w:tc>
        <w:tc>
          <w:tcPr>
            <w:tcW w:w="1702" w:type="dxa"/>
          </w:tcPr>
          <w:p w:rsidR="006A18FD" w:rsidRDefault="002D29FC">
            <w:pPr>
              <w:spacing w:line="222" w:lineRule="exact"/>
              <w:ind w:right="564"/>
              <w:jc w:val="right"/>
              <w:rPr>
                <w:rFonts w:ascii="Calibri" w:hAnsi="Calibri"/>
                <w:sz w:val="20"/>
              </w:rPr>
            </w:pPr>
            <w:r>
              <w:rPr>
                <w:rFonts w:ascii="Calibri" w:hAnsi="Calibri"/>
                <w:w w:val="95"/>
                <w:sz w:val="20"/>
              </w:rPr>
              <w:t>£1,006</w:t>
            </w:r>
          </w:p>
        </w:tc>
        <w:tc>
          <w:tcPr>
            <w:tcW w:w="1558" w:type="dxa"/>
          </w:tcPr>
          <w:p w:rsidR="006A18FD" w:rsidRDefault="002D29FC">
            <w:pPr>
              <w:spacing w:line="222" w:lineRule="exact"/>
              <w:ind w:right="479"/>
              <w:jc w:val="right"/>
              <w:rPr>
                <w:rFonts w:ascii="Calibri" w:hAnsi="Calibri"/>
                <w:sz w:val="20"/>
              </w:rPr>
            </w:pPr>
            <w:r>
              <w:rPr>
                <w:rFonts w:ascii="Calibri" w:hAnsi="Calibri"/>
                <w:w w:val="95"/>
                <w:sz w:val="20"/>
              </w:rPr>
              <w:t>£1,200</w:t>
            </w:r>
          </w:p>
        </w:tc>
        <w:tc>
          <w:tcPr>
            <w:tcW w:w="1702" w:type="dxa"/>
          </w:tcPr>
          <w:p w:rsidR="006A18FD" w:rsidRDefault="002D29FC">
            <w:pPr>
              <w:spacing w:line="222" w:lineRule="exact"/>
              <w:ind w:right="513"/>
              <w:jc w:val="right"/>
              <w:rPr>
                <w:rFonts w:ascii="Calibri" w:hAnsi="Calibri"/>
                <w:sz w:val="20"/>
              </w:rPr>
            </w:pPr>
            <w:r>
              <w:rPr>
                <w:rFonts w:ascii="Calibri" w:hAnsi="Calibri"/>
                <w:w w:val="95"/>
                <w:sz w:val="20"/>
              </w:rPr>
              <w:t>£1,103</w:t>
            </w:r>
          </w:p>
        </w:tc>
        <w:tc>
          <w:tcPr>
            <w:tcW w:w="2977" w:type="dxa"/>
          </w:tcPr>
          <w:p w:rsidR="006A18FD" w:rsidRDefault="002D29FC">
            <w:pPr>
              <w:spacing w:line="222" w:lineRule="exact"/>
              <w:ind w:right="1174"/>
              <w:jc w:val="right"/>
              <w:rPr>
                <w:rFonts w:ascii="Calibri" w:hAnsi="Calibri"/>
                <w:sz w:val="20"/>
              </w:rPr>
            </w:pPr>
            <w:r>
              <w:rPr>
                <w:rFonts w:ascii="Calibri" w:hAnsi="Calibri"/>
                <w:sz w:val="20"/>
              </w:rPr>
              <w:t>£634</w:t>
            </w:r>
          </w:p>
        </w:tc>
        <w:tc>
          <w:tcPr>
            <w:tcW w:w="2126" w:type="dxa"/>
          </w:tcPr>
          <w:p w:rsidR="006A18FD" w:rsidRDefault="002D29FC">
            <w:pPr>
              <w:spacing w:line="222" w:lineRule="exact"/>
              <w:ind w:right="749"/>
              <w:jc w:val="right"/>
              <w:rPr>
                <w:rFonts w:ascii="Calibri" w:hAnsi="Calibri"/>
                <w:sz w:val="20"/>
              </w:rPr>
            </w:pPr>
            <w:r>
              <w:rPr>
                <w:rFonts w:ascii="Calibri" w:hAnsi="Calibri"/>
                <w:sz w:val="20"/>
              </w:rPr>
              <w:t>£780</w:t>
            </w:r>
          </w:p>
        </w:tc>
        <w:tc>
          <w:tcPr>
            <w:tcW w:w="2069" w:type="dxa"/>
          </w:tcPr>
          <w:p w:rsidR="006A18FD" w:rsidRDefault="002D29FC">
            <w:pPr>
              <w:spacing w:line="222" w:lineRule="exact"/>
              <w:ind w:right="741"/>
              <w:jc w:val="right"/>
              <w:rPr>
                <w:rFonts w:ascii="Calibri" w:hAnsi="Calibri"/>
                <w:sz w:val="20"/>
              </w:rPr>
            </w:pPr>
            <w:r>
              <w:rPr>
                <w:rFonts w:ascii="Calibri" w:hAnsi="Calibri"/>
                <w:sz w:val="20"/>
              </w:rPr>
              <w:t>£707</w:t>
            </w:r>
          </w:p>
        </w:tc>
      </w:tr>
      <w:tr w:rsidR="006A18FD">
        <w:trPr>
          <w:trHeight w:val="240"/>
        </w:trPr>
        <w:tc>
          <w:tcPr>
            <w:tcW w:w="3116" w:type="dxa"/>
          </w:tcPr>
          <w:p w:rsidR="006A18FD" w:rsidRDefault="002D29FC">
            <w:pPr>
              <w:spacing w:before="1" w:line="223" w:lineRule="exact"/>
              <w:ind w:left="103"/>
              <w:rPr>
                <w:rFonts w:ascii="Calibri"/>
                <w:sz w:val="20"/>
              </w:rPr>
            </w:pPr>
            <w:r>
              <w:rPr>
                <w:rFonts w:ascii="Calibri"/>
                <w:sz w:val="20"/>
              </w:rPr>
              <w:t>Learning disability</w:t>
            </w:r>
          </w:p>
        </w:tc>
        <w:tc>
          <w:tcPr>
            <w:tcW w:w="1702" w:type="dxa"/>
          </w:tcPr>
          <w:p w:rsidR="006A18FD" w:rsidRDefault="006A18FD">
            <w:pPr>
              <w:rPr>
                <w:rFonts w:ascii="Times New Roman"/>
                <w:sz w:val="16"/>
              </w:rPr>
            </w:pPr>
          </w:p>
        </w:tc>
        <w:tc>
          <w:tcPr>
            <w:tcW w:w="1558" w:type="dxa"/>
          </w:tcPr>
          <w:p w:rsidR="006A18FD" w:rsidRDefault="006A18FD">
            <w:pPr>
              <w:rPr>
                <w:rFonts w:ascii="Times New Roman"/>
                <w:sz w:val="16"/>
              </w:rPr>
            </w:pPr>
          </w:p>
        </w:tc>
        <w:tc>
          <w:tcPr>
            <w:tcW w:w="1702" w:type="dxa"/>
          </w:tcPr>
          <w:p w:rsidR="006A18FD" w:rsidRDefault="006A18FD">
            <w:pPr>
              <w:rPr>
                <w:rFonts w:ascii="Times New Roman"/>
                <w:sz w:val="16"/>
              </w:rPr>
            </w:pPr>
          </w:p>
        </w:tc>
        <w:tc>
          <w:tcPr>
            <w:tcW w:w="2977" w:type="dxa"/>
          </w:tcPr>
          <w:p w:rsidR="006A18FD" w:rsidRDefault="002D29FC">
            <w:pPr>
              <w:spacing w:before="1" w:line="223" w:lineRule="exact"/>
              <w:ind w:right="1174"/>
              <w:jc w:val="right"/>
              <w:rPr>
                <w:rFonts w:ascii="Calibri" w:hAnsi="Calibri"/>
                <w:sz w:val="20"/>
              </w:rPr>
            </w:pPr>
            <w:r>
              <w:rPr>
                <w:rFonts w:ascii="Calibri" w:hAnsi="Calibri"/>
                <w:w w:val="95"/>
                <w:sz w:val="20"/>
              </w:rPr>
              <w:t>£1,078</w:t>
            </w:r>
          </w:p>
        </w:tc>
        <w:tc>
          <w:tcPr>
            <w:tcW w:w="2126" w:type="dxa"/>
          </w:tcPr>
          <w:p w:rsidR="006A18FD" w:rsidRDefault="002D29FC">
            <w:pPr>
              <w:spacing w:before="1" w:line="223" w:lineRule="exact"/>
              <w:ind w:right="748"/>
              <w:jc w:val="right"/>
              <w:rPr>
                <w:rFonts w:ascii="Calibri" w:hAnsi="Calibri"/>
                <w:sz w:val="20"/>
              </w:rPr>
            </w:pPr>
            <w:r>
              <w:rPr>
                <w:rFonts w:ascii="Calibri" w:hAnsi="Calibri"/>
                <w:w w:val="95"/>
                <w:sz w:val="20"/>
              </w:rPr>
              <w:t>£1,475</w:t>
            </w:r>
          </w:p>
        </w:tc>
        <w:tc>
          <w:tcPr>
            <w:tcW w:w="2069" w:type="dxa"/>
          </w:tcPr>
          <w:p w:rsidR="006A18FD" w:rsidRDefault="002D29FC">
            <w:pPr>
              <w:spacing w:before="1" w:line="223" w:lineRule="exact"/>
              <w:ind w:right="741"/>
              <w:jc w:val="right"/>
              <w:rPr>
                <w:rFonts w:ascii="Calibri" w:hAnsi="Calibri"/>
                <w:sz w:val="20"/>
              </w:rPr>
            </w:pPr>
            <w:r>
              <w:rPr>
                <w:rFonts w:ascii="Calibri" w:hAnsi="Calibri"/>
                <w:w w:val="95"/>
                <w:sz w:val="20"/>
              </w:rPr>
              <w:t>£1,277</w:t>
            </w:r>
          </w:p>
        </w:tc>
      </w:tr>
      <w:tr w:rsidR="006A18FD">
        <w:trPr>
          <w:trHeight w:val="240"/>
        </w:trPr>
        <w:tc>
          <w:tcPr>
            <w:tcW w:w="3116" w:type="dxa"/>
          </w:tcPr>
          <w:p w:rsidR="006A18FD" w:rsidRDefault="002D29FC">
            <w:pPr>
              <w:spacing w:before="1" w:line="223" w:lineRule="exact"/>
              <w:ind w:left="103"/>
              <w:rPr>
                <w:rFonts w:ascii="Calibri"/>
                <w:sz w:val="20"/>
              </w:rPr>
            </w:pPr>
            <w:r>
              <w:rPr>
                <w:rFonts w:ascii="Calibri"/>
                <w:sz w:val="20"/>
              </w:rPr>
              <w:t>Mental health</w:t>
            </w:r>
          </w:p>
        </w:tc>
        <w:tc>
          <w:tcPr>
            <w:tcW w:w="1702" w:type="dxa"/>
          </w:tcPr>
          <w:p w:rsidR="006A18FD" w:rsidRDefault="002D29FC">
            <w:pPr>
              <w:spacing w:before="1" w:line="223" w:lineRule="exact"/>
              <w:ind w:right="564"/>
              <w:jc w:val="right"/>
              <w:rPr>
                <w:rFonts w:ascii="Calibri" w:hAnsi="Calibri"/>
                <w:sz w:val="20"/>
              </w:rPr>
            </w:pPr>
            <w:r>
              <w:rPr>
                <w:rFonts w:ascii="Calibri" w:hAnsi="Calibri"/>
                <w:sz w:val="20"/>
              </w:rPr>
              <w:t>£766</w:t>
            </w:r>
          </w:p>
        </w:tc>
        <w:tc>
          <w:tcPr>
            <w:tcW w:w="1558" w:type="dxa"/>
          </w:tcPr>
          <w:p w:rsidR="006A18FD" w:rsidRDefault="006A18FD">
            <w:pPr>
              <w:rPr>
                <w:rFonts w:ascii="Times New Roman"/>
                <w:sz w:val="16"/>
              </w:rPr>
            </w:pPr>
          </w:p>
        </w:tc>
        <w:tc>
          <w:tcPr>
            <w:tcW w:w="1702" w:type="dxa"/>
          </w:tcPr>
          <w:p w:rsidR="006A18FD" w:rsidRDefault="002D29FC">
            <w:pPr>
              <w:spacing w:before="1" w:line="223" w:lineRule="exact"/>
              <w:ind w:right="514"/>
              <w:jc w:val="right"/>
              <w:rPr>
                <w:rFonts w:ascii="Calibri" w:hAnsi="Calibri"/>
                <w:sz w:val="20"/>
              </w:rPr>
            </w:pPr>
            <w:r>
              <w:rPr>
                <w:rFonts w:ascii="Calibri" w:hAnsi="Calibri"/>
                <w:sz w:val="20"/>
              </w:rPr>
              <w:t>£766</w:t>
            </w:r>
          </w:p>
        </w:tc>
        <w:tc>
          <w:tcPr>
            <w:tcW w:w="2977" w:type="dxa"/>
          </w:tcPr>
          <w:p w:rsidR="006A18FD" w:rsidRDefault="002D29FC">
            <w:pPr>
              <w:spacing w:before="1" w:line="223" w:lineRule="exact"/>
              <w:ind w:right="1174"/>
              <w:jc w:val="right"/>
              <w:rPr>
                <w:rFonts w:ascii="Calibri" w:hAnsi="Calibri"/>
                <w:sz w:val="20"/>
              </w:rPr>
            </w:pPr>
            <w:r>
              <w:rPr>
                <w:rFonts w:ascii="Calibri" w:hAnsi="Calibri"/>
                <w:sz w:val="20"/>
              </w:rPr>
              <w:t>£668</w:t>
            </w:r>
          </w:p>
        </w:tc>
        <w:tc>
          <w:tcPr>
            <w:tcW w:w="2126" w:type="dxa"/>
          </w:tcPr>
          <w:p w:rsidR="006A18FD" w:rsidRDefault="002D29FC">
            <w:pPr>
              <w:spacing w:before="1" w:line="223" w:lineRule="exact"/>
              <w:ind w:right="749"/>
              <w:jc w:val="right"/>
              <w:rPr>
                <w:rFonts w:ascii="Calibri" w:hAnsi="Calibri"/>
                <w:sz w:val="20"/>
              </w:rPr>
            </w:pPr>
            <w:r>
              <w:rPr>
                <w:rFonts w:ascii="Calibri" w:hAnsi="Calibri"/>
                <w:sz w:val="20"/>
              </w:rPr>
              <w:t>£720</w:t>
            </w:r>
          </w:p>
        </w:tc>
        <w:tc>
          <w:tcPr>
            <w:tcW w:w="2069" w:type="dxa"/>
          </w:tcPr>
          <w:p w:rsidR="006A18FD" w:rsidRDefault="002D29FC">
            <w:pPr>
              <w:spacing w:before="1" w:line="223" w:lineRule="exact"/>
              <w:ind w:right="741"/>
              <w:jc w:val="right"/>
              <w:rPr>
                <w:rFonts w:ascii="Calibri" w:hAnsi="Calibri"/>
                <w:sz w:val="20"/>
              </w:rPr>
            </w:pPr>
            <w:r>
              <w:rPr>
                <w:rFonts w:ascii="Calibri" w:hAnsi="Calibri"/>
                <w:sz w:val="20"/>
              </w:rPr>
              <w:t>£694</w:t>
            </w:r>
          </w:p>
        </w:tc>
      </w:tr>
      <w:tr w:rsidR="006A18FD">
        <w:trPr>
          <w:trHeight w:val="240"/>
        </w:trPr>
        <w:tc>
          <w:tcPr>
            <w:tcW w:w="3116" w:type="dxa"/>
          </w:tcPr>
          <w:p w:rsidR="006A18FD" w:rsidRDefault="002D29FC">
            <w:pPr>
              <w:spacing w:before="1" w:line="223" w:lineRule="exact"/>
              <w:ind w:left="103"/>
              <w:rPr>
                <w:rFonts w:ascii="Calibri"/>
                <w:sz w:val="20"/>
              </w:rPr>
            </w:pPr>
            <w:r>
              <w:rPr>
                <w:rFonts w:ascii="Calibri"/>
                <w:sz w:val="20"/>
              </w:rPr>
              <w:t>Older people (65+)</w:t>
            </w:r>
          </w:p>
        </w:tc>
        <w:tc>
          <w:tcPr>
            <w:tcW w:w="1702" w:type="dxa"/>
          </w:tcPr>
          <w:p w:rsidR="006A18FD" w:rsidRDefault="002D29FC">
            <w:pPr>
              <w:spacing w:before="1" w:line="223" w:lineRule="exact"/>
              <w:ind w:right="564"/>
              <w:jc w:val="right"/>
              <w:rPr>
                <w:rFonts w:ascii="Calibri" w:hAnsi="Calibri"/>
                <w:sz w:val="20"/>
              </w:rPr>
            </w:pPr>
            <w:r>
              <w:rPr>
                <w:rFonts w:ascii="Calibri" w:hAnsi="Calibri"/>
                <w:sz w:val="20"/>
              </w:rPr>
              <w:t>£827</w:t>
            </w:r>
          </w:p>
        </w:tc>
        <w:tc>
          <w:tcPr>
            <w:tcW w:w="1558" w:type="dxa"/>
          </w:tcPr>
          <w:p w:rsidR="006A18FD" w:rsidRDefault="002D29FC">
            <w:pPr>
              <w:spacing w:before="1" w:line="223" w:lineRule="exact"/>
              <w:ind w:right="479"/>
              <w:jc w:val="right"/>
              <w:rPr>
                <w:rFonts w:ascii="Calibri" w:hAnsi="Calibri"/>
                <w:sz w:val="20"/>
              </w:rPr>
            </w:pPr>
            <w:r>
              <w:rPr>
                <w:rFonts w:ascii="Calibri" w:hAnsi="Calibri"/>
                <w:w w:val="95"/>
                <w:sz w:val="20"/>
              </w:rPr>
              <w:t>£1,079</w:t>
            </w:r>
          </w:p>
        </w:tc>
        <w:tc>
          <w:tcPr>
            <w:tcW w:w="1702" w:type="dxa"/>
          </w:tcPr>
          <w:p w:rsidR="006A18FD" w:rsidRDefault="002D29FC">
            <w:pPr>
              <w:spacing w:before="1" w:line="223" w:lineRule="exact"/>
              <w:ind w:right="514"/>
              <w:jc w:val="right"/>
              <w:rPr>
                <w:rFonts w:ascii="Calibri" w:hAnsi="Calibri"/>
                <w:sz w:val="20"/>
              </w:rPr>
            </w:pPr>
            <w:r>
              <w:rPr>
                <w:rFonts w:ascii="Calibri" w:hAnsi="Calibri"/>
                <w:sz w:val="20"/>
              </w:rPr>
              <w:t>£953</w:t>
            </w:r>
          </w:p>
        </w:tc>
        <w:tc>
          <w:tcPr>
            <w:tcW w:w="2977" w:type="dxa"/>
          </w:tcPr>
          <w:p w:rsidR="006A18FD" w:rsidRDefault="002D29FC">
            <w:pPr>
              <w:spacing w:before="1" w:line="223" w:lineRule="exact"/>
              <w:ind w:right="1174"/>
              <w:jc w:val="right"/>
              <w:rPr>
                <w:rFonts w:ascii="Calibri" w:hAnsi="Calibri"/>
                <w:sz w:val="20"/>
              </w:rPr>
            </w:pPr>
            <w:r>
              <w:rPr>
                <w:rFonts w:ascii="Calibri" w:hAnsi="Calibri"/>
                <w:sz w:val="20"/>
              </w:rPr>
              <w:t>£592</w:t>
            </w:r>
          </w:p>
        </w:tc>
        <w:tc>
          <w:tcPr>
            <w:tcW w:w="2126" w:type="dxa"/>
          </w:tcPr>
          <w:p w:rsidR="006A18FD" w:rsidRDefault="002D29FC">
            <w:pPr>
              <w:spacing w:before="1" w:line="223" w:lineRule="exact"/>
              <w:ind w:right="749"/>
              <w:jc w:val="right"/>
              <w:rPr>
                <w:rFonts w:ascii="Calibri" w:hAnsi="Calibri"/>
                <w:sz w:val="20"/>
              </w:rPr>
            </w:pPr>
            <w:r>
              <w:rPr>
                <w:rFonts w:ascii="Calibri" w:hAnsi="Calibri"/>
                <w:sz w:val="20"/>
              </w:rPr>
              <w:t>£762</w:t>
            </w:r>
          </w:p>
        </w:tc>
        <w:tc>
          <w:tcPr>
            <w:tcW w:w="2069" w:type="dxa"/>
          </w:tcPr>
          <w:p w:rsidR="006A18FD" w:rsidRDefault="002D29FC">
            <w:pPr>
              <w:spacing w:before="1" w:line="223" w:lineRule="exact"/>
              <w:ind w:right="741"/>
              <w:jc w:val="right"/>
              <w:rPr>
                <w:rFonts w:ascii="Calibri" w:hAnsi="Calibri"/>
                <w:sz w:val="20"/>
              </w:rPr>
            </w:pPr>
            <w:r>
              <w:rPr>
                <w:rFonts w:ascii="Calibri" w:hAnsi="Calibri"/>
                <w:sz w:val="20"/>
              </w:rPr>
              <w:t>£677</w:t>
            </w:r>
          </w:p>
        </w:tc>
      </w:tr>
      <w:tr w:rsidR="006A18FD">
        <w:trPr>
          <w:trHeight w:val="240"/>
        </w:trPr>
        <w:tc>
          <w:tcPr>
            <w:tcW w:w="3116" w:type="dxa"/>
          </w:tcPr>
          <w:p w:rsidR="006A18FD" w:rsidRDefault="002D29FC">
            <w:pPr>
              <w:spacing w:before="1" w:line="223" w:lineRule="exact"/>
              <w:ind w:left="103"/>
              <w:rPr>
                <w:rFonts w:ascii="Calibri"/>
                <w:sz w:val="20"/>
              </w:rPr>
            </w:pPr>
            <w:r>
              <w:rPr>
                <w:rFonts w:ascii="Calibri"/>
                <w:sz w:val="20"/>
              </w:rPr>
              <w:t>Physical disability</w:t>
            </w:r>
          </w:p>
        </w:tc>
        <w:tc>
          <w:tcPr>
            <w:tcW w:w="1702" w:type="dxa"/>
          </w:tcPr>
          <w:p w:rsidR="006A18FD" w:rsidRDefault="006A18FD">
            <w:pPr>
              <w:rPr>
                <w:rFonts w:ascii="Times New Roman"/>
                <w:sz w:val="16"/>
              </w:rPr>
            </w:pPr>
          </w:p>
        </w:tc>
        <w:tc>
          <w:tcPr>
            <w:tcW w:w="1558" w:type="dxa"/>
          </w:tcPr>
          <w:p w:rsidR="006A18FD" w:rsidRDefault="006A18FD">
            <w:pPr>
              <w:rPr>
                <w:rFonts w:ascii="Times New Roman"/>
                <w:sz w:val="16"/>
              </w:rPr>
            </w:pPr>
          </w:p>
        </w:tc>
        <w:tc>
          <w:tcPr>
            <w:tcW w:w="1702" w:type="dxa"/>
          </w:tcPr>
          <w:p w:rsidR="006A18FD" w:rsidRDefault="006A18FD">
            <w:pPr>
              <w:rPr>
                <w:rFonts w:ascii="Times New Roman"/>
                <w:sz w:val="16"/>
              </w:rPr>
            </w:pPr>
          </w:p>
        </w:tc>
        <w:tc>
          <w:tcPr>
            <w:tcW w:w="2977" w:type="dxa"/>
          </w:tcPr>
          <w:p w:rsidR="006A18FD" w:rsidRDefault="002D29FC">
            <w:pPr>
              <w:spacing w:before="1" w:line="223" w:lineRule="exact"/>
              <w:ind w:right="1174"/>
              <w:jc w:val="right"/>
              <w:rPr>
                <w:rFonts w:ascii="Calibri" w:hAnsi="Calibri"/>
                <w:sz w:val="20"/>
              </w:rPr>
            </w:pPr>
            <w:r>
              <w:rPr>
                <w:rFonts w:ascii="Calibri" w:hAnsi="Calibri"/>
                <w:sz w:val="20"/>
              </w:rPr>
              <w:t>£909</w:t>
            </w:r>
          </w:p>
        </w:tc>
        <w:tc>
          <w:tcPr>
            <w:tcW w:w="2126" w:type="dxa"/>
          </w:tcPr>
          <w:p w:rsidR="006A18FD" w:rsidRDefault="002D29FC">
            <w:pPr>
              <w:spacing w:before="1" w:line="223" w:lineRule="exact"/>
              <w:ind w:right="748"/>
              <w:jc w:val="right"/>
              <w:rPr>
                <w:rFonts w:ascii="Calibri" w:hAnsi="Calibri"/>
                <w:sz w:val="20"/>
              </w:rPr>
            </w:pPr>
            <w:r>
              <w:rPr>
                <w:rFonts w:ascii="Calibri" w:hAnsi="Calibri"/>
                <w:w w:val="95"/>
                <w:sz w:val="20"/>
              </w:rPr>
              <w:t>£1,800</w:t>
            </w:r>
          </w:p>
        </w:tc>
        <w:tc>
          <w:tcPr>
            <w:tcW w:w="2069" w:type="dxa"/>
          </w:tcPr>
          <w:p w:rsidR="006A18FD" w:rsidRDefault="002D29FC">
            <w:pPr>
              <w:spacing w:before="1" w:line="223" w:lineRule="exact"/>
              <w:ind w:right="741"/>
              <w:jc w:val="right"/>
              <w:rPr>
                <w:rFonts w:ascii="Calibri" w:hAnsi="Calibri"/>
                <w:sz w:val="20"/>
              </w:rPr>
            </w:pPr>
            <w:r>
              <w:rPr>
                <w:rFonts w:ascii="Calibri" w:hAnsi="Calibri"/>
                <w:w w:val="95"/>
                <w:sz w:val="20"/>
              </w:rPr>
              <w:t>£1,354</w:t>
            </w:r>
          </w:p>
        </w:tc>
      </w:tr>
    </w:tbl>
    <w:p w:rsidR="006A18FD" w:rsidRDefault="006A18FD">
      <w:pPr>
        <w:rPr>
          <w:rFonts w:ascii="Cambria"/>
          <w:b/>
          <w:sz w:val="28"/>
        </w:rPr>
      </w:pPr>
    </w:p>
    <w:p w:rsidR="006A18FD" w:rsidRDefault="006A18FD">
      <w:pPr>
        <w:rPr>
          <w:rFonts w:ascii="Cambria"/>
          <w:b/>
          <w:sz w:val="28"/>
        </w:rPr>
      </w:pPr>
    </w:p>
    <w:p w:rsidR="006A18FD" w:rsidRDefault="006A18FD">
      <w:pPr>
        <w:rPr>
          <w:rFonts w:ascii="Cambria"/>
          <w:b/>
          <w:sz w:val="28"/>
        </w:rPr>
      </w:pPr>
    </w:p>
    <w:p w:rsidR="006A18FD" w:rsidRDefault="006A18FD">
      <w:pPr>
        <w:rPr>
          <w:rFonts w:ascii="Cambria"/>
          <w:b/>
          <w:sz w:val="28"/>
        </w:rPr>
      </w:pPr>
    </w:p>
    <w:p w:rsidR="006A18FD" w:rsidRDefault="006A18FD">
      <w:pPr>
        <w:rPr>
          <w:rFonts w:ascii="Cambria"/>
          <w:b/>
          <w:sz w:val="28"/>
        </w:rPr>
      </w:pPr>
    </w:p>
    <w:p w:rsidR="006A18FD" w:rsidRDefault="006A18FD">
      <w:pPr>
        <w:spacing w:before="9"/>
        <w:rPr>
          <w:rFonts w:ascii="Cambria"/>
          <w:b/>
          <w:sz w:val="25"/>
        </w:rPr>
      </w:pPr>
    </w:p>
    <w:p w:rsidR="006A18FD" w:rsidRDefault="002D29FC">
      <w:pPr>
        <w:spacing w:line="195" w:lineRule="exact"/>
        <w:ind w:left="100"/>
        <w:jc w:val="both"/>
        <w:rPr>
          <w:rFonts w:ascii="Calibri"/>
          <w:sz w:val="16"/>
        </w:rPr>
      </w:pPr>
      <w:r>
        <w:rPr>
          <w:rFonts w:ascii="Calibri"/>
          <w:position w:val="5"/>
          <w:sz w:val="10"/>
        </w:rPr>
        <w:t xml:space="preserve">1 </w:t>
      </w:r>
      <w:r>
        <w:rPr>
          <w:rFonts w:ascii="Calibri"/>
          <w:sz w:val="16"/>
        </w:rPr>
        <w:t xml:space="preserve">Laing &amp; Buisson (2019) </w:t>
      </w:r>
      <w:r>
        <w:rPr>
          <w:rFonts w:ascii="Calibri"/>
          <w:i/>
          <w:sz w:val="16"/>
        </w:rPr>
        <w:t>Laing &amp; Buisson Care Homes Complete Dataset 2018/2019</w:t>
      </w:r>
      <w:r>
        <w:rPr>
          <w:rFonts w:ascii="Calibri"/>
          <w:sz w:val="16"/>
        </w:rPr>
        <w:t>, Laing &amp; Buisson, London.</w:t>
      </w:r>
    </w:p>
    <w:p w:rsidR="006A18FD" w:rsidRDefault="002D29FC">
      <w:pPr>
        <w:spacing w:line="195" w:lineRule="exact"/>
        <w:ind w:left="100"/>
        <w:jc w:val="both"/>
        <w:rPr>
          <w:rFonts w:ascii="Calibri"/>
          <w:sz w:val="16"/>
        </w:rPr>
      </w:pPr>
      <w:r>
        <w:rPr>
          <w:rFonts w:ascii="Calibri"/>
          <w:position w:val="5"/>
          <w:sz w:val="10"/>
        </w:rPr>
        <w:t xml:space="preserve">2 </w:t>
      </w:r>
      <w:r>
        <w:rPr>
          <w:rFonts w:ascii="Calibri"/>
          <w:sz w:val="16"/>
        </w:rPr>
        <w:t>Laing &amp; Buisson have confirmed that although fees appear to be lower than those reported last year for certain client groups, this is due to changes in the formulae used rather than due to actual reductions in fees.</w:t>
      </w:r>
    </w:p>
    <w:p w:rsidR="006A18FD" w:rsidRDefault="006A18FD">
      <w:pPr>
        <w:spacing w:line="195" w:lineRule="exact"/>
        <w:jc w:val="both"/>
        <w:rPr>
          <w:rFonts w:ascii="Calibri"/>
          <w:sz w:val="16"/>
        </w:rPr>
        <w:sectPr w:rsidR="006A18FD">
          <w:headerReference w:type="even" r:id="rId483"/>
          <w:pgSz w:w="16840" w:h="11910" w:orient="landscape"/>
          <w:pgMar w:top="1040" w:right="600" w:bottom="280" w:left="620" w:header="0" w:footer="0" w:gutter="0"/>
          <w:cols w:space="720"/>
        </w:sectPr>
      </w:pPr>
    </w:p>
    <w:p w:rsidR="006A18FD" w:rsidRDefault="002D29FC" w:rsidP="005629E5">
      <w:pPr>
        <w:pStyle w:val="Heading1"/>
        <w:numPr>
          <w:ilvl w:val="0"/>
          <w:numId w:val="4"/>
        </w:numPr>
        <w:jc w:val="left"/>
      </w:pPr>
      <w:r>
        <w:t>Time use of community care</w:t>
      </w:r>
      <w:r>
        <w:rPr>
          <w:spacing w:val="-16"/>
        </w:rPr>
        <w:t xml:space="preserve"> </w:t>
      </w:r>
      <w:r>
        <w:t>professionals</w:t>
      </w:r>
    </w:p>
    <w:p w:rsidR="006A18FD" w:rsidRDefault="002D29FC">
      <w:pPr>
        <w:spacing w:before="185" w:line="273" w:lineRule="auto"/>
        <w:ind w:left="100" w:right="230"/>
        <w:rPr>
          <w:rFonts w:ascii="Calibri"/>
          <w:sz w:val="18"/>
        </w:rPr>
      </w:pPr>
      <w:r>
        <w:rPr>
          <w:rFonts w:ascii="Calibri"/>
          <w:sz w:val="18"/>
        </w:rPr>
        <w:t>The following table provides information from an online survey carried out by PSSRU in 2014</w:t>
      </w:r>
      <w:r>
        <w:rPr>
          <w:rFonts w:ascii="Calibri"/>
          <w:sz w:val="20"/>
        </w:rPr>
        <w:t xml:space="preserve">/2015 </w:t>
      </w:r>
      <w:r>
        <w:rPr>
          <w:rFonts w:ascii="Calibri"/>
          <w:sz w:val="18"/>
        </w:rPr>
        <w:t xml:space="preserve">(see Preface to the </w:t>
      </w:r>
      <w:r>
        <w:rPr>
          <w:rFonts w:ascii="Calibri"/>
          <w:i/>
          <w:sz w:val="18"/>
        </w:rPr>
        <w:t xml:space="preserve">Unit Costs of Health &amp; Social Care 2015 </w:t>
      </w:r>
      <w:r>
        <w:rPr>
          <w:rFonts w:ascii="Calibri"/>
          <w:sz w:val="18"/>
        </w:rPr>
        <w:t>for more details). The link for the survey was distributed non-selectively through various channels. Given the small sample from which the ratios of direct to indirect time have been calculated, the ratios have not been used in the unit cost calculations, but have been tabulated here so that readers can use them where appropriate.</w:t>
      </w:r>
    </w:p>
    <w:p w:rsidR="006A18FD" w:rsidRDefault="006A18FD">
      <w:pPr>
        <w:spacing w:before="11" w:after="1"/>
        <w:rPr>
          <w:rFonts w:ascii="Calibri"/>
          <w:sz w:val="9"/>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1320"/>
        <w:gridCol w:w="1532"/>
        <w:gridCol w:w="1558"/>
        <w:gridCol w:w="1844"/>
        <w:gridCol w:w="1843"/>
        <w:gridCol w:w="1700"/>
        <w:gridCol w:w="1702"/>
        <w:gridCol w:w="1702"/>
      </w:tblGrid>
      <w:tr w:rsidR="006A18FD" w:rsidTr="00CA19E0">
        <w:trPr>
          <w:trHeight w:val="1120"/>
          <w:tblHeader/>
        </w:trPr>
        <w:tc>
          <w:tcPr>
            <w:tcW w:w="2112" w:type="dxa"/>
          </w:tcPr>
          <w:p w:rsidR="006A18FD" w:rsidRDefault="002D29FC">
            <w:pPr>
              <w:spacing w:before="121"/>
              <w:ind w:left="554" w:firstLine="62"/>
              <w:rPr>
                <w:rFonts w:ascii="Calibri"/>
                <w:b/>
                <w:sz w:val="18"/>
              </w:rPr>
            </w:pPr>
            <w:r>
              <w:rPr>
                <w:rFonts w:ascii="Calibri"/>
                <w:b/>
                <w:sz w:val="18"/>
              </w:rPr>
              <w:t>Community professionals</w:t>
            </w:r>
          </w:p>
        </w:tc>
        <w:tc>
          <w:tcPr>
            <w:tcW w:w="1320" w:type="dxa"/>
          </w:tcPr>
          <w:p w:rsidR="006A18FD" w:rsidRDefault="002D29FC">
            <w:pPr>
              <w:spacing w:before="121"/>
              <w:ind w:left="198" w:right="201"/>
              <w:jc w:val="center"/>
              <w:rPr>
                <w:rFonts w:ascii="Calibri"/>
                <w:b/>
                <w:sz w:val="18"/>
              </w:rPr>
            </w:pPr>
            <w:r>
              <w:rPr>
                <w:rFonts w:ascii="Calibri"/>
                <w:b/>
                <w:sz w:val="18"/>
              </w:rPr>
              <w:t>Sample size</w:t>
            </w:r>
          </w:p>
        </w:tc>
        <w:tc>
          <w:tcPr>
            <w:tcW w:w="1532" w:type="dxa"/>
          </w:tcPr>
          <w:p w:rsidR="006A18FD" w:rsidRDefault="002D29FC">
            <w:pPr>
              <w:spacing w:before="121"/>
              <w:ind w:left="112" w:right="113" w:hanging="2"/>
              <w:jc w:val="center"/>
              <w:rPr>
                <w:rFonts w:ascii="Calibri"/>
                <w:b/>
                <w:sz w:val="18"/>
              </w:rPr>
            </w:pPr>
            <w:r>
              <w:rPr>
                <w:rFonts w:ascii="Calibri"/>
                <w:b/>
                <w:sz w:val="18"/>
              </w:rPr>
              <w:t>Average number of hours worked (including unpaid overtime)</w:t>
            </w:r>
          </w:p>
        </w:tc>
        <w:tc>
          <w:tcPr>
            <w:tcW w:w="1558" w:type="dxa"/>
          </w:tcPr>
          <w:p w:rsidR="006A18FD" w:rsidRDefault="002D29FC">
            <w:pPr>
              <w:spacing w:before="121"/>
              <w:ind w:left="261" w:right="239" w:firstLine="117"/>
              <w:rPr>
                <w:rFonts w:ascii="Calibri"/>
                <w:b/>
                <w:sz w:val="18"/>
              </w:rPr>
            </w:pPr>
            <w:r>
              <w:rPr>
                <w:rFonts w:ascii="Calibri"/>
                <w:b/>
                <w:sz w:val="18"/>
              </w:rPr>
              <w:t>% of hours worked spent with patients</w:t>
            </w:r>
          </w:p>
        </w:tc>
        <w:tc>
          <w:tcPr>
            <w:tcW w:w="1844" w:type="dxa"/>
          </w:tcPr>
          <w:p w:rsidR="006A18FD" w:rsidRDefault="002D29FC">
            <w:pPr>
              <w:spacing w:before="121"/>
              <w:ind w:left="138" w:right="137" w:hanging="1"/>
              <w:jc w:val="center"/>
              <w:rPr>
                <w:rFonts w:ascii="Calibri"/>
                <w:b/>
                <w:sz w:val="18"/>
              </w:rPr>
            </w:pPr>
            <w:r>
              <w:rPr>
                <w:rFonts w:ascii="Calibri"/>
                <w:b/>
                <w:sz w:val="18"/>
              </w:rPr>
              <w:t>% of hours worked spent on other patient-related tasks (a)</w:t>
            </w:r>
          </w:p>
        </w:tc>
        <w:tc>
          <w:tcPr>
            <w:tcW w:w="1843" w:type="dxa"/>
          </w:tcPr>
          <w:p w:rsidR="006A18FD" w:rsidRDefault="002D29FC">
            <w:pPr>
              <w:spacing w:before="121"/>
              <w:ind w:left="182" w:right="180" w:hanging="1"/>
              <w:jc w:val="center"/>
              <w:rPr>
                <w:rFonts w:ascii="Calibri"/>
                <w:b/>
                <w:sz w:val="18"/>
              </w:rPr>
            </w:pPr>
            <w:r>
              <w:rPr>
                <w:rFonts w:ascii="Calibri"/>
                <w:b/>
                <w:sz w:val="18"/>
              </w:rPr>
              <w:t>% of hours worked spent on non-direct activities</w:t>
            </w:r>
          </w:p>
          <w:p w:rsidR="006A18FD" w:rsidRDefault="002D29FC">
            <w:pPr>
              <w:spacing w:before="1"/>
              <w:ind w:left="740" w:right="741"/>
              <w:jc w:val="center"/>
              <w:rPr>
                <w:rFonts w:ascii="Calibri"/>
                <w:b/>
                <w:sz w:val="18"/>
              </w:rPr>
            </w:pPr>
            <w:r>
              <w:rPr>
                <w:rFonts w:ascii="Calibri"/>
                <w:b/>
                <w:sz w:val="18"/>
              </w:rPr>
              <w:t>(b)</w:t>
            </w:r>
          </w:p>
        </w:tc>
        <w:tc>
          <w:tcPr>
            <w:tcW w:w="1700" w:type="dxa"/>
          </w:tcPr>
          <w:p w:rsidR="006A18FD" w:rsidRDefault="002D29FC">
            <w:pPr>
              <w:spacing w:before="121"/>
              <w:ind w:left="271" w:right="271" w:firstLine="2"/>
              <w:jc w:val="center"/>
              <w:rPr>
                <w:rFonts w:ascii="Calibri"/>
                <w:b/>
                <w:sz w:val="18"/>
              </w:rPr>
            </w:pPr>
            <w:r>
              <w:rPr>
                <w:rFonts w:ascii="Calibri"/>
                <w:b/>
                <w:sz w:val="18"/>
              </w:rPr>
              <w:t>Other time (definition not provided but includes</w:t>
            </w:r>
            <w:r>
              <w:rPr>
                <w:rFonts w:ascii="Calibri"/>
                <w:b/>
                <w:spacing w:val="-9"/>
                <w:sz w:val="18"/>
              </w:rPr>
              <w:t xml:space="preserve"> </w:t>
            </w:r>
            <w:r>
              <w:rPr>
                <w:rFonts w:ascii="Calibri"/>
                <w:b/>
                <w:sz w:val="18"/>
              </w:rPr>
              <w:t>travel)</w:t>
            </w:r>
          </w:p>
        </w:tc>
        <w:tc>
          <w:tcPr>
            <w:tcW w:w="1702" w:type="dxa"/>
          </w:tcPr>
          <w:p w:rsidR="006A18FD" w:rsidRDefault="002D29FC">
            <w:pPr>
              <w:spacing w:before="121"/>
              <w:ind w:left="185" w:right="184"/>
              <w:jc w:val="center"/>
              <w:rPr>
                <w:rFonts w:ascii="Calibri"/>
                <w:b/>
                <w:sz w:val="18"/>
              </w:rPr>
            </w:pPr>
            <w:r>
              <w:rPr>
                <w:rFonts w:ascii="Calibri"/>
                <w:b/>
                <w:sz w:val="18"/>
              </w:rPr>
              <w:t>Average mileage per professional per week</w:t>
            </w:r>
          </w:p>
        </w:tc>
        <w:tc>
          <w:tcPr>
            <w:tcW w:w="1702" w:type="dxa"/>
          </w:tcPr>
          <w:p w:rsidR="006A18FD" w:rsidRDefault="002D29FC">
            <w:pPr>
              <w:spacing w:before="121"/>
              <w:ind w:left="131" w:right="132" w:firstLine="48"/>
              <w:jc w:val="both"/>
              <w:rPr>
                <w:rFonts w:ascii="Calibri"/>
                <w:b/>
                <w:sz w:val="18"/>
              </w:rPr>
            </w:pPr>
            <w:r>
              <w:rPr>
                <w:rFonts w:ascii="Calibri"/>
                <w:b/>
                <w:sz w:val="18"/>
              </w:rPr>
              <w:t>Ratios of direct to indirect time on: client-related work</w:t>
            </w:r>
          </w:p>
        </w:tc>
      </w:tr>
      <w:tr w:rsidR="006A18FD">
        <w:trPr>
          <w:trHeight w:val="1240"/>
        </w:trPr>
        <w:tc>
          <w:tcPr>
            <w:tcW w:w="2112" w:type="dxa"/>
          </w:tcPr>
          <w:p w:rsidR="006A18FD" w:rsidRDefault="002D29FC">
            <w:pPr>
              <w:spacing w:before="122"/>
              <w:ind w:left="102"/>
              <w:rPr>
                <w:rFonts w:ascii="Calibri"/>
                <w:b/>
                <w:sz w:val="18"/>
              </w:rPr>
            </w:pPr>
            <w:r>
              <w:rPr>
                <w:rFonts w:ascii="Calibri"/>
                <w:b/>
                <w:sz w:val="18"/>
              </w:rPr>
              <w:t>Nurses</w:t>
            </w:r>
          </w:p>
          <w:p w:rsidR="006A18FD" w:rsidRDefault="002D29FC">
            <w:pPr>
              <w:spacing w:before="119"/>
              <w:ind w:left="484"/>
              <w:rPr>
                <w:rFonts w:ascii="Calibri"/>
                <w:sz w:val="18"/>
              </w:rPr>
            </w:pPr>
            <w:r>
              <w:rPr>
                <w:rFonts w:ascii="Calibri"/>
                <w:sz w:val="18"/>
              </w:rPr>
              <w:t>(bands 5 and 6)</w:t>
            </w:r>
          </w:p>
          <w:p w:rsidR="006A18FD" w:rsidRDefault="002D29FC">
            <w:pPr>
              <w:spacing w:before="121"/>
              <w:ind w:left="484"/>
              <w:rPr>
                <w:rFonts w:ascii="Calibri"/>
                <w:sz w:val="18"/>
              </w:rPr>
            </w:pPr>
            <w:r>
              <w:rPr>
                <w:rFonts w:ascii="Calibri"/>
                <w:sz w:val="18"/>
              </w:rPr>
              <w:t>(bands 7 and 8)</w:t>
            </w:r>
          </w:p>
        </w:tc>
        <w:tc>
          <w:tcPr>
            <w:tcW w:w="1320"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198" w:right="198"/>
              <w:jc w:val="center"/>
              <w:rPr>
                <w:rFonts w:ascii="Calibri"/>
                <w:b/>
                <w:sz w:val="18"/>
              </w:rPr>
            </w:pPr>
            <w:r>
              <w:rPr>
                <w:rFonts w:ascii="Calibri"/>
                <w:b/>
                <w:sz w:val="18"/>
              </w:rPr>
              <w:t>44</w:t>
            </w:r>
          </w:p>
          <w:p w:rsidR="006A18FD" w:rsidRDefault="002D29FC">
            <w:pPr>
              <w:spacing w:before="120"/>
              <w:ind w:left="198" w:right="198"/>
              <w:jc w:val="center"/>
              <w:rPr>
                <w:rFonts w:ascii="Calibri"/>
                <w:b/>
                <w:sz w:val="18"/>
              </w:rPr>
            </w:pPr>
            <w:r>
              <w:rPr>
                <w:rFonts w:ascii="Calibri"/>
                <w:b/>
                <w:sz w:val="18"/>
              </w:rPr>
              <w:t>31</w:t>
            </w:r>
          </w:p>
        </w:tc>
        <w:tc>
          <w:tcPr>
            <w:tcW w:w="1532"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165" w:right="165"/>
              <w:jc w:val="center"/>
              <w:rPr>
                <w:rFonts w:ascii="Calibri"/>
                <w:sz w:val="18"/>
              </w:rPr>
            </w:pPr>
            <w:r>
              <w:rPr>
                <w:rFonts w:ascii="Calibri"/>
                <w:sz w:val="18"/>
              </w:rPr>
              <w:t>39</w:t>
            </w:r>
          </w:p>
          <w:p w:rsidR="006A18FD" w:rsidRDefault="002D29FC">
            <w:pPr>
              <w:spacing w:before="120"/>
              <w:ind w:left="165" w:right="165"/>
              <w:jc w:val="center"/>
              <w:rPr>
                <w:rFonts w:ascii="Calibri"/>
                <w:sz w:val="18"/>
              </w:rPr>
            </w:pPr>
            <w:r>
              <w:rPr>
                <w:rFonts w:ascii="Calibri"/>
                <w:sz w:val="18"/>
              </w:rPr>
              <w:t>40</w:t>
            </w:r>
          </w:p>
        </w:tc>
        <w:tc>
          <w:tcPr>
            <w:tcW w:w="1558"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551" w:right="550"/>
              <w:jc w:val="center"/>
              <w:rPr>
                <w:rFonts w:ascii="Calibri"/>
                <w:sz w:val="18"/>
              </w:rPr>
            </w:pPr>
            <w:r>
              <w:rPr>
                <w:rFonts w:ascii="Calibri"/>
                <w:sz w:val="18"/>
              </w:rPr>
              <w:t>54%</w:t>
            </w:r>
          </w:p>
          <w:p w:rsidR="006A18FD" w:rsidRDefault="002D29FC">
            <w:pPr>
              <w:spacing w:before="120"/>
              <w:ind w:left="551" w:right="550"/>
              <w:jc w:val="center"/>
              <w:rPr>
                <w:rFonts w:ascii="Calibri"/>
                <w:sz w:val="18"/>
              </w:rPr>
            </w:pPr>
            <w:r>
              <w:rPr>
                <w:rFonts w:ascii="Calibri"/>
                <w:sz w:val="18"/>
              </w:rPr>
              <w:t>42%</w:t>
            </w:r>
          </w:p>
        </w:tc>
        <w:tc>
          <w:tcPr>
            <w:tcW w:w="1844"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740" w:right="741"/>
              <w:jc w:val="center"/>
              <w:rPr>
                <w:rFonts w:ascii="Calibri"/>
                <w:sz w:val="18"/>
              </w:rPr>
            </w:pPr>
            <w:r>
              <w:rPr>
                <w:rFonts w:ascii="Calibri"/>
                <w:sz w:val="18"/>
              </w:rPr>
              <w:t>29%</w:t>
            </w:r>
          </w:p>
          <w:p w:rsidR="006A18FD" w:rsidRDefault="002D29FC">
            <w:pPr>
              <w:spacing w:before="120"/>
              <w:ind w:left="740" w:right="741"/>
              <w:jc w:val="center"/>
              <w:rPr>
                <w:rFonts w:ascii="Calibri"/>
                <w:sz w:val="18"/>
              </w:rPr>
            </w:pPr>
            <w:r>
              <w:rPr>
                <w:rFonts w:ascii="Calibri"/>
                <w:sz w:val="18"/>
              </w:rPr>
              <w:t>33%</w:t>
            </w:r>
          </w:p>
        </w:tc>
        <w:tc>
          <w:tcPr>
            <w:tcW w:w="1843"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741" w:right="741"/>
              <w:jc w:val="center"/>
              <w:rPr>
                <w:rFonts w:ascii="Calibri"/>
                <w:sz w:val="18"/>
              </w:rPr>
            </w:pPr>
            <w:r>
              <w:rPr>
                <w:rFonts w:ascii="Calibri"/>
                <w:sz w:val="18"/>
              </w:rPr>
              <w:t>13%</w:t>
            </w:r>
          </w:p>
          <w:p w:rsidR="006A18FD" w:rsidRDefault="002D29FC">
            <w:pPr>
              <w:spacing w:before="120"/>
              <w:ind w:left="741" w:right="741"/>
              <w:jc w:val="center"/>
              <w:rPr>
                <w:rFonts w:ascii="Calibri"/>
                <w:sz w:val="18"/>
              </w:rPr>
            </w:pPr>
            <w:r>
              <w:rPr>
                <w:rFonts w:ascii="Calibri"/>
                <w:sz w:val="18"/>
              </w:rPr>
              <w:t>19%</w:t>
            </w:r>
          </w:p>
        </w:tc>
        <w:tc>
          <w:tcPr>
            <w:tcW w:w="1700"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714" w:right="714"/>
              <w:jc w:val="center"/>
              <w:rPr>
                <w:rFonts w:ascii="Calibri"/>
                <w:sz w:val="18"/>
              </w:rPr>
            </w:pPr>
            <w:r>
              <w:rPr>
                <w:rFonts w:ascii="Calibri"/>
                <w:sz w:val="18"/>
              </w:rPr>
              <w:t>5%</w:t>
            </w:r>
          </w:p>
          <w:p w:rsidR="006A18FD" w:rsidRDefault="002D29FC">
            <w:pPr>
              <w:spacing w:before="120"/>
              <w:ind w:left="714" w:right="714"/>
              <w:jc w:val="center"/>
              <w:rPr>
                <w:rFonts w:ascii="Calibri"/>
                <w:sz w:val="18"/>
              </w:rPr>
            </w:pPr>
            <w:r>
              <w:rPr>
                <w:rFonts w:ascii="Calibri"/>
                <w:sz w:val="18"/>
              </w:rPr>
              <w:t>6%</w:t>
            </w:r>
          </w:p>
        </w:tc>
        <w:tc>
          <w:tcPr>
            <w:tcW w:w="1702"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185" w:right="185"/>
              <w:jc w:val="center"/>
              <w:rPr>
                <w:rFonts w:ascii="Calibri"/>
                <w:sz w:val="18"/>
              </w:rPr>
            </w:pPr>
            <w:r>
              <w:rPr>
                <w:rFonts w:ascii="Calibri"/>
                <w:sz w:val="18"/>
              </w:rPr>
              <w:t>102</w:t>
            </w:r>
          </w:p>
          <w:p w:rsidR="006A18FD" w:rsidRDefault="002D29FC">
            <w:pPr>
              <w:spacing w:before="120"/>
              <w:ind w:left="185" w:right="185"/>
              <w:jc w:val="center"/>
              <w:rPr>
                <w:rFonts w:ascii="Calibri"/>
                <w:sz w:val="18"/>
              </w:rPr>
            </w:pPr>
            <w:r>
              <w:rPr>
                <w:rFonts w:ascii="Calibri"/>
                <w:sz w:val="18"/>
              </w:rPr>
              <w:t>71</w:t>
            </w:r>
          </w:p>
        </w:tc>
        <w:tc>
          <w:tcPr>
            <w:tcW w:w="1702" w:type="dxa"/>
          </w:tcPr>
          <w:p w:rsidR="006A18FD" w:rsidRDefault="006A18FD">
            <w:pPr>
              <w:rPr>
                <w:rFonts w:ascii="Calibri"/>
                <w:sz w:val="18"/>
              </w:rPr>
            </w:pPr>
          </w:p>
          <w:p w:rsidR="006A18FD" w:rsidRDefault="006A18FD">
            <w:pPr>
              <w:spacing w:before="8"/>
              <w:rPr>
                <w:rFonts w:ascii="Calibri"/>
                <w:sz w:val="19"/>
              </w:rPr>
            </w:pPr>
          </w:p>
          <w:p w:rsidR="006A18FD" w:rsidRDefault="002D29FC">
            <w:pPr>
              <w:ind w:left="468" w:right="468"/>
              <w:jc w:val="center"/>
              <w:rPr>
                <w:rFonts w:ascii="Calibri"/>
                <w:sz w:val="18"/>
              </w:rPr>
            </w:pPr>
            <w:r>
              <w:rPr>
                <w:rFonts w:ascii="Calibri"/>
                <w:sz w:val="18"/>
              </w:rPr>
              <w:t>1:0.20</w:t>
            </w:r>
          </w:p>
          <w:p w:rsidR="006A18FD" w:rsidRDefault="002D29FC">
            <w:pPr>
              <w:spacing w:before="120"/>
              <w:ind w:left="468" w:right="468"/>
              <w:jc w:val="center"/>
              <w:rPr>
                <w:rFonts w:ascii="Calibri"/>
                <w:sz w:val="18"/>
              </w:rPr>
            </w:pPr>
            <w:r>
              <w:rPr>
                <w:rFonts w:ascii="Calibri"/>
                <w:sz w:val="18"/>
              </w:rPr>
              <w:t>1:0.33</w:t>
            </w:r>
          </w:p>
        </w:tc>
      </w:tr>
      <w:tr w:rsidR="006A18FD">
        <w:trPr>
          <w:trHeight w:val="780"/>
        </w:trPr>
        <w:tc>
          <w:tcPr>
            <w:tcW w:w="2112" w:type="dxa"/>
          </w:tcPr>
          <w:p w:rsidR="006A18FD" w:rsidRDefault="002D29FC">
            <w:pPr>
              <w:spacing w:before="121"/>
              <w:ind w:left="82" w:right="739"/>
              <w:jc w:val="center"/>
              <w:rPr>
                <w:rFonts w:ascii="Calibri"/>
                <w:b/>
                <w:sz w:val="18"/>
              </w:rPr>
            </w:pPr>
            <w:r>
              <w:rPr>
                <w:rFonts w:ascii="Calibri"/>
                <w:b/>
                <w:sz w:val="18"/>
              </w:rPr>
              <w:t>Physiotherapists</w:t>
            </w:r>
          </w:p>
          <w:p w:rsidR="006A18FD" w:rsidRDefault="002D29FC">
            <w:pPr>
              <w:spacing w:before="121"/>
              <w:ind w:left="82" w:right="579"/>
              <w:jc w:val="center"/>
              <w:rPr>
                <w:rFonts w:ascii="Calibri"/>
                <w:sz w:val="18"/>
              </w:rPr>
            </w:pPr>
            <w:r>
              <w:rPr>
                <w:rFonts w:ascii="Calibri"/>
                <w:sz w:val="18"/>
              </w:rPr>
              <w:t>(bands 5-8)</w:t>
            </w:r>
          </w:p>
        </w:tc>
        <w:tc>
          <w:tcPr>
            <w:tcW w:w="1320" w:type="dxa"/>
          </w:tcPr>
          <w:p w:rsidR="006A18FD" w:rsidRDefault="002D29FC">
            <w:pPr>
              <w:spacing w:before="121"/>
              <w:ind w:left="198" w:right="198"/>
              <w:jc w:val="center"/>
              <w:rPr>
                <w:rFonts w:ascii="Calibri"/>
                <w:b/>
                <w:sz w:val="18"/>
              </w:rPr>
            </w:pPr>
            <w:r>
              <w:rPr>
                <w:rFonts w:ascii="Calibri"/>
                <w:b/>
                <w:sz w:val="18"/>
              </w:rPr>
              <w:t>11</w:t>
            </w:r>
          </w:p>
        </w:tc>
        <w:tc>
          <w:tcPr>
            <w:tcW w:w="1532" w:type="dxa"/>
          </w:tcPr>
          <w:p w:rsidR="006A18FD" w:rsidRDefault="002D29FC">
            <w:pPr>
              <w:spacing w:before="121"/>
              <w:ind w:right="667"/>
              <w:jc w:val="right"/>
              <w:rPr>
                <w:rFonts w:ascii="Calibri"/>
                <w:sz w:val="18"/>
              </w:rPr>
            </w:pPr>
            <w:r>
              <w:rPr>
                <w:rFonts w:ascii="Calibri"/>
                <w:sz w:val="18"/>
              </w:rPr>
              <w:t>41</w:t>
            </w:r>
          </w:p>
        </w:tc>
        <w:tc>
          <w:tcPr>
            <w:tcW w:w="1558" w:type="dxa"/>
          </w:tcPr>
          <w:p w:rsidR="006A18FD" w:rsidRDefault="002D29FC">
            <w:pPr>
              <w:spacing w:before="121"/>
              <w:ind w:left="551" w:right="550"/>
              <w:jc w:val="center"/>
              <w:rPr>
                <w:rFonts w:ascii="Calibri"/>
                <w:sz w:val="18"/>
              </w:rPr>
            </w:pPr>
            <w:r>
              <w:rPr>
                <w:rFonts w:ascii="Calibri"/>
                <w:sz w:val="18"/>
              </w:rPr>
              <w:t>35%</w:t>
            </w:r>
          </w:p>
        </w:tc>
        <w:tc>
          <w:tcPr>
            <w:tcW w:w="1844" w:type="dxa"/>
          </w:tcPr>
          <w:p w:rsidR="006A18FD" w:rsidRDefault="002D29FC">
            <w:pPr>
              <w:spacing w:before="121"/>
              <w:ind w:left="740" w:right="741"/>
              <w:jc w:val="center"/>
              <w:rPr>
                <w:rFonts w:ascii="Calibri"/>
                <w:sz w:val="18"/>
              </w:rPr>
            </w:pPr>
            <w:r>
              <w:rPr>
                <w:rFonts w:ascii="Calibri"/>
                <w:sz w:val="18"/>
              </w:rPr>
              <w:t>38%</w:t>
            </w:r>
          </w:p>
        </w:tc>
        <w:tc>
          <w:tcPr>
            <w:tcW w:w="1843" w:type="dxa"/>
          </w:tcPr>
          <w:p w:rsidR="006A18FD" w:rsidRDefault="002D29FC">
            <w:pPr>
              <w:spacing w:before="121"/>
              <w:ind w:left="741" w:right="741"/>
              <w:jc w:val="center"/>
              <w:rPr>
                <w:rFonts w:ascii="Calibri"/>
                <w:sz w:val="18"/>
              </w:rPr>
            </w:pPr>
            <w:r>
              <w:rPr>
                <w:rFonts w:ascii="Calibri"/>
                <w:sz w:val="18"/>
              </w:rPr>
              <w:t>22%</w:t>
            </w:r>
          </w:p>
        </w:tc>
        <w:tc>
          <w:tcPr>
            <w:tcW w:w="1700" w:type="dxa"/>
          </w:tcPr>
          <w:p w:rsidR="006A18FD" w:rsidRDefault="002D29FC">
            <w:pPr>
              <w:spacing w:before="121"/>
              <w:ind w:left="714" w:right="714"/>
              <w:jc w:val="center"/>
              <w:rPr>
                <w:rFonts w:ascii="Calibri"/>
                <w:sz w:val="18"/>
              </w:rPr>
            </w:pPr>
            <w:r>
              <w:rPr>
                <w:rFonts w:ascii="Calibri"/>
                <w:sz w:val="18"/>
              </w:rPr>
              <w:t>5%</w:t>
            </w:r>
          </w:p>
        </w:tc>
        <w:tc>
          <w:tcPr>
            <w:tcW w:w="1702" w:type="dxa"/>
          </w:tcPr>
          <w:p w:rsidR="006A18FD" w:rsidRDefault="002D29FC">
            <w:pPr>
              <w:spacing w:before="121"/>
              <w:ind w:left="707"/>
              <w:rPr>
                <w:rFonts w:ascii="Calibri"/>
                <w:sz w:val="18"/>
              </w:rPr>
            </w:pPr>
            <w:r>
              <w:rPr>
                <w:rFonts w:ascii="Calibri"/>
                <w:sz w:val="18"/>
              </w:rPr>
              <w:t>132</w:t>
            </w:r>
          </w:p>
        </w:tc>
        <w:tc>
          <w:tcPr>
            <w:tcW w:w="1702" w:type="dxa"/>
          </w:tcPr>
          <w:p w:rsidR="006A18FD" w:rsidRDefault="002D29FC">
            <w:pPr>
              <w:spacing w:before="121"/>
              <w:ind w:left="617"/>
              <w:rPr>
                <w:rFonts w:ascii="Calibri"/>
                <w:sz w:val="18"/>
              </w:rPr>
            </w:pPr>
            <w:r>
              <w:rPr>
                <w:rFonts w:ascii="Calibri"/>
                <w:sz w:val="18"/>
              </w:rPr>
              <w:t>1:0.37</w:t>
            </w:r>
          </w:p>
        </w:tc>
      </w:tr>
      <w:tr w:rsidR="006A18FD">
        <w:trPr>
          <w:trHeight w:val="800"/>
        </w:trPr>
        <w:tc>
          <w:tcPr>
            <w:tcW w:w="2112" w:type="dxa"/>
          </w:tcPr>
          <w:p w:rsidR="006A18FD" w:rsidRDefault="002D29FC">
            <w:pPr>
              <w:spacing w:before="123"/>
              <w:ind w:left="102"/>
              <w:rPr>
                <w:rFonts w:ascii="Calibri"/>
                <w:b/>
                <w:sz w:val="18"/>
              </w:rPr>
            </w:pPr>
            <w:r>
              <w:rPr>
                <w:rFonts w:ascii="Calibri"/>
                <w:b/>
                <w:sz w:val="18"/>
              </w:rPr>
              <w:t>Occupational therapists</w:t>
            </w:r>
          </w:p>
          <w:p w:rsidR="006A18FD" w:rsidRDefault="002D29FC">
            <w:pPr>
              <w:spacing w:before="118"/>
              <w:ind w:left="388"/>
              <w:rPr>
                <w:rFonts w:ascii="Calibri"/>
                <w:sz w:val="18"/>
              </w:rPr>
            </w:pPr>
            <w:r>
              <w:rPr>
                <w:rFonts w:ascii="Calibri"/>
                <w:sz w:val="18"/>
              </w:rPr>
              <w:t>(bands 4-7)</w:t>
            </w:r>
          </w:p>
        </w:tc>
        <w:tc>
          <w:tcPr>
            <w:tcW w:w="1320" w:type="dxa"/>
          </w:tcPr>
          <w:p w:rsidR="006A18FD" w:rsidRDefault="002D29FC">
            <w:pPr>
              <w:spacing w:before="123"/>
              <w:jc w:val="center"/>
              <w:rPr>
                <w:rFonts w:ascii="Calibri"/>
                <w:b/>
                <w:sz w:val="18"/>
              </w:rPr>
            </w:pPr>
            <w:r>
              <w:rPr>
                <w:rFonts w:ascii="Calibri"/>
                <w:b/>
                <w:sz w:val="18"/>
              </w:rPr>
              <w:t>6</w:t>
            </w:r>
          </w:p>
        </w:tc>
        <w:tc>
          <w:tcPr>
            <w:tcW w:w="1532" w:type="dxa"/>
          </w:tcPr>
          <w:p w:rsidR="006A18FD" w:rsidRDefault="002D29FC">
            <w:pPr>
              <w:spacing w:before="123"/>
              <w:ind w:right="667"/>
              <w:jc w:val="right"/>
              <w:rPr>
                <w:rFonts w:ascii="Calibri"/>
                <w:sz w:val="18"/>
              </w:rPr>
            </w:pPr>
            <w:r>
              <w:rPr>
                <w:rFonts w:ascii="Calibri"/>
                <w:sz w:val="18"/>
              </w:rPr>
              <w:t>40</w:t>
            </w:r>
          </w:p>
        </w:tc>
        <w:tc>
          <w:tcPr>
            <w:tcW w:w="1558" w:type="dxa"/>
          </w:tcPr>
          <w:p w:rsidR="006A18FD" w:rsidRDefault="002D29FC">
            <w:pPr>
              <w:spacing w:before="123"/>
              <w:ind w:left="551" w:right="550"/>
              <w:jc w:val="center"/>
              <w:rPr>
                <w:rFonts w:ascii="Calibri"/>
                <w:sz w:val="18"/>
              </w:rPr>
            </w:pPr>
            <w:r>
              <w:rPr>
                <w:rFonts w:ascii="Calibri"/>
                <w:sz w:val="18"/>
              </w:rPr>
              <w:t>51%</w:t>
            </w:r>
          </w:p>
        </w:tc>
        <w:tc>
          <w:tcPr>
            <w:tcW w:w="1844" w:type="dxa"/>
          </w:tcPr>
          <w:p w:rsidR="006A18FD" w:rsidRDefault="002D29FC">
            <w:pPr>
              <w:spacing w:before="123"/>
              <w:ind w:left="740" w:right="741"/>
              <w:jc w:val="center"/>
              <w:rPr>
                <w:rFonts w:ascii="Calibri"/>
                <w:sz w:val="18"/>
              </w:rPr>
            </w:pPr>
            <w:r>
              <w:rPr>
                <w:rFonts w:ascii="Calibri"/>
                <w:sz w:val="18"/>
              </w:rPr>
              <w:t>36%</w:t>
            </w:r>
          </w:p>
        </w:tc>
        <w:tc>
          <w:tcPr>
            <w:tcW w:w="1843" w:type="dxa"/>
          </w:tcPr>
          <w:p w:rsidR="006A18FD" w:rsidRDefault="002D29FC">
            <w:pPr>
              <w:spacing w:before="123"/>
              <w:ind w:left="741" w:right="741"/>
              <w:jc w:val="center"/>
              <w:rPr>
                <w:rFonts w:ascii="Calibri"/>
                <w:sz w:val="18"/>
              </w:rPr>
            </w:pPr>
            <w:r>
              <w:rPr>
                <w:rFonts w:ascii="Calibri"/>
                <w:sz w:val="18"/>
              </w:rPr>
              <w:t>11%</w:t>
            </w:r>
          </w:p>
        </w:tc>
        <w:tc>
          <w:tcPr>
            <w:tcW w:w="1700" w:type="dxa"/>
          </w:tcPr>
          <w:p w:rsidR="006A18FD" w:rsidRDefault="002D29FC">
            <w:pPr>
              <w:spacing w:before="123"/>
              <w:ind w:left="714" w:right="714"/>
              <w:jc w:val="center"/>
              <w:rPr>
                <w:rFonts w:ascii="Calibri"/>
                <w:sz w:val="18"/>
              </w:rPr>
            </w:pPr>
            <w:r>
              <w:rPr>
                <w:rFonts w:ascii="Calibri"/>
                <w:sz w:val="18"/>
              </w:rPr>
              <w:t>2%</w:t>
            </w:r>
          </w:p>
        </w:tc>
        <w:tc>
          <w:tcPr>
            <w:tcW w:w="1702" w:type="dxa"/>
          </w:tcPr>
          <w:p w:rsidR="006A18FD" w:rsidRDefault="002D29FC">
            <w:pPr>
              <w:spacing w:before="123"/>
              <w:ind w:left="753"/>
              <w:rPr>
                <w:rFonts w:ascii="Calibri"/>
                <w:sz w:val="18"/>
              </w:rPr>
            </w:pPr>
            <w:r>
              <w:rPr>
                <w:rFonts w:ascii="Calibri"/>
                <w:sz w:val="18"/>
              </w:rPr>
              <w:t>42</w:t>
            </w:r>
          </w:p>
        </w:tc>
        <w:tc>
          <w:tcPr>
            <w:tcW w:w="1702" w:type="dxa"/>
          </w:tcPr>
          <w:p w:rsidR="006A18FD" w:rsidRDefault="002D29FC">
            <w:pPr>
              <w:spacing w:before="123"/>
              <w:ind w:left="617"/>
              <w:rPr>
                <w:rFonts w:ascii="Calibri"/>
                <w:sz w:val="18"/>
              </w:rPr>
            </w:pPr>
            <w:r>
              <w:rPr>
                <w:rFonts w:ascii="Calibri"/>
                <w:sz w:val="18"/>
              </w:rPr>
              <w:t>1:0.15</w:t>
            </w:r>
          </w:p>
        </w:tc>
      </w:tr>
      <w:tr w:rsidR="006A18FD">
        <w:trPr>
          <w:trHeight w:val="1000"/>
        </w:trPr>
        <w:tc>
          <w:tcPr>
            <w:tcW w:w="2112" w:type="dxa"/>
          </w:tcPr>
          <w:p w:rsidR="006A18FD" w:rsidRDefault="002D29FC">
            <w:pPr>
              <w:spacing w:before="119"/>
              <w:ind w:left="102" w:right="405"/>
              <w:rPr>
                <w:rFonts w:ascii="Calibri"/>
                <w:b/>
                <w:sz w:val="18"/>
              </w:rPr>
            </w:pPr>
            <w:r>
              <w:rPr>
                <w:rFonts w:ascii="Calibri"/>
                <w:b/>
                <w:sz w:val="18"/>
              </w:rPr>
              <w:t>Speech and language therapists</w:t>
            </w:r>
          </w:p>
          <w:p w:rsidR="006A18FD" w:rsidRDefault="002D29FC">
            <w:pPr>
              <w:spacing w:before="121"/>
              <w:ind w:left="388"/>
              <w:rPr>
                <w:rFonts w:ascii="Calibri"/>
                <w:sz w:val="18"/>
              </w:rPr>
            </w:pPr>
            <w:r>
              <w:rPr>
                <w:rFonts w:ascii="Calibri"/>
                <w:sz w:val="18"/>
              </w:rPr>
              <w:t>(bands 5-6)</w:t>
            </w:r>
          </w:p>
        </w:tc>
        <w:tc>
          <w:tcPr>
            <w:tcW w:w="1320" w:type="dxa"/>
          </w:tcPr>
          <w:p w:rsidR="006A18FD" w:rsidRDefault="002D29FC">
            <w:pPr>
              <w:spacing w:before="121"/>
              <w:jc w:val="center"/>
              <w:rPr>
                <w:rFonts w:ascii="Calibri"/>
                <w:b/>
                <w:sz w:val="18"/>
              </w:rPr>
            </w:pPr>
            <w:r>
              <w:rPr>
                <w:rFonts w:ascii="Calibri"/>
                <w:b/>
                <w:sz w:val="18"/>
              </w:rPr>
              <w:t>7</w:t>
            </w:r>
          </w:p>
        </w:tc>
        <w:tc>
          <w:tcPr>
            <w:tcW w:w="1532" w:type="dxa"/>
          </w:tcPr>
          <w:p w:rsidR="006A18FD" w:rsidRDefault="002D29FC">
            <w:pPr>
              <w:spacing w:before="121"/>
              <w:ind w:right="667"/>
              <w:jc w:val="right"/>
              <w:rPr>
                <w:rFonts w:ascii="Calibri"/>
                <w:sz w:val="18"/>
              </w:rPr>
            </w:pPr>
            <w:r>
              <w:rPr>
                <w:rFonts w:ascii="Calibri"/>
                <w:sz w:val="18"/>
              </w:rPr>
              <w:t>40</w:t>
            </w:r>
          </w:p>
        </w:tc>
        <w:tc>
          <w:tcPr>
            <w:tcW w:w="1558" w:type="dxa"/>
          </w:tcPr>
          <w:p w:rsidR="006A18FD" w:rsidRDefault="002D29FC">
            <w:pPr>
              <w:spacing w:before="121"/>
              <w:ind w:left="551" w:right="550"/>
              <w:jc w:val="center"/>
              <w:rPr>
                <w:rFonts w:ascii="Calibri"/>
                <w:sz w:val="18"/>
              </w:rPr>
            </w:pPr>
            <w:r>
              <w:rPr>
                <w:rFonts w:ascii="Calibri"/>
                <w:sz w:val="18"/>
              </w:rPr>
              <w:t>38%</w:t>
            </w:r>
          </w:p>
        </w:tc>
        <w:tc>
          <w:tcPr>
            <w:tcW w:w="1844" w:type="dxa"/>
          </w:tcPr>
          <w:p w:rsidR="006A18FD" w:rsidRDefault="002D29FC">
            <w:pPr>
              <w:spacing w:before="121"/>
              <w:ind w:left="740" w:right="741"/>
              <w:jc w:val="center"/>
              <w:rPr>
                <w:rFonts w:ascii="Calibri"/>
                <w:sz w:val="18"/>
              </w:rPr>
            </w:pPr>
            <w:r>
              <w:rPr>
                <w:rFonts w:ascii="Calibri"/>
                <w:sz w:val="18"/>
              </w:rPr>
              <w:t>50%</w:t>
            </w:r>
          </w:p>
        </w:tc>
        <w:tc>
          <w:tcPr>
            <w:tcW w:w="1843" w:type="dxa"/>
          </w:tcPr>
          <w:p w:rsidR="006A18FD" w:rsidRDefault="002D29FC">
            <w:pPr>
              <w:spacing w:before="121"/>
              <w:ind w:left="741" w:right="741"/>
              <w:jc w:val="center"/>
              <w:rPr>
                <w:rFonts w:ascii="Calibri"/>
                <w:sz w:val="18"/>
              </w:rPr>
            </w:pPr>
            <w:r>
              <w:rPr>
                <w:rFonts w:ascii="Calibri"/>
                <w:sz w:val="18"/>
              </w:rPr>
              <w:t>9%</w:t>
            </w:r>
          </w:p>
        </w:tc>
        <w:tc>
          <w:tcPr>
            <w:tcW w:w="1700" w:type="dxa"/>
          </w:tcPr>
          <w:p w:rsidR="006A18FD" w:rsidRDefault="002D29FC">
            <w:pPr>
              <w:spacing w:before="121"/>
              <w:ind w:left="714" w:right="714"/>
              <w:jc w:val="center"/>
              <w:rPr>
                <w:rFonts w:ascii="Calibri"/>
                <w:sz w:val="18"/>
              </w:rPr>
            </w:pPr>
            <w:r>
              <w:rPr>
                <w:rFonts w:ascii="Calibri"/>
                <w:sz w:val="18"/>
              </w:rPr>
              <w:t>3%</w:t>
            </w:r>
          </w:p>
        </w:tc>
        <w:tc>
          <w:tcPr>
            <w:tcW w:w="1702" w:type="dxa"/>
          </w:tcPr>
          <w:p w:rsidR="006A18FD" w:rsidRDefault="002D29FC">
            <w:pPr>
              <w:spacing w:before="121"/>
              <w:ind w:left="753"/>
              <w:rPr>
                <w:rFonts w:ascii="Calibri"/>
                <w:sz w:val="18"/>
              </w:rPr>
            </w:pPr>
            <w:r>
              <w:rPr>
                <w:rFonts w:ascii="Calibri"/>
                <w:sz w:val="18"/>
              </w:rPr>
              <w:t>84</w:t>
            </w:r>
          </w:p>
        </w:tc>
        <w:tc>
          <w:tcPr>
            <w:tcW w:w="1702" w:type="dxa"/>
          </w:tcPr>
          <w:p w:rsidR="006A18FD" w:rsidRDefault="002D29FC">
            <w:pPr>
              <w:spacing w:before="121"/>
              <w:ind w:left="617"/>
              <w:rPr>
                <w:rFonts w:ascii="Calibri"/>
                <w:sz w:val="18"/>
              </w:rPr>
            </w:pPr>
            <w:r>
              <w:rPr>
                <w:rFonts w:ascii="Calibri"/>
                <w:sz w:val="18"/>
              </w:rPr>
              <w:t>1:0.14</w:t>
            </w:r>
          </w:p>
        </w:tc>
      </w:tr>
    </w:tbl>
    <w:p w:rsidR="006A18FD" w:rsidRDefault="002D29FC">
      <w:pPr>
        <w:spacing w:before="121"/>
        <w:ind w:left="100"/>
        <w:rPr>
          <w:rFonts w:ascii="Calibri"/>
          <w:sz w:val="16"/>
        </w:rPr>
      </w:pPr>
      <w:r>
        <w:rPr>
          <w:rFonts w:ascii="Calibri"/>
          <w:sz w:val="16"/>
        </w:rPr>
        <w:t>References from past editions:</w:t>
      </w:r>
    </w:p>
    <w:p w:rsidR="006A18FD" w:rsidRDefault="006A18FD">
      <w:pPr>
        <w:spacing w:before="1"/>
        <w:rPr>
          <w:rFonts w:ascii="Calibri"/>
          <w:sz w:val="12"/>
        </w:rPr>
      </w:pPr>
    </w:p>
    <w:p w:rsidR="006A18FD" w:rsidRDefault="002D29FC">
      <w:pPr>
        <w:spacing w:line="278" w:lineRule="auto"/>
        <w:ind w:left="100" w:right="333"/>
        <w:rPr>
          <w:rFonts w:ascii="Calibri"/>
          <w:sz w:val="16"/>
        </w:rPr>
      </w:pPr>
      <w:r>
        <w:rPr>
          <w:rFonts w:ascii="Calibri"/>
          <w:sz w:val="16"/>
        </w:rPr>
        <w:t>Clinical Psychologist: Ratio of face-to-face contacts to all activitiy: 1:1:25. Based on the National Child and Adolescent Mental Health Service Mapping data and returns from over 500 principal clinical psychologists, 44.5 per cent of time was spent on direct clinical work. (See: Department of Health (2002) National child and adolescent mental health service mapping data, Department of Health, London).</w:t>
      </w:r>
    </w:p>
    <w:p w:rsidR="006A18FD" w:rsidRDefault="002D29FC">
      <w:pPr>
        <w:spacing w:before="117" w:line="278" w:lineRule="auto"/>
        <w:ind w:left="100" w:right="287"/>
        <w:rPr>
          <w:rFonts w:ascii="Calibri"/>
          <w:sz w:val="16"/>
        </w:rPr>
      </w:pPr>
      <w:r>
        <w:rPr>
          <w:rFonts w:ascii="Calibri"/>
          <w:sz w:val="16"/>
        </w:rPr>
        <w:t>GP Practice Nurse: Ratio of direct to indirect time on face-to-face contacts to all activity: 1:0:30. Time spent on surgery consultations (67.9%), phone consultations (5.2%), clinics (2.5%) and home and care home visits (1.2%). Taken from the 2006/2007 UK General Practice Workload Survey. (See: Information Centre (2007) 2006/2007 UK General practice workload survey, Primary Care Statistics, Information Centre, Leeds.</w:t>
      </w:r>
    </w:p>
    <w:p w:rsidR="006A18FD" w:rsidRDefault="002D29FC">
      <w:pPr>
        <w:spacing w:before="119" w:line="276" w:lineRule="auto"/>
        <w:ind w:left="100" w:right="189"/>
        <w:rPr>
          <w:rFonts w:ascii="Calibri"/>
          <w:sz w:val="16"/>
        </w:rPr>
      </w:pPr>
      <w:r>
        <w:rPr>
          <w:rFonts w:ascii="Calibri"/>
          <w:sz w:val="16"/>
        </w:rPr>
        <w:t xml:space="preserve">Nurse advanced/nurse practitioners: Ratio of patient contacts to all activity: 1:0:71. Based on information provided by 27 nurse practitioners, 58% of time was spent on surgery consultations, 0.4% on home visits, 6.4% on telephone consultations and 1.4% of time was spent on getting prescriptions signed. See Curtis, L. &amp; Netten, A. (2007) The costs of training a nurse practitioner in primary care: the importance of allowing for the cost of education and training when making decisions about changing the professional mix, </w:t>
      </w:r>
      <w:r>
        <w:rPr>
          <w:rFonts w:ascii="Calibri"/>
          <w:i/>
          <w:sz w:val="16"/>
        </w:rPr>
        <w:t>Journal of Nursing Management</w:t>
      </w:r>
      <w:r>
        <w:rPr>
          <w:rFonts w:ascii="Calibri"/>
          <w:sz w:val="16"/>
        </w:rPr>
        <w:t>, 15, 4, 449-457.</w:t>
      </w:r>
    </w:p>
    <w:p w:rsidR="006A18FD" w:rsidRDefault="002D29FC">
      <w:pPr>
        <w:numPr>
          <w:ilvl w:val="0"/>
          <w:numId w:val="2"/>
        </w:numPr>
        <w:tabs>
          <w:tab w:val="left" w:pos="819"/>
          <w:tab w:val="left" w:pos="820"/>
        </w:tabs>
        <w:spacing w:before="118" w:line="278" w:lineRule="auto"/>
        <w:ind w:right="1162"/>
        <w:rPr>
          <w:rFonts w:ascii="Calibri"/>
          <w:sz w:val="16"/>
        </w:rPr>
      </w:pPr>
      <w:r>
        <w:rPr>
          <w:rFonts w:ascii="Calibri"/>
          <w:sz w:val="16"/>
        </w:rPr>
        <w:t>Includes</w:t>
      </w:r>
      <w:r>
        <w:rPr>
          <w:rFonts w:ascii="Calibri"/>
          <w:spacing w:val="-4"/>
          <w:sz w:val="16"/>
        </w:rPr>
        <w:t xml:space="preserve"> </w:t>
      </w:r>
      <w:r>
        <w:rPr>
          <w:rFonts w:ascii="Calibri"/>
          <w:sz w:val="16"/>
        </w:rPr>
        <w:t>time</w:t>
      </w:r>
      <w:r>
        <w:rPr>
          <w:rFonts w:ascii="Calibri"/>
          <w:spacing w:val="-4"/>
          <w:sz w:val="16"/>
        </w:rPr>
        <w:t xml:space="preserve"> </w:t>
      </w:r>
      <w:r>
        <w:rPr>
          <w:rFonts w:ascii="Calibri"/>
          <w:sz w:val="16"/>
        </w:rPr>
        <w:t>researching</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gathering</w:t>
      </w:r>
      <w:r>
        <w:rPr>
          <w:rFonts w:ascii="Calibri"/>
          <w:spacing w:val="-3"/>
          <w:sz w:val="16"/>
        </w:rPr>
        <w:t xml:space="preserve"> </w:t>
      </w:r>
      <w:r>
        <w:rPr>
          <w:rFonts w:ascii="Calibri"/>
          <w:sz w:val="16"/>
        </w:rPr>
        <w:t>information</w:t>
      </w:r>
      <w:r>
        <w:rPr>
          <w:rFonts w:ascii="Calibri"/>
          <w:spacing w:val="-4"/>
          <w:sz w:val="16"/>
        </w:rPr>
        <w:t xml:space="preserve"> </w:t>
      </w:r>
      <w:r>
        <w:rPr>
          <w:rFonts w:ascii="Calibri"/>
          <w:sz w:val="16"/>
        </w:rPr>
        <w:t>before</w:t>
      </w:r>
      <w:r>
        <w:rPr>
          <w:rFonts w:ascii="Calibri"/>
          <w:spacing w:val="-4"/>
          <w:sz w:val="16"/>
        </w:rPr>
        <w:t xml:space="preserve"> </w:t>
      </w:r>
      <w:r>
        <w:rPr>
          <w:rFonts w:ascii="Calibri"/>
          <w:sz w:val="16"/>
        </w:rPr>
        <w:t>each</w:t>
      </w:r>
      <w:r>
        <w:rPr>
          <w:rFonts w:ascii="Calibri"/>
          <w:spacing w:val="-4"/>
          <w:sz w:val="16"/>
        </w:rPr>
        <w:t xml:space="preserve"> </w:t>
      </w:r>
      <w:r>
        <w:rPr>
          <w:rFonts w:ascii="Calibri"/>
          <w:sz w:val="16"/>
        </w:rPr>
        <w:t>patient/client</w:t>
      </w:r>
      <w:r>
        <w:rPr>
          <w:rFonts w:ascii="Calibri"/>
          <w:spacing w:val="-5"/>
          <w:sz w:val="16"/>
        </w:rPr>
        <w:t xml:space="preserve"> </w:t>
      </w:r>
      <w:r>
        <w:rPr>
          <w:rFonts w:ascii="Calibri"/>
          <w:sz w:val="16"/>
        </w:rPr>
        <w:t>contact,</w:t>
      </w:r>
      <w:r>
        <w:rPr>
          <w:rFonts w:ascii="Calibri"/>
          <w:spacing w:val="-3"/>
          <w:sz w:val="16"/>
        </w:rPr>
        <w:t xml:space="preserve"> </w:t>
      </w:r>
      <w:r>
        <w:rPr>
          <w:rFonts w:ascii="Calibri"/>
          <w:sz w:val="16"/>
        </w:rPr>
        <w:t>writing-up</w:t>
      </w:r>
      <w:r>
        <w:rPr>
          <w:rFonts w:ascii="Calibri"/>
          <w:spacing w:val="-4"/>
          <w:sz w:val="16"/>
        </w:rPr>
        <w:t xml:space="preserve"> </w:t>
      </w:r>
      <w:r>
        <w:rPr>
          <w:rFonts w:ascii="Calibri"/>
          <w:sz w:val="16"/>
        </w:rPr>
        <w:t>case</w:t>
      </w:r>
      <w:r>
        <w:rPr>
          <w:rFonts w:ascii="Calibri"/>
          <w:spacing w:val="-4"/>
          <w:sz w:val="16"/>
        </w:rPr>
        <w:t xml:space="preserve"> </w:t>
      </w:r>
      <w:r>
        <w:rPr>
          <w:rFonts w:ascii="Calibri"/>
          <w:sz w:val="16"/>
        </w:rPr>
        <w:t>notes</w:t>
      </w:r>
      <w:r>
        <w:rPr>
          <w:rFonts w:ascii="Calibri"/>
          <w:spacing w:val="-4"/>
          <w:sz w:val="16"/>
        </w:rPr>
        <w:t xml:space="preserve"> </w:t>
      </w:r>
      <w:r>
        <w:rPr>
          <w:rFonts w:ascii="Calibri"/>
          <w:sz w:val="16"/>
        </w:rPr>
        <w:t>after</w:t>
      </w:r>
      <w:r>
        <w:rPr>
          <w:rFonts w:ascii="Calibri"/>
          <w:spacing w:val="-4"/>
          <w:sz w:val="16"/>
        </w:rPr>
        <w:t xml:space="preserve"> </w:t>
      </w:r>
      <w:r>
        <w:rPr>
          <w:rFonts w:ascii="Calibri"/>
          <w:sz w:val="16"/>
        </w:rPr>
        <w:t>each</w:t>
      </w:r>
      <w:r>
        <w:rPr>
          <w:rFonts w:ascii="Calibri"/>
          <w:spacing w:val="-4"/>
          <w:sz w:val="16"/>
        </w:rPr>
        <w:t xml:space="preserve"> </w:t>
      </w:r>
      <w:r>
        <w:rPr>
          <w:rFonts w:ascii="Calibri"/>
          <w:sz w:val="16"/>
        </w:rPr>
        <w:t>patient/client</w:t>
      </w:r>
      <w:r>
        <w:rPr>
          <w:rFonts w:ascii="Calibri"/>
          <w:spacing w:val="-3"/>
          <w:sz w:val="16"/>
        </w:rPr>
        <w:t xml:space="preserve"> </w:t>
      </w:r>
      <w:r>
        <w:rPr>
          <w:rFonts w:ascii="Calibri"/>
          <w:sz w:val="16"/>
        </w:rPr>
        <w:t>contact,</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liaising</w:t>
      </w:r>
      <w:r>
        <w:rPr>
          <w:rFonts w:ascii="Calibri"/>
          <w:spacing w:val="-3"/>
          <w:sz w:val="16"/>
        </w:rPr>
        <w:t xml:space="preserve"> </w:t>
      </w:r>
      <w:r>
        <w:rPr>
          <w:rFonts w:ascii="Calibri"/>
          <w:sz w:val="16"/>
        </w:rPr>
        <w:t>with</w:t>
      </w:r>
      <w:r>
        <w:rPr>
          <w:rFonts w:ascii="Calibri"/>
          <w:spacing w:val="-4"/>
          <w:sz w:val="16"/>
        </w:rPr>
        <w:t xml:space="preserve"> </w:t>
      </w:r>
      <w:r>
        <w:rPr>
          <w:rFonts w:ascii="Calibri"/>
          <w:sz w:val="16"/>
        </w:rPr>
        <w:t>or</w:t>
      </w:r>
      <w:r>
        <w:rPr>
          <w:rFonts w:ascii="Calibri"/>
          <w:spacing w:val="-4"/>
          <w:sz w:val="16"/>
        </w:rPr>
        <w:t xml:space="preserve"> </w:t>
      </w:r>
      <w:r>
        <w:rPr>
          <w:rFonts w:ascii="Calibri"/>
          <w:sz w:val="16"/>
        </w:rPr>
        <w:t>meeting</w:t>
      </w:r>
      <w:r>
        <w:rPr>
          <w:rFonts w:ascii="Calibri"/>
          <w:spacing w:val="-3"/>
          <w:sz w:val="16"/>
        </w:rPr>
        <w:t xml:space="preserve"> </w:t>
      </w:r>
      <w:r>
        <w:rPr>
          <w:rFonts w:ascii="Calibri"/>
          <w:sz w:val="16"/>
        </w:rPr>
        <w:t>with</w:t>
      </w:r>
      <w:r>
        <w:rPr>
          <w:rFonts w:ascii="Calibri"/>
          <w:spacing w:val="-4"/>
          <w:sz w:val="16"/>
        </w:rPr>
        <w:t xml:space="preserve"> </w:t>
      </w:r>
      <w:r>
        <w:rPr>
          <w:rFonts w:ascii="Calibri"/>
          <w:sz w:val="16"/>
        </w:rPr>
        <w:t>other</w:t>
      </w:r>
      <w:r>
        <w:rPr>
          <w:rFonts w:ascii="Calibri"/>
          <w:spacing w:val="-4"/>
          <w:sz w:val="16"/>
        </w:rPr>
        <w:t xml:space="preserve"> </w:t>
      </w:r>
      <w:r>
        <w:rPr>
          <w:rFonts w:ascii="Calibri"/>
          <w:sz w:val="16"/>
        </w:rPr>
        <w:t>professionals</w:t>
      </w:r>
      <w:r>
        <w:rPr>
          <w:rFonts w:ascii="Calibri"/>
          <w:spacing w:val="-2"/>
          <w:sz w:val="16"/>
        </w:rPr>
        <w:t xml:space="preserve"> </w:t>
      </w:r>
      <w:r>
        <w:rPr>
          <w:rFonts w:ascii="Calibri"/>
          <w:sz w:val="16"/>
        </w:rPr>
        <w:t>in</w:t>
      </w:r>
      <w:r>
        <w:rPr>
          <w:rFonts w:ascii="Calibri"/>
          <w:spacing w:val="-4"/>
          <w:sz w:val="16"/>
        </w:rPr>
        <w:t xml:space="preserve"> </w:t>
      </w:r>
      <w:r>
        <w:rPr>
          <w:rFonts w:ascii="Calibri"/>
          <w:sz w:val="16"/>
        </w:rPr>
        <w:t>relation</w:t>
      </w:r>
      <w:r>
        <w:rPr>
          <w:rFonts w:ascii="Calibri"/>
          <w:spacing w:val="-2"/>
          <w:sz w:val="16"/>
        </w:rPr>
        <w:t xml:space="preserve"> </w:t>
      </w:r>
      <w:r>
        <w:rPr>
          <w:rFonts w:ascii="Calibri"/>
          <w:sz w:val="16"/>
        </w:rPr>
        <w:t>to patients/clients</w:t>
      </w:r>
    </w:p>
    <w:p w:rsidR="006A18FD" w:rsidRDefault="002D29FC">
      <w:pPr>
        <w:numPr>
          <w:ilvl w:val="0"/>
          <w:numId w:val="2"/>
        </w:numPr>
        <w:tabs>
          <w:tab w:val="left" w:pos="819"/>
          <w:tab w:val="left" w:pos="820"/>
        </w:tabs>
        <w:spacing w:line="194" w:lineRule="exact"/>
        <w:rPr>
          <w:rFonts w:ascii="Calibri"/>
          <w:sz w:val="16"/>
        </w:rPr>
      </w:pPr>
      <w:r>
        <w:rPr>
          <w:rFonts w:ascii="Calibri"/>
          <w:sz w:val="16"/>
        </w:rPr>
        <w:t>Non-direct</w:t>
      </w:r>
      <w:r>
        <w:rPr>
          <w:rFonts w:ascii="Calibri"/>
          <w:spacing w:val="-5"/>
          <w:sz w:val="16"/>
        </w:rPr>
        <w:t xml:space="preserve"> </w:t>
      </w:r>
      <w:r>
        <w:rPr>
          <w:rFonts w:ascii="Calibri"/>
          <w:sz w:val="16"/>
        </w:rPr>
        <w:t>activities</w:t>
      </w:r>
      <w:r>
        <w:rPr>
          <w:rFonts w:ascii="Calibri"/>
          <w:spacing w:val="-5"/>
          <w:sz w:val="16"/>
        </w:rPr>
        <w:t xml:space="preserve"> </w:t>
      </w:r>
      <w:r>
        <w:rPr>
          <w:rFonts w:ascii="Calibri"/>
          <w:sz w:val="16"/>
        </w:rPr>
        <w:t>include</w:t>
      </w:r>
      <w:r>
        <w:rPr>
          <w:rFonts w:ascii="Calibri"/>
          <w:spacing w:val="-3"/>
          <w:sz w:val="16"/>
        </w:rPr>
        <w:t xml:space="preserve"> </w:t>
      </w:r>
      <w:r>
        <w:rPr>
          <w:rFonts w:ascii="Calibri"/>
          <w:sz w:val="16"/>
        </w:rPr>
        <w:t>training</w:t>
      </w:r>
      <w:r>
        <w:rPr>
          <w:rFonts w:ascii="Calibri"/>
          <w:spacing w:val="-4"/>
          <w:sz w:val="16"/>
        </w:rPr>
        <w:t xml:space="preserve"> </w:t>
      </w:r>
      <w:r>
        <w:rPr>
          <w:rFonts w:ascii="Calibri"/>
          <w:sz w:val="16"/>
        </w:rPr>
        <w:t>(either</w:t>
      </w:r>
      <w:r>
        <w:rPr>
          <w:rFonts w:ascii="Calibri"/>
          <w:spacing w:val="-5"/>
          <w:sz w:val="16"/>
        </w:rPr>
        <w:t xml:space="preserve"> </w:t>
      </w:r>
      <w:r>
        <w:rPr>
          <w:rFonts w:ascii="Calibri"/>
          <w:sz w:val="16"/>
        </w:rPr>
        <w:t>others</w:t>
      </w:r>
      <w:r>
        <w:rPr>
          <w:rFonts w:ascii="Calibri"/>
          <w:spacing w:val="-3"/>
          <w:sz w:val="16"/>
        </w:rPr>
        <w:t xml:space="preserve"> </w:t>
      </w:r>
      <w:r>
        <w:rPr>
          <w:rFonts w:ascii="Calibri"/>
          <w:sz w:val="16"/>
        </w:rPr>
        <w:t>or</w:t>
      </w:r>
      <w:r>
        <w:rPr>
          <w:rFonts w:ascii="Calibri"/>
          <w:spacing w:val="-5"/>
          <w:sz w:val="16"/>
        </w:rPr>
        <w:t xml:space="preserve"> </w:t>
      </w:r>
      <w:r>
        <w:rPr>
          <w:rFonts w:ascii="Calibri"/>
          <w:sz w:val="16"/>
        </w:rPr>
        <w:t>self),</w:t>
      </w:r>
      <w:r>
        <w:rPr>
          <w:rFonts w:ascii="Calibri"/>
          <w:spacing w:val="-4"/>
          <w:sz w:val="16"/>
        </w:rPr>
        <w:t xml:space="preserve"> </w:t>
      </w:r>
      <w:r>
        <w:rPr>
          <w:rFonts w:ascii="Calibri"/>
          <w:sz w:val="16"/>
        </w:rPr>
        <w:t>supervision</w:t>
      </w:r>
      <w:r>
        <w:rPr>
          <w:rFonts w:ascii="Calibri"/>
          <w:spacing w:val="-5"/>
          <w:sz w:val="16"/>
        </w:rPr>
        <w:t xml:space="preserve"> </w:t>
      </w:r>
      <w:r>
        <w:rPr>
          <w:rFonts w:ascii="Calibri"/>
          <w:sz w:val="16"/>
        </w:rPr>
        <w:t>and</w:t>
      </w:r>
      <w:r>
        <w:rPr>
          <w:rFonts w:ascii="Calibri"/>
          <w:spacing w:val="-3"/>
          <w:sz w:val="16"/>
        </w:rPr>
        <w:t xml:space="preserve"> </w:t>
      </w:r>
      <w:r>
        <w:rPr>
          <w:rFonts w:ascii="Calibri"/>
          <w:sz w:val="16"/>
        </w:rPr>
        <w:t>general</w:t>
      </w:r>
      <w:r>
        <w:rPr>
          <w:rFonts w:ascii="Calibri"/>
          <w:spacing w:val="-6"/>
          <w:sz w:val="16"/>
        </w:rPr>
        <w:t xml:space="preserve"> </w:t>
      </w:r>
      <w:r>
        <w:rPr>
          <w:rFonts w:ascii="Calibri"/>
          <w:sz w:val="16"/>
        </w:rPr>
        <w:t>administration.</w:t>
      </w:r>
    </w:p>
    <w:p w:rsidR="006A18FD" w:rsidRDefault="006A18FD">
      <w:pPr>
        <w:spacing w:line="194" w:lineRule="exact"/>
        <w:rPr>
          <w:rFonts w:ascii="Calibri"/>
          <w:sz w:val="16"/>
        </w:rPr>
        <w:sectPr w:rsidR="006A18FD">
          <w:headerReference w:type="default" r:id="rId484"/>
          <w:pgSz w:w="16840" w:h="11910" w:orient="landscape"/>
          <w:pgMar w:top="1040" w:right="580" w:bottom="280" w:left="620" w:header="0" w:footer="0" w:gutter="0"/>
          <w:cols w:space="720"/>
        </w:sectPr>
      </w:pPr>
    </w:p>
    <w:p w:rsidR="006A18FD" w:rsidRDefault="006A18FD">
      <w:pPr>
        <w:spacing w:before="11"/>
        <w:rPr>
          <w:rFonts w:ascii="Calibri"/>
          <w:sz w:val="13"/>
        </w:rPr>
      </w:pPr>
    </w:p>
    <w:p w:rsidR="006A18FD" w:rsidRDefault="002D29FC" w:rsidP="005629E5">
      <w:pPr>
        <w:pStyle w:val="Heading1"/>
        <w:numPr>
          <w:ilvl w:val="0"/>
          <w:numId w:val="4"/>
        </w:numPr>
        <w:jc w:val="left"/>
      </w:pPr>
      <w:r>
        <w:t>Glossary</w:t>
      </w:r>
    </w:p>
    <w:p w:rsidR="006A18FD" w:rsidRDefault="002D29FC">
      <w:pPr>
        <w:spacing w:before="63" w:line="276" w:lineRule="auto"/>
        <w:ind w:left="423" w:right="377" w:hanging="284"/>
        <w:rPr>
          <w:rFonts w:ascii="Calibri"/>
          <w:sz w:val="20"/>
        </w:rPr>
      </w:pPr>
      <w:r>
        <w:rPr>
          <w:rFonts w:ascii="Calibri"/>
          <w:b/>
          <w:sz w:val="20"/>
        </w:rPr>
        <w:t xml:space="preserve">Annuitising </w:t>
      </w:r>
      <w:r>
        <w:rPr>
          <w:rFonts w:ascii="Calibri"/>
          <w:sz w:val="20"/>
        </w:rPr>
        <w:t>Converting a capital investment (such as the cost of a building) into the annual equivalent cost for the period over which the investment is expected to last.</w:t>
      </w:r>
    </w:p>
    <w:p w:rsidR="006A18FD" w:rsidRDefault="002D29FC">
      <w:pPr>
        <w:spacing w:line="276" w:lineRule="auto"/>
        <w:ind w:left="423" w:right="214" w:hanging="284"/>
        <w:rPr>
          <w:rFonts w:ascii="Calibri"/>
          <w:sz w:val="20"/>
        </w:rPr>
      </w:pPr>
      <w:r>
        <w:rPr>
          <w:rFonts w:ascii="Calibri"/>
          <w:b/>
          <w:sz w:val="20"/>
        </w:rPr>
        <w:t xml:space="preserve">Child and adolescent mental health services (CAMHS) </w:t>
      </w:r>
      <w:r>
        <w:rPr>
          <w:rFonts w:ascii="Calibri"/>
          <w:sz w:val="20"/>
        </w:rPr>
        <w:t xml:space="preserve">is a name for </w:t>
      </w:r>
      <w:hyperlink r:id="rId485">
        <w:r>
          <w:rPr>
            <w:rFonts w:ascii="Calibri"/>
            <w:sz w:val="20"/>
            <w:u w:val="single"/>
          </w:rPr>
          <w:t>NHS</w:t>
        </w:r>
      </w:hyperlink>
      <w:r>
        <w:rPr>
          <w:rFonts w:ascii="Calibri"/>
          <w:sz w:val="20"/>
        </w:rPr>
        <w:t xml:space="preserve">-provided services for children with </w:t>
      </w:r>
      <w:hyperlink r:id="rId486">
        <w:r>
          <w:rPr>
            <w:rFonts w:ascii="Calibri"/>
            <w:sz w:val="20"/>
            <w:u w:val="single"/>
          </w:rPr>
          <w:t>mental health</w:t>
        </w:r>
      </w:hyperlink>
      <w:r>
        <w:rPr>
          <w:rFonts w:ascii="Calibri"/>
          <w:sz w:val="20"/>
        </w:rPr>
        <w:t xml:space="preserve"> needs in the </w:t>
      </w:r>
      <w:hyperlink r:id="rId487">
        <w:r>
          <w:rPr>
            <w:rFonts w:ascii="Calibri"/>
            <w:sz w:val="20"/>
            <w:u w:val="single"/>
          </w:rPr>
          <w:t>UK</w:t>
        </w:r>
        <w:r>
          <w:rPr>
            <w:rFonts w:ascii="Calibri"/>
            <w:sz w:val="20"/>
          </w:rPr>
          <w:t xml:space="preserve">. </w:t>
        </w:r>
      </w:hyperlink>
      <w:r>
        <w:rPr>
          <w:rFonts w:ascii="Calibri"/>
          <w:sz w:val="20"/>
        </w:rPr>
        <w:t>In the UK they are often organised around a tier system. Tier 3 services, for example, are typically multidisciplinary in nature and the staff come from a range of professional backgrounds.</w:t>
      </w:r>
    </w:p>
    <w:p w:rsidR="006A18FD" w:rsidRDefault="002D29FC">
      <w:pPr>
        <w:ind w:left="140"/>
        <w:rPr>
          <w:rFonts w:ascii="Calibri"/>
          <w:sz w:val="20"/>
        </w:rPr>
      </w:pPr>
      <w:r>
        <w:rPr>
          <w:rFonts w:ascii="Calibri"/>
          <w:b/>
          <w:sz w:val="20"/>
        </w:rPr>
        <w:t xml:space="preserve">Capital overheads </w:t>
      </w:r>
      <w:r>
        <w:rPr>
          <w:rFonts w:ascii="Calibri"/>
          <w:sz w:val="20"/>
        </w:rPr>
        <w:t>The cost of buildings, fixtures and fittings employed in the production of a service.</w:t>
      </w:r>
    </w:p>
    <w:p w:rsidR="006A18FD" w:rsidRDefault="002D29FC">
      <w:pPr>
        <w:spacing w:before="36"/>
        <w:ind w:left="140"/>
        <w:rPr>
          <w:rFonts w:ascii="Calibri"/>
          <w:sz w:val="20"/>
        </w:rPr>
      </w:pPr>
      <w:r>
        <w:rPr>
          <w:rFonts w:ascii="Calibri"/>
          <w:b/>
          <w:sz w:val="20"/>
        </w:rPr>
        <w:t xml:space="preserve">Care package costs </w:t>
      </w:r>
      <w:r>
        <w:rPr>
          <w:rFonts w:ascii="Calibri"/>
          <w:sz w:val="20"/>
        </w:rPr>
        <w:t>Total costs for all services received by a patient.</w:t>
      </w:r>
    </w:p>
    <w:p w:rsidR="006A18FD" w:rsidRDefault="002D29FC">
      <w:pPr>
        <w:spacing w:before="36" w:line="276" w:lineRule="auto"/>
        <w:ind w:left="423" w:right="530" w:hanging="284"/>
        <w:rPr>
          <w:rFonts w:ascii="Calibri"/>
          <w:sz w:val="20"/>
        </w:rPr>
      </w:pPr>
      <w:r>
        <w:rPr>
          <w:rFonts w:ascii="Calibri"/>
          <w:b/>
          <w:sz w:val="20"/>
        </w:rPr>
        <w:t xml:space="preserve">Department for Work and Pensions (DWP) </w:t>
      </w:r>
      <w:r>
        <w:rPr>
          <w:rFonts w:ascii="Calibri"/>
          <w:sz w:val="20"/>
        </w:rPr>
        <w:t xml:space="preserve">is the largest government department in the </w:t>
      </w:r>
      <w:hyperlink r:id="rId488">
        <w:r>
          <w:rPr>
            <w:rFonts w:ascii="Calibri"/>
            <w:sz w:val="20"/>
            <w:u w:val="single"/>
          </w:rPr>
          <w:t>United Kingdom</w:t>
        </w:r>
        <w:r>
          <w:rPr>
            <w:rFonts w:ascii="Calibri"/>
            <w:sz w:val="20"/>
          </w:rPr>
          <w:t xml:space="preserve">, </w:t>
        </w:r>
      </w:hyperlink>
      <w:r>
        <w:rPr>
          <w:rFonts w:ascii="Calibri"/>
          <w:sz w:val="20"/>
        </w:rPr>
        <w:t xml:space="preserve">created on 8 June 2001, from the merger of the employment part of the </w:t>
      </w:r>
      <w:hyperlink r:id="rId489">
        <w:r>
          <w:rPr>
            <w:rFonts w:ascii="Calibri"/>
            <w:sz w:val="20"/>
            <w:u w:val="single"/>
          </w:rPr>
          <w:t>Department for Education and Employment</w:t>
        </w:r>
        <w:r>
          <w:rPr>
            <w:rFonts w:ascii="Calibri"/>
            <w:sz w:val="20"/>
          </w:rPr>
          <w:t xml:space="preserve"> </w:t>
        </w:r>
      </w:hyperlink>
      <w:r>
        <w:rPr>
          <w:rFonts w:ascii="Calibri"/>
          <w:sz w:val="20"/>
        </w:rPr>
        <w:t xml:space="preserve">and the </w:t>
      </w:r>
      <w:hyperlink r:id="rId490">
        <w:r>
          <w:rPr>
            <w:rFonts w:ascii="Calibri"/>
            <w:sz w:val="20"/>
            <w:u w:val="single"/>
          </w:rPr>
          <w:t>Department of Social Security</w:t>
        </w:r>
        <w:r>
          <w:rPr>
            <w:rFonts w:ascii="Calibri"/>
            <w:sz w:val="20"/>
          </w:rPr>
          <w:t xml:space="preserve"> </w:t>
        </w:r>
      </w:hyperlink>
      <w:r>
        <w:rPr>
          <w:rFonts w:ascii="Calibri"/>
          <w:sz w:val="20"/>
        </w:rPr>
        <w:t xml:space="preserve">and headed by the </w:t>
      </w:r>
      <w:hyperlink r:id="rId491">
        <w:r>
          <w:rPr>
            <w:rFonts w:ascii="Calibri"/>
            <w:sz w:val="20"/>
            <w:u w:val="single"/>
          </w:rPr>
          <w:t>Secretary of State for Work and Pensions</w:t>
        </w:r>
        <w:r>
          <w:rPr>
            <w:rFonts w:ascii="Calibri"/>
            <w:sz w:val="20"/>
          </w:rPr>
          <w:t xml:space="preserve">, </w:t>
        </w:r>
      </w:hyperlink>
      <w:r>
        <w:rPr>
          <w:rFonts w:ascii="Calibri"/>
          <w:sz w:val="20"/>
        </w:rPr>
        <w:t xml:space="preserve">a </w:t>
      </w:r>
      <w:hyperlink r:id="rId492">
        <w:r>
          <w:rPr>
            <w:rFonts w:ascii="Calibri"/>
            <w:sz w:val="20"/>
            <w:u w:val="single"/>
          </w:rPr>
          <w:t>Cabinet</w:t>
        </w:r>
        <w:r>
          <w:rPr>
            <w:rFonts w:ascii="Calibri"/>
            <w:sz w:val="20"/>
          </w:rPr>
          <w:t xml:space="preserve"> </w:t>
        </w:r>
      </w:hyperlink>
      <w:r>
        <w:rPr>
          <w:rFonts w:ascii="Calibri"/>
          <w:sz w:val="20"/>
        </w:rPr>
        <w:t>position.</w:t>
      </w:r>
    </w:p>
    <w:p w:rsidR="006A18FD" w:rsidRDefault="002D29FC">
      <w:pPr>
        <w:spacing w:line="276" w:lineRule="auto"/>
        <w:ind w:left="423" w:right="585" w:hanging="284"/>
        <w:rPr>
          <w:rFonts w:ascii="Calibri"/>
          <w:sz w:val="20"/>
        </w:rPr>
      </w:pPr>
      <w:r>
        <w:rPr>
          <w:rFonts w:ascii="Calibri"/>
          <w:b/>
          <w:sz w:val="20"/>
        </w:rPr>
        <w:t xml:space="preserve">Discounting </w:t>
      </w:r>
      <w:r>
        <w:rPr>
          <w:rFonts w:ascii="Calibri"/>
          <w:sz w:val="20"/>
        </w:rPr>
        <w:t>Adjusting costs using the time preference rate spread over a period of time to reflect their value at a base year.</w:t>
      </w:r>
    </w:p>
    <w:p w:rsidR="006A18FD" w:rsidRDefault="002D29FC">
      <w:pPr>
        <w:ind w:left="140"/>
        <w:rPr>
          <w:rFonts w:ascii="Calibri"/>
          <w:sz w:val="20"/>
        </w:rPr>
      </w:pPr>
      <w:r>
        <w:rPr>
          <w:rFonts w:ascii="Calibri"/>
          <w:b/>
          <w:sz w:val="20"/>
        </w:rPr>
        <w:t xml:space="preserve">Durables </w:t>
      </w:r>
      <w:r>
        <w:rPr>
          <w:rFonts w:ascii="Calibri"/>
          <w:sz w:val="20"/>
        </w:rPr>
        <w:t>Items such as furniture and fittings.</w:t>
      </w:r>
    </w:p>
    <w:p w:rsidR="006A18FD" w:rsidRDefault="002D29FC">
      <w:pPr>
        <w:spacing w:before="36"/>
        <w:ind w:left="140"/>
        <w:rPr>
          <w:rFonts w:ascii="Calibri"/>
          <w:sz w:val="20"/>
        </w:rPr>
      </w:pPr>
      <w:r>
        <w:rPr>
          <w:rFonts w:ascii="Calibri"/>
          <w:b/>
          <w:sz w:val="20"/>
        </w:rPr>
        <w:t xml:space="preserve">Long-term </w:t>
      </w:r>
      <w:r>
        <w:rPr>
          <w:rFonts w:ascii="Calibri"/>
          <w:sz w:val="20"/>
        </w:rPr>
        <w:t>The period during which fixed costs such as capital can be varied.</w:t>
      </w:r>
    </w:p>
    <w:p w:rsidR="006A18FD" w:rsidRDefault="002D29FC">
      <w:pPr>
        <w:spacing w:before="36"/>
        <w:ind w:left="140"/>
        <w:rPr>
          <w:rFonts w:ascii="Calibri"/>
          <w:sz w:val="20"/>
        </w:rPr>
      </w:pPr>
      <w:r>
        <w:rPr>
          <w:rFonts w:ascii="Calibri"/>
          <w:b/>
          <w:sz w:val="20"/>
        </w:rPr>
        <w:t xml:space="preserve">Marginal cost </w:t>
      </w:r>
      <w:r>
        <w:rPr>
          <w:rFonts w:ascii="Calibri"/>
          <w:sz w:val="20"/>
        </w:rPr>
        <w:t>The cost of an additional unit of a service.</w:t>
      </w:r>
    </w:p>
    <w:p w:rsidR="006A18FD" w:rsidRDefault="002D29FC">
      <w:pPr>
        <w:spacing w:before="36"/>
        <w:ind w:left="140"/>
        <w:rPr>
          <w:rFonts w:ascii="Calibri" w:hAnsi="Calibri"/>
          <w:sz w:val="20"/>
        </w:rPr>
      </w:pPr>
      <w:r>
        <w:rPr>
          <w:rFonts w:ascii="Calibri" w:hAnsi="Calibri"/>
          <w:b/>
          <w:sz w:val="20"/>
        </w:rPr>
        <w:t xml:space="preserve">Oncosts </w:t>
      </w:r>
      <w:r>
        <w:rPr>
          <w:rFonts w:ascii="Calibri" w:hAnsi="Calibri"/>
          <w:sz w:val="20"/>
        </w:rPr>
        <w:t>Essential associated costs: salary oncosts, for example, include the employer’s national insurance contributions.</w:t>
      </w:r>
    </w:p>
    <w:p w:rsidR="006A18FD" w:rsidRDefault="002D29FC">
      <w:pPr>
        <w:spacing w:before="36"/>
        <w:ind w:left="140"/>
        <w:rPr>
          <w:rFonts w:ascii="Calibri"/>
          <w:sz w:val="20"/>
        </w:rPr>
      </w:pPr>
      <w:r>
        <w:rPr>
          <w:rFonts w:ascii="Calibri"/>
          <w:b/>
          <w:sz w:val="20"/>
        </w:rPr>
        <w:t xml:space="preserve">Opportunity cost </w:t>
      </w:r>
      <w:r>
        <w:rPr>
          <w:rFonts w:ascii="Calibri"/>
          <w:sz w:val="20"/>
        </w:rPr>
        <w:t>The value of the alternative use of the assets tied up in the production of the service.</w:t>
      </w:r>
    </w:p>
    <w:p w:rsidR="006A18FD" w:rsidRDefault="002D29FC">
      <w:pPr>
        <w:spacing w:before="36" w:line="276" w:lineRule="auto"/>
        <w:ind w:left="423" w:right="245" w:hanging="284"/>
        <w:rPr>
          <w:rFonts w:ascii="Calibri"/>
          <w:sz w:val="20"/>
        </w:rPr>
      </w:pPr>
      <w:r>
        <w:rPr>
          <w:rFonts w:ascii="Calibri"/>
          <w:b/>
          <w:sz w:val="20"/>
        </w:rPr>
        <w:t xml:space="preserve">Short-term </w:t>
      </w:r>
      <w:r>
        <w:rPr>
          <w:rFonts w:ascii="Calibri"/>
          <w:sz w:val="20"/>
        </w:rPr>
        <w:t>The period during which durable assets cannot be immediately added to or removed from the existing stock of resources.</w:t>
      </w:r>
    </w:p>
    <w:p w:rsidR="006A18FD" w:rsidRDefault="002D29FC">
      <w:pPr>
        <w:spacing w:line="276" w:lineRule="auto"/>
        <w:ind w:left="423" w:right="233" w:hanging="284"/>
        <w:rPr>
          <w:rFonts w:ascii="Calibri" w:hAnsi="Calibri"/>
          <w:sz w:val="20"/>
        </w:rPr>
      </w:pPr>
      <w:r>
        <w:rPr>
          <w:rFonts w:ascii="Calibri" w:hAnsi="Calibri"/>
          <w:b/>
          <w:sz w:val="20"/>
        </w:rPr>
        <w:t xml:space="preserve">Time preference rate </w:t>
      </w:r>
      <w:r>
        <w:rPr>
          <w:rFonts w:ascii="Calibri" w:hAnsi="Calibri"/>
          <w:sz w:val="20"/>
        </w:rPr>
        <w:t>The rate at which future costs or benefits are valued in comparison to current or base year’s costs or benefits.</w:t>
      </w:r>
    </w:p>
    <w:p w:rsidR="006A18FD" w:rsidRDefault="006A18FD">
      <w:pPr>
        <w:spacing w:before="8"/>
        <w:rPr>
          <w:rFonts w:ascii="Calibri"/>
          <w:sz w:val="27"/>
        </w:rPr>
      </w:pPr>
    </w:p>
    <w:p w:rsidR="006A18FD" w:rsidRDefault="002D29FC" w:rsidP="005629E5">
      <w:pPr>
        <w:pStyle w:val="Heading2"/>
      </w:pPr>
      <w:r>
        <w:t>Overheads</w:t>
      </w:r>
    </w:p>
    <w:p w:rsidR="006A18FD" w:rsidRDefault="002D29FC">
      <w:pPr>
        <w:spacing w:before="112"/>
        <w:ind w:left="140"/>
        <w:rPr>
          <w:rFonts w:ascii="Calibri"/>
          <w:b/>
          <w:sz w:val="20"/>
        </w:rPr>
      </w:pPr>
      <w:r>
        <w:rPr>
          <w:rFonts w:ascii="Calibri"/>
          <w:b/>
          <w:sz w:val="20"/>
        </w:rPr>
        <w:t>NHS overheads</w:t>
      </w:r>
    </w:p>
    <w:p w:rsidR="006A18FD" w:rsidRDefault="002D29FC">
      <w:pPr>
        <w:spacing w:before="36"/>
        <w:ind w:left="140"/>
        <w:rPr>
          <w:rFonts w:ascii="Calibri"/>
          <w:sz w:val="20"/>
        </w:rPr>
      </w:pPr>
      <w:r>
        <w:rPr>
          <w:rFonts w:ascii="Calibri"/>
          <w:sz w:val="20"/>
        </w:rPr>
        <w:t>Management and other non-care staff overheads include administration and estates staff.</w:t>
      </w:r>
    </w:p>
    <w:p w:rsidR="006A18FD" w:rsidRDefault="002D29FC">
      <w:pPr>
        <w:spacing w:before="36" w:line="276" w:lineRule="auto"/>
        <w:ind w:left="423" w:right="767" w:hanging="284"/>
        <w:rPr>
          <w:rFonts w:ascii="Calibri"/>
          <w:sz w:val="20"/>
        </w:rPr>
      </w:pPr>
      <w:r>
        <w:rPr>
          <w:rFonts w:ascii="Calibri"/>
          <w:sz w:val="20"/>
        </w:rPr>
        <w:t>Non-staff overheads include costs to the provider for office, travel/transport and telephone, education and training, supplies and services (clinical and general), as well as utilities such as water, gas and electricity.</w:t>
      </w:r>
    </w:p>
    <w:p w:rsidR="006A18FD" w:rsidRDefault="002D29FC">
      <w:pPr>
        <w:ind w:left="140"/>
        <w:rPr>
          <w:rFonts w:ascii="Calibri"/>
          <w:b/>
          <w:sz w:val="20"/>
        </w:rPr>
      </w:pPr>
      <w:r>
        <w:rPr>
          <w:rFonts w:ascii="Calibri"/>
          <w:b/>
          <w:sz w:val="20"/>
        </w:rPr>
        <w:t>Local authority overheads</w:t>
      </w:r>
    </w:p>
    <w:p w:rsidR="006A18FD" w:rsidRDefault="002D29FC">
      <w:pPr>
        <w:spacing w:before="36" w:line="276" w:lineRule="auto"/>
        <w:ind w:left="423" w:right="718" w:hanging="284"/>
        <w:rPr>
          <w:rFonts w:ascii="Calibri"/>
          <w:sz w:val="20"/>
        </w:rPr>
      </w:pPr>
      <w:r>
        <w:rPr>
          <w:rFonts w:ascii="Calibri"/>
          <w:sz w:val="20"/>
        </w:rPr>
        <w:t>Direct overheads include costs to the provider for administration and management, as well as for office, training and utilities such as water, gas and electricity.</w:t>
      </w:r>
    </w:p>
    <w:p w:rsidR="006A18FD" w:rsidRDefault="002D29FC">
      <w:pPr>
        <w:ind w:left="140"/>
        <w:rPr>
          <w:rFonts w:ascii="Calibri"/>
          <w:sz w:val="20"/>
        </w:rPr>
      </w:pPr>
      <w:r>
        <w:rPr>
          <w:rFonts w:ascii="Calibri"/>
          <w:sz w:val="20"/>
        </w:rPr>
        <w:t>Indirect overheads include general management and support services, such as finance and human resource departments.</w:t>
      </w:r>
    </w:p>
    <w:p w:rsidR="006A18FD" w:rsidRDefault="002D29FC">
      <w:pPr>
        <w:spacing w:before="37" w:line="276" w:lineRule="auto"/>
        <w:ind w:left="423" w:right="233" w:hanging="284"/>
        <w:rPr>
          <w:rFonts w:ascii="Calibri"/>
          <w:sz w:val="20"/>
        </w:rPr>
      </w:pPr>
      <w:r>
        <w:rPr>
          <w:rFonts w:ascii="Calibri"/>
          <w:b/>
          <w:sz w:val="20"/>
        </w:rPr>
        <w:t xml:space="preserve">SSMSS </w:t>
      </w:r>
      <w:r>
        <w:rPr>
          <w:rFonts w:ascii="Calibri"/>
          <w:sz w:val="20"/>
        </w:rPr>
        <w:t>Social services management and support services: overhead costs incurred by a local authority, as defined by CIPFA guidelines. These include indirect overheads such as finance and personnel functions.</w:t>
      </w:r>
    </w:p>
    <w:p w:rsidR="006A18FD" w:rsidRDefault="006A18FD">
      <w:pPr>
        <w:spacing w:before="8"/>
        <w:rPr>
          <w:rFonts w:ascii="Calibri"/>
          <w:sz w:val="27"/>
        </w:rPr>
      </w:pPr>
    </w:p>
    <w:p w:rsidR="006A18FD" w:rsidRDefault="002D29FC" w:rsidP="005629E5">
      <w:pPr>
        <w:pStyle w:val="Heading2"/>
      </w:pPr>
      <w:r>
        <w:t>Time use and unit costs</w:t>
      </w:r>
    </w:p>
    <w:p w:rsidR="006A18FD" w:rsidRDefault="002D29FC">
      <w:pPr>
        <w:spacing w:before="112"/>
        <w:ind w:left="140"/>
        <w:rPr>
          <w:rFonts w:ascii="Calibri"/>
          <w:sz w:val="20"/>
        </w:rPr>
      </w:pPr>
      <w:r>
        <w:rPr>
          <w:rFonts w:ascii="Calibri"/>
          <w:b/>
          <w:sz w:val="20"/>
        </w:rPr>
        <w:t xml:space="preserve">Per average stay </w:t>
      </w:r>
      <w:r>
        <w:rPr>
          <w:rFonts w:ascii="Calibri"/>
          <w:sz w:val="20"/>
        </w:rPr>
        <w:t>Cost per person for the average duration of a typical stay in that residential facility or hospital.</w:t>
      </w:r>
    </w:p>
    <w:p w:rsidR="006A18FD" w:rsidRDefault="002D29FC">
      <w:pPr>
        <w:spacing w:before="36" w:line="276" w:lineRule="auto"/>
        <w:ind w:left="423" w:right="213" w:hanging="284"/>
        <w:rPr>
          <w:rFonts w:ascii="Calibri"/>
          <w:sz w:val="20"/>
        </w:rPr>
      </w:pPr>
      <w:r>
        <w:rPr>
          <w:rFonts w:ascii="Calibri"/>
          <w:b/>
          <w:sz w:val="20"/>
        </w:rPr>
        <w:t xml:space="preserve">Per client/patient hour </w:t>
      </w:r>
      <w:r>
        <w:rPr>
          <w:rFonts w:ascii="Calibri"/>
          <w:sz w:val="20"/>
        </w:rPr>
        <w:t>Cost of providing the service for one hour of client/patient attendance. The costs of time not spent with clients are allocated to the time spent with clients.</w:t>
      </w:r>
    </w:p>
    <w:p w:rsidR="006A18FD" w:rsidRDefault="002D29FC">
      <w:pPr>
        <w:spacing w:line="276" w:lineRule="auto"/>
        <w:ind w:left="423" w:right="267" w:hanging="284"/>
        <w:rPr>
          <w:rFonts w:ascii="Calibri"/>
          <w:sz w:val="20"/>
        </w:rPr>
      </w:pPr>
      <w:r>
        <w:rPr>
          <w:rFonts w:ascii="Calibri"/>
          <w:b/>
          <w:sz w:val="20"/>
        </w:rPr>
        <w:t xml:space="preserve">Per clinic visit </w:t>
      </w:r>
      <w:r>
        <w:rPr>
          <w:rFonts w:ascii="Calibri"/>
          <w:sz w:val="20"/>
        </w:rPr>
        <w:t>Cost of one client attending a clinic. This allows for overall time spent on non-clinical activity to be allocated to the total time spent with clients in any setting.</w:t>
      </w:r>
    </w:p>
    <w:p w:rsidR="006A18FD" w:rsidRDefault="002D29FC">
      <w:pPr>
        <w:spacing w:line="276" w:lineRule="auto"/>
        <w:ind w:left="423" w:right="242" w:hanging="284"/>
        <w:rPr>
          <w:rFonts w:ascii="Calibri"/>
          <w:sz w:val="20"/>
        </w:rPr>
      </w:pPr>
      <w:r>
        <w:rPr>
          <w:rFonts w:ascii="Calibri"/>
          <w:b/>
          <w:sz w:val="20"/>
        </w:rPr>
        <w:t xml:space="preserve">Per consultation </w:t>
      </w:r>
      <w:r>
        <w:rPr>
          <w:rFonts w:ascii="Calibri"/>
          <w:sz w:val="20"/>
        </w:rPr>
        <w:t>Cost per attendance in a clinic or surgery. This also allows for overall time spent on non-clinical activity to be allocated to the total time spent with clients.</w:t>
      </w:r>
    </w:p>
    <w:p w:rsidR="006A18FD" w:rsidRDefault="002D29FC">
      <w:pPr>
        <w:spacing w:line="276" w:lineRule="auto"/>
        <w:ind w:left="423" w:right="478" w:hanging="284"/>
        <w:rPr>
          <w:rFonts w:ascii="Calibri" w:hAnsi="Calibri"/>
          <w:sz w:val="20"/>
        </w:rPr>
      </w:pPr>
      <w:r>
        <w:rPr>
          <w:rFonts w:ascii="Calibri" w:hAnsi="Calibri"/>
          <w:b/>
          <w:sz w:val="20"/>
        </w:rPr>
        <w:t xml:space="preserve">Fee per resident week </w:t>
      </w:r>
      <w:r>
        <w:rPr>
          <w:rFonts w:ascii="Calibri" w:hAnsi="Calibri"/>
          <w:sz w:val="20"/>
        </w:rPr>
        <w:t>For example, in care homes the fee charged is assumed to cover care costs, accommodation and hotel costs, ancillary costs and operator’s profit.</w:t>
      </w:r>
    </w:p>
    <w:p w:rsidR="006A18FD" w:rsidRDefault="002D29FC">
      <w:pPr>
        <w:spacing w:before="1"/>
        <w:ind w:left="140"/>
        <w:rPr>
          <w:rFonts w:ascii="Calibri" w:hAnsi="Calibri"/>
          <w:sz w:val="20"/>
        </w:rPr>
      </w:pPr>
      <w:r>
        <w:rPr>
          <w:rFonts w:ascii="Calibri" w:hAnsi="Calibri"/>
          <w:b/>
          <w:sz w:val="20"/>
        </w:rPr>
        <w:t xml:space="preserve">Per example episode </w:t>
      </w:r>
      <w:r>
        <w:rPr>
          <w:rFonts w:ascii="Calibri" w:hAnsi="Calibri"/>
          <w:sz w:val="20"/>
        </w:rPr>
        <w:t>Cost of a typical episode of care, comprising several hours of a professional’s time.</w:t>
      </w:r>
    </w:p>
    <w:p w:rsidR="006A18FD" w:rsidRDefault="002D29FC">
      <w:pPr>
        <w:spacing w:before="36" w:line="276" w:lineRule="auto"/>
        <w:ind w:left="423" w:right="317" w:hanging="284"/>
        <w:rPr>
          <w:rFonts w:ascii="Calibri"/>
          <w:sz w:val="20"/>
        </w:rPr>
      </w:pPr>
      <w:r>
        <w:rPr>
          <w:rFonts w:ascii="Calibri"/>
          <w:b/>
          <w:sz w:val="20"/>
        </w:rPr>
        <w:t xml:space="preserve">Per home visit </w:t>
      </w:r>
      <w:r>
        <w:rPr>
          <w:rFonts w:ascii="Calibri"/>
          <w:sz w:val="20"/>
        </w:rPr>
        <w:t>Cost of one visit to a client/patient at home. This includes the cost of time spent travelling for the visit, the proportion of time spent on non-clinical activity which is attributable to visiting patients in their own home, and the time spent on visiting patients at home.</w:t>
      </w:r>
    </w:p>
    <w:p w:rsidR="006A18FD" w:rsidRDefault="006A18FD">
      <w:pPr>
        <w:spacing w:line="276" w:lineRule="auto"/>
        <w:rPr>
          <w:rFonts w:ascii="Calibri"/>
          <w:sz w:val="20"/>
        </w:rPr>
        <w:sectPr w:rsidR="006A18FD">
          <w:headerReference w:type="even" r:id="rId493"/>
          <w:headerReference w:type="default" r:id="rId494"/>
          <w:pgSz w:w="11910" w:h="16840"/>
          <w:pgMar w:top="1000" w:right="980" w:bottom="280" w:left="580" w:header="751" w:footer="0" w:gutter="0"/>
          <w:pgNumType w:start="164"/>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56" name="Line 1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EC97B" id="Group 1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LWF99N8AgAAfwUAAA4A&#10;AAAAAAAAAAAAAAAALgIAAGRycy9lMm9Eb2MueG1sUEsBAi0AFAAGAAgAAAAhAC135FzaAAAABAEA&#10;AA8AAAAAAAAAAAAAAAAA1gQAAGRycy9kb3ducmV2LnhtbFBLBQYAAAAABAAEAPMAAADdBQAAAAA=&#10;">
                <v:line id="Line 1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w10:anchorlock/>
              </v:group>
            </w:pict>
          </mc:Fallback>
        </mc:AlternateContent>
      </w:r>
    </w:p>
    <w:p w:rsidR="006A18FD" w:rsidRDefault="002D29FC">
      <w:pPr>
        <w:spacing w:line="276" w:lineRule="auto"/>
        <w:ind w:left="436" w:right="618" w:hanging="284"/>
        <w:jc w:val="both"/>
        <w:rPr>
          <w:rFonts w:ascii="Calibri"/>
          <w:sz w:val="20"/>
        </w:rPr>
      </w:pPr>
      <w:r>
        <w:rPr>
          <w:rFonts w:ascii="Calibri"/>
          <w:b/>
          <w:sz w:val="20"/>
        </w:rPr>
        <w:t xml:space="preserve">Per hour of home visiting </w:t>
      </w:r>
      <w:r>
        <w:rPr>
          <w:rFonts w:ascii="Calibri"/>
          <w:sz w:val="20"/>
        </w:rPr>
        <w:t>Cost of one hour spent by a professional undertaking visits to clients/patients at home. This includes the cost of time spent travelling. It also allows for overall time spent on non-clinical/patient activity to be allocated to the total time spent with clients/patients in any setting.</w:t>
      </w:r>
    </w:p>
    <w:p w:rsidR="006A18FD" w:rsidRDefault="002D29FC">
      <w:pPr>
        <w:spacing w:line="276" w:lineRule="auto"/>
        <w:ind w:left="436" w:right="319" w:hanging="284"/>
        <w:rPr>
          <w:rFonts w:ascii="Calibri"/>
          <w:sz w:val="20"/>
        </w:rPr>
      </w:pPr>
      <w:r>
        <w:rPr>
          <w:rFonts w:ascii="Calibri"/>
          <w:b/>
          <w:sz w:val="20"/>
        </w:rPr>
        <w:t xml:space="preserve">Per hour in clinic </w:t>
      </w:r>
      <w:r>
        <w:rPr>
          <w:rFonts w:ascii="Calibri"/>
          <w:sz w:val="20"/>
        </w:rPr>
        <w:t>Cost of one hour spent by a professional in a clinic. Time spent on non-clinical activity is allocated to the total time spent with clients/patients in any setting.</w:t>
      </w:r>
    </w:p>
    <w:p w:rsidR="006A18FD" w:rsidRDefault="002D29FC">
      <w:pPr>
        <w:spacing w:line="276" w:lineRule="auto"/>
        <w:ind w:left="436" w:hanging="284"/>
        <w:rPr>
          <w:rFonts w:ascii="Calibri"/>
          <w:sz w:val="20"/>
        </w:rPr>
      </w:pPr>
      <w:r>
        <w:rPr>
          <w:rFonts w:ascii="Calibri"/>
          <w:b/>
          <w:sz w:val="20"/>
        </w:rPr>
        <w:t xml:space="preserve">Per hour of direct contact/per hour of face-to-face contact </w:t>
      </w:r>
      <w:r>
        <w:rPr>
          <w:rFonts w:ascii="Calibri"/>
          <w:sz w:val="20"/>
        </w:rPr>
        <w:t>Hourly cost of time spent with, or in direct contact with, the client/patient. Some studies include travel time in this cost. When this is the case, it has been noted in the schema.</w:t>
      </w:r>
    </w:p>
    <w:p w:rsidR="006A18FD" w:rsidRDefault="002D29FC">
      <w:pPr>
        <w:spacing w:line="276" w:lineRule="auto"/>
        <w:ind w:left="436" w:right="408" w:hanging="284"/>
        <w:rPr>
          <w:rFonts w:ascii="Calibri"/>
          <w:sz w:val="20"/>
        </w:rPr>
      </w:pPr>
      <w:r>
        <w:rPr>
          <w:rFonts w:ascii="Calibri"/>
          <w:b/>
          <w:sz w:val="20"/>
        </w:rPr>
        <w:t xml:space="preserve">Per hour on duty </w:t>
      </w:r>
      <w:r>
        <w:rPr>
          <w:rFonts w:ascii="Calibri"/>
          <w:sz w:val="20"/>
        </w:rPr>
        <w:t>Hourly cost of time spent by a hospital doctor when on duty. This includes time spent on call when not actually working.</w:t>
      </w:r>
    </w:p>
    <w:p w:rsidR="006A18FD" w:rsidRDefault="002D29FC">
      <w:pPr>
        <w:spacing w:line="276" w:lineRule="auto"/>
        <w:ind w:left="436" w:right="195" w:hanging="284"/>
        <w:rPr>
          <w:rFonts w:ascii="Calibri"/>
          <w:sz w:val="20"/>
        </w:rPr>
      </w:pPr>
      <w:r>
        <w:rPr>
          <w:rFonts w:ascii="Calibri"/>
          <w:b/>
          <w:sz w:val="20"/>
        </w:rPr>
        <w:t xml:space="preserve">Per hour worked </w:t>
      </w:r>
      <w:r>
        <w:rPr>
          <w:rFonts w:ascii="Calibri"/>
          <w:sz w:val="20"/>
        </w:rPr>
        <w:t>Hourly cost of time spent by a hospital doctor when working. This may be during the normal working day or during a period of on-call duty.</w:t>
      </w:r>
    </w:p>
    <w:p w:rsidR="006A18FD" w:rsidRDefault="002D29FC">
      <w:pPr>
        <w:ind w:left="152"/>
        <w:rPr>
          <w:rFonts w:ascii="Calibri"/>
          <w:sz w:val="20"/>
        </w:rPr>
      </w:pPr>
      <w:r>
        <w:rPr>
          <w:rFonts w:ascii="Calibri"/>
          <w:b/>
          <w:sz w:val="20"/>
        </w:rPr>
        <w:t xml:space="preserve">Per inpatient day </w:t>
      </w:r>
      <w:r>
        <w:rPr>
          <w:rFonts w:ascii="Calibri"/>
          <w:sz w:val="20"/>
        </w:rPr>
        <w:t>Cost per person of one day and overnight in hospital.</w:t>
      </w:r>
    </w:p>
    <w:p w:rsidR="006A18FD" w:rsidRDefault="002D29FC">
      <w:pPr>
        <w:spacing w:before="36"/>
        <w:ind w:left="152"/>
        <w:rPr>
          <w:rFonts w:ascii="Calibri"/>
          <w:sz w:val="20"/>
        </w:rPr>
      </w:pPr>
      <w:r>
        <w:rPr>
          <w:rFonts w:ascii="Calibri"/>
          <w:b/>
          <w:sz w:val="20"/>
        </w:rPr>
        <w:t xml:space="preserve">Per patient day </w:t>
      </w:r>
      <w:r>
        <w:rPr>
          <w:rFonts w:ascii="Calibri"/>
          <w:sz w:val="20"/>
        </w:rPr>
        <w:t>Cost per person of receiving a service for one day.</w:t>
      </w:r>
    </w:p>
    <w:p w:rsidR="006A18FD" w:rsidRDefault="002D29FC">
      <w:pPr>
        <w:spacing w:before="36" w:line="276" w:lineRule="auto"/>
        <w:ind w:left="436" w:right="503" w:hanging="284"/>
        <w:rPr>
          <w:rFonts w:ascii="Calibri"/>
          <w:sz w:val="20"/>
        </w:rPr>
      </w:pPr>
      <w:r>
        <w:rPr>
          <w:rFonts w:ascii="Calibri"/>
          <w:b/>
          <w:sz w:val="20"/>
        </w:rPr>
        <w:t xml:space="preserve">Per procedure </w:t>
      </w:r>
      <w:r>
        <w:rPr>
          <w:rFonts w:ascii="Calibri"/>
          <w:sz w:val="20"/>
        </w:rPr>
        <w:t>Cost of a procedure undertaken in a clinic or surgery. This includes the cost of time spent on non-clinical activity and the total time spent with clients.</w:t>
      </w:r>
    </w:p>
    <w:p w:rsidR="006A18FD" w:rsidRDefault="002D29FC">
      <w:pPr>
        <w:ind w:left="152"/>
        <w:rPr>
          <w:rFonts w:ascii="Calibri"/>
          <w:sz w:val="20"/>
        </w:rPr>
      </w:pPr>
      <w:r>
        <w:rPr>
          <w:rFonts w:ascii="Calibri"/>
          <w:b/>
          <w:sz w:val="20"/>
        </w:rPr>
        <w:t xml:space="preserve">Per resident week </w:t>
      </w:r>
      <w:r>
        <w:rPr>
          <w:rFonts w:ascii="Calibri"/>
          <w:sz w:val="20"/>
        </w:rPr>
        <w:t>Cost per person per week spent in a residential facility.</w:t>
      </w:r>
    </w:p>
    <w:p w:rsidR="006A18FD" w:rsidRDefault="002D29FC">
      <w:pPr>
        <w:spacing w:before="36"/>
        <w:ind w:left="152"/>
        <w:rPr>
          <w:rFonts w:ascii="Calibri"/>
          <w:sz w:val="20"/>
        </w:rPr>
      </w:pPr>
      <w:r>
        <w:rPr>
          <w:rFonts w:ascii="Calibri"/>
          <w:b/>
          <w:sz w:val="20"/>
        </w:rPr>
        <w:t xml:space="preserve">Per client attendance </w:t>
      </w:r>
      <w:r>
        <w:rPr>
          <w:rFonts w:ascii="Calibri"/>
          <w:sz w:val="20"/>
        </w:rPr>
        <w:t>Cost per person per attendance.</w:t>
      </w:r>
    </w:p>
    <w:p w:rsidR="006A18FD" w:rsidRDefault="002D29FC">
      <w:pPr>
        <w:spacing w:before="36" w:line="276" w:lineRule="auto"/>
        <w:ind w:left="436" w:right="496" w:hanging="284"/>
        <w:rPr>
          <w:rFonts w:ascii="Calibri"/>
          <w:sz w:val="20"/>
        </w:rPr>
      </w:pPr>
      <w:r>
        <w:rPr>
          <w:rFonts w:ascii="Calibri"/>
          <w:b/>
          <w:sz w:val="20"/>
        </w:rPr>
        <w:t xml:space="preserve">Per client session </w:t>
      </w:r>
      <w:r>
        <w:rPr>
          <w:rFonts w:ascii="Calibri"/>
          <w:sz w:val="20"/>
        </w:rPr>
        <w:t>Cost for one person attending one session.The length of a session will be specified in the schema and may vary between services.</w:t>
      </w:r>
    </w:p>
    <w:p w:rsidR="006A18FD" w:rsidRDefault="002D29FC">
      <w:pPr>
        <w:ind w:left="152"/>
        <w:rPr>
          <w:rFonts w:ascii="Calibri"/>
          <w:sz w:val="20"/>
        </w:rPr>
      </w:pPr>
      <w:r>
        <w:rPr>
          <w:rFonts w:ascii="Calibri"/>
          <w:b/>
          <w:sz w:val="20"/>
        </w:rPr>
        <w:t xml:space="preserve">Per short-term resident week </w:t>
      </w:r>
      <w:r>
        <w:rPr>
          <w:rFonts w:ascii="Calibri"/>
          <w:sz w:val="20"/>
        </w:rPr>
        <w:t>Total weekly cost of supporting a temporary resident of a residential facility.</w:t>
      </w:r>
    </w:p>
    <w:p w:rsidR="006A18FD" w:rsidRDefault="002D29FC">
      <w:pPr>
        <w:spacing w:before="34"/>
        <w:ind w:left="152"/>
        <w:rPr>
          <w:rFonts w:ascii="Calibri"/>
          <w:sz w:val="20"/>
        </w:rPr>
      </w:pPr>
      <w:r>
        <w:rPr>
          <w:rFonts w:ascii="Calibri"/>
          <w:b/>
          <w:sz w:val="20"/>
        </w:rPr>
        <w:t xml:space="preserve">Price base </w:t>
      </w:r>
      <w:r>
        <w:rPr>
          <w:rFonts w:ascii="Calibri"/>
          <w:sz w:val="20"/>
        </w:rPr>
        <w:t>The year to which cost information refers.</w:t>
      </w:r>
    </w:p>
    <w:p w:rsidR="006A18FD" w:rsidRDefault="002D29FC">
      <w:pPr>
        <w:spacing w:before="36" w:line="276" w:lineRule="auto"/>
        <w:ind w:left="436" w:right="479" w:hanging="284"/>
        <w:rPr>
          <w:rFonts w:ascii="Calibri"/>
          <w:sz w:val="20"/>
        </w:rPr>
      </w:pPr>
      <w:r>
        <w:rPr>
          <w:rFonts w:ascii="Calibri"/>
          <w:b/>
          <w:sz w:val="20"/>
        </w:rPr>
        <w:t xml:space="preserve">Ratio of direct to indirect time spent on client/patient-related work/direct outputs/face-to-face contact/clinic contacts/home visits </w:t>
      </w:r>
      <w:r>
        <w:rPr>
          <w:rFonts w:ascii="Calibri"/>
          <w:sz w:val="20"/>
        </w:rPr>
        <w:t>The relationship between the time spent on direct activities (such as face-to-face contact) and time spent on other activities. For example, if the ratio of face-to-face contact to other activities is 1:1.5, each hour spent with a client requires 2.5 paid hours.</w:t>
      </w:r>
    </w:p>
    <w:p w:rsidR="006A18FD" w:rsidRDefault="006A18FD">
      <w:pPr>
        <w:spacing w:line="276" w:lineRule="auto"/>
        <w:rPr>
          <w:rFonts w:ascii="Calibri"/>
          <w:sz w:val="20"/>
        </w:rPr>
        <w:sectPr w:rsidR="006A18FD">
          <w:pgSz w:w="11910" w:h="16840"/>
          <w:pgMar w:top="960" w:right="580" w:bottom="280" w:left="980" w:header="751" w:footer="0" w:gutter="0"/>
          <w:cols w:space="720"/>
        </w:sectPr>
      </w:pPr>
    </w:p>
    <w:p w:rsidR="006A18FD" w:rsidRDefault="006A18FD">
      <w:pPr>
        <w:spacing w:before="11"/>
        <w:rPr>
          <w:rFonts w:ascii="Calibri"/>
          <w:sz w:val="13"/>
        </w:rPr>
      </w:pPr>
    </w:p>
    <w:p w:rsidR="006A18FD" w:rsidRDefault="002D29FC" w:rsidP="005629E5">
      <w:pPr>
        <w:pStyle w:val="Heading1"/>
        <w:numPr>
          <w:ilvl w:val="0"/>
          <w:numId w:val="4"/>
        </w:numPr>
        <w:jc w:val="left"/>
      </w:pPr>
      <w:r>
        <w:t>References</w:t>
      </w:r>
    </w:p>
    <w:p w:rsidR="006A18FD" w:rsidRDefault="002D29FC">
      <w:pPr>
        <w:spacing w:before="63" w:line="276" w:lineRule="auto"/>
        <w:ind w:left="423" w:right="578" w:hanging="284"/>
        <w:rPr>
          <w:rFonts w:ascii="Calibri" w:hAnsi="Calibri"/>
          <w:sz w:val="20"/>
        </w:rPr>
      </w:pPr>
      <w:r>
        <w:rPr>
          <w:rFonts w:ascii="Calibri" w:hAnsi="Calibri"/>
          <w:sz w:val="20"/>
        </w:rPr>
        <w:t xml:space="preserve">Baginsky, M., Moriarty, J., Manthorpe, J., Stevens, M., MacInnes, T. &amp; Nagendran, T. (2010) </w:t>
      </w:r>
      <w:r>
        <w:rPr>
          <w:rFonts w:ascii="Calibri" w:hAnsi="Calibri"/>
          <w:i/>
          <w:sz w:val="20"/>
        </w:rPr>
        <w:t>Social workers’ workload survey, messages from the frontline, findings from the 2009 survey and interviews with senior managers</w:t>
      </w:r>
      <w:r>
        <w:rPr>
          <w:rFonts w:ascii="Calibri" w:hAnsi="Calibri"/>
          <w:sz w:val="20"/>
        </w:rPr>
        <w:t>, Children’s Workforce Development Council, King’s College, University of London, New Policy Institute.</w:t>
      </w:r>
    </w:p>
    <w:p w:rsidR="006A18FD" w:rsidRDefault="002D29FC">
      <w:pPr>
        <w:spacing w:line="276" w:lineRule="auto"/>
        <w:ind w:left="423" w:right="357" w:hanging="284"/>
        <w:rPr>
          <w:rFonts w:ascii="Calibri" w:hAnsi="Calibri"/>
          <w:sz w:val="20"/>
        </w:rPr>
      </w:pPr>
      <w:r>
        <w:rPr>
          <w:rFonts w:ascii="Calibri" w:hAnsi="Calibri"/>
          <w:sz w:val="20"/>
        </w:rPr>
        <w:t xml:space="preserve">Ball, J. &amp; Philippou, J. with Pike, G. &amp; Sethi, J., (2014) </w:t>
      </w:r>
      <w:r>
        <w:rPr>
          <w:rFonts w:ascii="Calibri" w:hAnsi="Calibri"/>
          <w:i/>
          <w:sz w:val="20"/>
        </w:rPr>
        <w:t>Survey of district and community nurses in 2013</w:t>
      </w:r>
      <w:r>
        <w:rPr>
          <w:rFonts w:ascii="Calibri" w:hAnsi="Calibri"/>
          <w:sz w:val="20"/>
        </w:rPr>
        <w:t>, Report to the Royal College of Nursing, King’s College London.</w:t>
      </w:r>
    </w:p>
    <w:p w:rsidR="006A18FD" w:rsidRDefault="002D29FC">
      <w:pPr>
        <w:spacing w:line="276" w:lineRule="auto"/>
        <w:ind w:left="423" w:hanging="284"/>
        <w:rPr>
          <w:rFonts w:ascii="Calibri" w:hAnsi="Calibri"/>
          <w:sz w:val="20"/>
        </w:rPr>
      </w:pPr>
      <w:r>
        <w:rPr>
          <w:rFonts w:ascii="Calibri" w:hAnsi="Calibri"/>
          <w:sz w:val="20"/>
        </w:rPr>
        <w:t xml:space="preserve">Bauer, A., Fernandez, J.L., Knapp, M. &amp; Anigbogu, B. (2013) </w:t>
      </w:r>
      <w:r>
        <w:rPr>
          <w:rFonts w:ascii="Calibri" w:hAnsi="Calibri"/>
          <w:i/>
          <w:sz w:val="20"/>
        </w:rPr>
        <w:t>Economic Evaluation of an “Experts by Experience” Model in Basildon District</w:t>
      </w:r>
      <w:r>
        <w:rPr>
          <w:rFonts w:ascii="Calibri" w:hAnsi="Calibri"/>
          <w:sz w:val="20"/>
        </w:rPr>
        <w:t xml:space="preserve">, </w:t>
      </w:r>
      <w:hyperlink r:id="rId495">
        <w:r>
          <w:rPr>
            <w:rFonts w:ascii="Calibri" w:hAnsi="Calibri"/>
            <w:sz w:val="20"/>
            <w:u w:val="single"/>
          </w:rPr>
          <w:t>http://www.turning-point.co.uk/media/23691/basildon_lse_report.pdf</w:t>
        </w:r>
        <w:r>
          <w:rPr>
            <w:rFonts w:ascii="Calibri" w:hAnsi="Calibri"/>
            <w:sz w:val="20"/>
          </w:rPr>
          <w:t xml:space="preserve"> [accessed </w:t>
        </w:r>
      </w:hyperlink>
      <w:r>
        <w:rPr>
          <w:rFonts w:ascii="Calibri" w:hAnsi="Calibri"/>
          <w:sz w:val="20"/>
        </w:rPr>
        <w:t>20 November 2014]</w:t>
      </w:r>
    </w:p>
    <w:p w:rsidR="006A18FD" w:rsidRDefault="002D29FC">
      <w:pPr>
        <w:spacing w:line="276" w:lineRule="auto"/>
        <w:ind w:left="423" w:right="332" w:hanging="284"/>
        <w:rPr>
          <w:rFonts w:ascii="Calibri"/>
          <w:sz w:val="20"/>
        </w:rPr>
      </w:pPr>
      <w:r>
        <w:rPr>
          <w:rFonts w:ascii="Calibri"/>
          <w:sz w:val="20"/>
        </w:rPr>
        <w:t xml:space="preserve">Bauer, A., Wistow, G., Dixon, J. &amp; Knapp, M. (2014) Investing in advocacy for parents with learning disabilities: what is the economic argument?  </w:t>
      </w:r>
      <w:r>
        <w:rPr>
          <w:rFonts w:ascii="Calibri"/>
          <w:i/>
          <w:sz w:val="20"/>
        </w:rPr>
        <w:t xml:space="preserve">British Journal of Learning Disabilities, </w:t>
      </w:r>
      <w:r>
        <w:rPr>
          <w:rFonts w:ascii="Calibri"/>
          <w:sz w:val="20"/>
        </w:rPr>
        <w:t>doi: 10.111.bld.12089.</w:t>
      </w:r>
    </w:p>
    <w:p w:rsidR="006A18FD" w:rsidRDefault="002D29FC">
      <w:pPr>
        <w:spacing w:line="276" w:lineRule="auto"/>
        <w:ind w:left="423" w:right="162" w:hanging="284"/>
        <w:jc w:val="both"/>
        <w:rPr>
          <w:rFonts w:ascii="Calibri"/>
          <w:sz w:val="20"/>
        </w:rPr>
      </w:pPr>
      <w:r>
        <w:rPr>
          <w:rFonts w:ascii="Calibri"/>
          <w:sz w:val="20"/>
        </w:rPr>
        <w:t xml:space="preserve">Beresford, B., Stuttard, L., Clarke, S., Maddison, J. &amp; Beecham, J. (2012) </w:t>
      </w:r>
      <w:r>
        <w:rPr>
          <w:rFonts w:ascii="Calibri"/>
          <w:i/>
          <w:sz w:val="20"/>
        </w:rPr>
        <w:t>Managing behaviour and sleep problems in disabled children: An investigation into the effectiveness and costs of parent-training interventions</w:t>
      </w:r>
      <w:r>
        <w:rPr>
          <w:rFonts w:ascii="Calibri"/>
          <w:sz w:val="20"/>
        </w:rPr>
        <w:t>, Research Report DFE-RR204a, Department for Education, London.</w:t>
      </w:r>
    </w:p>
    <w:p w:rsidR="006A18FD" w:rsidRDefault="002D29FC">
      <w:pPr>
        <w:spacing w:line="276" w:lineRule="auto"/>
        <w:ind w:left="423" w:right="167" w:hanging="284"/>
        <w:jc w:val="both"/>
        <w:rPr>
          <w:rFonts w:ascii="Calibri" w:hAnsi="Calibri"/>
          <w:sz w:val="20"/>
        </w:rPr>
      </w:pPr>
      <w:r>
        <w:rPr>
          <w:rFonts w:ascii="Calibri" w:hAnsi="Calibri"/>
          <w:sz w:val="20"/>
        </w:rPr>
        <w:t xml:space="preserve">Blake, D., Spielberg, F., Levy, V., Lensing, S., Wolff, P., Venkatasubramanian, L., Acevedo, N., Padian, N., Chattopadhyay, I. &amp; Gaydos, C. (2015) Could home sexually transmitted infection specimen collection with e-prescription be a cost-effective strategy for clinical trials and clinical care? </w:t>
      </w:r>
      <w:r>
        <w:rPr>
          <w:rFonts w:ascii="Calibri" w:hAnsi="Calibri"/>
          <w:i/>
          <w:sz w:val="20"/>
        </w:rPr>
        <w:t>Sexually Transmitted Diseases</w:t>
      </w:r>
      <w:r>
        <w:rPr>
          <w:rFonts w:ascii="Calibri" w:hAnsi="Calibri"/>
          <w:sz w:val="20"/>
        </w:rPr>
        <w:t>, 42, 1, 13–9.</w:t>
      </w:r>
    </w:p>
    <w:p w:rsidR="006A18FD" w:rsidRDefault="002D29FC">
      <w:pPr>
        <w:spacing w:line="276" w:lineRule="auto"/>
        <w:ind w:left="423" w:right="374" w:hanging="284"/>
        <w:rPr>
          <w:rFonts w:ascii="Calibri"/>
          <w:sz w:val="20"/>
        </w:rPr>
      </w:pPr>
      <w:r>
        <w:rPr>
          <w:rFonts w:ascii="Calibri"/>
          <w:sz w:val="20"/>
        </w:rPr>
        <w:t xml:space="preserve">Bollington, L. &amp; John, D. (2012) </w:t>
      </w:r>
      <w:r>
        <w:rPr>
          <w:rFonts w:ascii="Calibri"/>
          <w:i/>
          <w:sz w:val="20"/>
        </w:rPr>
        <w:t>Pharmacy education and training in the hospital service in Wales: Identifying demand and developing capacity</w:t>
      </w:r>
      <w:r>
        <w:rPr>
          <w:rFonts w:ascii="Calibri"/>
          <w:sz w:val="20"/>
        </w:rPr>
        <w:t>, STS Publishing, Cardiff.</w:t>
      </w:r>
    </w:p>
    <w:p w:rsidR="006A18FD" w:rsidRDefault="002D29FC">
      <w:pPr>
        <w:spacing w:line="276" w:lineRule="auto"/>
        <w:ind w:left="423" w:right="549" w:hanging="284"/>
        <w:rPr>
          <w:rFonts w:ascii="Calibri"/>
          <w:sz w:val="20"/>
        </w:rPr>
      </w:pPr>
      <w:r>
        <w:rPr>
          <w:rFonts w:ascii="Calibri"/>
          <w:sz w:val="20"/>
        </w:rPr>
        <w:t xml:space="preserve">Bonin, E., Beecham, J., Dance, C. &amp; Farmer, E. (2013) Support for adoption: the first six months, </w:t>
      </w:r>
      <w:r>
        <w:rPr>
          <w:rFonts w:ascii="Calibri"/>
          <w:i/>
          <w:sz w:val="20"/>
        </w:rPr>
        <w:t>British Journal of Social Work</w:t>
      </w:r>
      <w:r>
        <w:rPr>
          <w:rFonts w:ascii="Calibri"/>
          <w:sz w:val="20"/>
        </w:rPr>
        <w:t>, published online 28 February 2013.</w:t>
      </w:r>
    </w:p>
    <w:p w:rsidR="006A18FD" w:rsidRDefault="002D29FC">
      <w:pPr>
        <w:spacing w:line="276" w:lineRule="auto"/>
        <w:ind w:left="423" w:right="1973" w:hanging="284"/>
        <w:rPr>
          <w:rFonts w:ascii="Calibri"/>
          <w:sz w:val="20"/>
        </w:rPr>
      </w:pPr>
      <w:r>
        <w:rPr>
          <w:rFonts w:ascii="Calibri"/>
          <w:sz w:val="20"/>
        </w:rPr>
        <w:t xml:space="preserve">British Association of Social Workers (2011) </w:t>
      </w:r>
      <w:r>
        <w:rPr>
          <w:rFonts w:ascii="Calibri"/>
          <w:i/>
          <w:sz w:val="20"/>
        </w:rPr>
        <w:t>Social work careers</w:t>
      </w:r>
      <w:r>
        <w:rPr>
          <w:rFonts w:ascii="Calibri"/>
          <w:sz w:val="20"/>
        </w:rPr>
        <w:t xml:space="preserve">, British Association of Social Workers, </w:t>
      </w:r>
      <w:hyperlink r:id="rId496">
        <w:r>
          <w:rPr>
            <w:rFonts w:ascii="Calibri"/>
            <w:sz w:val="20"/>
            <w:u w:val="single"/>
          </w:rPr>
          <w:t>www.basw.co.uk/social-work-careers/</w:t>
        </w:r>
        <w:r>
          <w:rPr>
            <w:rFonts w:ascii="Calibri"/>
            <w:sz w:val="20"/>
          </w:rPr>
          <w:t xml:space="preserve"> </w:t>
        </w:r>
      </w:hyperlink>
      <w:r>
        <w:rPr>
          <w:rFonts w:ascii="Calibri"/>
          <w:sz w:val="20"/>
        </w:rPr>
        <w:t>[accessed 25 July 2013].</w:t>
      </w:r>
    </w:p>
    <w:p w:rsidR="006A18FD" w:rsidRDefault="002D29FC">
      <w:pPr>
        <w:spacing w:line="276" w:lineRule="auto"/>
        <w:ind w:left="423" w:right="645" w:hanging="284"/>
        <w:rPr>
          <w:rFonts w:ascii="Calibri"/>
          <w:sz w:val="20"/>
        </w:rPr>
      </w:pPr>
      <w:r>
        <w:rPr>
          <w:rFonts w:ascii="Calibri"/>
          <w:sz w:val="20"/>
        </w:rPr>
        <w:t>British Association for Sexual Health and HIV (2019) Standards for the Management of Sexually transmitted infections (STIs), BASSH, Macclesfield.</w:t>
      </w:r>
    </w:p>
    <w:p w:rsidR="006A18FD" w:rsidRDefault="002D29FC">
      <w:pPr>
        <w:spacing w:line="276" w:lineRule="auto"/>
        <w:ind w:left="140" w:right="987"/>
        <w:rPr>
          <w:rFonts w:ascii="Calibri"/>
          <w:sz w:val="20"/>
        </w:rPr>
      </w:pPr>
      <w:r>
        <w:rPr>
          <w:rFonts w:ascii="Calibri"/>
          <w:sz w:val="20"/>
        </w:rPr>
        <w:t xml:space="preserve">British Society of Rehabilitation Medicine (2015) </w:t>
      </w:r>
      <w:r>
        <w:rPr>
          <w:rFonts w:ascii="Calibri"/>
          <w:i/>
          <w:sz w:val="20"/>
        </w:rPr>
        <w:t>Specialised neurorehabilitation service standards</w:t>
      </w:r>
      <w:r>
        <w:rPr>
          <w:rFonts w:ascii="Calibri"/>
          <w:sz w:val="20"/>
        </w:rPr>
        <w:t xml:space="preserve">, BSRM London. British Society of Rehabilitation Medicine (2013) </w:t>
      </w:r>
      <w:r>
        <w:rPr>
          <w:rFonts w:ascii="Calibri"/>
          <w:i/>
          <w:sz w:val="20"/>
        </w:rPr>
        <w:t>Core standards and major trauma</w:t>
      </w:r>
      <w:r>
        <w:rPr>
          <w:rFonts w:ascii="Calibri"/>
          <w:sz w:val="20"/>
        </w:rPr>
        <w:t>, London:</w:t>
      </w:r>
    </w:p>
    <w:p w:rsidR="006A18FD" w:rsidRDefault="00E60AD2">
      <w:pPr>
        <w:ind w:left="423"/>
        <w:rPr>
          <w:rFonts w:ascii="Calibri"/>
          <w:sz w:val="20"/>
        </w:rPr>
      </w:pPr>
      <w:hyperlink r:id="rId497" w:anchor="BSRMstandards">
        <w:r w:rsidR="002D29FC">
          <w:rPr>
            <w:rFonts w:ascii="Calibri"/>
            <w:sz w:val="20"/>
            <w:u w:val="single"/>
          </w:rPr>
          <w:t>http://www.bsrm.co.uk/Publications.html#BSRMstandards</w:t>
        </w:r>
        <w:r w:rsidR="002D29FC">
          <w:rPr>
            <w:rFonts w:ascii="Calibri"/>
            <w:sz w:val="20"/>
          </w:rPr>
          <w:t xml:space="preserve"> </w:t>
        </w:r>
      </w:hyperlink>
      <w:r w:rsidR="002D29FC">
        <w:rPr>
          <w:rFonts w:ascii="Calibri"/>
          <w:sz w:val="20"/>
        </w:rPr>
        <w:t>[accessed 10 November 2015]</w:t>
      </w:r>
    </w:p>
    <w:p w:rsidR="006A18FD" w:rsidRDefault="002D29FC">
      <w:pPr>
        <w:spacing w:before="37" w:line="276" w:lineRule="auto"/>
        <w:ind w:left="140" w:right="551"/>
        <w:rPr>
          <w:rFonts w:ascii="Calibri"/>
          <w:sz w:val="20"/>
        </w:rPr>
      </w:pPr>
      <w:r>
        <w:rPr>
          <w:rFonts w:ascii="Calibri"/>
          <w:sz w:val="20"/>
        </w:rPr>
        <w:t xml:space="preserve">Building Cost Information Service (2019) </w:t>
      </w:r>
      <w:r>
        <w:rPr>
          <w:rFonts w:ascii="Calibri"/>
          <w:i/>
          <w:sz w:val="20"/>
        </w:rPr>
        <w:t>Indices and forecasts</w:t>
      </w:r>
      <w:r>
        <w:rPr>
          <w:rFonts w:ascii="Calibri"/>
          <w:sz w:val="20"/>
        </w:rPr>
        <w:t xml:space="preserve">, BCIS, Royal Institute of Chartered Surveyors, London. Building Cost Information Service (2017) </w:t>
      </w:r>
      <w:r>
        <w:rPr>
          <w:rFonts w:ascii="Calibri"/>
          <w:i/>
          <w:sz w:val="20"/>
        </w:rPr>
        <w:t>Surveys of tender prices</w:t>
      </w:r>
      <w:r>
        <w:rPr>
          <w:rFonts w:ascii="Calibri"/>
          <w:sz w:val="20"/>
        </w:rPr>
        <w:t>, BCIS, Royal Institute of Chartered Surveyors, London. Campbell, J., Fletcher, E., Britten, N., Green, C., Holt, T., Lattimer, V., Richards, D., Richards, S. Salisbury, C., Calitri, R.,</w:t>
      </w:r>
    </w:p>
    <w:p w:rsidR="006A18FD" w:rsidRDefault="002D29FC">
      <w:pPr>
        <w:spacing w:line="276" w:lineRule="auto"/>
        <w:ind w:left="423" w:right="179"/>
        <w:rPr>
          <w:rFonts w:ascii="Calibri"/>
          <w:sz w:val="20"/>
        </w:rPr>
      </w:pPr>
      <w:r>
        <w:rPr>
          <w:rFonts w:ascii="Calibri"/>
          <w:sz w:val="20"/>
        </w:rPr>
        <w:t xml:space="preserve">Bowyer, V., Chaplin, K., Kandiyali, R., Murdoch, J., Roscoe, J., Varley, A., Warren, F., &amp; Taylor, R. (2014) Telephone triage for management of same-day consultation requests in general practice (the ESTEEM trial): a cluster-randomised controlled trial and cost-consequence analysis, </w:t>
      </w:r>
      <w:r>
        <w:rPr>
          <w:rFonts w:ascii="Calibri"/>
          <w:i/>
          <w:sz w:val="20"/>
        </w:rPr>
        <w:t>The Lancet</w:t>
      </w:r>
      <w:r>
        <w:rPr>
          <w:rFonts w:ascii="Calibri"/>
          <w:sz w:val="20"/>
        </w:rPr>
        <w:t>,. Doi: 10.1016/S0140-6736(14)61058-8 [accessed 4 November 2015]</w:t>
      </w:r>
    </w:p>
    <w:p w:rsidR="006A18FD" w:rsidRDefault="002D29FC">
      <w:pPr>
        <w:spacing w:line="276" w:lineRule="auto"/>
        <w:ind w:left="423" w:right="162" w:hanging="284"/>
        <w:rPr>
          <w:rFonts w:ascii="Calibri"/>
          <w:sz w:val="20"/>
        </w:rPr>
      </w:pPr>
      <w:r>
        <w:rPr>
          <w:rFonts w:ascii="Calibri"/>
          <w:sz w:val="20"/>
        </w:rPr>
        <w:t xml:space="preserve">Campbell, J., Fletcher, E., Britten, N., Green, C., Holt, V., Lattimer, V., Richards, D., Richards, S., Salisbury, C., Taylor, R., Calitri, R., Bowyer, V., Chaplin, K., Kandiyali, R., Murdoch, J., Price, L., Roscoe, J., Varley, A. &amp; Warren., F. (2015) The clinical effectiveness and cost-effectiveness of telephone triage for managing same-day consultation requests in general practice: a cluster randomised controlled trial comparing general practitioner-led management systems with usual care (the ESTEEN trial), </w:t>
      </w:r>
      <w:r>
        <w:rPr>
          <w:rFonts w:ascii="Calibri"/>
          <w:i/>
          <w:sz w:val="20"/>
        </w:rPr>
        <w:t>Health Technology Assessment</w:t>
      </w:r>
      <w:r>
        <w:rPr>
          <w:rFonts w:ascii="Calibri"/>
          <w:sz w:val="20"/>
        </w:rPr>
        <w:t>, 19,13, DOI 10.3310/hta 19130.</w:t>
      </w:r>
    </w:p>
    <w:p w:rsidR="006A18FD" w:rsidRDefault="002D29FC">
      <w:pPr>
        <w:spacing w:line="276" w:lineRule="auto"/>
        <w:ind w:left="423" w:right="547" w:hanging="284"/>
        <w:rPr>
          <w:rFonts w:ascii="Calibri"/>
          <w:sz w:val="20"/>
        </w:rPr>
      </w:pPr>
      <w:r>
        <w:rPr>
          <w:rFonts w:ascii="Calibri"/>
          <w:sz w:val="20"/>
        </w:rPr>
        <w:t xml:space="preserve">Cary, M., Butler, S., Baruch, G., Hickey, N. &amp; Byford, S. (2013) Economic evaluation of multisystemic therapy for young people at risk for continuing criminal activity in the UK, </w:t>
      </w:r>
      <w:r>
        <w:rPr>
          <w:rFonts w:ascii="Calibri"/>
          <w:i/>
          <w:sz w:val="20"/>
        </w:rPr>
        <w:t xml:space="preserve">PLos One, </w:t>
      </w:r>
      <w:r>
        <w:rPr>
          <w:rFonts w:ascii="Calibri"/>
          <w:sz w:val="20"/>
        </w:rPr>
        <w:t>8(4), e61070, doi:10.1371/journal.pone.0061070.</w:t>
      </w:r>
    </w:p>
    <w:p w:rsidR="006A18FD" w:rsidRDefault="002D29FC">
      <w:pPr>
        <w:spacing w:line="276" w:lineRule="auto"/>
        <w:ind w:left="423" w:right="432" w:hanging="284"/>
        <w:rPr>
          <w:rFonts w:ascii="Calibri"/>
          <w:sz w:val="20"/>
        </w:rPr>
      </w:pPr>
      <w:r>
        <w:rPr>
          <w:rFonts w:ascii="Calibri"/>
          <w:sz w:val="20"/>
        </w:rPr>
        <w:t xml:space="preserve">Clinical Reference Group Specialist Services Specification (2012) </w:t>
      </w:r>
      <w:r>
        <w:rPr>
          <w:rFonts w:ascii="Calibri"/>
          <w:i/>
          <w:sz w:val="20"/>
        </w:rPr>
        <w:t xml:space="preserve">Specialist rehabilitation for patients with highly complex needs, </w:t>
      </w:r>
      <w:r>
        <w:rPr>
          <w:rFonts w:ascii="Calibri"/>
          <w:sz w:val="20"/>
        </w:rPr>
        <w:t xml:space="preserve">London </w:t>
      </w:r>
      <w:hyperlink r:id="rId498">
        <w:r>
          <w:rPr>
            <w:rFonts w:ascii="Calibri"/>
            <w:sz w:val="20"/>
            <w:u w:val="single"/>
          </w:rPr>
          <w:t>http://www.england.nhs.uk/commissioning/spec-services/npc-crg/group-d/d02/) [accessed</w:t>
        </w:r>
        <w:r>
          <w:rPr>
            <w:rFonts w:ascii="Calibri"/>
            <w:sz w:val="20"/>
          </w:rPr>
          <w:t xml:space="preserve"> </w:t>
        </w:r>
      </w:hyperlink>
      <w:r>
        <w:rPr>
          <w:rFonts w:ascii="Calibri"/>
          <w:sz w:val="20"/>
        </w:rPr>
        <w:t>10 November 2015.</w:t>
      </w:r>
    </w:p>
    <w:p w:rsidR="006A18FD" w:rsidRDefault="002D29FC">
      <w:pPr>
        <w:spacing w:line="276" w:lineRule="auto"/>
        <w:ind w:left="423" w:right="374" w:hanging="284"/>
        <w:jc w:val="both"/>
        <w:rPr>
          <w:rFonts w:ascii="Calibri"/>
          <w:sz w:val="20"/>
        </w:rPr>
      </w:pPr>
      <w:r>
        <w:rPr>
          <w:rFonts w:ascii="Calibri"/>
          <w:sz w:val="20"/>
        </w:rPr>
        <w:t xml:space="preserve">Cockayne, S., Pattenden, J., Worthy, G., Richardson, G. &amp; Lewin, R. (2014) Nurse facilitated self-management support for people with heart failure and their family carers (SEMAPHFOR): a randomised controlled trial, </w:t>
      </w:r>
      <w:r>
        <w:rPr>
          <w:rFonts w:ascii="Calibri"/>
          <w:i/>
          <w:sz w:val="20"/>
        </w:rPr>
        <w:t xml:space="preserve">International Journal of Nursing Studies, </w:t>
      </w:r>
      <w:r>
        <w:rPr>
          <w:rFonts w:ascii="Calibri"/>
          <w:sz w:val="20"/>
        </w:rPr>
        <w:t>51, 1207-1213.</w:t>
      </w:r>
    </w:p>
    <w:p w:rsidR="006A18FD" w:rsidRDefault="002D29FC">
      <w:pPr>
        <w:spacing w:line="276" w:lineRule="auto"/>
        <w:ind w:left="423" w:right="244" w:hanging="284"/>
        <w:rPr>
          <w:rFonts w:ascii="Calibri"/>
          <w:sz w:val="20"/>
        </w:rPr>
      </w:pPr>
      <w:r>
        <w:rPr>
          <w:rFonts w:ascii="Calibri"/>
          <w:sz w:val="20"/>
        </w:rPr>
        <w:t xml:space="preserve">Curtis, L. &amp; Burns, A. (2018) </w:t>
      </w:r>
      <w:r>
        <w:rPr>
          <w:rFonts w:ascii="Calibri"/>
          <w:i/>
          <w:sz w:val="20"/>
        </w:rPr>
        <w:t>Unit Costs of Health and Social Care 2018</w:t>
      </w:r>
      <w:r>
        <w:rPr>
          <w:rFonts w:ascii="Calibri"/>
          <w:sz w:val="20"/>
        </w:rPr>
        <w:t>, Personal Social Services Research Unit, University of Kent, Canterbury.</w:t>
      </w:r>
    </w:p>
    <w:p w:rsidR="006A18FD" w:rsidRDefault="002D29FC">
      <w:pPr>
        <w:spacing w:line="276" w:lineRule="auto"/>
        <w:ind w:left="423" w:right="307" w:hanging="284"/>
        <w:rPr>
          <w:rFonts w:ascii="Calibri"/>
          <w:sz w:val="20"/>
        </w:rPr>
      </w:pPr>
      <w:r>
        <w:rPr>
          <w:rFonts w:ascii="Calibri"/>
          <w:sz w:val="20"/>
        </w:rPr>
        <w:t xml:space="preserve">Curtis, L., Moriarty, J. &amp; Netten, A. (2012) The costs of qualifying a social worker, </w:t>
      </w:r>
      <w:r>
        <w:rPr>
          <w:rFonts w:ascii="Calibri"/>
          <w:i/>
          <w:sz w:val="20"/>
        </w:rPr>
        <w:t>British Journal of Social Work</w:t>
      </w:r>
      <w:r>
        <w:rPr>
          <w:rFonts w:ascii="Calibri"/>
          <w:sz w:val="20"/>
        </w:rPr>
        <w:t>, 42, 4, 706- 724.</w:t>
      </w:r>
    </w:p>
    <w:p w:rsidR="006A18FD" w:rsidRDefault="006A18FD">
      <w:pPr>
        <w:spacing w:line="276" w:lineRule="auto"/>
        <w:rPr>
          <w:rFonts w:ascii="Calibri"/>
          <w:sz w:val="20"/>
        </w:rPr>
        <w:sectPr w:rsidR="006A18FD">
          <w:pgSz w:w="11910" w:h="16840"/>
          <w:pgMar w:top="100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5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54" name="Line 11"/>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687463" id="Group 10"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">
                <v:line id="Line 11"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w10:anchorlock/>
              </v:group>
            </w:pict>
          </mc:Fallback>
        </mc:AlternateContent>
      </w:r>
    </w:p>
    <w:p w:rsidR="006A18FD" w:rsidRDefault="002D29FC">
      <w:pPr>
        <w:spacing w:line="276" w:lineRule="auto"/>
        <w:ind w:left="436" w:right="641" w:hanging="284"/>
        <w:rPr>
          <w:rFonts w:ascii="Calibri"/>
          <w:sz w:val="20"/>
        </w:rPr>
      </w:pPr>
      <w:r>
        <w:rPr>
          <w:rFonts w:ascii="Calibri"/>
          <w:sz w:val="20"/>
        </w:rPr>
        <w:t xml:space="preserve">Dance, C., Ouwejan, D., Beecham, J. &amp; Farmer, E. (2008) </w:t>
      </w:r>
      <w:r>
        <w:rPr>
          <w:rFonts w:ascii="Calibri"/>
          <w:i/>
          <w:sz w:val="20"/>
        </w:rPr>
        <w:t xml:space="preserve">Adoption agency linking and matching practice in adoption in England and Wales, </w:t>
      </w:r>
      <w:r>
        <w:rPr>
          <w:rFonts w:ascii="Calibri"/>
          <w:sz w:val="20"/>
        </w:rPr>
        <w:t xml:space="preserve">Survey Findings, Research Brief DCSF-RBX-16-08, Department for Education, London. </w:t>
      </w:r>
      <w:hyperlink r:id="rId499">
        <w:r>
          <w:rPr>
            <w:rFonts w:ascii="Calibri"/>
            <w:sz w:val="20"/>
            <w:u w:val="single"/>
          </w:rPr>
          <w:t>https://www.education.gov.uk/publications/standard/publicationDetail/Page1/DCSF-RBX-16-08</w:t>
        </w:r>
      </w:hyperlink>
      <w:r>
        <w:rPr>
          <w:rFonts w:ascii="Calibri"/>
          <w:sz w:val="20"/>
          <w:u w:val="single"/>
        </w:rPr>
        <w:t>/</w:t>
      </w:r>
    </w:p>
    <w:p w:rsidR="006A18FD" w:rsidRDefault="002D29FC">
      <w:pPr>
        <w:ind w:left="436"/>
        <w:rPr>
          <w:rFonts w:ascii="Calibri"/>
          <w:sz w:val="20"/>
        </w:rPr>
      </w:pPr>
      <w:r>
        <w:rPr>
          <w:rFonts w:ascii="Calibri"/>
          <w:sz w:val="20"/>
        </w:rPr>
        <w:t>[accessed 25 July 2013].</w:t>
      </w:r>
    </w:p>
    <w:p w:rsidR="006A18FD" w:rsidRDefault="002D29FC">
      <w:pPr>
        <w:spacing w:before="36" w:line="276" w:lineRule="auto"/>
        <w:ind w:left="436" w:right="577" w:hanging="284"/>
        <w:rPr>
          <w:rFonts w:ascii="Calibri"/>
          <w:sz w:val="20"/>
        </w:rPr>
      </w:pPr>
      <w:r>
        <w:rPr>
          <w:rFonts w:ascii="Calibri"/>
          <w:sz w:val="20"/>
        </w:rPr>
        <w:t xml:space="preserve">Dance, C., Ouwejan, D., Beecham, J. &amp; Farmer, E. (2010) </w:t>
      </w:r>
      <w:r>
        <w:rPr>
          <w:rFonts w:ascii="Calibri"/>
          <w:i/>
          <w:sz w:val="20"/>
        </w:rPr>
        <w:t xml:space="preserve">Linking and Matching: a survey of adoption agency practice in England and Wales, </w:t>
      </w:r>
      <w:r>
        <w:rPr>
          <w:rFonts w:ascii="Calibri"/>
          <w:sz w:val="20"/>
        </w:rPr>
        <w:t>BAAF, London.</w:t>
      </w:r>
    </w:p>
    <w:p w:rsidR="006A18FD" w:rsidRDefault="002D29FC">
      <w:pPr>
        <w:spacing w:line="276" w:lineRule="auto"/>
        <w:ind w:left="436" w:right="184" w:hanging="284"/>
        <w:rPr>
          <w:rFonts w:ascii="Calibri"/>
          <w:sz w:val="20"/>
        </w:rPr>
      </w:pPr>
      <w:r>
        <w:rPr>
          <w:rFonts w:ascii="Calibri"/>
          <w:sz w:val="20"/>
        </w:rPr>
        <w:t xml:space="preserve">Department for Education (2012) </w:t>
      </w:r>
      <w:r>
        <w:rPr>
          <w:rFonts w:ascii="Calibri"/>
          <w:i/>
          <w:sz w:val="20"/>
        </w:rPr>
        <w:t>Children in care</w:t>
      </w:r>
      <w:r>
        <w:rPr>
          <w:rFonts w:ascii="Calibri"/>
          <w:sz w:val="20"/>
        </w:rPr>
        <w:t xml:space="preserve">, Department for Education, London. </w:t>
      </w:r>
      <w:hyperlink r:id="rId500">
        <w:r>
          <w:rPr>
            <w:rFonts w:ascii="Calibri"/>
            <w:sz w:val="20"/>
            <w:u w:val="single"/>
          </w:rPr>
          <w:t>http://www.education.gov.uk/childrenandyoungpeople/safeguardingchildren/a0068940/children-in-care</w:t>
        </w:r>
      </w:hyperlink>
      <w:r>
        <w:rPr>
          <w:rFonts w:ascii="Calibri"/>
          <w:sz w:val="20"/>
          <w:u w:val="single"/>
        </w:rPr>
        <w:t>/</w:t>
      </w:r>
      <w:r>
        <w:rPr>
          <w:rFonts w:ascii="Calibri"/>
          <w:sz w:val="20"/>
        </w:rPr>
        <w:t xml:space="preserve"> [accessed 10</w:t>
      </w:r>
    </w:p>
    <w:p w:rsidR="006A18FD" w:rsidRDefault="002D29FC">
      <w:pPr>
        <w:ind w:left="436"/>
        <w:rPr>
          <w:rFonts w:ascii="Calibri"/>
          <w:sz w:val="20"/>
        </w:rPr>
      </w:pPr>
      <w:r>
        <w:rPr>
          <w:rFonts w:ascii="Calibri"/>
          <w:sz w:val="20"/>
        </w:rPr>
        <w:t>September 2013].</w:t>
      </w:r>
    </w:p>
    <w:p w:rsidR="006A18FD" w:rsidRDefault="002D29FC">
      <w:pPr>
        <w:spacing w:before="36" w:line="276" w:lineRule="auto"/>
        <w:ind w:left="436" w:right="608" w:hanging="284"/>
        <w:rPr>
          <w:rFonts w:ascii="Calibri" w:hAnsi="Calibri"/>
          <w:sz w:val="20"/>
        </w:rPr>
      </w:pPr>
      <w:r>
        <w:rPr>
          <w:rFonts w:ascii="Calibri" w:hAnsi="Calibri"/>
          <w:sz w:val="20"/>
        </w:rPr>
        <w:t xml:space="preserve">Department for Education (2012) </w:t>
      </w:r>
      <w:r>
        <w:rPr>
          <w:rFonts w:ascii="Calibri" w:hAnsi="Calibri"/>
          <w:i/>
          <w:sz w:val="20"/>
        </w:rPr>
        <w:t>Children’s homes in England data pack</w:t>
      </w:r>
      <w:r>
        <w:rPr>
          <w:rFonts w:ascii="Calibri" w:hAnsi="Calibri"/>
          <w:sz w:val="20"/>
        </w:rPr>
        <w:t xml:space="preserve">, Department for Education, London. </w:t>
      </w:r>
      <w:hyperlink r:id="rId501">
        <w:r>
          <w:rPr>
            <w:rFonts w:ascii="Calibri" w:hAnsi="Calibri"/>
            <w:w w:val="95"/>
            <w:sz w:val="20"/>
            <w:u w:val="single"/>
          </w:rPr>
          <w:t>http://media.education.gov.uk/assets/files/pdf/c/childrens%20homes%20data%20pack%20march%202012.pdf</w:t>
        </w:r>
      </w:hyperlink>
      <w:r>
        <w:rPr>
          <w:rFonts w:ascii="Calibri" w:hAnsi="Calibri"/>
          <w:w w:val="95"/>
          <w:sz w:val="20"/>
        </w:rPr>
        <w:t xml:space="preserve"> </w:t>
      </w:r>
      <w:r>
        <w:rPr>
          <w:rFonts w:ascii="Calibri" w:hAnsi="Calibri"/>
          <w:sz w:val="20"/>
        </w:rPr>
        <w:t>[accessed 15 July 2013].</w:t>
      </w:r>
    </w:p>
    <w:p w:rsidR="006A18FD" w:rsidRDefault="002D29FC">
      <w:pPr>
        <w:spacing w:line="276" w:lineRule="auto"/>
        <w:ind w:left="436" w:right="368" w:hanging="284"/>
        <w:rPr>
          <w:rFonts w:ascii="Calibri"/>
          <w:sz w:val="20"/>
        </w:rPr>
      </w:pPr>
      <w:r>
        <w:rPr>
          <w:rFonts w:ascii="Calibri"/>
          <w:sz w:val="20"/>
        </w:rPr>
        <w:t xml:space="preserve">Department for Education (2013) </w:t>
      </w:r>
      <w:r>
        <w:rPr>
          <w:rFonts w:ascii="Calibri"/>
          <w:i/>
          <w:sz w:val="20"/>
        </w:rPr>
        <w:t>Data pack: improving permanence for looked after children</w:t>
      </w:r>
      <w:r>
        <w:rPr>
          <w:rFonts w:ascii="Calibri"/>
          <w:sz w:val="20"/>
        </w:rPr>
        <w:t xml:space="preserve">, Department for Education, London. </w:t>
      </w:r>
      <w:hyperlink r:id="rId502">
        <w:r>
          <w:rPr>
            <w:rFonts w:ascii="Calibri"/>
            <w:sz w:val="20"/>
            <w:u w:val="single"/>
          </w:rPr>
          <w:t>http://www.education.gov.uk/a00227754/looked-after-children-data-pack/</w:t>
        </w:r>
        <w:r>
          <w:rPr>
            <w:rFonts w:ascii="Calibri"/>
            <w:sz w:val="20"/>
          </w:rPr>
          <w:t xml:space="preserve"> </w:t>
        </w:r>
      </w:hyperlink>
      <w:r>
        <w:rPr>
          <w:rFonts w:ascii="Calibri"/>
          <w:sz w:val="20"/>
        </w:rPr>
        <w:t>[accessed 1 October 2013].</w:t>
      </w:r>
    </w:p>
    <w:p w:rsidR="006A18FD" w:rsidRDefault="002D29FC">
      <w:pPr>
        <w:spacing w:line="276" w:lineRule="auto"/>
        <w:ind w:left="436" w:right="655" w:hanging="284"/>
        <w:rPr>
          <w:rFonts w:ascii="Calibri" w:hAnsi="Calibri"/>
          <w:sz w:val="20"/>
        </w:rPr>
      </w:pPr>
      <w:r>
        <w:rPr>
          <w:rFonts w:ascii="Calibri" w:hAnsi="Calibri"/>
          <w:sz w:val="20"/>
        </w:rPr>
        <w:t xml:space="preserve">Department for Education (2014) </w:t>
      </w:r>
      <w:r>
        <w:rPr>
          <w:rFonts w:ascii="Calibri" w:hAnsi="Calibri"/>
          <w:i/>
          <w:sz w:val="20"/>
        </w:rPr>
        <w:t>Children’s social care innovation programme</w:t>
      </w:r>
      <w:r>
        <w:rPr>
          <w:rFonts w:ascii="Calibri" w:hAnsi="Calibri"/>
          <w:sz w:val="20"/>
        </w:rPr>
        <w:t xml:space="preserve">, Department for Education, London. </w:t>
      </w:r>
      <w:hyperlink r:id="rId503">
        <w:r>
          <w:rPr>
            <w:rFonts w:ascii="Calibri" w:hAnsi="Calibri"/>
            <w:sz w:val="20"/>
            <w:u w:val="single"/>
          </w:rPr>
          <w:t>https://www.gov.uk/government/publications/childrens-services-innovation-programme</w:t>
        </w:r>
        <w:r>
          <w:rPr>
            <w:rFonts w:ascii="Calibri" w:hAnsi="Calibri"/>
            <w:sz w:val="20"/>
          </w:rPr>
          <w:t xml:space="preserve"> </w:t>
        </w:r>
      </w:hyperlink>
      <w:r>
        <w:rPr>
          <w:rFonts w:ascii="Calibri" w:hAnsi="Calibri"/>
          <w:sz w:val="20"/>
        </w:rPr>
        <w:t>[accessed 17 July 2014].</w:t>
      </w:r>
    </w:p>
    <w:p w:rsidR="006A18FD" w:rsidRDefault="002D29FC">
      <w:pPr>
        <w:spacing w:line="276" w:lineRule="auto"/>
        <w:ind w:left="436" w:right="265" w:hanging="284"/>
        <w:rPr>
          <w:rFonts w:ascii="Calibri"/>
          <w:sz w:val="20"/>
        </w:rPr>
      </w:pPr>
      <w:r>
        <w:rPr>
          <w:rFonts w:ascii="Calibri"/>
          <w:sz w:val="20"/>
        </w:rPr>
        <w:t xml:space="preserve">Department for Education (2014) </w:t>
      </w:r>
      <w:r>
        <w:rPr>
          <w:rFonts w:ascii="Calibri"/>
          <w:i/>
          <w:sz w:val="20"/>
        </w:rPr>
        <w:t>Underlying data of the section 251 data archive: outturn summary 2013-14</w:t>
      </w:r>
      <w:r>
        <w:rPr>
          <w:rFonts w:ascii="Calibri"/>
          <w:sz w:val="20"/>
        </w:rPr>
        <w:t xml:space="preserve">, Department for Education, London. </w:t>
      </w:r>
      <w:r>
        <w:rPr>
          <w:rFonts w:ascii="Calibri"/>
          <w:sz w:val="20"/>
          <w:u w:val="single"/>
        </w:rPr>
        <w:t>https:/</w:t>
      </w:r>
      <w:hyperlink r:id="rId504">
        <w:r>
          <w:rPr>
            <w:rFonts w:ascii="Calibri"/>
            <w:sz w:val="20"/>
            <w:u w:val="single"/>
          </w:rPr>
          <w:t>/w</w:t>
        </w:r>
      </w:hyperlink>
      <w:r>
        <w:rPr>
          <w:rFonts w:ascii="Calibri"/>
          <w:sz w:val="20"/>
          <w:u w:val="single"/>
        </w:rPr>
        <w:t>w</w:t>
      </w:r>
      <w:hyperlink r:id="rId505">
        <w:r>
          <w:rPr>
            <w:rFonts w:ascii="Calibri"/>
            <w:sz w:val="20"/>
            <w:u w:val="single"/>
          </w:rPr>
          <w:t>w.gov.uk/government/publications/section-251-outturn-2013-to-2014-data</w:t>
        </w:r>
      </w:hyperlink>
      <w:r>
        <w:rPr>
          <w:rFonts w:ascii="Calibri"/>
          <w:sz w:val="20"/>
        </w:rPr>
        <w:t xml:space="preserve"> [accessed 14 October 2015].</w:t>
      </w:r>
    </w:p>
    <w:p w:rsidR="006A18FD" w:rsidRDefault="002D29FC">
      <w:pPr>
        <w:spacing w:line="276" w:lineRule="auto"/>
        <w:ind w:left="436" w:right="617" w:hanging="284"/>
        <w:rPr>
          <w:rFonts w:ascii="Calibri"/>
          <w:sz w:val="20"/>
        </w:rPr>
      </w:pPr>
      <w:r>
        <w:rPr>
          <w:rFonts w:ascii="Calibri"/>
          <w:sz w:val="20"/>
        </w:rPr>
        <w:t xml:space="preserve">Department for Education (2015) </w:t>
      </w:r>
      <w:r>
        <w:rPr>
          <w:rFonts w:ascii="Calibri"/>
          <w:i/>
          <w:sz w:val="20"/>
        </w:rPr>
        <w:t>Children looked after in England including adoption and care leavers</w:t>
      </w:r>
      <w:r>
        <w:rPr>
          <w:rFonts w:ascii="Calibri"/>
          <w:sz w:val="20"/>
        </w:rPr>
        <w:t xml:space="preserve">, </w:t>
      </w:r>
      <w:r>
        <w:rPr>
          <w:rFonts w:ascii="Calibri"/>
          <w:i/>
          <w:sz w:val="20"/>
        </w:rPr>
        <w:t>year ending 31 March 2014, SSDA903</w:t>
      </w:r>
      <w:r>
        <w:rPr>
          <w:rFonts w:ascii="Calibri"/>
          <w:sz w:val="20"/>
        </w:rPr>
        <w:t xml:space="preserve">, Department for Education, London. Data provided by DfE. . </w:t>
      </w:r>
      <w:r>
        <w:rPr>
          <w:rFonts w:ascii="Calibri"/>
          <w:sz w:val="20"/>
          <w:u w:val="single"/>
        </w:rPr>
        <w:t>https:/</w:t>
      </w:r>
      <w:hyperlink r:id="rId506">
        <w:r>
          <w:rPr>
            <w:rFonts w:ascii="Calibri"/>
            <w:sz w:val="20"/>
            <w:u w:val="single"/>
          </w:rPr>
          <w:t>/w</w:t>
        </w:r>
      </w:hyperlink>
      <w:r>
        <w:rPr>
          <w:rFonts w:ascii="Calibri"/>
          <w:sz w:val="20"/>
          <w:u w:val="single"/>
        </w:rPr>
        <w:t>w</w:t>
      </w:r>
      <w:hyperlink r:id="rId507">
        <w:r>
          <w:rPr>
            <w:rFonts w:ascii="Calibri"/>
            <w:sz w:val="20"/>
            <w:u w:val="single"/>
          </w:rPr>
          <w:t>w.gov.uk/government/uploads/system/uploads/attachment_data/file/359277/SFR36_2014_Text.pdf</w:t>
        </w:r>
      </w:hyperlink>
    </w:p>
    <w:p w:rsidR="006A18FD" w:rsidRDefault="002D29FC">
      <w:pPr>
        <w:ind w:left="152"/>
        <w:rPr>
          <w:rFonts w:ascii="Calibri"/>
          <w:i/>
          <w:sz w:val="20"/>
        </w:rPr>
      </w:pPr>
      <w:r>
        <w:rPr>
          <w:rFonts w:ascii="Calibri"/>
          <w:sz w:val="20"/>
        </w:rPr>
        <w:t xml:space="preserve">Department of Health (2010) </w:t>
      </w:r>
      <w:r>
        <w:rPr>
          <w:rFonts w:ascii="Calibri"/>
          <w:i/>
          <w:sz w:val="20"/>
        </w:rPr>
        <w:t>Achieving world class productivity in the NHS, 2009/10-2013/14: the McKinsey Report,</w:t>
      </w:r>
    </w:p>
    <w:p w:rsidR="006A18FD" w:rsidRDefault="002D29FC">
      <w:pPr>
        <w:spacing w:before="37"/>
        <w:ind w:left="436"/>
        <w:rPr>
          <w:rFonts w:ascii="Calibri"/>
          <w:sz w:val="20"/>
        </w:rPr>
      </w:pPr>
      <w:r>
        <w:rPr>
          <w:rFonts w:ascii="Calibri"/>
          <w:sz w:val="20"/>
        </w:rPr>
        <w:t>Department of Health, London.</w:t>
      </w:r>
    </w:p>
    <w:p w:rsidR="006A18FD" w:rsidRDefault="002D29FC">
      <w:pPr>
        <w:spacing w:before="36" w:line="276" w:lineRule="auto"/>
        <w:ind w:left="436" w:right="230" w:hanging="284"/>
        <w:rPr>
          <w:rFonts w:ascii="Calibri"/>
          <w:sz w:val="20"/>
        </w:rPr>
      </w:pPr>
      <w:r>
        <w:rPr>
          <w:rFonts w:ascii="Calibri"/>
          <w:sz w:val="20"/>
        </w:rPr>
        <w:t xml:space="preserve">Department of Health (2010) </w:t>
      </w:r>
      <w:r>
        <w:rPr>
          <w:rFonts w:ascii="Calibri"/>
          <w:i/>
          <w:sz w:val="20"/>
        </w:rPr>
        <w:t>A vision for adult social care: capable communities and active citizens</w:t>
      </w:r>
      <w:r>
        <w:rPr>
          <w:rFonts w:ascii="Calibri"/>
          <w:sz w:val="20"/>
        </w:rPr>
        <w:t>, Department of Health, London.</w:t>
      </w:r>
    </w:p>
    <w:p w:rsidR="006A18FD" w:rsidRDefault="002D29FC">
      <w:pPr>
        <w:spacing w:line="276" w:lineRule="auto"/>
        <w:ind w:left="436" w:right="154" w:hanging="284"/>
        <w:rPr>
          <w:rFonts w:ascii="Calibri"/>
          <w:sz w:val="20"/>
        </w:rPr>
      </w:pPr>
      <w:r>
        <w:rPr>
          <w:rFonts w:ascii="Calibri"/>
          <w:sz w:val="20"/>
        </w:rPr>
        <w:t xml:space="preserve">Department of Health (2010) </w:t>
      </w:r>
      <w:r>
        <w:rPr>
          <w:rFonts w:ascii="Calibri"/>
          <w:i/>
          <w:sz w:val="20"/>
        </w:rPr>
        <w:t>NHS dental contract: proposals for pilots</w:t>
      </w:r>
      <w:r>
        <w:rPr>
          <w:rFonts w:ascii="Calibri"/>
          <w:sz w:val="20"/>
        </w:rPr>
        <w:t xml:space="preserve">, Department of Health, London. </w:t>
      </w:r>
      <w:hyperlink r:id="rId508">
        <w:r>
          <w:rPr>
            <w:rFonts w:ascii="Calibri"/>
            <w:sz w:val="20"/>
            <w:u w:val="single"/>
          </w:rPr>
          <w:t>https://www.bda.org/dentists/policy-campaigns/research/nat-init/pilots/Documents/dh_proposals_2010.pdf</w:t>
        </w:r>
        <w:r>
          <w:rPr>
            <w:rFonts w:ascii="Calibri"/>
            <w:sz w:val="20"/>
          </w:rPr>
          <w:t xml:space="preserve"> </w:t>
        </w:r>
      </w:hyperlink>
      <w:r>
        <w:rPr>
          <w:rFonts w:ascii="Calibri"/>
          <w:sz w:val="20"/>
        </w:rPr>
        <w:t>[accessed 9 October 2017].</w:t>
      </w:r>
    </w:p>
    <w:p w:rsidR="006A18FD" w:rsidRDefault="002D29FC">
      <w:pPr>
        <w:ind w:left="152"/>
        <w:rPr>
          <w:rFonts w:ascii="Calibri"/>
          <w:sz w:val="20"/>
        </w:rPr>
      </w:pPr>
      <w:r>
        <w:rPr>
          <w:rFonts w:ascii="Calibri"/>
          <w:sz w:val="20"/>
        </w:rPr>
        <w:t xml:space="preserve">Department of Health (2011) </w:t>
      </w:r>
      <w:r>
        <w:rPr>
          <w:rFonts w:ascii="Calibri"/>
          <w:i/>
          <w:sz w:val="20"/>
        </w:rPr>
        <w:t>Advice note on nursing care bands</w:t>
      </w:r>
      <w:r>
        <w:rPr>
          <w:rFonts w:ascii="Calibri"/>
          <w:sz w:val="20"/>
        </w:rPr>
        <w:t>, Department of Health, London.</w:t>
      </w:r>
    </w:p>
    <w:p w:rsidR="006A18FD" w:rsidRDefault="002D29FC">
      <w:pPr>
        <w:spacing w:before="36" w:line="276" w:lineRule="auto"/>
        <w:ind w:left="436" w:hanging="284"/>
        <w:rPr>
          <w:rFonts w:ascii="Calibri"/>
          <w:sz w:val="20"/>
        </w:rPr>
      </w:pPr>
      <w:r>
        <w:rPr>
          <w:rFonts w:ascii="Calibri"/>
          <w:sz w:val="20"/>
        </w:rPr>
        <w:t xml:space="preserve">Department of Health (2011) </w:t>
      </w:r>
      <w:r>
        <w:rPr>
          <w:rFonts w:ascii="Calibri"/>
          <w:i/>
          <w:sz w:val="20"/>
        </w:rPr>
        <w:t>Commissioning services for people with dementia</w:t>
      </w:r>
      <w:r>
        <w:rPr>
          <w:rFonts w:ascii="Calibri"/>
          <w:sz w:val="20"/>
        </w:rPr>
        <w:t xml:space="preserve">, Department of Health, London. </w:t>
      </w:r>
      <w:hyperlink r:id="rId509">
        <w:r>
          <w:rPr>
            <w:rFonts w:ascii="Calibri"/>
            <w:w w:val="95"/>
            <w:sz w:val="20"/>
            <w:u w:val="single"/>
          </w:rPr>
          <w:t>http://webarchive.nationalarchives.gov.uk/+/www.dh.gov.uk/en/Publicationsandstatistics/Publications/PublicationsPol</w:t>
        </w:r>
      </w:hyperlink>
      <w:r>
        <w:rPr>
          <w:rFonts w:ascii="Calibri"/>
          <w:w w:val="95"/>
          <w:sz w:val="20"/>
        </w:rPr>
        <w:t xml:space="preserve"> </w:t>
      </w:r>
      <w:hyperlink r:id="rId510">
        <w:r>
          <w:rPr>
            <w:rFonts w:ascii="Calibri"/>
            <w:sz w:val="20"/>
            <w:u w:val="single"/>
          </w:rPr>
          <w:t xml:space="preserve">icyAndGuidance/Browsable/DH_127381 </w:t>
        </w:r>
      </w:hyperlink>
      <w:r>
        <w:rPr>
          <w:rFonts w:ascii="Calibri"/>
          <w:sz w:val="20"/>
        </w:rPr>
        <w:t>[accessed 25 July 2013].</w:t>
      </w:r>
    </w:p>
    <w:p w:rsidR="006A18FD" w:rsidRDefault="002D29FC">
      <w:pPr>
        <w:spacing w:line="276" w:lineRule="auto"/>
        <w:ind w:left="436" w:right="1017" w:hanging="284"/>
        <w:rPr>
          <w:rFonts w:ascii="Calibri"/>
          <w:sz w:val="20"/>
        </w:rPr>
      </w:pPr>
      <w:r>
        <w:rPr>
          <w:rFonts w:ascii="Calibri"/>
          <w:sz w:val="20"/>
        </w:rPr>
        <w:t xml:space="preserve">Department of Health (2018) </w:t>
      </w:r>
      <w:r>
        <w:rPr>
          <w:rFonts w:ascii="Calibri"/>
          <w:i/>
          <w:sz w:val="20"/>
        </w:rPr>
        <w:t xml:space="preserve">NHS reference costs 2017-2018, </w:t>
      </w:r>
      <w:r>
        <w:rPr>
          <w:rFonts w:ascii="Calibri"/>
          <w:sz w:val="20"/>
        </w:rPr>
        <w:t xml:space="preserve">Department of Health, London. </w:t>
      </w:r>
      <w:hyperlink r:id="rId511">
        <w:r>
          <w:rPr>
            <w:rFonts w:ascii="Calibri"/>
            <w:sz w:val="20"/>
            <w:u w:val="single"/>
          </w:rPr>
          <w:t>https://www.gov.uk/government/publications/nhs-reference-costs-2014-to-2015</w:t>
        </w:r>
        <w:r>
          <w:rPr>
            <w:rFonts w:ascii="Calibri"/>
            <w:sz w:val="20"/>
          </w:rPr>
          <w:t xml:space="preserve"> </w:t>
        </w:r>
      </w:hyperlink>
      <w:r>
        <w:rPr>
          <w:rFonts w:ascii="Calibri"/>
          <w:sz w:val="20"/>
        </w:rPr>
        <w:t>[accessed 4 October 2017].</w:t>
      </w:r>
    </w:p>
    <w:p w:rsidR="006A18FD" w:rsidRDefault="002D29FC">
      <w:pPr>
        <w:spacing w:line="276" w:lineRule="auto"/>
        <w:ind w:left="436" w:right="341" w:hanging="284"/>
        <w:rPr>
          <w:rFonts w:ascii="Calibri"/>
          <w:sz w:val="20"/>
        </w:rPr>
      </w:pPr>
      <w:r>
        <w:rPr>
          <w:rFonts w:ascii="Calibri"/>
          <w:sz w:val="20"/>
        </w:rPr>
        <w:t xml:space="preserve">Ekers, D., Godfrey, C., Gilbody, S., Parrott, S., Richards, D., Hammond, D. &amp; Hayes, A. (2011) Cost utility of behavioural activation delivered by the non-specialist, </w:t>
      </w:r>
      <w:r>
        <w:rPr>
          <w:rFonts w:ascii="Calibri"/>
          <w:i/>
          <w:sz w:val="20"/>
        </w:rPr>
        <w:t>British Journal of Psychiatry</w:t>
      </w:r>
      <w:r>
        <w:rPr>
          <w:rFonts w:ascii="Calibri"/>
          <w:sz w:val="20"/>
        </w:rPr>
        <w:t>, 199, 510-511, doi:10.1192/bjp.bp.110.090266.</w:t>
      </w:r>
    </w:p>
    <w:p w:rsidR="006A18FD" w:rsidRDefault="002D29FC">
      <w:pPr>
        <w:spacing w:line="276" w:lineRule="auto"/>
        <w:ind w:left="436" w:right="745" w:hanging="284"/>
        <w:rPr>
          <w:rFonts w:ascii="Calibri"/>
          <w:sz w:val="20"/>
        </w:rPr>
      </w:pPr>
      <w:r>
        <w:rPr>
          <w:rFonts w:ascii="Calibri"/>
          <w:sz w:val="20"/>
        </w:rPr>
        <w:t xml:space="preserve">Estcourt, C., Gibbs, J., Sutcliffe L., Gkatzidou, V., Tickle L. &amp; Hone K. (2017) The e-sexual health clinic system for management, prevention and control of sexually transmitted infections: Exploratory studies in people testing for chlamydia trachomatis, </w:t>
      </w:r>
      <w:r>
        <w:rPr>
          <w:rFonts w:ascii="Calibri"/>
          <w:i/>
          <w:sz w:val="20"/>
        </w:rPr>
        <w:t>The Lancet</w:t>
      </w:r>
      <w:r>
        <w:rPr>
          <w:rFonts w:ascii="Calibri"/>
          <w:sz w:val="20"/>
        </w:rPr>
        <w:t>, 2, PE182-E190.</w:t>
      </w:r>
    </w:p>
    <w:p w:rsidR="006A18FD" w:rsidRDefault="002D29FC">
      <w:pPr>
        <w:spacing w:line="276" w:lineRule="auto"/>
        <w:ind w:left="436" w:right="195" w:hanging="284"/>
        <w:rPr>
          <w:rFonts w:ascii="Calibri"/>
          <w:sz w:val="20"/>
        </w:rPr>
      </w:pPr>
      <w:r>
        <w:rPr>
          <w:rFonts w:ascii="Calibri"/>
          <w:sz w:val="20"/>
        </w:rPr>
        <w:t xml:space="preserve">Farmer, A., Williams, V., Verlardo, C., Ahmar Shah, S. Mee Yu, L., Rutter, H., Jones, L., Williams, N., Heneghan, C., Price, J., Hardinge, M. &amp; Tarassenko, L. (2017) Self-management support using a digital health system compared with usual care for chronic obstructive pulmonary disease: randomized controlled trial, </w:t>
      </w:r>
      <w:r>
        <w:rPr>
          <w:rFonts w:ascii="Calibri"/>
          <w:i/>
          <w:sz w:val="20"/>
        </w:rPr>
        <w:t>Journal of Medical Internet research</w:t>
      </w:r>
      <w:r>
        <w:rPr>
          <w:rFonts w:ascii="Calibri"/>
          <w:sz w:val="20"/>
        </w:rPr>
        <w:t xml:space="preserve">, </w:t>
      </w:r>
      <w:hyperlink r:id="rId512">
        <w:r>
          <w:rPr>
            <w:rFonts w:ascii="Calibri"/>
            <w:sz w:val="20"/>
            <w:u w:val="single"/>
          </w:rPr>
          <w:t>https://www.jmir.org/article/viewFile/jmir_v19i5e144/2</w:t>
        </w:r>
      </w:hyperlink>
    </w:p>
    <w:p w:rsidR="006A18FD" w:rsidRDefault="002D29FC">
      <w:pPr>
        <w:spacing w:line="276" w:lineRule="auto"/>
        <w:ind w:left="436" w:right="509" w:hanging="284"/>
        <w:rPr>
          <w:rFonts w:ascii="Calibri"/>
          <w:sz w:val="20"/>
        </w:rPr>
      </w:pPr>
      <w:r>
        <w:rPr>
          <w:rFonts w:ascii="Calibri"/>
          <w:sz w:val="20"/>
        </w:rPr>
        <w:t xml:space="preserve">Ford, T., Edwards, V., Sharkey, S., Ukoumunne, O., Byford, S., Norwich, B. &amp; Logan, S. (2012) Supporting teachers and children in schools: the effectiveness and cost-effectiveness of the Incredible Years teacher classroom management programme in primary school children: a cluster randomised controlled trial, with parallel economic and process evaluations, </w:t>
      </w:r>
      <w:r>
        <w:rPr>
          <w:rFonts w:ascii="Calibri"/>
          <w:i/>
          <w:sz w:val="20"/>
        </w:rPr>
        <w:t>BMC Public Health 2012</w:t>
      </w:r>
      <w:r>
        <w:rPr>
          <w:rFonts w:ascii="Calibri"/>
          <w:sz w:val="20"/>
        </w:rPr>
        <w:t>, 12:719, doi:10.1186/1471-2458-12-719.</w:t>
      </w:r>
    </w:p>
    <w:p w:rsidR="006A18FD" w:rsidRDefault="002D29FC">
      <w:pPr>
        <w:ind w:left="152"/>
        <w:rPr>
          <w:rFonts w:ascii="Calibri"/>
          <w:sz w:val="20"/>
        </w:rPr>
      </w:pPr>
      <w:r>
        <w:rPr>
          <w:rFonts w:ascii="Calibri"/>
          <w:sz w:val="20"/>
        </w:rPr>
        <w:t xml:space="preserve">Fostering Network (2013) </w:t>
      </w:r>
      <w:r>
        <w:rPr>
          <w:rFonts w:ascii="Calibri"/>
          <w:i/>
          <w:sz w:val="20"/>
        </w:rPr>
        <w:t>Unit costs of support care</w:t>
      </w:r>
      <w:r>
        <w:rPr>
          <w:rFonts w:ascii="Calibri"/>
          <w:sz w:val="20"/>
        </w:rPr>
        <w:t>, London.</w:t>
      </w:r>
    </w:p>
    <w:p w:rsidR="006A18FD" w:rsidRDefault="002D29FC">
      <w:pPr>
        <w:spacing w:before="37" w:line="276" w:lineRule="auto"/>
        <w:ind w:left="436" w:right="452" w:hanging="284"/>
        <w:rPr>
          <w:rFonts w:ascii="Calibri"/>
          <w:sz w:val="20"/>
        </w:rPr>
      </w:pPr>
      <w:r>
        <w:rPr>
          <w:rFonts w:ascii="Calibri"/>
          <w:sz w:val="20"/>
        </w:rPr>
        <w:t xml:space="preserve">Franklin, M., Berdunov,V., Edmans, J., Conroy, S., Gladman, J., Tanajewski, L., Gkountouras, G. &amp; Elliott, R. (2014) Identifying patient-level health and social care costs for older adults discharged from acute medical units in England, </w:t>
      </w:r>
      <w:r>
        <w:rPr>
          <w:rFonts w:ascii="Calibri"/>
          <w:i/>
          <w:sz w:val="20"/>
        </w:rPr>
        <w:t xml:space="preserve">Age &amp; Ageing, </w:t>
      </w:r>
      <w:r>
        <w:rPr>
          <w:rFonts w:ascii="Calibri"/>
          <w:sz w:val="20"/>
        </w:rPr>
        <w:t>43, 703-707.</w:t>
      </w:r>
    </w:p>
    <w:p w:rsidR="006A18FD" w:rsidRDefault="006A18FD">
      <w:pPr>
        <w:spacing w:line="276" w:lineRule="auto"/>
        <w:rPr>
          <w:rFonts w:ascii="Calibri"/>
          <w:sz w:val="20"/>
        </w:rPr>
        <w:sectPr w:rsidR="006A18FD">
          <w:pgSz w:w="11910" w:h="16840"/>
          <w:pgMar w:top="960" w:right="580" w:bottom="280" w:left="980" w:header="751" w:footer="0" w:gutter="0"/>
          <w:cols w:space="720"/>
        </w:sectPr>
      </w:pPr>
    </w:p>
    <w:p w:rsidR="006A18FD" w:rsidRDefault="006A18FD">
      <w:pPr>
        <w:spacing w:before="3"/>
        <w:rPr>
          <w:rFonts w:ascii="Calibri"/>
          <w:sz w:val="17"/>
        </w:rPr>
      </w:pPr>
    </w:p>
    <w:p w:rsidR="006A18FD" w:rsidRDefault="002D29FC">
      <w:pPr>
        <w:spacing w:before="60" w:line="276" w:lineRule="auto"/>
        <w:ind w:left="423" w:right="252" w:hanging="284"/>
        <w:rPr>
          <w:rFonts w:ascii="Calibri"/>
          <w:sz w:val="20"/>
        </w:rPr>
      </w:pPr>
      <w:r>
        <w:rPr>
          <w:rFonts w:ascii="Calibri"/>
          <w:sz w:val="20"/>
        </w:rPr>
        <w:t xml:space="preserve">Georghiou, T., Davies, S., Davies, A. &amp; Bardsley, M. (2012) </w:t>
      </w:r>
      <w:r>
        <w:rPr>
          <w:rFonts w:ascii="Calibri"/>
          <w:i/>
          <w:sz w:val="20"/>
        </w:rPr>
        <w:t>Understanding patterns of health and social care at the end of life</w:t>
      </w:r>
      <w:r>
        <w:rPr>
          <w:rFonts w:ascii="Calibri"/>
          <w:sz w:val="20"/>
        </w:rPr>
        <w:t xml:space="preserve">, Nuffield Trust, London, </w:t>
      </w:r>
      <w:hyperlink r:id="rId513">
        <w:r>
          <w:rPr>
            <w:rFonts w:ascii="Calibri"/>
            <w:sz w:val="20"/>
            <w:u w:val="single"/>
          </w:rPr>
          <w:t>http://www.nuffieldtrust.org.uk/publications/health-social-care-end-life/</w:t>
        </w:r>
        <w:r>
          <w:rPr>
            <w:rFonts w:ascii="Calibri"/>
            <w:sz w:val="20"/>
          </w:rPr>
          <w:t xml:space="preserve"> </w:t>
        </w:r>
      </w:hyperlink>
      <w:r>
        <w:rPr>
          <w:rFonts w:ascii="Calibri"/>
          <w:sz w:val="20"/>
        </w:rPr>
        <w:t>[accessed 15 July 2013].</w:t>
      </w:r>
    </w:p>
    <w:p w:rsidR="006A18FD" w:rsidRDefault="002D29FC">
      <w:pPr>
        <w:spacing w:line="276" w:lineRule="auto"/>
        <w:ind w:left="423" w:right="338" w:hanging="284"/>
        <w:rPr>
          <w:rFonts w:ascii="Calibri"/>
          <w:sz w:val="20"/>
        </w:rPr>
      </w:pPr>
      <w:r>
        <w:rPr>
          <w:rFonts w:ascii="Calibri"/>
          <w:sz w:val="20"/>
        </w:rPr>
        <w:t xml:space="preserve">Glendinning, C., Jones, K., Baxter, K., Rabiee, P., Curtis, L., Wilde, A., Arksey, H. &amp; Forder, J. (2010) </w:t>
      </w:r>
      <w:r>
        <w:rPr>
          <w:rFonts w:ascii="Calibri"/>
          <w:i/>
          <w:sz w:val="20"/>
        </w:rPr>
        <w:t xml:space="preserve">Home care re-ablement services: investigating the longer-term impacts (prospective longitudinal study), </w:t>
      </w:r>
      <w:r>
        <w:rPr>
          <w:rFonts w:ascii="Calibri"/>
          <w:sz w:val="20"/>
        </w:rPr>
        <w:t xml:space="preserve">Social Policy Research Unit, York. </w:t>
      </w:r>
      <w:hyperlink r:id="rId514">
        <w:r>
          <w:rPr>
            <w:rFonts w:ascii="Calibri"/>
            <w:sz w:val="20"/>
            <w:u w:val="single"/>
          </w:rPr>
          <w:t>https://www.york.ac.uk/inst/spru/research/pdf/Reablement.pdf</w:t>
        </w:r>
        <w:r>
          <w:rPr>
            <w:rFonts w:ascii="Calibri"/>
            <w:sz w:val="20"/>
          </w:rPr>
          <w:t xml:space="preserve"> </w:t>
        </w:r>
      </w:hyperlink>
      <w:r>
        <w:rPr>
          <w:rFonts w:ascii="Calibri"/>
          <w:sz w:val="20"/>
        </w:rPr>
        <w:t>[accessed 24 October 2017].</w:t>
      </w:r>
    </w:p>
    <w:p w:rsidR="006A18FD" w:rsidRDefault="002D29FC">
      <w:pPr>
        <w:spacing w:line="276" w:lineRule="auto"/>
        <w:ind w:left="423" w:right="263" w:hanging="284"/>
        <w:rPr>
          <w:rFonts w:ascii="Calibri"/>
          <w:sz w:val="20"/>
        </w:rPr>
      </w:pPr>
      <w:r>
        <w:rPr>
          <w:rFonts w:ascii="Calibri"/>
          <w:sz w:val="20"/>
        </w:rPr>
        <w:t xml:space="preserve">Gov.uk (2019) Education &amp; Training Tariffs, HM Government, London. </w:t>
      </w:r>
      <w:hyperlink r:id="rId515">
        <w:r>
          <w:rPr>
            <w:rFonts w:ascii="Calibri"/>
            <w:w w:val="95"/>
            <w:sz w:val="20"/>
            <w:u w:val="single"/>
          </w:rPr>
          <w:t>https://assets.publishing.service.gov.uk/government/uploads/system/uploads/attachment_data/file/791560/educatio</w:t>
        </w:r>
      </w:hyperlink>
      <w:r>
        <w:rPr>
          <w:rFonts w:ascii="Calibri"/>
          <w:w w:val="95"/>
          <w:sz w:val="20"/>
        </w:rPr>
        <w:t xml:space="preserve"> </w:t>
      </w:r>
      <w:hyperlink r:id="rId516">
        <w:r>
          <w:rPr>
            <w:rFonts w:ascii="Calibri"/>
            <w:sz w:val="20"/>
            <w:u w:val="single"/>
          </w:rPr>
          <w:t>n-and-training-tariffs-2019-to-2020.pdf</w:t>
        </w:r>
      </w:hyperlink>
    </w:p>
    <w:p w:rsidR="006A18FD" w:rsidRDefault="002D29FC">
      <w:pPr>
        <w:spacing w:line="276" w:lineRule="auto"/>
        <w:ind w:left="423" w:right="524" w:hanging="284"/>
        <w:rPr>
          <w:rFonts w:ascii="Calibri"/>
          <w:sz w:val="20"/>
        </w:rPr>
      </w:pPr>
      <w:r>
        <w:rPr>
          <w:rFonts w:ascii="Calibri"/>
          <w:sz w:val="20"/>
        </w:rPr>
        <w:t xml:space="preserve">Hassiotis, A., Strydom, A., Crawford, M., Hall, I., Omar, R., Vickerstaff, V., Hunter, R., Crabtree, J., Cooper, V., Biswas, A., Howie, W. &amp; King, M. (2014) Clinical and cost effectiveness of staff training in Positive Behaviour Support (PBS) for treating challenging behaviour in adults with intellectual disability: a cluster randomised controlled trial, </w:t>
      </w:r>
      <w:r>
        <w:rPr>
          <w:rFonts w:ascii="Calibri"/>
          <w:i/>
          <w:sz w:val="20"/>
        </w:rPr>
        <w:t>BMC Psychiatry</w:t>
      </w:r>
      <w:r>
        <w:rPr>
          <w:rFonts w:ascii="Calibri"/>
          <w:sz w:val="20"/>
        </w:rPr>
        <w:t>, 14: 219.</w:t>
      </w:r>
    </w:p>
    <w:p w:rsidR="006A18FD" w:rsidRDefault="002D29FC">
      <w:pPr>
        <w:ind w:left="140"/>
        <w:rPr>
          <w:rFonts w:ascii="Calibri"/>
          <w:sz w:val="20"/>
        </w:rPr>
      </w:pPr>
      <w:r>
        <w:rPr>
          <w:rFonts w:ascii="Calibri"/>
          <w:sz w:val="20"/>
        </w:rPr>
        <w:t xml:space="preserve">Health &amp; Social Care Information Centre (2013) </w:t>
      </w:r>
      <w:r>
        <w:rPr>
          <w:rFonts w:ascii="Calibri"/>
          <w:i/>
          <w:sz w:val="20"/>
        </w:rPr>
        <w:t>PSS EX1 2012/13</w:t>
      </w:r>
      <w:r>
        <w:rPr>
          <w:rFonts w:ascii="Calibri"/>
          <w:sz w:val="20"/>
        </w:rPr>
        <w:t>, Health &amp; Social Care Information Centre, Leeds.</w:t>
      </w:r>
    </w:p>
    <w:p w:rsidR="006A18FD" w:rsidRDefault="002D29FC">
      <w:pPr>
        <w:spacing w:before="34" w:line="276" w:lineRule="auto"/>
        <w:ind w:left="423" w:right="354" w:hanging="284"/>
        <w:rPr>
          <w:rFonts w:ascii="Calibri"/>
          <w:sz w:val="20"/>
        </w:rPr>
      </w:pPr>
      <w:r>
        <w:rPr>
          <w:rFonts w:ascii="Calibri"/>
          <w:sz w:val="20"/>
        </w:rPr>
        <w:t xml:space="preserve">Health &amp; Social Care Information Centre (2014) </w:t>
      </w:r>
      <w:r>
        <w:rPr>
          <w:rFonts w:ascii="Calibri"/>
          <w:i/>
          <w:sz w:val="20"/>
        </w:rPr>
        <w:t>NHS staff earnings estimates June 2014</w:t>
      </w:r>
      <w:r>
        <w:rPr>
          <w:rFonts w:ascii="Calibri"/>
          <w:sz w:val="20"/>
        </w:rPr>
        <w:t>, Health &amp; Social Care Information Centre, Leeds.</w:t>
      </w:r>
    </w:p>
    <w:p w:rsidR="006A18FD" w:rsidRDefault="002D29FC">
      <w:pPr>
        <w:spacing w:line="276" w:lineRule="auto"/>
        <w:ind w:left="423" w:right="717" w:hanging="284"/>
        <w:rPr>
          <w:rFonts w:ascii="Calibri"/>
          <w:sz w:val="20"/>
        </w:rPr>
      </w:pPr>
      <w:r>
        <w:rPr>
          <w:rFonts w:ascii="Calibri"/>
          <w:sz w:val="20"/>
        </w:rPr>
        <w:t xml:space="preserve">Health &amp; Social Care Information Centre (2015) </w:t>
      </w:r>
      <w:r>
        <w:rPr>
          <w:rFonts w:ascii="Calibri"/>
          <w:i/>
          <w:sz w:val="20"/>
        </w:rPr>
        <w:t>Sickness absence rates in the NHS: to June 2015</w:t>
      </w:r>
      <w:r>
        <w:rPr>
          <w:rFonts w:ascii="Calibri"/>
          <w:sz w:val="20"/>
        </w:rPr>
        <w:t>, Health &amp; Social Care Information Centre, Leeds.</w:t>
      </w:r>
    </w:p>
    <w:p w:rsidR="006A18FD" w:rsidRDefault="002D29FC">
      <w:pPr>
        <w:spacing w:line="276" w:lineRule="auto"/>
        <w:ind w:left="423" w:right="839" w:hanging="284"/>
        <w:rPr>
          <w:rFonts w:ascii="Calibri"/>
          <w:sz w:val="20"/>
        </w:rPr>
      </w:pPr>
      <w:r>
        <w:rPr>
          <w:rFonts w:ascii="Calibri"/>
          <w:sz w:val="20"/>
        </w:rPr>
        <w:t xml:space="preserve">Holmes, L. (2014) </w:t>
      </w:r>
      <w:r>
        <w:rPr>
          <w:rFonts w:ascii="Calibri"/>
          <w:i/>
          <w:sz w:val="20"/>
        </w:rPr>
        <w:t>Supporting children and families returning home from care</w:t>
      </w:r>
      <w:r>
        <w:rPr>
          <w:rFonts w:ascii="Calibri"/>
          <w:sz w:val="20"/>
        </w:rPr>
        <w:t>, Centre for Child and Family Research, Loughborough University.</w:t>
      </w:r>
    </w:p>
    <w:p w:rsidR="006A18FD" w:rsidRDefault="002D29FC">
      <w:pPr>
        <w:spacing w:line="276" w:lineRule="auto"/>
        <w:ind w:left="423" w:right="511" w:hanging="284"/>
        <w:rPr>
          <w:rFonts w:ascii="Calibri"/>
          <w:sz w:val="20"/>
        </w:rPr>
      </w:pPr>
      <w:r>
        <w:rPr>
          <w:rFonts w:ascii="Calibri"/>
          <w:sz w:val="20"/>
        </w:rPr>
        <w:t xml:space="preserve">Holmes, L. &amp; McDermid, S. (2012) </w:t>
      </w:r>
      <w:r>
        <w:rPr>
          <w:rFonts w:ascii="Calibri"/>
          <w:i/>
          <w:sz w:val="20"/>
        </w:rPr>
        <w:t>Understanding costs and outcomes in child welfare services: a comprehensive costing approach to managing your resources</w:t>
      </w:r>
      <w:r>
        <w:rPr>
          <w:rFonts w:ascii="Calibri"/>
          <w:sz w:val="20"/>
        </w:rPr>
        <w:t>, Jessica Kingsley, London.</w:t>
      </w:r>
    </w:p>
    <w:p w:rsidR="006A18FD" w:rsidRDefault="002D29FC">
      <w:pPr>
        <w:spacing w:line="276" w:lineRule="auto"/>
        <w:ind w:left="423" w:right="608" w:hanging="284"/>
        <w:rPr>
          <w:rFonts w:ascii="Calibri"/>
          <w:sz w:val="20"/>
        </w:rPr>
      </w:pPr>
      <w:r>
        <w:rPr>
          <w:rFonts w:ascii="Calibri"/>
          <w:sz w:val="20"/>
        </w:rPr>
        <w:t xml:space="preserve">Holmes, L. &amp; Soper, J. (2010) </w:t>
      </w:r>
      <w:r>
        <w:rPr>
          <w:rFonts w:ascii="Calibri"/>
          <w:i/>
          <w:sz w:val="20"/>
        </w:rPr>
        <w:t xml:space="preserve">Update to the cost of foster care, </w:t>
      </w:r>
      <w:r>
        <w:rPr>
          <w:rFonts w:ascii="Calibri"/>
          <w:sz w:val="20"/>
        </w:rPr>
        <w:t>Loughborough University, Loughborough</w:t>
      </w:r>
      <w:r>
        <w:rPr>
          <w:rFonts w:ascii="Calibri"/>
          <w:i/>
          <w:sz w:val="20"/>
        </w:rPr>
        <w:t xml:space="preserve">. </w:t>
      </w:r>
      <w:hyperlink r:id="rId517">
        <w:r>
          <w:rPr>
            <w:rFonts w:ascii="Calibri"/>
            <w:w w:val="95"/>
            <w:sz w:val="20"/>
            <w:u w:val="single"/>
          </w:rPr>
          <w:t>http://www.fostering.net/sites/www.fostering.net/files/public/resources/reports/update_cost_foster_care.pdf</w:t>
        </w:r>
      </w:hyperlink>
      <w:r>
        <w:rPr>
          <w:rFonts w:ascii="Calibri"/>
          <w:w w:val="95"/>
          <w:sz w:val="20"/>
        </w:rPr>
        <w:t xml:space="preserve"> </w:t>
      </w:r>
      <w:r>
        <w:rPr>
          <w:rFonts w:ascii="Calibri"/>
          <w:sz w:val="20"/>
        </w:rPr>
        <w:t>[accessed 25 July 2013].</w:t>
      </w:r>
    </w:p>
    <w:p w:rsidR="006A18FD" w:rsidRDefault="002D29FC">
      <w:pPr>
        <w:spacing w:line="276" w:lineRule="auto"/>
        <w:ind w:left="423" w:right="487" w:hanging="284"/>
        <w:rPr>
          <w:rFonts w:ascii="Calibri"/>
          <w:sz w:val="20"/>
        </w:rPr>
      </w:pPr>
      <w:r>
        <w:rPr>
          <w:rFonts w:ascii="Calibri"/>
          <w:sz w:val="20"/>
        </w:rPr>
        <w:t xml:space="preserve">House of Commons Health and Social Care Committee, Sexual Health (2019), </w:t>
      </w:r>
      <w:r>
        <w:rPr>
          <w:rFonts w:ascii="Calibri"/>
          <w:i/>
          <w:sz w:val="20"/>
        </w:rPr>
        <w:t xml:space="preserve">Fourteenth Report of Session 2017 -19, </w:t>
      </w:r>
      <w:r>
        <w:rPr>
          <w:rFonts w:ascii="Calibri"/>
          <w:sz w:val="20"/>
        </w:rPr>
        <w:t>UK Parliament, London. (HC 1419).</w:t>
      </w:r>
    </w:p>
    <w:p w:rsidR="006A18FD" w:rsidRDefault="002D29FC">
      <w:pPr>
        <w:spacing w:line="276" w:lineRule="auto"/>
        <w:ind w:left="423" w:right="195" w:hanging="284"/>
        <w:rPr>
          <w:rFonts w:ascii="Calibri"/>
          <w:sz w:val="20"/>
        </w:rPr>
      </w:pPr>
      <w:r>
        <w:rPr>
          <w:rFonts w:ascii="Calibri"/>
          <w:sz w:val="20"/>
        </w:rPr>
        <w:t xml:space="preserve">Iemmi, V., Knapp, M., Saville, M., McWade, P., McLennan, K. &amp; Toogood, S. (2015) Positive behavioural support for adults with intellectual disabilities and behaviour that challenges: an initial exploration of the economic case, </w:t>
      </w:r>
      <w:r>
        <w:rPr>
          <w:rFonts w:ascii="Calibri"/>
          <w:i/>
          <w:sz w:val="20"/>
        </w:rPr>
        <w:t>International Journal of Positive Behavioural Support</w:t>
      </w:r>
      <w:r>
        <w:rPr>
          <w:rFonts w:ascii="Calibri"/>
          <w:sz w:val="20"/>
        </w:rPr>
        <w:t>, 5,1, 16-25.</w:t>
      </w:r>
    </w:p>
    <w:p w:rsidR="006A18FD" w:rsidRDefault="002D29FC">
      <w:pPr>
        <w:spacing w:line="276" w:lineRule="auto"/>
        <w:ind w:left="423" w:right="195" w:hanging="284"/>
        <w:rPr>
          <w:rFonts w:ascii="Calibri"/>
          <w:sz w:val="20"/>
        </w:rPr>
      </w:pPr>
      <w:r>
        <w:rPr>
          <w:rFonts w:ascii="Calibri"/>
          <w:sz w:val="20"/>
        </w:rPr>
        <w:t xml:space="preserve">Jackson, L., Roberts, T., Fuller, S., Sutcliffe, L., Saunders, J., Copas, A., Mercer, C., Cassell, J. &amp; Estcourt, C. (2014) Exploring the costs and outcomes of sexually transmitted infection (STI) screening interventions targeting men in football club settings: preliminary cost-consequence analysis of the SPORTSMART pilot randomised controlled trial, </w:t>
      </w:r>
      <w:r>
        <w:rPr>
          <w:rFonts w:ascii="Calibri"/>
          <w:i/>
          <w:sz w:val="20"/>
        </w:rPr>
        <w:t xml:space="preserve">British Medical Journal. </w:t>
      </w:r>
      <w:hyperlink r:id="rId518">
        <w:r>
          <w:rPr>
            <w:rFonts w:ascii="Calibri"/>
            <w:sz w:val="20"/>
            <w:u w:val="single"/>
          </w:rPr>
          <w:t>http://dx.doi.org/10.1136/sextrans-2014-051719</w:t>
        </w:r>
      </w:hyperlink>
    </w:p>
    <w:p w:rsidR="006A18FD" w:rsidRDefault="002D29FC">
      <w:pPr>
        <w:ind w:left="140"/>
        <w:rPr>
          <w:rFonts w:ascii="Calibri"/>
          <w:sz w:val="20"/>
        </w:rPr>
      </w:pPr>
      <w:r>
        <w:rPr>
          <w:rFonts w:ascii="Calibri"/>
          <w:sz w:val="20"/>
        </w:rPr>
        <w:t>Knapp, M., Bauer, A., Perkins, M. &amp; Snell, T. (2013) Building community capital in social care: is there an economic case?</w:t>
      </w:r>
    </w:p>
    <w:p w:rsidR="006A18FD" w:rsidRDefault="002D29FC">
      <w:pPr>
        <w:spacing w:before="37"/>
        <w:ind w:left="423"/>
        <w:rPr>
          <w:rFonts w:ascii="Calibri"/>
          <w:sz w:val="20"/>
        </w:rPr>
      </w:pPr>
      <w:r>
        <w:rPr>
          <w:rFonts w:ascii="Calibri"/>
          <w:i/>
          <w:sz w:val="20"/>
        </w:rPr>
        <w:t xml:space="preserve">Community Development Journal, </w:t>
      </w:r>
      <w:r>
        <w:rPr>
          <w:rFonts w:ascii="Calibri"/>
          <w:sz w:val="20"/>
        </w:rPr>
        <w:t>48, 2, 213-331.</w:t>
      </w:r>
    </w:p>
    <w:p w:rsidR="006A18FD" w:rsidRDefault="002D29FC">
      <w:pPr>
        <w:spacing w:before="37" w:line="276" w:lineRule="auto"/>
        <w:ind w:left="140" w:right="1067"/>
        <w:rPr>
          <w:rFonts w:ascii="Calibri"/>
          <w:sz w:val="20"/>
        </w:rPr>
      </w:pPr>
      <w:r>
        <w:rPr>
          <w:rFonts w:ascii="Calibri"/>
          <w:sz w:val="20"/>
        </w:rPr>
        <w:t xml:space="preserve">Laing &amp; Buisson (2019) </w:t>
      </w:r>
      <w:r>
        <w:rPr>
          <w:rFonts w:ascii="Calibri"/>
          <w:i/>
          <w:sz w:val="20"/>
        </w:rPr>
        <w:t>Laing &amp; Buisson Care Homes Complete Dataset 2018/2019</w:t>
      </w:r>
      <w:r>
        <w:rPr>
          <w:rFonts w:ascii="Calibri"/>
          <w:sz w:val="20"/>
        </w:rPr>
        <w:t xml:space="preserve">, Laing &amp; Buisson, London. Local Government Association Analysis and Research (2012) </w:t>
      </w:r>
      <w:r>
        <w:rPr>
          <w:rFonts w:ascii="Calibri"/>
          <w:i/>
          <w:sz w:val="20"/>
        </w:rPr>
        <w:t xml:space="preserve">Local government earnings survey 2012/2013, </w:t>
      </w:r>
      <w:r>
        <w:rPr>
          <w:rFonts w:ascii="Calibri"/>
          <w:sz w:val="20"/>
        </w:rPr>
        <w:t>Local</w:t>
      </w:r>
    </w:p>
    <w:p w:rsidR="006A18FD" w:rsidRDefault="002D29FC">
      <w:pPr>
        <w:ind w:left="423"/>
        <w:rPr>
          <w:rFonts w:ascii="Calibri"/>
          <w:sz w:val="20"/>
        </w:rPr>
      </w:pPr>
      <w:r>
        <w:rPr>
          <w:rFonts w:ascii="Calibri"/>
          <w:sz w:val="20"/>
        </w:rPr>
        <w:t>Government Association, London.</w:t>
      </w:r>
    </w:p>
    <w:p w:rsidR="006A18FD" w:rsidRDefault="002D29FC">
      <w:pPr>
        <w:spacing w:before="37" w:line="276" w:lineRule="auto"/>
        <w:ind w:left="423" w:right="739" w:hanging="284"/>
        <w:rPr>
          <w:rFonts w:ascii="Calibri"/>
          <w:sz w:val="20"/>
        </w:rPr>
      </w:pPr>
      <w:r>
        <w:rPr>
          <w:rFonts w:ascii="Calibri"/>
          <w:sz w:val="20"/>
        </w:rPr>
        <w:t xml:space="preserve">Local Government Association (2014) Local government pay and workforce research, Local Government Association, London. </w:t>
      </w:r>
      <w:hyperlink r:id="rId519">
        <w:r>
          <w:rPr>
            <w:rFonts w:ascii="Calibri"/>
            <w:sz w:val="20"/>
            <w:u w:val="single"/>
          </w:rPr>
          <w:t>http://www.local.gov.uk/research-pay-and-workforce</w:t>
        </w:r>
      </w:hyperlink>
      <w:r>
        <w:rPr>
          <w:rFonts w:ascii="Calibri"/>
          <w:sz w:val="20"/>
          <w:u w:val="single"/>
        </w:rPr>
        <w:t>/</w:t>
      </w:r>
      <w:r>
        <w:rPr>
          <w:rFonts w:ascii="Calibri"/>
          <w:sz w:val="20"/>
        </w:rPr>
        <w:t xml:space="preserve"> [accessed 16 October 2014].</w:t>
      </w:r>
    </w:p>
    <w:p w:rsidR="006A18FD" w:rsidRDefault="002D29FC">
      <w:pPr>
        <w:spacing w:line="276" w:lineRule="auto"/>
        <w:ind w:left="423" w:right="905" w:hanging="284"/>
        <w:rPr>
          <w:rFonts w:ascii="Calibri"/>
          <w:sz w:val="20"/>
        </w:rPr>
      </w:pPr>
      <w:r>
        <w:rPr>
          <w:rFonts w:ascii="Calibri"/>
          <w:sz w:val="20"/>
        </w:rPr>
        <w:t xml:space="preserve">Local Government Employers (2010) </w:t>
      </w:r>
      <w:r>
        <w:rPr>
          <w:rFonts w:ascii="Calibri"/>
          <w:i/>
          <w:sz w:val="20"/>
        </w:rPr>
        <w:t>Local government sickness absence levels and causes survey 2008-2009</w:t>
      </w:r>
      <w:r>
        <w:rPr>
          <w:rFonts w:ascii="Calibri"/>
          <w:sz w:val="20"/>
        </w:rPr>
        <w:t>, Local Government Association, London.</w:t>
      </w:r>
    </w:p>
    <w:p w:rsidR="006A18FD" w:rsidRDefault="002D29FC">
      <w:pPr>
        <w:spacing w:line="276" w:lineRule="auto"/>
        <w:ind w:left="423" w:right="326" w:hanging="284"/>
        <w:rPr>
          <w:rFonts w:ascii="Calibri"/>
          <w:sz w:val="20"/>
        </w:rPr>
      </w:pPr>
      <w:r>
        <w:rPr>
          <w:rFonts w:ascii="Calibri"/>
          <w:sz w:val="20"/>
        </w:rPr>
        <w:t xml:space="preserve">Local Government Employers (2012) </w:t>
      </w:r>
      <w:r>
        <w:rPr>
          <w:rFonts w:ascii="Calibri"/>
          <w:i/>
          <w:sz w:val="20"/>
        </w:rPr>
        <w:t>Green Book: national agreement on pay and conditions of service</w:t>
      </w:r>
      <w:r>
        <w:rPr>
          <w:rFonts w:ascii="Calibri"/>
          <w:sz w:val="20"/>
        </w:rPr>
        <w:t xml:space="preserve">, Local Government Association, London, </w:t>
      </w:r>
      <w:hyperlink r:id="rId520">
        <w:r>
          <w:rPr>
            <w:rFonts w:ascii="Calibri"/>
            <w:sz w:val="20"/>
            <w:u w:val="single"/>
          </w:rPr>
          <w:t>http://www.lge.gov.uk/lge/core/page.do?pageId=119175</w:t>
        </w:r>
      </w:hyperlink>
      <w:r>
        <w:rPr>
          <w:rFonts w:ascii="Calibri"/>
          <w:sz w:val="20"/>
          <w:u w:val="single"/>
        </w:rPr>
        <w:t>/</w:t>
      </w:r>
      <w:r>
        <w:rPr>
          <w:rFonts w:ascii="Calibri"/>
          <w:sz w:val="20"/>
        </w:rPr>
        <w:t xml:space="preserve"> [accessed 25 July 2013].</w:t>
      </w:r>
    </w:p>
    <w:p w:rsidR="006A18FD" w:rsidRDefault="002D29FC">
      <w:pPr>
        <w:spacing w:line="276" w:lineRule="auto"/>
        <w:ind w:left="423" w:right="1155" w:hanging="284"/>
        <w:rPr>
          <w:rFonts w:ascii="Calibri"/>
          <w:sz w:val="20"/>
        </w:rPr>
      </w:pPr>
      <w:r>
        <w:rPr>
          <w:rFonts w:ascii="Calibri"/>
          <w:sz w:val="20"/>
        </w:rPr>
        <w:t xml:space="preserve">Local Government Pension Scheme Advisory Board (2013) </w:t>
      </w:r>
      <w:r>
        <w:rPr>
          <w:rFonts w:ascii="Calibri"/>
          <w:i/>
          <w:sz w:val="20"/>
        </w:rPr>
        <w:t>Fund Valuations 2013</w:t>
      </w:r>
      <w:r>
        <w:rPr>
          <w:rFonts w:ascii="Calibri"/>
          <w:sz w:val="20"/>
        </w:rPr>
        <w:t xml:space="preserve">, LGPS Advisory Board, London. </w:t>
      </w:r>
      <w:hyperlink r:id="rId521">
        <w:r>
          <w:rPr>
            <w:rFonts w:ascii="Calibri"/>
            <w:sz w:val="20"/>
            <w:u w:val="single"/>
          </w:rPr>
          <w:t>http://www.lgpsboard.org/index.php/fund-actuarial-valuations-2013</w:t>
        </w:r>
        <w:r>
          <w:rPr>
            <w:rFonts w:ascii="Calibri"/>
            <w:sz w:val="20"/>
          </w:rPr>
          <w:t xml:space="preserve"> </w:t>
        </w:r>
      </w:hyperlink>
      <w:r>
        <w:rPr>
          <w:rFonts w:ascii="Calibri"/>
          <w:sz w:val="20"/>
        </w:rPr>
        <w:t>[accessed 12 November 2015].</w:t>
      </w:r>
    </w:p>
    <w:p w:rsidR="006A18FD" w:rsidRDefault="002D29FC">
      <w:pPr>
        <w:spacing w:line="276" w:lineRule="auto"/>
        <w:ind w:left="423" w:right="655" w:hanging="284"/>
        <w:rPr>
          <w:rFonts w:ascii="Calibri" w:hAnsi="Calibri"/>
          <w:sz w:val="20"/>
        </w:rPr>
      </w:pPr>
      <w:r>
        <w:rPr>
          <w:rFonts w:ascii="Calibri" w:hAnsi="Calibri"/>
          <w:sz w:val="20"/>
        </w:rPr>
        <w:t xml:space="preserve">McDermid, S. &amp; Holmes, L. (2013) </w:t>
      </w:r>
      <w:r>
        <w:rPr>
          <w:rFonts w:ascii="Calibri" w:hAnsi="Calibri"/>
          <w:i/>
          <w:sz w:val="20"/>
        </w:rPr>
        <w:t>The cost effectiveness of action for children’s intensive family support services</w:t>
      </w:r>
      <w:r>
        <w:rPr>
          <w:rFonts w:ascii="Calibri" w:hAnsi="Calibri"/>
          <w:sz w:val="20"/>
        </w:rPr>
        <w:t xml:space="preserve">, Final Report, Centre for Child and Family Research, Loughborough University. </w:t>
      </w:r>
      <w:hyperlink r:id="rId522">
        <w:r>
          <w:rPr>
            <w:rFonts w:ascii="Calibri" w:hAnsi="Calibri"/>
            <w:sz w:val="20"/>
            <w:u w:val="single"/>
          </w:rPr>
          <w:t>http://socialwelfare.bl.uk/subject-</w:t>
        </w:r>
      </w:hyperlink>
      <w:r>
        <w:rPr>
          <w:rFonts w:ascii="Calibri" w:hAnsi="Calibri"/>
          <w:sz w:val="20"/>
        </w:rPr>
        <w:t xml:space="preserve"> </w:t>
      </w:r>
      <w:hyperlink r:id="rId523">
        <w:r>
          <w:rPr>
            <w:rFonts w:ascii="Calibri" w:hAnsi="Calibri"/>
            <w:sz w:val="20"/>
            <w:u w:val="single"/>
          </w:rPr>
          <w:t>areas/services-client-groups/families/actionforchildren/153741intensive-family-support-cost-effectiveness_full-</w:t>
        </w:r>
      </w:hyperlink>
      <w:r>
        <w:rPr>
          <w:rFonts w:ascii="Calibri" w:hAnsi="Calibri"/>
          <w:sz w:val="20"/>
        </w:rPr>
        <w:t xml:space="preserve"> </w:t>
      </w:r>
      <w:hyperlink r:id="rId524">
        <w:r>
          <w:rPr>
            <w:rFonts w:ascii="Calibri" w:hAnsi="Calibri"/>
            <w:sz w:val="20"/>
            <w:u w:val="single"/>
          </w:rPr>
          <w:t>report.pdf</w:t>
        </w:r>
        <w:r>
          <w:rPr>
            <w:rFonts w:ascii="Calibri" w:hAnsi="Calibri"/>
            <w:sz w:val="20"/>
          </w:rPr>
          <w:t xml:space="preserve"> </w:t>
        </w:r>
      </w:hyperlink>
      <w:r>
        <w:rPr>
          <w:rFonts w:ascii="Calibri" w:hAnsi="Calibri"/>
          <w:sz w:val="20"/>
        </w:rPr>
        <w:t>[accessed 3 October 2013].</w:t>
      </w:r>
    </w:p>
    <w:p w:rsidR="006A18FD" w:rsidRDefault="002D29FC">
      <w:pPr>
        <w:ind w:left="140"/>
        <w:rPr>
          <w:rFonts w:ascii="Calibri"/>
          <w:sz w:val="20"/>
        </w:rPr>
      </w:pPr>
      <w:r>
        <w:rPr>
          <w:rFonts w:ascii="Calibri"/>
          <w:sz w:val="20"/>
        </w:rPr>
        <w:t xml:space="preserve">Mickelborough, P. (2011) </w:t>
      </w:r>
      <w:r>
        <w:rPr>
          <w:rFonts w:ascii="Calibri"/>
          <w:i/>
          <w:sz w:val="20"/>
        </w:rPr>
        <w:t>Domiciliary care, UK market report</w:t>
      </w:r>
      <w:r>
        <w:rPr>
          <w:rFonts w:ascii="Calibri"/>
          <w:sz w:val="20"/>
        </w:rPr>
        <w:t>, Laing &amp; Buisson, London.</w:t>
      </w:r>
    </w:p>
    <w:p w:rsidR="006A18FD" w:rsidRDefault="006A18FD">
      <w:pPr>
        <w:rPr>
          <w:rFonts w:ascii="Calibri"/>
          <w:sz w:val="20"/>
        </w:rPr>
        <w:sectPr w:rsidR="006A18FD">
          <w:pgSz w:w="11910" w:h="16840"/>
          <w:pgMar w:top="100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52" name="Line 9"/>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B4241B" id="Group 8"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ACtj5R8AgAAfQUAAA4A&#10;AAAAAAAAAAAAAAAALgIAAGRycy9lMm9Eb2MueG1sUEsBAi0AFAAGAAgAAAAhAC135FzaAAAABAEA&#10;AA8AAAAAAAAAAAAAAAAA1gQAAGRycy9kb3ducmV2LnhtbFBLBQYAAAAABAAEAPMAAADdBQAAAAA=&#10;">
                <v:line id="Line 9"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anchorlock/>
              </v:group>
            </w:pict>
          </mc:Fallback>
        </mc:AlternateContent>
      </w:r>
    </w:p>
    <w:p w:rsidR="006A18FD" w:rsidRDefault="002D29FC">
      <w:pPr>
        <w:spacing w:line="276" w:lineRule="auto"/>
        <w:ind w:left="436" w:right="366" w:hanging="284"/>
        <w:rPr>
          <w:rFonts w:ascii="Calibri"/>
          <w:sz w:val="20"/>
        </w:rPr>
      </w:pPr>
      <w:r>
        <w:rPr>
          <w:rFonts w:ascii="Calibri"/>
          <w:sz w:val="20"/>
        </w:rPr>
        <w:t xml:space="preserve">Ministry of Housing, Communities &amp; Local Government (2018) </w:t>
      </w:r>
      <w:r>
        <w:rPr>
          <w:rFonts w:ascii="Calibri"/>
          <w:i/>
          <w:sz w:val="20"/>
        </w:rPr>
        <w:t>Land value estimates for policy appraisal 2017</w:t>
      </w:r>
      <w:r>
        <w:rPr>
          <w:rFonts w:ascii="Calibri"/>
          <w:sz w:val="20"/>
        </w:rPr>
        <w:t xml:space="preserve">, Ministry of Housing, Communities &amp; Local Government, London. </w:t>
      </w:r>
      <w:hyperlink r:id="rId525">
        <w:r>
          <w:rPr>
            <w:rFonts w:ascii="Calibri"/>
            <w:sz w:val="20"/>
            <w:u w:val="single"/>
          </w:rPr>
          <w:t>https://www.gov.uk/government/publications/land-value-</w:t>
        </w:r>
      </w:hyperlink>
      <w:r>
        <w:rPr>
          <w:rFonts w:ascii="Calibri"/>
          <w:sz w:val="20"/>
        </w:rPr>
        <w:t xml:space="preserve"> </w:t>
      </w:r>
      <w:hyperlink r:id="rId526">
        <w:r>
          <w:rPr>
            <w:rFonts w:ascii="Calibri"/>
            <w:sz w:val="20"/>
            <w:u w:val="single"/>
          </w:rPr>
          <w:t>estimates-for-policy-appraisal-2017</w:t>
        </w:r>
        <w:r>
          <w:rPr>
            <w:rFonts w:ascii="Calibri"/>
            <w:sz w:val="20"/>
          </w:rPr>
          <w:t xml:space="preserve"> </w:t>
        </w:r>
      </w:hyperlink>
      <w:r>
        <w:rPr>
          <w:rFonts w:ascii="Calibri"/>
          <w:sz w:val="20"/>
        </w:rPr>
        <w:t>[accessed 25 September 2018].</w:t>
      </w:r>
    </w:p>
    <w:p w:rsidR="006A18FD" w:rsidRDefault="002D29FC">
      <w:pPr>
        <w:spacing w:line="276" w:lineRule="auto"/>
        <w:ind w:left="436" w:right="391" w:hanging="284"/>
        <w:rPr>
          <w:rFonts w:ascii="Calibri"/>
          <w:sz w:val="20"/>
        </w:rPr>
      </w:pPr>
      <w:r>
        <w:rPr>
          <w:rFonts w:ascii="Calibri"/>
          <w:sz w:val="20"/>
        </w:rPr>
        <w:t xml:space="preserve">Monitor (2013) </w:t>
      </w:r>
      <w:r>
        <w:rPr>
          <w:rFonts w:ascii="Calibri"/>
          <w:i/>
          <w:sz w:val="20"/>
        </w:rPr>
        <w:t>A guide to the market forces factor</w:t>
      </w:r>
      <w:r>
        <w:rPr>
          <w:rFonts w:ascii="Calibri"/>
          <w:sz w:val="20"/>
        </w:rPr>
        <w:t xml:space="preserve">, </w:t>
      </w:r>
      <w:hyperlink r:id="rId527">
        <w:r>
          <w:rPr>
            <w:rFonts w:ascii="Calibri"/>
            <w:sz w:val="20"/>
            <w:u w:val="single"/>
          </w:rPr>
          <w:t>https://www.gov.uk/government/publications/guide-to-the-market-</w:t>
        </w:r>
      </w:hyperlink>
      <w:r>
        <w:rPr>
          <w:rFonts w:ascii="Calibri"/>
          <w:sz w:val="20"/>
        </w:rPr>
        <w:t xml:space="preserve"> </w:t>
      </w:r>
      <w:hyperlink r:id="rId528">
        <w:r>
          <w:rPr>
            <w:rFonts w:ascii="Calibri"/>
            <w:sz w:val="20"/>
            <w:u w:val="single"/>
          </w:rPr>
          <w:t>forces-factor-201415</w:t>
        </w:r>
        <w:r>
          <w:rPr>
            <w:rFonts w:ascii="Calibri"/>
            <w:sz w:val="20"/>
          </w:rPr>
          <w:t xml:space="preserve"> </w:t>
        </w:r>
      </w:hyperlink>
      <w:r>
        <w:rPr>
          <w:rFonts w:ascii="Calibri"/>
          <w:sz w:val="20"/>
        </w:rPr>
        <w:t>[accessed 1 December 2015].</w:t>
      </w:r>
    </w:p>
    <w:p w:rsidR="006A18FD" w:rsidRDefault="002D29FC">
      <w:pPr>
        <w:ind w:left="152"/>
        <w:rPr>
          <w:rFonts w:ascii="Calibri"/>
          <w:sz w:val="20"/>
        </w:rPr>
      </w:pPr>
      <w:r>
        <w:rPr>
          <w:rFonts w:ascii="Calibri"/>
          <w:sz w:val="20"/>
        </w:rPr>
        <w:t xml:space="preserve">National Health Service (2019), </w:t>
      </w:r>
      <w:r>
        <w:rPr>
          <w:rFonts w:ascii="Calibri"/>
          <w:i/>
          <w:sz w:val="20"/>
        </w:rPr>
        <w:t>The NHS long Term Plan</w:t>
      </w:r>
      <w:r>
        <w:rPr>
          <w:rFonts w:ascii="Calibri"/>
          <w:sz w:val="20"/>
        </w:rPr>
        <w:t>.</w:t>
      </w:r>
    </w:p>
    <w:p w:rsidR="006A18FD" w:rsidRDefault="002D29FC">
      <w:pPr>
        <w:spacing w:before="36" w:line="276" w:lineRule="auto"/>
        <w:ind w:left="436" w:right="150" w:hanging="284"/>
        <w:rPr>
          <w:rFonts w:ascii="Calibri"/>
          <w:sz w:val="20"/>
        </w:rPr>
      </w:pPr>
      <w:r>
        <w:rPr>
          <w:rFonts w:ascii="Calibri"/>
          <w:sz w:val="20"/>
        </w:rPr>
        <w:t xml:space="preserve">National Institute for Health and Clinical Excellence (NICE) (2007) </w:t>
      </w:r>
      <w:r>
        <w:rPr>
          <w:rFonts w:ascii="Calibri"/>
          <w:i/>
          <w:sz w:val="20"/>
        </w:rPr>
        <w:t>Commissioning a memory assessment service for the early identification and care of people with dementia</w:t>
      </w:r>
      <w:r>
        <w:rPr>
          <w:rFonts w:ascii="Calibri"/>
          <w:sz w:val="20"/>
        </w:rPr>
        <w:t xml:space="preserve">, NICE, London, </w:t>
      </w:r>
      <w:hyperlink r:id="rId529">
        <w:r>
          <w:rPr>
            <w:rFonts w:ascii="Calibri"/>
            <w:sz w:val="20"/>
            <w:u w:val="single"/>
          </w:rPr>
          <w:t>http://www.nice.org.uk/Search.do?searchText=Commissioning+a+memory+assessment+service+for+the+early+identifi</w:t>
        </w:r>
      </w:hyperlink>
      <w:r>
        <w:rPr>
          <w:rFonts w:ascii="Calibri"/>
          <w:sz w:val="20"/>
        </w:rPr>
        <w:t xml:space="preserve"> </w:t>
      </w:r>
      <w:r>
        <w:rPr>
          <w:rFonts w:ascii="Calibri"/>
          <w:sz w:val="20"/>
          <w:u w:val="single"/>
        </w:rPr>
        <w:t>cation+and+care+of+people+with+dementia&amp;newsearch=true#/search/?reload</w:t>
      </w:r>
      <w:r>
        <w:rPr>
          <w:rFonts w:ascii="Calibri"/>
          <w:sz w:val="20"/>
        </w:rPr>
        <w:t xml:space="preserve"> [accessed 25 July 2013].</w:t>
      </w:r>
    </w:p>
    <w:p w:rsidR="006A18FD" w:rsidRDefault="002D29FC">
      <w:pPr>
        <w:spacing w:line="276" w:lineRule="auto"/>
        <w:ind w:left="436" w:right="1575" w:hanging="284"/>
        <w:rPr>
          <w:rFonts w:ascii="Calibri"/>
          <w:sz w:val="20"/>
        </w:rPr>
      </w:pPr>
      <w:r>
        <w:rPr>
          <w:rFonts w:ascii="Calibri"/>
          <w:sz w:val="20"/>
        </w:rPr>
        <w:t xml:space="preserve">National Joint Council (NJC) salary scales for local government services (2014) </w:t>
      </w:r>
      <w:r>
        <w:rPr>
          <w:rFonts w:ascii="Calibri"/>
          <w:i/>
          <w:sz w:val="20"/>
        </w:rPr>
        <w:t>NJC payscales 2013-14</w:t>
      </w:r>
      <w:r>
        <w:rPr>
          <w:rFonts w:ascii="Calibri"/>
          <w:sz w:val="20"/>
        </w:rPr>
        <w:t xml:space="preserve">, </w:t>
      </w:r>
      <w:hyperlink r:id="rId530">
        <w:r>
          <w:rPr>
            <w:rFonts w:ascii="Calibri"/>
            <w:sz w:val="20"/>
            <w:u w:val="single"/>
          </w:rPr>
          <w:t>http://www.lvsc.org.uk/media/24718/njc%20payscales%202013-14.pdf</w:t>
        </w:r>
        <w:r>
          <w:rPr>
            <w:rFonts w:ascii="Calibri"/>
            <w:sz w:val="20"/>
          </w:rPr>
          <w:t xml:space="preserve"> [accessed </w:t>
        </w:r>
      </w:hyperlink>
      <w:r>
        <w:rPr>
          <w:rFonts w:ascii="Calibri"/>
          <w:sz w:val="20"/>
        </w:rPr>
        <w:t>18 November 2014]</w:t>
      </w:r>
    </w:p>
    <w:p w:rsidR="006A18FD" w:rsidRDefault="002D29FC">
      <w:pPr>
        <w:ind w:left="152"/>
        <w:rPr>
          <w:rFonts w:ascii="Calibri"/>
          <w:i/>
          <w:sz w:val="20"/>
        </w:rPr>
      </w:pPr>
      <w:r>
        <w:rPr>
          <w:rFonts w:ascii="Calibri"/>
          <w:sz w:val="20"/>
        </w:rPr>
        <w:t xml:space="preserve">National Survey of Patient Activity Data for Specialist Palliative Care Services (2014) </w:t>
      </w:r>
      <w:r>
        <w:rPr>
          <w:rFonts w:ascii="Calibri"/>
          <w:i/>
          <w:sz w:val="20"/>
        </w:rPr>
        <w:t>National survey of patient activity data</w:t>
      </w:r>
    </w:p>
    <w:p w:rsidR="006A18FD" w:rsidRDefault="002D29FC">
      <w:pPr>
        <w:spacing w:before="36"/>
        <w:ind w:left="436"/>
        <w:rPr>
          <w:rFonts w:ascii="Calibri"/>
          <w:sz w:val="20"/>
        </w:rPr>
      </w:pPr>
      <w:r>
        <w:rPr>
          <w:rFonts w:ascii="Calibri"/>
          <w:sz w:val="20"/>
        </w:rPr>
        <w:t>for specialist palliative care services, MDS Full Report for the year 2012-2013, Public Health England.</w:t>
      </w:r>
    </w:p>
    <w:p w:rsidR="006A18FD" w:rsidRDefault="002D29FC">
      <w:pPr>
        <w:spacing w:before="37" w:line="276" w:lineRule="auto"/>
        <w:ind w:left="436" w:right="264" w:hanging="284"/>
        <w:rPr>
          <w:rFonts w:ascii="Calibri"/>
          <w:sz w:val="20"/>
        </w:rPr>
      </w:pPr>
      <w:r>
        <w:rPr>
          <w:rFonts w:ascii="Calibri"/>
          <w:sz w:val="20"/>
        </w:rPr>
        <w:t>Netten, A., Knight, J., Dennett, J., Cooley, R. &amp; Slight, A. (1998) Development of a ready reckoner for staff costs in the NHS, Vols 1 &amp; 2, Personal Social Services Research Unit, University of Kent, Canterbury.</w:t>
      </w:r>
    </w:p>
    <w:p w:rsidR="006A18FD" w:rsidRDefault="002D29FC">
      <w:pPr>
        <w:spacing w:line="276" w:lineRule="auto"/>
        <w:ind w:left="436" w:right="438" w:hanging="284"/>
        <w:rPr>
          <w:rFonts w:ascii="Calibri"/>
          <w:sz w:val="20"/>
        </w:rPr>
      </w:pPr>
      <w:r>
        <w:rPr>
          <w:rFonts w:ascii="Calibri"/>
          <w:sz w:val="20"/>
        </w:rPr>
        <w:t xml:space="preserve">NHS Digital (2014) Personalised Health and Care 2020. </w:t>
      </w:r>
      <w:r>
        <w:rPr>
          <w:rFonts w:ascii="Calibri"/>
          <w:i/>
          <w:sz w:val="20"/>
        </w:rPr>
        <w:t>National Information Board and Department of Health and Social Care</w:t>
      </w:r>
      <w:r>
        <w:rPr>
          <w:rFonts w:ascii="Calibri"/>
          <w:sz w:val="20"/>
        </w:rPr>
        <w:t xml:space="preserve">. </w:t>
      </w:r>
      <w:hyperlink r:id="rId531">
        <w:r>
          <w:rPr>
            <w:rFonts w:ascii="Calibri"/>
            <w:sz w:val="20"/>
            <w:u w:val="single"/>
          </w:rPr>
          <w:t>https://www.gov.uk/government/publications/personalised-health-and-care-2020</w:t>
        </w:r>
        <w:r>
          <w:rPr>
            <w:rFonts w:ascii="Calibri"/>
            <w:sz w:val="20"/>
          </w:rPr>
          <w:t xml:space="preserve"> </w:t>
        </w:r>
      </w:hyperlink>
      <w:r>
        <w:rPr>
          <w:rFonts w:ascii="Calibri"/>
          <w:sz w:val="20"/>
        </w:rPr>
        <w:t>[accessed 12 July 2019]</w:t>
      </w:r>
    </w:p>
    <w:p w:rsidR="006A18FD" w:rsidRDefault="002D29FC">
      <w:pPr>
        <w:spacing w:line="276" w:lineRule="auto"/>
        <w:ind w:left="436" w:right="2946" w:hanging="284"/>
        <w:rPr>
          <w:rFonts w:ascii="Calibri"/>
          <w:sz w:val="20"/>
        </w:rPr>
      </w:pPr>
      <w:r>
        <w:rPr>
          <w:rFonts w:ascii="Calibri"/>
          <w:sz w:val="20"/>
        </w:rPr>
        <w:t xml:space="preserve">NHS Digital (2016) </w:t>
      </w:r>
      <w:r>
        <w:rPr>
          <w:rFonts w:ascii="Calibri"/>
          <w:i/>
          <w:sz w:val="20"/>
        </w:rPr>
        <w:t>Adult Social Care Finance Return (ASC-FR)</w:t>
      </w:r>
      <w:r>
        <w:rPr>
          <w:rFonts w:ascii="Calibri"/>
          <w:sz w:val="20"/>
        </w:rPr>
        <w:t xml:space="preserve">, NHS Digital, Leeds </w:t>
      </w:r>
      <w:hyperlink r:id="rId532">
        <w:r>
          <w:rPr>
            <w:rFonts w:ascii="Calibri"/>
            <w:sz w:val="20"/>
            <w:u w:val="single"/>
          </w:rPr>
          <w:t>http://www.content.digital.nhs.uk/catalogue/PUB22240</w:t>
        </w:r>
        <w:r>
          <w:rPr>
            <w:rFonts w:ascii="Calibri"/>
            <w:sz w:val="20"/>
          </w:rPr>
          <w:t xml:space="preserve"> </w:t>
        </w:r>
      </w:hyperlink>
      <w:r>
        <w:rPr>
          <w:rFonts w:ascii="Calibri"/>
          <w:sz w:val="20"/>
        </w:rPr>
        <w:t>[accessed 15 October 2017].</w:t>
      </w:r>
    </w:p>
    <w:p w:rsidR="006A18FD" w:rsidRDefault="002D29FC">
      <w:pPr>
        <w:spacing w:line="276" w:lineRule="auto"/>
        <w:ind w:left="436" w:right="724" w:hanging="284"/>
        <w:rPr>
          <w:rFonts w:ascii="Calibri"/>
          <w:sz w:val="20"/>
        </w:rPr>
      </w:pPr>
      <w:r>
        <w:rPr>
          <w:rFonts w:ascii="Calibri"/>
          <w:sz w:val="20"/>
        </w:rPr>
        <w:t xml:space="preserve">NHS Digital (2017) </w:t>
      </w:r>
      <w:r>
        <w:rPr>
          <w:rFonts w:ascii="Calibri"/>
          <w:i/>
          <w:sz w:val="20"/>
        </w:rPr>
        <w:t>A guide to NHS dental publications</w:t>
      </w:r>
      <w:r>
        <w:rPr>
          <w:rFonts w:ascii="Calibri"/>
          <w:sz w:val="20"/>
        </w:rPr>
        <w:t xml:space="preserve">, NHS Digital, Leeds. </w:t>
      </w:r>
      <w:hyperlink r:id="rId533">
        <w:r>
          <w:rPr>
            <w:rFonts w:ascii="Calibri"/>
            <w:sz w:val="20"/>
            <w:u w:val="single"/>
          </w:rPr>
          <w:t>http://content.digital.nhs.uk/catalogue/PUB21701/nhs-dent-stat-eng-15-16-rep.pdf</w:t>
        </w:r>
        <w:r>
          <w:rPr>
            <w:rFonts w:ascii="Calibri"/>
            <w:sz w:val="20"/>
          </w:rPr>
          <w:t xml:space="preserve"> </w:t>
        </w:r>
      </w:hyperlink>
      <w:r>
        <w:rPr>
          <w:rFonts w:ascii="Calibri"/>
          <w:sz w:val="20"/>
        </w:rPr>
        <w:t>[accessed 20 October 2016).</w:t>
      </w:r>
    </w:p>
    <w:p w:rsidR="006A18FD" w:rsidRDefault="002D29FC">
      <w:pPr>
        <w:spacing w:before="2" w:line="276" w:lineRule="auto"/>
        <w:ind w:left="436" w:right="417" w:hanging="284"/>
        <w:rPr>
          <w:rFonts w:ascii="Calibri"/>
          <w:sz w:val="20"/>
        </w:rPr>
      </w:pPr>
      <w:r>
        <w:rPr>
          <w:rFonts w:ascii="Calibri"/>
          <w:sz w:val="20"/>
        </w:rPr>
        <w:t xml:space="preserve">NHS Digital (2016, p.11) </w:t>
      </w:r>
      <w:r>
        <w:rPr>
          <w:rFonts w:ascii="Calibri"/>
          <w:i/>
          <w:sz w:val="20"/>
        </w:rPr>
        <w:t>Dental earnings and expenses 2014/15, initial analysis</w:t>
      </w:r>
      <w:r>
        <w:rPr>
          <w:rFonts w:ascii="Calibri"/>
          <w:sz w:val="20"/>
        </w:rPr>
        <w:t xml:space="preserve">, NHS Digital, Leeds. </w:t>
      </w:r>
      <w:hyperlink r:id="rId534">
        <w:r>
          <w:rPr>
            <w:rFonts w:ascii="Calibri"/>
            <w:sz w:val="20"/>
            <w:u w:val="single"/>
          </w:rPr>
          <w:t>https://www.gov.uk/government/statistics/dental-earnings-and-expenses-2014-to-2015-initial-analysis</w:t>
        </w:r>
        <w:r>
          <w:rPr>
            <w:rFonts w:ascii="Calibri"/>
            <w:sz w:val="20"/>
          </w:rPr>
          <w:t xml:space="preserve"> </w:t>
        </w:r>
      </w:hyperlink>
      <w:r>
        <w:rPr>
          <w:rFonts w:ascii="Calibri"/>
          <w:sz w:val="20"/>
        </w:rPr>
        <w:t>[accessed 24</w:t>
      </w:r>
    </w:p>
    <w:p w:rsidR="006A18FD" w:rsidRDefault="002D29FC">
      <w:pPr>
        <w:ind w:left="436"/>
        <w:rPr>
          <w:rFonts w:ascii="Calibri"/>
          <w:sz w:val="20"/>
        </w:rPr>
      </w:pPr>
      <w:r>
        <w:rPr>
          <w:rFonts w:ascii="Calibri"/>
          <w:sz w:val="20"/>
        </w:rPr>
        <w:t>November 2016].</w:t>
      </w:r>
    </w:p>
    <w:p w:rsidR="006A18FD" w:rsidRDefault="002D29FC">
      <w:pPr>
        <w:spacing w:before="37" w:line="276" w:lineRule="auto"/>
        <w:ind w:left="152" w:right="2233"/>
        <w:rPr>
          <w:rFonts w:ascii="Times New Roman"/>
          <w:sz w:val="20"/>
        </w:rPr>
      </w:pPr>
      <w:r>
        <w:rPr>
          <w:rFonts w:ascii="Calibri"/>
          <w:sz w:val="20"/>
        </w:rPr>
        <w:t xml:space="preserve">NHS Digital (2017) </w:t>
      </w:r>
      <w:r>
        <w:rPr>
          <w:rFonts w:ascii="Calibri"/>
          <w:i/>
          <w:sz w:val="20"/>
        </w:rPr>
        <w:t>Dental earnings and expenses, 2015/16, additional analysis</w:t>
      </w:r>
      <w:r>
        <w:rPr>
          <w:rFonts w:ascii="Calibri"/>
          <w:sz w:val="20"/>
        </w:rPr>
        <w:t xml:space="preserve">, NHS Digital, Leeds. NHS Digital (2017) </w:t>
      </w:r>
      <w:r>
        <w:rPr>
          <w:rFonts w:ascii="Calibri"/>
          <w:i/>
          <w:sz w:val="20"/>
        </w:rPr>
        <w:t xml:space="preserve">Dental working hours, 2014/15 &amp; 2015/16, </w:t>
      </w:r>
      <w:r>
        <w:rPr>
          <w:rFonts w:ascii="Calibri"/>
          <w:sz w:val="20"/>
        </w:rPr>
        <w:t>NHS Digital, Leeds</w:t>
      </w:r>
      <w:r>
        <w:rPr>
          <w:rFonts w:ascii="Times New Roman"/>
          <w:sz w:val="20"/>
        </w:rPr>
        <w:t>.</w:t>
      </w:r>
    </w:p>
    <w:p w:rsidR="006A18FD" w:rsidRDefault="00E60AD2">
      <w:pPr>
        <w:ind w:left="418" w:right="563"/>
        <w:jc w:val="center"/>
        <w:rPr>
          <w:rFonts w:ascii="Calibri"/>
          <w:sz w:val="20"/>
        </w:rPr>
      </w:pPr>
      <w:hyperlink r:id="rId535">
        <w:r w:rsidR="002D29FC">
          <w:rPr>
            <w:rFonts w:ascii="Calibri"/>
            <w:sz w:val="20"/>
            <w:u w:val="single"/>
          </w:rPr>
          <w:t>http://content.digital.nhs.uk/catalogue/PUB21316/dent-work-hour-1415-1516-rep.pdf</w:t>
        </w:r>
        <w:r w:rsidR="002D29FC">
          <w:rPr>
            <w:rFonts w:ascii="Calibri"/>
            <w:sz w:val="20"/>
          </w:rPr>
          <w:t xml:space="preserve"> </w:t>
        </w:r>
      </w:hyperlink>
      <w:r w:rsidR="002D29FC">
        <w:rPr>
          <w:rFonts w:ascii="Calibri"/>
          <w:sz w:val="20"/>
        </w:rPr>
        <w:t>[accessed 5 October 2017].</w:t>
      </w:r>
    </w:p>
    <w:p w:rsidR="006A18FD" w:rsidRDefault="002D29FC">
      <w:pPr>
        <w:spacing w:before="37" w:line="276" w:lineRule="auto"/>
        <w:ind w:left="436" w:right="824" w:hanging="284"/>
        <w:rPr>
          <w:rFonts w:ascii="Calibri"/>
          <w:sz w:val="20"/>
        </w:rPr>
      </w:pPr>
      <w:r>
        <w:rPr>
          <w:rFonts w:ascii="Calibri"/>
          <w:sz w:val="20"/>
        </w:rPr>
        <w:t xml:space="preserve">NHS Digital (2017) </w:t>
      </w:r>
      <w:r>
        <w:rPr>
          <w:rFonts w:ascii="Calibri"/>
          <w:i/>
          <w:sz w:val="20"/>
        </w:rPr>
        <w:t xml:space="preserve">A guide to NHS dental publications, </w:t>
      </w:r>
      <w:r>
        <w:rPr>
          <w:rFonts w:ascii="Calibri"/>
          <w:sz w:val="20"/>
        </w:rPr>
        <w:t>NHS Digital, Leeds</w:t>
      </w:r>
      <w:r>
        <w:rPr>
          <w:rFonts w:ascii="Times New Roman"/>
          <w:sz w:val="20"/>
        </w:rPr>
        <w:t xml:space="preserve">. </w:t>
      </w:r>
      <w:hyperlink r:id="rId536">
        <w:r>
          <w:rPr>
            <w:rFonts w:ascii="Calibri"/>
            <w:sz w:val="20"/>
            <w:u w:val="single"/>
          </w:rPr>
          <w:t>http://content.digital.nhs.uk/catalogue/PUB21701/nhs-dent-stat-eng-15-16-rep.pdf</w:t>
        </w:r>
        <w:r>
          <w:rPr>
            <w:rFonts w:ascii="Calibri"/>
            <w:sz w:val="20"/>
          </w:rPr>
          <w:t xml:space="preserve"> </w:t>
        </w:r>
      </w:hyperlink>
      <w:r>
        <w:rPr>
          <w:rFonts w:ascii="Calibri"/>
          <w:sz w:val="20"/>
        </w:rPr>
        <w:t>[accessed 5 October 2017).</w:t>
      </w:r>
    </w:p>
    <w:p w:rsidR="006A18FD" w:rsidRDefault="002D29FC">
      <w:pPr>
        <w:spacing w:line="276" w:lineRule="auto"/>
        <w:ind w:left="436" w:right="274" w:hanging="284"/>
        <w:rPr>
          <w:rFonts w:ascii="Calibri"/>
          <w:sz w:val="20"/>
        </w:rPr>
      </w:pPr>
      <w:r>
        <w:rPr>
          <w:rFonts w:ascii="Calibri"/>
          <w:sz w:val="20"/>
        </w:rPr>
        <w:t xml:space="preserve">NHS Digital, NHS sickness absence rates, 2009-10 to 2017-18 annual tables, NHS Digital, London. </w:t>
      </w:r>
      <w:hyperlink r:id="rId537">
        <w:r>
          <w:rPr>
            <w:rFonts w:ascii="Calibri"/>
            <w:w w:val="95"/>
            <w:sz w:val="20"/>
            <w:u w:val="single"/>
          </w:rPr>
          <w:t>https://digital.nhs.uk/data-and-information/publications/statistical/nhs-sickness-absence-rates/nhs-sickness-absence-</w:t>
        </w:r>
      </w:hyperlink>
      <w:r>
        <w:rPr>
          <w:rFonts w:ascii="Calibri"/>
          <w:w w:val="95"/>
          <w:sz w:val="20"/>
        </w:rPr>
        <w:t xml:space="preserve"> </w:t>
      </w:r>
      <w:hyperlink r:id="rId538">
        <w:r>
          <w:rPr>
            <w:rFonts w:ascii="Calibri"/>
            <w:sz w:val="20"/>
            <w:u w:val="single"/>
          </w:rPr>
          <w:t>rates---january-2018-to-march-2018-and-annual-summary-2010-11-to-2017-18</w:t>
        </w:r>
        <w:r>
          <w:rPr>
            <w:rFonts w:ascii="Calibri"/>
            <w:sz w:val="20"/>
          </w:rPr>
          <w:t xml:space="preserve"> </w:t>
        </w:r>
      </w:hyperlink>
      <w:r>
        <w:rPr>
          <w:rFonts w:ascii="Calibri"/>
          <w:sz w:val="20"/>
        </w:rPr>
        <w:t>[accessed 13 October 2017].</w:t>
      </w:r>
    </w:p>
    <w:p w:rsidR="006A18FD" w:rsidRDefault="002D29FC">
      <w:pPr>
        <w:spacing w:line="276" w:lineRule="auto"/>
        <w:ind w:left="436" w:right="138" w:hanging="284"/>
        <w:rPr>
          <w:rFonts w:ascii="Calibri" w:hAnsi="Calibri"/>
          <w:sz w:val="20"/>
        </w:rPr>
      </w:pPr>
      <w:r>
        <w:rPr>
          <w:rFonts w:ascii="Calibri" w:hAnsi="Calibri"/>
          <w:sz w:val="19"/>
        </w:rPr>
        <w:t xml:space="preserve">NHS Digital (2019) </w:t>
      </w:r>
      <w:r>
        <w:rPr>
          <w:rFonts w:ascii="Calibri" w:hAnsi="Calibri"/>
          <w:i/>
          <w:sz w:val="19"/>
        </w:rPr>
        <w:t xml:space="preserve">NHS staff earnings estimates, 12-month period from May 2018 – April 2019 </w:t>
      </w:r>
      <w:r>
        <w:rPr>
          <w:rFonts w:ascii="Calibri" w:hAnsi="Calibri"/>
          <w:sz w:val="19"/>
        </w:rPr>
        <w:t>(not publicly available), NHS Digital, Leeds</w:t>
      </w:r>
      <w:r>
        <w:rPr>
          <w:rFonts w:ascii="Times New Roman" w:hAnsi="Times New Roman"/>
          <w:sz w:val="19"/>
        </w:rPr>
        <w:t>.</w:t>
      </w:r>
      <w:r>
        <w:rPr>
          <w:rFonts w:ascii="Calibri" w:hAnsi="Calibri"/>
          <w:sz w:val="20"/>
        </w:rPr>
        <w:t xml:space="preserve">NHS Employers (2018) </w:t>
      </w:r>
      <w:r>
        <w:rPr>
          <w:rFonts w:ascii="Calibri" w:hAnsi="Calibri"/>
          <w:i/>
          <w:sz w:val="20"/>
        </w:rPr>
        <w:t xml:space="preserve">NHS Terms and Conditions of Service Handbook, </w:t>
      </w:r>
      <w:r>
        <w:rPr>
          <w:rFonts w:ascii="Calibri" w:hAnsi="Calibri"/>
          <w:sz w:val="20"/>
        </w:rPr>
        <w:t xml:space="preserve">NHS Employers, London. </w:t>
      </w:r>
      <w:hyperlink r:id="rId539">
        <w:r>
          <w:rPr>
            <w:rFonts w:ascii="Calibri" w:hAnsi="Calibri"/>
            <w:sz w:val="20"/>
            <w:u w:val="single"/>
          </w:rPr>
          <w:t>http://www.nhsemployers.org/tchandbook</w:t>
        </w:r>
        <w:r>
          <w:rPr>
            <w:rFonts w:ascii="Calibri" w:hAnsi="Calibri"/>
            <w:sz w:val="20"/>
          </w:rPr>
          <w:t xml:space="preserve"> </w:t>
        </w:r>
      </w:hyperlink>
      <w:r>
        <w:rPr>
          <w:rFonts w:ascii="Calibri" w:hAnsi="Calibri"/>
          <w:sz w:val="20"/>
        </w:rPr>
        <w:t>[accessed 25 September 2018].</w:t>
      </w:r>
    </w:p>
    <w:p w:rsidR="006A18FD" w:rsidRDefault="002D29FC">
      <w:pPr>
        <w:spacing w:line="278" w:lineRule="auto"/>
        <w:ind w:left="436" w:right="633" w:hanging="284"/>
        <w:rPr>
          <w:rFonts w:ascii="Calibri"/>
          <w:sz w:val="19"/>
        </w:rPr>
      </w:pPr>
      <w:r>
        <w:rPr>
          <w:rFonts w:ascii="Calibri"/>
          <w:sz w:val="19"/>
        </w:rPr>
        <w:t>NHS England (2016) Review of clinical and educational psychology training arrangements, National College for Teaching and Leadership, London.</w:t>
      </w:r>
    </w:p>
    <w:p w:rsidR="006A18FD" w:rsidRDefault="002D29FC">
      <w:pPr>
        <w:spacing w:line="276" w:lineRule="auto"/>
        <w:ind w:left="436" w:right="263" w:hanging="284"/>
        <w:rPr>
          <w:rFonts w:ascii="Calibri"/>
          <w:sz w:val="20"/>
        </w:rPr>
      </w:pPr>
      <w:r>
        <w:rPr>
          <w:rFonts w:ascii="Calibri"/>
          <w:sz w:val="20"/>
        </w:rPr>
        <w:t xml:space="preserve">NHS Improvement. (2018) </w:t>
      </w:r>
      <w:r>
        <w:rPr>
          <w:rFonts w:ascii="Calibri"/>
          <w:i/>
          <w:sz w:val="20"/>
        </w:rPr>
        <w:t xml:space="preserve">Reference costs, </w:t>
      </w:r>
      <w:r>
        <w:rPr>
          <w:rFonts w:ascii="Calibri"/>
          <w:sz w:val="20"/>
        </w:rPr>
        <w:t xml:space="preserve">NHS Improvement. Highlights, analysis and introduction to the data November 2018, NHS Improvement, London. </w:t>
      </w:r>
      <w:hyperlink r:id="rId540">
        <w:r>
          <w:rPr>
            <w:rFonts w:ascii="Calibri"/>
            <w:sz w:val="20"/>
            <w:u w:val="single"/>
          </w:rPr>
          <w:t>https://improvement.nhs.uk/documents/1972/1_-_Reference_costs_201718.pdf</w:t>
        </w:r>
      </w:hyperlink>
      <w:r>
        <w:rPr>
          <w:rFonts w:ascii="Calibri"/>
          <w:sz w:val="20"/>
        </w:rPr>
        <w:t xml:space="preserve"> [accessed 12 July 2019]</w:t>
      </w:r>
    </w:p>
    <w:p w:rsidR="006A18FD" w:rsidRDefault="002D29FC">
      <w:pPr>
        <w:spacing w:before="2" w:line="276" w:lineRule="auto"/>
        <w:ind w:left="436" w:right="806" w:hanging="284"/>
        <w:rPr>
          <w:rFonts w:ascii="Calibri"/>
          <w:sz w:val="20"/>
        </w:rPr>
      </w:pPr>
      <w:r>
        <w:rPr>
          <w:rFonts w:ascii="Calibri"/>
          <w:sz w:val="20"/>
        </w:rPr>
        <w:t xml:space="preserve">North West Public Health Observatory (2011) </w:t>
      </w:r>
      <w:r>
        <w:rPr>
          <w:rFonts w:ascii="Calibri"/>
          <w:i/>
          <w:sz w:val="20"/>
        </w:rPr>
        <w:t>A review of the cost-effectiveness of individual level behaviour change interventions</w:t>
      </w:r>
      <w:r>
        <w:rPr>
          <w:rFonts w:ascii="Calibri"/>
          <w:sz w:val="20"/>
        </w:rPr>
        <w:t xml:space="preserve">, Health and Wellbeing Alliance, Manchester. </w:t>
      </w:r>
      <w:hyperlink r:id="rId541">
        <w:r>
          <w:rPr>
            <w:rFonts w:ascii="Calibri"/>
            <w:sz w:val="20"/>
            <w:u w:val="single"/>
          </w:rPr>
          <w:t>www.champspublichealth.com/writedir/0c65health_choices%20-%20FINAL.pdf</w:t>
        </w:r>
        <w:r>
          <w:rPr>
            <w:rFonts w:ascii="Calibri"/>
            <w:sz w:val="20"/>
          </w:rPr>
          <w:t xml:space="preserve"> </w:t>
        </w:r>
      </w:hyperlink>
      <w:r>
        <w:rPr>
          <w:rFonts w:ascii="Calibri"/>
          <w:sz w:val="20"/>
        </w:rPr>
        <w:t>[accessed 25 July 2013].</w:t>
      </w:r>
    </w:p>
    <w:p w:rsidR="006A18FD" w:rsidRDefault="002D29FC">
      <w:pPr>
        <w:spacing w:line="276" w:lineRule="auto"/>
        <w:ind w:left="436" w:right="418" w:hanging="284"/>
        <w:rPr>
          <w:rFonts w:ascii="Calibri"/>
          <w:sz w:val="20"/>
        </w:rPr>
      </w:pPr>
      <w:r>
        <w:rPr>
          <w:rFonts w:ascii="Calibri"/>
          <w:sz w:val="20"/>
        </w:rPr>
        <w:t xml:space="preserve">Pathway Analytics, </w:t>
      </w:r>
      <w:r>
        <w:rPr>
          <w:rFonts w:ascii="Calibri"/>
          <w:i/>
          <w:sz w:val="20"/>
        </w:rPr>
        <w:t>Integrated Sexual health Tariff</w:t>
      </w:r>
      <w:r>
        <w:rPr>
          <w:rFonts w:ascii="Calibri"/>
          <w:sz w:val="20"/>
        </w:rPr>
        <w:t xml:space="preserve">, [Online] </w:t>
      </w:r>
      <w:hyperlink r:id="rId542">
        <w:r>
          <w:rPr>
            <w:rFonts w:ascii="Calibri"/>
            <w:sz w:val="20"/>
            <w:u w:val="single"/>
          </w:rPr>
          <w:t>http://sexualhealthtariff.pathwayanalytics.com</w:t>
        </w:r>
        <w:r>
          <w:rPr>
            <w:rFonts w:ascii="Calibri"/>
            <w:sz w:val="20"/>
          </w:rPr>
          <w:t xml:space="preserve"> </w:t>
        </w:r>
      </w:hyperlink>
      <w:r>
        <w:rPr>
          <w:rFonts w:ascii="Calibri"/>
          <w:sz w:val="20"/>
        </w:rPr>
        <w:t>[accessed 12 July 2019]</w:t>
      </w:r>
    </w:p>
    <w:p w:rsidR="006A18FD" w:rsidRDefault="002D29FC">
      <w:pPr>
        <w:spacing w:line="276" w:lineRule="auto"/>
        <w:ind w:left="436" w:right="736" w:hanging="284"/>
        <w:rPr>
          <w:rFonts w:ascii="Calibri" w:hAnsi="Calibri"/>
          <w:sz w:val="20"/>
        </w:rPr>
      </w:pPr>
      <w:r>
        <w:rPr>
          <w:rFonts w:ascii="Calibri" w:hAnsi="Calibri"/>
          <w:sz w:val="20"/>
        </w:rPr>
        <w:t xml:space="preserve">Salford City Council (2011) </w:t>
      </w:r>
      <w:r>
        <w:rPr>
          <w:rFonts w:ascii="Calibri" w:hAnsi="Calibri"/>
          <w:i/>
          <w:sz w:val="20"/>
        </w:rPr>
        <w:t>Mental health</w:t>
      </w:r>
      <w:r>
        <w:rPr>
          <w:rFonts w:ascii="Calibri" w:hAnsi="Calibri"/>
          <w:sz w:val="20"/>
        </w:rPr>
        <w:t>, Salford City Council.</w:t>
      </w:r>
      <w:hyperlink r:id="rId543">
        <w:r>
          <w:rPr>
            <w:rFonts w:ascii="Calibri" w:hAnsi="Calibri"/>
            <w:sz w:val="20"/>
            <w:u w:val="single"/>
          </w:rPr>
          <w:t xml:space="preserve"> www.salford.gov.uk/mh‐partnership.htm</w:t>
        </w:r>
        <w:r>
          <w:rPr>
            <w:rFonts w:ascii="Calibri" w:hAnsi="Calibri"/>
            <w:sz w:val="20"/>
          </w:rPr>
          <w:t xml:space="preserve"> </w:t>
        </w:r>
      </w:hyperlink>
      <w:r>
        <w:rPr>
          <w:rFonts w:ascii="Calibri" w:hAnsi="Calibri"/>
          <w:sz w:val="20"/>
        </w:rPr>
        <w:t>[accessed 9 October 2013].</w:t>
      </w:r>
    </w:p>
    <w:p w:rsidR="006A18FD" w:rsidRDefault="002D29FC">
      <w:pPr>
        <w:spacing w:line="273" w:lineRule="auto"/>
        <w:ind w:left="436" w:right="1146" w:hanging="284"/>
        <w:rPr>
          <w:rFonts w:ascii="Calibri"/>
          <w:sz w:val="20"/>
        </w:rPr>
      </w:pPr>
      <w:r>
        <w:rPr>
          <w:rFonts w:ascii="Calibri"/>
          <w:sz w:val="20"/>
        </w:rPr>
        <w:t xml:space="preserve">Shah, A., Pennington, M., Heginbotham, C. &amp; Donaldson, C. (2011) Deprivation of liberty safeguards in England: implementation costs, </w:t>
      </w:r>
      <w:r>
        <w:rPr>
          <w:rFonts w:ascii="Calibri"/>
          <w:i/>
          <w:sz w:val="20"/>
        </w:rPr>
        <w:t>British Journal of Psychiatry</w:t>
      </w:r>
      <w:r>
        <w:rPr>
          <w:rFonts w:ascii="Calibri"/>
          <w:sz w:val="20"/>
        </w:rPr>
        <w:t>, 199, 232-238, doi:10.1192/bjp.bp.110.089474.</w:t>
      </w:r>
    </w:p>
    <w:p w:rsidR="006A18FD" w:rsidRDefault="002D29FC">
      <w:pPr>
        <w:spacing w:before="2" w:line="276" w:lineRule="auto"/>
        <w:ind w:left="436" w:hanging="284"/>
        <w:rPr>
          <w:rFonts w:ascii="Calibri"/>
          <w:sz w:val="20"/>
        </w:rPr>
      </w:pPr>
      <w:r>
        <w:rPr>
          <w:rFonts w:ascii="Calibri"/>
          <w:sz w:val="20"/>
        </w:rPr>
        <w:t xml:space="preserve">Shearer, J., McCrone, P. &amp; Romeo, R. (2016) Economic Evaluation of Mental Health Interventions: A Guide to Costing Approaches, </w:t>
      </w:r>
      <w:r>
        <w:rPr>
          <w:rFonts w:ascii="Calibri"/>
          <w:i/>
          <w:sz w:val="20"/>
        </w:rPr>
        <w:t>PharmacoEconomics</w:t>
      </w:r>
      <w:r>
        <w:rPr>
          <w:rFonts w:ascii="Calibri"/>
          <w:sz w:val="20"/>
        </w:rPr>
        <w:t>, 34, 651-664.</w:t>
      </w:r>
    </w:p>
    <w:p w:rsidR="006A18FD" w:rsidRDefault="006A18FD">
      <w:pPr>
        <w:spacing w:line="276" w:lineRule="auto"/>
        <w:rPr>
          <w:rFonts w:ascii="Calibri"/>
          <w:sz w:val="20"/>
        </w:rPr>
        <w:sectPr w:rsidR="006A18FD">
          <w:pgSz w:w="11910" w:h="16840"/>
          <w:pgMar w:top="960" w:right="580" w:bottom="280" w:left="980" w:header="751" w:footer="0" w:gutter="0"/>
          <w:cols w:space="720"/>
        </w:sectPr>
      </w:pPr>
    </w:p>
    <w:p w:rsidR="006A18FD" w:rsidRDefault="006A18FD">
      <w:pPr>
        <w:spacing w:before="3"/>
        <w:rPr>
          <w:rFonts w:ascii="Calibri"/>
          <w:sz w:val="17"/>
        </w:rPr>
      </w:pPr>
    </w:p>
    <w:p w:rsidR="006A18FD" w:rsidRDefault="002D29FC">
      <w:pPr>
        <w:spacing w:before="60" w:line="276" w:lineRule="auto"/>
        <w:ind w:left="423" w:right="183" w:hanging="284"/>
        <w:rPr>
          <w:rFonts w:ascii="Calibri"/>
          <w:sz w:val="20"/>
        </w:rPr>
      </w:pPr>
      <w:r>
        <w:rPr>
          <w:rFonts w:ascii="Calibri"/>
          <w:sz w:val="20"/>
        </w:rPr>
        <w:t xml:space="preserve">Skills for Care (2019) </w:t>
      </w:r>
      <w:r>
        <w:rPr>
          <w:rFonts w:ascii="Calibri"/>
          <w:i/>
          <w:sz w:val="20"/>
        </w:rPr>
        <w:t>The national minimum dataset for social care (NMDS-SC) and data protection: guidance for employers</w:t>
      </w:r>
      <w:r>
        <w:rPr>
          <w:rFonts w:ascii="Calibri"/>
          <w:sz w:val="20"/>
        </w:rPr>
        <w:t xml:space="preserve">, Skills for Care, London. </w:t>
      </w:r>
      <w:hyperlink r:id="rId544">
        <w:r>
          <w:rPr>
            <w:rFonts w:ascii="Calibri"/>
            <w:sz w:val="20"/>
            <w:u w:val="single"/>
          </w:rPr>
          <w:t>https://data.gov.uk/dataset/9cd42409-1a44-4e6c-9696-29d6a760e746/national-minimum-</w:t>
        </w:r>
      </w:hyperlink>
      <w:r>
        <w:rPr>
          <w:rFonts w:ascii="Calibri"/>
          <w:sz w:val="20"/>
        </w:rPr>
        <w:t xml:space="preserve"> </w:t>
      </w:r>
      <w:hyperlink r:id="rId545">
        <w:r>
          <w:rPr>
            <w:rFonts w:ascii="Calibri"/>
            <w:sz w:val="20"/>
            <w:u w:val="single"/>
          </w:rPr>
          <w:t>dataset-for-social-care-nmds-sc</w:t>
        </w:r>
        <w:r>
          <w:rPr>
            <w:rFonts w:ascii="Calibri"/>
            <w:sz w:val="20"/>
          </w:rPr>
          <w:t xml:space="preserve"> </w:t>
        </w:r>
      </w:hyperlink>
      <w:r>
        <w:rPr>
          <w:rFonts w:ascii="Calibri"/>
          <w:sz w:val="20"/>
        </w:rPr>
        <w:t>[accessed 9 September 2019].</w:t>
      </w:r>
    </w:p>
    <w:p w:rsidR="006A18FD" w:rsidRDefault="002D29FC">
      <w:pPr>
        <w:spacing w:line="276" w:lineRule="auto"/>
        <w:ind w:left="423" w:right="337" w:hanging="284"/>
        <w:rPr>
          <w:rFonts w:ascii="Calibri"/>
          <w:sz w:val="20"/>
        </w:rPr>
      </w:pPr>
      <w:r>
        <w:rPr>
          <w:rFonts w:ascii="Calibri"/>
          <w:sz w:val="20"/>
        </w:rPr>
        <w:t xml:space="preserve">Skills for Care (2017) </w:t>
      </w:r>
      <w:r>
        <w:rPr>
          <w:rFonts w:ascii="Calibri"/>
          <w:i/>
          <w:sz w:val="20"/>
        </w:rPr>
        <w:t>Positive behaviour support</w:t>
      </w:r>
      <w:r>
        <w:rPr>
          <w:rFonts w:ascii="Calibri"/>
          <w:sz w:val="20"/>
        </w:rPr>
        <w:t xml:space="preserve">, Skills for Care, London. </w:t>
      </w:r>
      <w:hyperlink r:id="rId546">
        <w:r>
          <w:rPr>
            <w:rFonts w:ascii="Calibri"/>
            <w:sz w:val="20"/>
            <w:u w:val="single"/>
          </w:rPr>
          <w:t>http://www.skillsforcare.org.uk/Topics/Learning-</w:t>
        </w:r>
      </w:hyperlink>
      <w:r>
        <w:rPr>
          <w:rFonts w:ascii="Calibri"/>
          <w:sz w:val="20"/>
        </w:rPr>
        <w:t xml:space="preserve"> </w:t>
      </w:r>
      <w:hyperlink r:id="rId547">
        <w:r>
          <w:rPr>
            <w:rFonts w:ascii="Calibri"/>
            <w:sz w:val="20"/>
            <w:u w:val="single"/>
          </w:rPr>
          <w:t>disability/Positive-behavioural-support/Positive-behaviour-support.aspx</w:t>
        </w:r>
        <w:r>
          <w:rPr>
            <w:rFonts w:ascii="Calibri"/>
            <w:sz w:val="20"/>
          </w:rPr>
          <w:t xml:space="preserve"> </w:t>
        </w:r>
      </w:hyperlink>
      <w:r>
        <w:rPr>
          <w:rFonts w:ascii="Calibri"/>
          <w:sz w:val="20"/>
        </w:rPr>
        <w:t>[accessed 12 October 2017].</w:t>
      </w:r>
    </w:p>
    <w:p w:rsidR="006A18FD" w:rsidRDefault="002D29FC">
      <w:pPr>
        <w:spacing w:line="276" w:lineRule="auto"/>
        <w:ind w:left="423" w:right="520" w:hanging="284"/>
        <w:rPr>
          <w:rFonts w:ascii="Calibri"/>
          <w:sz w:val="20"/>
        </w:rPr>
      </w:pPr>
      <w:r>
        <w:rPr>
          <w:rFonts w:ascii="Calibri"/>
          <w:sz w:val="20"/>
        </w:rPr>
        <w:t xml:space="preserve">Smith, K., Cook, R. &amp; Ness, R. (2007) Cost comparisons between home- and clinic-based testing for sexually transmitted diseases in high-risk young women, </w:t>
      </w:r>
      <w:r>
        <w:rPr>
          <w:rFonts w:ascii="Calibri"/>
          <w:i/>
          <w:sz w:val="20"/>
        </w:rPr>
        <w:t>Infectious Diseases in Obstetric Gynecology</w:t>
      </w:r>
      <w:r>
        <w:rPr>
          <w:rFonts w:ascii="Calibri"/>
          <w:sz w:val="20"/>
        </w:rPr>
        <w:t>, ,62467, pmid:18273404.</w:t>
      </w:r>
    </w:p>
    <w:p w:rsidR="006A18FD" w:rsidRDefault="002D29FC">
      <w:pPr>
        <w:spacing w:line="276" w:lineRule="auto"/>
        <w:ind w:left="423" w:right="225" w:hanging="284"/>
        <w:rPr>
          <w:rFonts w:ascii="Calibri"/>
          <w:sz w:val="20"/>
        </w:rPr>
      </w:pPr>
      <w:r>
        <w:rPr>
          <w:rFonts w:ascii="Calibri"/>
          <w:sz w:val="20"/>
        </w:rPr>
        <w:t xml:space="preserve">Thomas, C. (2013) </w:t>
      </w:r>
      <w:r>
        <w:rPr>
          <w:rFonts w:ascii="Calibri"/>
          <w:i/>
          <w:sz w:val="20"/>
        </w:rPr>
        <w:t>Adoption for looked after children: messages from research</w:t>
      </w:r>
      <w:r>
        <w:rPr>
          <w:rFonts w:ascii="Calibri"/>
          <w:sz w:val="20"/>
        </w:rPr>
        <w:t>, British Association for Adoption &amp; Fostering BAAF), London.</w:t>
      </w:r>
    </w:p>
    <w:p w:rsidR="006A18FD" w:rsidRDefault="002D29FC">
      <w:pPr>
        <w:spacing w:line="276" w:lineRule="auto"/>
        <w:ind w:left="423" w:right="355" w:hanging="284"/>
        <w:rPr>
          <w:rFonts w:ascii="Calibri"/>
          <w:sz w:val="20"/>
        </w:rPr>
      </w:pPr>
      <w:r>
        <w:rPr>
          <w:rFonts w:ascii="Calibri"/>
          <w:sz w:val="20"/>
        </w:rPr>
        <w:t xml:space="preserve">Turner, K., Zienkiewicz, A., Syred, J., Looker, K., de Sa, J., Brady, M., Free, C., Holdsworth, G. &amp; Baraitser, P. (2018) Web- Based Activity Within a Sexual Health Economy, Observational Study. </w:t>
      </w:r>
      <w:r>
        <w:rPr>
          <w:rFonts w:ascii="Calibri"/>
          <w:i/>
          <w:sz w:val="20"/>
        </w:rPr>
        <w:t>Journal of medical Internet research</w:t>
      </w:r>
      <w:r>
        <w:rPr>
          <w:rFonts w:ascii="Calibri"/>
          <w:sz w:val="20"/>
        </w:rPr>
        <w:t>, 20 , 3, e74. ISSN 1439-4456 DOI.</w:t>
      </w:r>
    </w:p>
    <w:p w:rsidR="006A18FD" w:rsidRDefault="002D29FC">
      <w:pPr>
        <w:spacing w:line="276" w:lineRule="auto"/>
        <w:ind w:left="423" w:right="925" w:hanging="284"/>
        <w:rPr>
          <w:rFonts w:ascii="Calibri"/>
          <w:sz w:val="20"/>
        </w:rPr>
      </w:pPr>
      <w:r>
        <w:rPr>
          <w:rFonts w:ascii="Calibri"/>
          <w:sz w:val="20"/>
        </w:rPr>
        <w:t xml:space="preserve">United Kingdom Home Care Association (UKHCA) (2012) </w:t>
      </w:r>
      <w:r>
        <w:rPr>
          <w:rFonts w:ascii="Calibri"/>
          <w:i/>
          <w:sz w:val="20"/>
        </w:rPr>
        <w:t>An overview of the UK domiciliary care sector</w:t>
      </w:r>
      <w:r>
        <w:rPr>
          <w:rFonts w:ascii="Calibri"/>
          <w:sz w:val="20"/>
        </w:rPr>
        <w:t>, Home Care Association Limited.</w:t>
      </w:r>
    </w:p>
    <w:p w:rsidR="006A18FD" w:rsidRDefault="002D29FC">
      <w:pPr>
        <w:spacing w:line="276" w:lineRule="auto"/>
        <w:ind w:left="140" w:right="277"/>
        <w:rPr>
          <w:rFonts w:ascii="Calibri"/>
          <w:sz w:val="20"/>
        </w:rPr>
      </w:pPr>
      <w:r>
        <w:rPr>
          <w:rFonts w:ascii="Calibri"/>
          <w:sz w:val="20"/>
        </w:rPr>
        <w:t xml:space="preserve">Ward, H., Holmes, L. &amp; Soper, J. (2008) </w:t>
      </w:r>
      <w:r>
        <w:rPr>
          <w:rFonts w:ascii="Calibri"/>
          <w:i/>
          <w:sz w:val="20"/>
        </w:rPr>
        <w:t>Costs and consequences of placing children in care</w:t>
      </w:r>
      <w:r>
        <w:rPr>
          <w:rFonts w:ascii="Calibri"/>
          <w:sz w:val="20"/>
        </w:rPr>
        <w:t>, Jessica Kingsley, London. Wilson, E., Free, C., Morris, T., Syred, J., Ahamed, I., Menon-Johansson, A., Palmer, M., Barnard, S., Rezel, E. &amp; Baraitser, P.</w:t>
      </w:r>
    </w:p>
    <w:p w:rsidR="006A18FD" w:rsidRDefault="002D29FC">
      <w:pPr>
        <w:spacing w:before="2" w:line="276" w:lineRule="auto"/>
        <w:ind w:left="423" w:right="434"/>
        <w:rPr>
          <w:rFonts w:ascii="Calibri"/>
          <w:sz w:val="20"/>
        </w:rPr>
      </w:pPr>
      <w:r>
        <w:rPr>
          <w:rFonts w:ascii="Calibri"/>
          <w:sz w:val="20"/>
        </w:rPr>
        <w:t xml:space="preserve">(2017)Internet-accessed sexually transmitted infection (e-STI) testing and results service: A randomised, single-blind, controlled trial, </w:t>
      </w:r>
      <w:r>
        <w:rPr>
          <w:rFonts w:ascii="Calibri"/>
          <w:i/>
          <w:sz w:val="20"/>
        </w:rPr>
        <w:t>PLoS Medicine</w:t>
      </w:r>
      <w:r>
        <w:rPr>
          <w:rFonts w:ascii="Calibri"/>
          <w:sz w:val="20"/>
        </w:rPr>
        <w:t>, 14, 12, e1002479. doi:10.1371/journal.pmed.1002479.</w:t>
      </w:r>
    </w:p>
    <w:p w:rsidR="006A18FD" w:rsidRDefault="002D29FC">
      <w:pPr>
        <w:spacing w:line="276" w:lineRule="auto"/>
        <w:ind w:left="423" w:right="1041" w:hanging="284"/>
        <w:rPr>
          <w:rFonts w:ascii="Calibri"/>
          <w:sz w:val="20"/>
        </w:rPr>
      </w:pPr>
      <w:r>
        <w:rPr>
          <w:rFonts w:ascii="Calibri"/>
          <w:sz w:val="20"/>
        </w:rPr>
        <w:t xml:space="preserve">World Health Organisation (2014) </w:t>
      </w:r>
      <w:r>
        <w:rPr>
          <w:rFonts w:ascii="Calibri"/>
          <w:i/>
          <w:sz w:val="20"/>
        </w:rPr>
        <w:t>Social determinants of mental health</w:t>
      </w:r>
      <w:r>
        <w:rPr>
          <w:rFonts w:ascii="Calibri"/>
          <w:sz w:val="20"/>
        </w:rPr>
        <w:t>, World Health Organisation and Calouste Gulbenkian Foundation, Geneva.</w:t>
      </w:r>
    </w:p>
    <w:p w:rsidR="006A18FD" w:rsidRDefault="006A18FD">
      <w:pPr>
        <w:spacing w:line="276" w:lineRule="auto"/>
        <w:rPr>
          <w:rFonts w:ascii="Calibri"/>
          <w:sz w:val="20"/>
        </w:rPr>
        <w:sectPr w:rsidR="006A18FD">
          <w:headerReference w:type="even" r:id="rId548"/>
          <w:headerReference w:type="default" r:id="rId549"/>
          <w:pgSz w:w="11910" w:h="16840"/>
          <w:pgMar w:top="1000" w:right="980" w:bottom="280" w:left="580" w:header="751" w:footer="0" w:gutter="0"/>
          <w:pgNumType w:start="17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50" name="Line 7"/>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0FBC53" id="Group 6"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">
                <v:line id="Line 7"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w10:anchorlock/>
              </v:group>
            </w:pict>
          </mc:Fallback>
        </mc:AlternateContent>
      </w:r>
    </w:p>
    <w:p w:rsidR="006A18FD" w:rsidRDefault="002D29FC" w:rsidP="005629E5">
      <w:pPr>
        <w:pStyle w:val="Heading1"/>
        <w:numPr>
          <w:ilvl w:val="0"/>
          <w:numId w:val="4"/>
        </w:numPr>
        <w:jc w:val="left"/>
      </w:pPr>
      <w:r>
        <w:t>List of useful</w:t>
      </w:r>
      <w:r>
        <w:rPr>
          <w:spacing w:val="-10"/>
        </w:rPr>
        <w:t xml:space="preserve"> </w:t>
      </w:r>
      <w:r>
        <w:t>websites</w:t>
      </w:r>
    </w:p>
    <w:p w:rsidR="006A18FD" w:rsidRDefault="002D29FC">
      <w:pPr>
        <w:spacing w:before="303"/>
        <w:ind w:left="152"/>
        <w:rPr>
          <w:rFonts w:ascii="Calibri"/>
          <w:sz w:val="20"/>
        </w:rPr>
      </w:pPr>
      <w:r>
        <w:rPr>
          <w:rFonts w:ascii="Calibri"/>
          <w:sz w:val="20"/>
        </w:rPr>
        <w:t xml:space="preserve">Adult Social Care Finance Return (ASC-FR): </w:t>
      </w:r>
      <w:hyperlink r:id="rId550">
        <w:r>
          <w:rPr>
            <w:rFonts w:ascii="Calibri"/>
            <w:sz w:val="20"/>
            <w:u w:val="single"/>
          </w:rPr>
          <w:t>http://content.digital.nhs.uk/datacollections/ASC-FR</w:t>
        </w:r>
      </w:hyperlink>
    </w:p>
    <w:p w:rsidR="006A18FD" w:rsidRDefault="006A18FD">
      <w:pPr>
        <w:spacing w:before="9"/>
        <w:rPr>
          <w:rFonts w:ascii="Calibri"/>
          <w:sz w:val="17"/>
        </w:rPr>
      </w:pPr>
    </w:p>
    <w:p w:rsidR="006A18FD" w:rsidRDefault="002D29FC">
      <w:pPr>
        <w:spacing w:before="59"/>
        <w:ind w:left="152"/>
        <w:rPr>
          <w:rFonts w:ascii="Calibri"/>
          <w:sz w:val="20"/>
        </w:rPr>
      </w:pPr>
      <w:r>
        <w:rPr>
          <w:rFonts w:ascii="Calibri"/>
          <w:sz w:val="20"/>
        </w:rPr>
        <w:t xml:space="preserve">Building Cost Information Service: </w:t>
      </w:r>
      <w:hyperlink r:id="rId551">
        <w:r>
          <w:rPr>
            <w:rFonts w:ascii="Calibri"/>
            <w:sz w:val="20"/>
            <w:u w:val="single"/>
          </w:rPr>
          <w:t>http://www.bcis.co.uk/site/index.aspx</w:t>
        </w:r>
      </w:hyperlink>
    </w:p>
    <w:p w:rsidR="006A18FD" w:rsidRDefault="002D29FC">
      <w:pPr>
        <w:spacing w:before="36"/>
        <w:ind w:left="549"/>
        <w:rPr>
          <w:rFonts w:ascii="Calibri" w:hAnsi="Calibri"/>
          <w:sz w:val="20"/>
        </w:rPr>
      </w:pPr>
      <w:r>
        <w:rPr>
          <w:rFonts w:ascii="Calibri" w:hAnsi="Calibri"/>
          <w:sz w:val="20"/>
        </w:rPr>
        <w:t>BCIS is the UK’s leading provider of cost and price information for construction and property occupancy.</w:t>
      </w:r>
    </w:p>
    <w:p w:rsidR="006A18FD" w:rsidRDefault="006A18FD">
      <w:pPr>
        <w:spacing w:before="7"/>
        <w:rPr>
          <w:rFonts w:ascii="Calibri"/>
        </w:rPr>
      </w:pPr>
    </w:p>
    <w:p w:rsidR="006A18FD" w:rsidRDefault="002D29FC">
      <w:pPr>
        <w:spacing w:before="1"/>
        <w:ind w:left="152"/>
        <w:rPr>
          <w:rFonts w:ascii="Calibri"/>
          <w:sz w:val="20"/>
        </w:rPr>
      </w:pPr>
      <w:r>
        <w:rPr>
          <w:rFonts w:ascii="Calibri"/>
          <w:sz w:val="20"/>
        </w:rPr>
        <w:t xml:space="preserve">Care Quality Commission: </w:t>
      </w:r>
      <w:hyperlink r:id="rId552">
        <w:r>
          <w:rPr>
            <w:rFonts w:ascii="Calibri"/>
            <w:sz w:val="20"/>
            <w:u w:val="single"/>
          </w:rPr>
          <w:t>http://www.cqc.org.uk/</w:t>
        </w:r>
      </w:hyperlink>
    </w:p>
    <w:p w:rsidR="006A18FD" w:rsidRDefault="002D29FC">
      <w:pPr>
        <w:spacing w:before="36" w:line="276" w:lineRule="auto"/>
        <w:ind w:left="549" w:right="362"/>
        <w:rPr>
          <w:rFonts w:ascii="Calibri"/>
          <w:sz w:val="20"/>
        </w:rPr>
      </w:pPr>
      <w:r>
        <w:rPr>
          <w:rFonts w:ascii="Calibri"/>
          <w:sz w:val="20"/>
        </w:rPr>
        <w:t>The Care Quality Commission is the health and social care regulator for England and replaces the Healthcare Commission, Commission for Social Care Inspection and the Mental Health Act Commission which all ceased to exist on 31 March 2009.</w:t>
      </w:r>
    </w:p>
    <w:p w:rsidR="006A18FD" w:rsidRDefault="006A18FD">
      <w:pPr>
        <w:spacing w:before="7"/>
        <w:rPr>
          <w:rFonts w:ascii="Calibri"/>
          <w:sz w:val="19"/>
        </w:rPr>
      </w:pPr>
    </w:p>
    <w:p w:rsidR="006A18FD" w:rsidRDefault="002D29FC">
      <w:pPr>
        <w:ind w:left="152"/>
        <w:rPr>
          <w:rFonts w:ascii="Calibri"/>
          <w:sz w:val="20"/>
        </w:rPr>
      </w:pPr>
      <w:r>
        <w:rPr>
          <w:rFonts w:ascii="Calibri"/>
          <w:sz w:val="20"/>
        </w:rPr>
        <w:t xml:space="preserve">Centre for Child and Family Research: </w:t>
      </w:r>
      <w:hyperlink r:id="rId553">
        <w:r>
          <w:rPr>
            <w:rFonts w:ascii="Calibri"/>
            <w:sz w:val="20"/>
            <w:u w:val="single"/>
          </w:rPr>
          <w:t>http://www.lboro.ac.uk/research/ccfr/</w:t>
        </w:r>
      </w:hyperlink>
    </w:p>
    <w:p w:rsidR="006A18FD" w:rsidRDefault="006A18FD">
      <w:pPr>
        <w:spacing w:before="10"/>
        <w:rPr>
          <w:rFonts w:ascii="Calibri"/>
          <w:sz w:val="17"/>
        </w:rPr>
      </w:pPr>
    </w:p>
    <w:p w:rsidR="006A18FD" w:rsidRDefault="002D29FC">
      <w:pPr>
        <w:spacing w:before="59"/>
        <w:ind w:left="152"/>
        <w:rPr>
          <w:rFonts w:ascii="Calibri"/>
          <w:sz w:val="20"/>
        </w:rPr>
      </w:pPr>
      <w:r>
        <w:rPr>
          <w:rFonts w:ascii="Calibri"/>
          <w:sz w:val="20"/>
        </w:rPr>
        <w:t xml:space="preserve">Chartered Institute of Public Finance and Accountancy (CIPFA): </w:t>
      </w:r>
      <w:hyperlink r:id="rId554">
        <w:r>
          <w:rPr>
            <w:rFonts w:ascii="Calibri"/>
            <w:sz w:val="20"/>
            <w:u w:val="single"/>
          </w:rPr>
          <w:t>http://www.cipfa.org/</w:t>
        </w:r>
      </w:hyperlink>
    </w:p>
    <w:p w:rsidR="006A18FD" w:rsidRDefault="002D29FC">
      <w:pPr>
        <w:spacing w:before="36" w:line="276" w:lineRule="auto"/>
        <w:ind w:left="549" w:right="153"/>
        <w:rPr>
          <w:rFonts w:ascii="Calibri" w:hAnsi="Calibri"/>
          <w:sz w:val="20"/>
        </w:rPr>
      </w:pPr>
      <w:r>
        <w:rPr>
          <w:rFonts w:ascii="Calibri" w:hAnsi="Calibri"/>
          <w:sz w:val="20"/>
        </w:rPr>
        <w:t>The CIPFA Statistical Information Service (SIS) was established as a partnership between individual authorities and CIPFA. SIS has been undertaking detailed annual surveys of local authority operations for more than a century, and the ‘CIPFA Statistics’ still remain the only impartial and comprehensive account of the extent and achievements of each individual council. Surveys are conducted in the following areas: education, environmental services, environmental health, housing, leisure, planning, public protection, social services, transport.</w:t>
      </w:r>
    </w:p>
    <w:p w:rsidR="006A18FD" w:rsidRDefault="006A18FD">
      <w:pPr>
        <w:spacing w:before="7"/>
        <w:rPr>
          <w:rFonts w:ascii="Calibri"/>
          <w:sz w:val="19"/>
        </w:rPr>
      </w:pPr>
    </w:p>
    <w:p w:rsidR="006A18FD" w:rsidRDefault="002D29FC">
      <w:pPr>
        <w:ind w:left="152"/>
        <w:rPr>
          <w:rFonts w:ascii="Calibri"/>
          <w:sz w:val="20"/>
        </w:rPr>
      </w:pPr>
      <w:r>
        <w:rPr>
          <w:rFonts w:ascii="Calibri"/>
          <w:sz w:val="20"/>
        </w:rPr>
        <w:t xml:space="preserve">Department for Education: </w:t>
      </w:r>
      <w:hyperlink r:id="rId555">
        <w:r>
          <w:rPr>
            <w:rFonts w:ascii="Calibri"/>
            <w:sz w:val="20"/>
            <w:u w:val="single"/>
          </w:rPr>
          <w:t>http://www.education.gov.uk/</w:t>
        </w:r>
      </w:hyperlink>
    </w:p>
    <w:p w:rsidR="006A18FD" w:rsidRDefault="006A18FD">
      <w:pPr>
        <w:spacing w:before="9"/>
        <w:rPr>
          <w:rFonts w:ascii="Calibri"/>
          <w:sz w:val="17"/>
        </w:rPr>
      </w:pPr>
    </w:p>
    <w:p w:rsidR="006A18FD" w:rsidRDefault="002D29FC">
      <w:pPr>
        <w:spacing w:before="59" w:line="276" w:lineRule="auto"/>
        <w:ind w:left="152" w:right="273"/>
        <w:rPr>
          <w:rFonts w:ascii="Calibri"/>
          <w:sz w:val="20"/>
        </w:rPr>
      </w:pPr>
      <w:r>
        <w:rPr>
          <w:rFonts w:ascii="Calibri"/>
          <w:sz w:val="20"/>
        </w:rPr>
        <w:t xml:space="preserve">Department of Health and Social Care : </w:t>
      </w:r>
      <w:r>
        <w:rPr>
          <w:rFonts w:ascii="Calibri"/>
          <w:sz w:val="20"/>
          <w:u w:val="single"/>
        </w:rPr>
        <w:t>https:</w:t>
      </w:r>
      <w:hyperlink r:id="rId556">
        <w:r>
          <w:rPr>
            <w:rFonts w:ascii="Calibri"/>
            <w:sz w:val="20"/>
            <w:u w:val="single"/>
          </w:rPr>
          <w:t>//w</w:t>
        </w:r>
      </w:hyperlink>
      <w:r>
        <w:rPr>
          <w:rFonts w:ascii="Calibri"/>
          <w:sz w:val="20"/>
          <w:u w:val="single"/>
        </w:rPr>
        <w:t>ww</w:t>
      </w:r>
      <w:hyperlink r:id="rId557">
        <w:r>
          <w:rPr>
            <w:rFonts w:ascii="Calibri"/>
            <w:sz w:val="20"/>
            <w:u w:val="single"/>
          </w:rPr>
          <w:t>.gov.uk/government/organisations/department-of-health-and-social-</w:t>
        </w:r>
      </w:hyperlink>
      <w:r>
        <w:rPr>
          <w:rFonts w:ascii="Calibri"/>
          <w:sz w:val="20"/>
        </w:rPr>
        <w:t xml:space="preserve"> </w:t>
      </w:r>
      <w:r>
        <w:rPr>
          <w:rFonts w:ascii="Calibri"/>
          <w:sz w:val="20"/>
          <w:u w:val="single"/>
        </w:rPr>
        <w:t>care</w:t>
      </w:r>
    </w:p>
    <w:p w:rsidR="006A18FD" w:rsidRDefault="006A18FD">
      <w:pPr>
        <w:spacing w:before="10"/>
        <w:rPr>
          <w:rFonts w:ascii="Calibri"/>
          <w:sz w:val="14"/>
        </w:rPr>
      </w:pPr>
    </w:p>
    <w:p w:rsidR="006A18FD" w:rsidRDefault="002D29FC">
      <w:pPr>
        <w:spacing w:before="59"/>
        <w:ind w:left="152"/>
        <w:rPr>
          <w:rFonts w:ascii="Calibri"/>
          <w:sz w:val="20"/>
        </w:rPr>
      </w:pPr>
      <w:r>
        <w:rPr>
          <w:rFonts w:ascii="Calibri"/>
          <w:sz w:val="20"/>
        </w:rPr>
        <w:t xml:space="preserve">Department for Work and Pensions: </w:t>
      </w:r>
      <w:hyperlink r:id="rId558">
        <w:r>
          <w:rPr>
            <w:rFonts w:ascii="Calibri"/>
            <w:sz w:val="20"/>
            <w:u w:val="single"/>
          </w:rPr>
          <w:t>http://www.dwp.gov.uk/</w:t>
        </w:r>
      </w:hyperlink>
    </w:p>
    <w:p w:rsidR="006A18FD" w:rsidRDefault="006A18FD">
      <w:pPr>
        <w:spacing w:before="10"/>
        <w:rPr>
          <w:rFonts w:ascii="Calibri"/>
          <w:sz w:val="17"/>
        </w:rPr>
      </w:pPr>
    </w:p>
    <w:p w:rsidR="006A18FD" w:rsidRDefault="002D29FC">
      <w:pPr>
        <w:spacing w:before="59"/>
        <w:ind w:left="152"/>
        <w:rPr>
          <w:rFonts w:ascii="Calibri"/>
          <w:sz w:val="20"/>
        </w:rPr>
      </w:pPr>
      <w:r>
        <w:rPr>
          <w:rFonts w:ascii="Calibri"/>
          <w:sz w:val="20"/>
        </w:rPr>
        <w:t xml:space="preserve">Family Resource Survey: </w:t>
      </w:r>
      <w:hyperlink r:id="rId559">
        <w:r>
          <w:rPr>
            <w:rFonts w:ascii="Calibri"/>
            <w:sz w:val="20"/>
            <w:u w:val="single"/>
          </w:rPr>
          <w:t>http://research.dwp.gov.uk/asd/frs/</w:t>
        </w:r>
      </w:hyperlink>
    </w:p>
    <w:p w:rsidR="006A18FD" w:rsidRDefault="006A18FD">
      <w:pPr>
        <w:spacing w:before="10"/>
        <w:rPr>
          <w:rFonts w:ascii="Calibri"/>
          <w:sz w:val="17"/>
        </w:rPr>
      </w:pPr>
    </w:p>
    <w:p w:rsidR="006A18FD" w:rsidRDefault="002D29FC">
      <w:pPr>
        <w:spacing w:before="59"/>
        <w:ind w:left="152"/>
        <w:rPr>
          <w:rFonts w:ascii="Calibri"/>
          <w:sz w:val="20"/>
        </w:rPr>
      </w:pPr>
      <w:r>
        <w:rPr>
          <w:rFonts w:ascii="Calibri"/>
          <w:sz w:val="20"/>
        </w:rPr>
        <w:t xml:space="preserve">Federation of Ophthalmic &amp; Dispensing Opticians: </w:t>
      </w:r>
      <w:hyperlink r:id="rId560">
        <w:r>
          <w:rPr>
            <w:rFonts w:ascii="Calibri"/>
            <w:sz w:val="20"/>
            <w:u w:val="single"/>
          </w:rPr>
          <w:t>http://www.fodo.com</w:t>
        </w:r>
      </w:hyperlink>
      <w:r>
        <w:rPr>
          <w:rFonts w:ascii="Calibri"/>
          <w:sz w:val="20"/>
          <w:u w:val="single"/>
        </w:rPr>
        <w:t>/</w:t>
      </w:r>
    </w:p>
    <w:p w:rsidR="006A18FD" w:rsidRDefault="006A18FD">
      <w:pPr>
        <w:spacing w:before="10"/>
        <w:rPr>
          <w:rFonts w:ascii="Calibri"/>
          <w:sz w:val="17"/>
        </w:rPr>
      </w:pPr>
    </w:p>
    <w:p w:rsidR="006A18FD" w:rsidRDefault="002D29FC">
      <w:pPr>
        <w:spacing w:before="59"/>
        <w:ind w:left="152"/>
        <w:rPr>
          <w:rFonts w:ascii="Calibri"/>
          <w:sz w:val="20"/>
        </w:rPr>
      </w:pPr>
      <w:r>
        <w:rPr>
          <w:rFonts w:ascii="Calibri"/>
          <w:sz w:val="20"/>
        </w:rPr>
        <w:t xml:space="preserve">Hospital Episode Statistics (HES): </w:t>
      </w:r>
      <w:hyperlink r:id="rId561">
        <w:r>
          <w:rPr>
            <w:rFonts w:ascii="Calibri"/>
            <w:sz w:val="20"/>
            <w:u w:val="single"/>
          </w:rPr>
          <w:t>http://www.hesonline.nhs.uk</w:t>
        </w:r>
      </w:hyperlink>
      <w:r>
        <w:rPr>
          <w:rFonts w:ascii="Calibri"/>
          <w:sz w:val="20"/>
          <w:u w:val="single"/>
        </w:rPr>
        <w:t>/</w:t>
      </w:r>
    </w:p>
    <w:p w:rsidR="006A18FD" w:rsidRDefault="002D29FC">
      <w:pPr>
        <w:spacing w:before="36" w:line="276" w:lineRule="auto"/>
        <w:ind w:left="549" w:right="186"/>
        <w:rPr>
          <w:rFonts w:ascii="Calibri"/>
          <w:sz w:val="20"/>
        </w:rPr>
      </w:pPr>
      <w:r>
        <w:rPr>
          <w:rFonts w:ascii="Calibri"/>
          <w:sz w:val="20"/>
        </w:rPr>
        <w:t>This is the national statistical data warehouse for England of the care provided by NHS hospitals and for NHS hospital patients treated elsewhere. HES is the data source for a wide range of health-care analysis for the NHS, Government and many other organisations and individuals. The HES database is a record-level database of hospital admissions and is currently populated by taking an annual snapshot of a sub-set of the data submitted by NHS Trusts to the NHS-Wide Clearing Service (NWCS). Quarterly information is also collected. A separate database table is held for each financial year, containing approximately 11 million admitted patient records from all NHS Trusts in England.</w:t>
      </w:r>
    </w:p>
    <w:p w:rsidR="006A18FD" w:rsidRDefault="006A18FD">
      <w:pPr>
        <w:spacing w:before="7"/>
        <w:rPr>
          <w:rFonts w:ascii="Calibri"/>
          <w:sz w:val="19"/>
        </w:rPr>
      </w:pPr>
    </w:p>
    <w:p w:rsidR="006A18FD" w:rsidRDefault="002D29FC">
      <w:pPr>
        <w:ind w:left="152"/>
        <w:rPr>
          <w:rFonts w:ascii="Calibri"/>
          <w:sz w:val="20"/>
        </w:rPr>
      </w:pPr>
      <w:r>
        <w:rPr>
          <w:rFonts w:ascii="Calibri"/>
          <w:sz w:val="20"/>
        </w:rPr>
        <w:t xml:space="preserve">Joseph Rowntree Foundation: </w:t>
      </w:r>
      <w:hyperlink r:id="rId562">
        <w:r>
          <w:rPr>
            <w:rFonts w:ascii="Calibri"/>
            <w:sz w:val="20"/>
            <w:u w:val="single"/>
          </w:rPr>
          <w:t>http://www.jrf.org.uk</w:t>
        </w:r>
      </w:hyperlink>
      <w:r>
        <w:rPr>
          <w:rFonts w:ascii="Calibri"/>
          <w:sz w:val="20"/>
          <w:u w:val="single"/>
        </w:rPr>
        <w:t>/</w:t>
      </w:r>
    </w:p>
    <w:p w:rsidR="006A18FD" w:rsidRDefault="002D29FC">
      <w:pPr>
        <w:spacing w:before="36"/>
        <w:ind w:left="549"/>
        <w:rPr>
          <w:rFonts w:ascii="Calibri"/>
          <w:sz w:val="20"/>
        </w:rPr>
      </w:pPr>
      <w:r>
        <w:rPr>
          <w:rFonts w:ascii="Calibri"/>
          <w:sz w:val="20"/>
        </w:rPr>
        <w:t>This website provides information on housing and care.</w:t>
      </w:r>
    </w:p>
    <w:p w:rsidR="006A18FD" w:rsidRDefault="006A18FD">
      <w:pPr>
        <w:spacing w:before="7"/>
        <w:rPr>
          <w:rFonts w:ascii="Calibri"/>
        </w:rPr>
      </w:pPr>
    </w:p>
    <w:p w:rsidR="006A18FD" w:rsidRDefault="002D29FC">
      <w:pPr>
        <w:spacing w:before="1"/>
        <w:ind w:left="152"/>
        <w:rPr>
          <w:rFonts w:ascii="Calibri"/>
          <w:sz w:val="20"/>
        </w:rPr>
      </w:pPr>
      <w:r>
        <w:rPr>
          <w:rFonts w:ascii="Calibri"/>
          <w:sz w:val="20"/>
        </w:rPr>
        <w:t xml:space="preserve">LaingBuisson: </w:t>
      </w:r>
      <w:hyperlink r:id="rId563">
        <w:r>
          <w:rPr>
            <w:rFonts w:ascii="Calibri"/>
            <w:sz w:val="20"/>
            <w:u w:val="single"/>
          </w:rPr>
          <w:t>http://www.laingbuisson.co.uk</w:t>
        </w:r>
      </w:hyperlink>
      <w:r>
        <w:rPr>
          <w:rFonts w:ascii="Calibri"/>
          <w:sz w:val="20"/>
          <w:u w:val="single"/>
        </w:rPr>
        <w:t>/</w:t>
      </w:r>
    </w:p>
    <w:p w:rsidR="006A18FD" w:rsidRDefault="002D29FC">
      <w:pPr>
        <w:spacing w:before="36" w:line="276" w:lineRule="auto"/>
        <w:ind w:left="549" w:right="441"/>
        <w:rPr>
          <w:rFonts w:ascii="Calibri"/>
          <w:sz w:val="20"/>
        </w:rPr>
      </w:pPr>
      <w:r>
        <w:rPr>
          <w:rFonts w:ascii="Calibri"/>
          <w:sz w:val="20"/>
        </w:rPr>
        <w:t>LaingBuisson, an independent company, provides data, statistics, analysis and market intelligence on the UK health services.</w:t>
      </w:r>
    </w:p>
    <w:p w:rsidR="006A18FD" w:rsidRDefault="006A18FD">
      <w:pPr>
        <w:spacing w:before="7"/>
        <w:rPr>
          <w:rFonts w:ascii="Calibri"/>
          <w:sz w:val="19"/>
        </w:rPr>
      </w:pPr>
    </w:p>
    <w:p w:rsidR="006A18FD" w:rsidRDefault="002D29FC">
      <w:pPr>
        <w:ind w:left="152"/>
        <w:rPr>
          <w:rFonts w:ascii="Calibri"/>
          <w:sz w:val="20"/>
        </w:rPr>
      </w:pPr>
      <w:r>
        <w:rPr>
          <w:rFonts w:ascii="Calibri"/>
          <w:sz w:val="20"/>
        </w:rPr>
        <w:t xml:space="preserve">Livability: </w:t>
      </w:r>
      <w:hyperlink r:id="rId564">
        <w:r>
          <w:rPr>
            <w:rFonts w:ascii="Calibri"/>
            <w:sz w:val="20"/>
            <w:u w:val="single"/>
          </w:rPr>
          <w:t>http://www.livability.org.uk/</w:t>
        </w:r>
      </w:hyperlink>
    </w:p>
    <w:p w:rsidR="006A18FD" w:rsidRDefault="006A18FD">
      <w:pPr>
        <w:spacing w:before="9"/>
        <w:rPr>
          <w:rFonts w:ascii="Calibri"/>
          <w:sz w:val="17"/>
        </w:rPr>
      </w:pPr>
    </w:p>
    <w:p w:rsidR="006A18FD" w:rsidRDefault="002D29FC">
      <w:pPr>
        <w:spacing w:before="60"/>
        <w:ind w:left="152"/>
        <w:rPr>
          <w:rFonts w:ascii="Calibri"/>
          <w:sz w:val="20"/>
        </w:rPr>
      </w:pPr>
      <w:r>
        <w:rPr>
          <w:rFonts w:ascii="Calibri"/>
          <w:sz w:val="20"/>
        </w:rPr>
        <w:t xml:space="preserve">National Audit Office: </w:t>
      </w:r>
      <w:hyperlink r:id="rId565">
        <w:r>
          <w:rPr>
            <w:rFonts w:ascii="Calibri"/>
            <w:sz w:val="20"/>
            <w:u w:val="single"/>
          </w:rPr>
          <w:t>https://www.nao.org.uk/</w:t>
        </w:r>
      </w:hyperlink>
    </w:p>
    <w:p w:rsidR="006A18FD" w:rsidRDefault="006A18FD">
      <w:pPr>
        <w:spacing w:before="10"/>
        <w:rPr>
          <w:rFonts w:ascii="Calibri"/>
          <w:sz w:val="17"/>
        </w:rPr>
      </w:pPr>
    </w:p>
    <w:p w:rsidR="006A18FD" w:rsidRDefault="002D29FC">
      <w:pPr>
        <w:spacing w:before="59"/>
        <w:ind w:left="152"/>
        <w:rPr>
          <w:rFonts w:ascii="Calibri"/>
          <w:sz w:val="20"/>
        </w:rPr>
      </w:pPr>
      <w:r>
        <w:rPr>
          <w:rFonts w:ascii="Calibri"/>
          <w:sz w:val="20"/>
        </w:rPr>
        <w:t xml:space="preserve">National Council for Palliative Care: </w:t>
      </w:r>
      <w:hyperlink r:id="rId566">
        <w:r>
          <w:rPr>
            <w:rFonts w:ascii="Calibri"/>
            <w:sz w:val="20"/>
            <w:u w:val="single"/>
          </w:rPr>
          <w:t>http://www.ncpc.org.uk</w:t>
        </w:r>
      </w:hyperlink>
      <w:r>
        <w:rPr>
          <w:rFonts w:ascii="Calibri"/>
          <w:sz w:val="20"/>
          <w:u w:val="single"/>
        </w:rPr>
        <w:t>/</w:t>
      </w:r>
    </w:p>
    <w:p w:rsidR="006A18FD" w:rsidRDefault="006A18FD">
      <w:pPr>
        <w:spacing w:before="7"/>
        <w:rPr>
          <w:rFonts w:ascii="Calibri"/>
          <w:sz w:val="17"/>
        </w:rPr>
      </w:pPr>
    </w:p>
    <w:p w:rsidR="006A18FD" w:rsidRDefault="002D29FC">
      <w:pPr>
        <w:spacing w:before="59"/>
        <w:ind w:left="152"/>
        <w:rPr>
          <w:rFonts w:ascii="Calibri"/>
          <w:sz w:val="20"/>
        </w:rPr>
      </w:pPr>
      <w:r>
        <w:rPr>
          <w:rFonts w:ascii="Calibri"/>
          <w:sz w:val="20"/>
        </w:rPr>
        <w:t xml:space="preserve">National End of Life Care Intelligence network: </w:t>
      </w:r>
      <w:hyperlink r:id="rId567">
        <w:r>
          <w:rPr>
            <w:rFonts w:ascii="Calibri"/>
            <w:sz w:val="20"/>
            <w:u w:val="single"/>
          </w:rPr>
          <w:t>http://www.endoflifecare-intelligence.org.uk/home</w:t>
        </w:r>
      </w:hyperlink>
      <w:r>
        <w:rPr>
          <w:rFonts w:ascii="Calibri"/>
          <w:sz w:val="20"/>
          <w:u w:val="single"/>
        </w:rPr>
        <w:t>/</w:t>
      </w:r>
    </w:p>
    <w:p w:rsidR="006A18FD" w:rsidRDefault="006A18FD">
      <w:pPr>
        <w:rPr>
          <w:rFonts w:ascii="Calibri"/>
          <w:sz w:val="20"/>
        </w:rPr>
        <w:sectPr w:rsidR="006A18FD">
          <w:pgSz w:w="11910" w:h="16840"/>
          <w:pgMar w:top="960" w:right="580" w:bottom="280" w:left="980" w:header="751" w:footer="0" w:gutter="0"/>
          <w:cols w:space="720"/>
        </w:sectPr>
      </w:pPr>
    </w:p>
    <w:p w:rsidR="006A18FD" w:rsidRDefault="006A18FD">
      <w:pPr>
        <w:spacing w:before="3"/>
        <w:rPr>
          <w:rFonts w:ascii="Calibri"/>
          <w:sz w:val="17"/>
        </w:rPr>
      </w:pPr>
    </w:p>
    <w:p w:rsidR="006A18FD" w:rsidRDefault="002D29FC">
      <w:pPr>
        <w:spacing w:before="60"/>
        <w:ind w:left="140"/>
        <w:rPr>
          <w:rFonts w:ascii="Calibri"/>
          <w:sz w:val="20"/>
        </w:rPr>
      </w:pPr>
      <w:r>
        <w:rPr>
          <w:rFonts w:ascii="Calibri"/>
          <w:sz w:val="20"/>
        </w:rPr>
        <w:t xml:space="preserve">NHS Digital: </w:t>
      </w:r>
      <w:hyperlink r:id="rId568">
        <w:r>
          <w:rPr>
            <w:rFonts w:ascii="Calibri"/>
            <w:sz w:val="20"/>
            <w:u w:val="single"/>
          </w:rPr>
          <w:t>https://digital.nhs.uk/</w:t>
        </w:r>
      </w:hyperlink>
    </w:p>
    <w:p w:rsidR="006A18FD" w:rsidRDefault="006A18FD">
      <w:pPr>
        <w:spacing w:before="10"/>
        <w:rPr>
          <w:rFonts w:ascii="Calibri"/>
          <w:sz w:val="17"/>
        </w:rPr>
      </w:pPr>
    </w:p>
    <w:p w:rsidR="006A18FD" w:rsidRDefault="002D29FC">
      <w:pPr>
        <w:spacing w:before="59" w:line="276" w:lineRule="auto"/>
        <w:ind w:left="140" w:right="424"/>
        <w:jc w:val="both"/>
        <w:rPr>
          <w:rFonts w:ascii="Calibri"/>
          <w:sz w:val="20"/>
        </w:rPr>
      </w:pPr>
      <w:r>
        <w:rPr>
          <w:rFonts w:ascii="Calibri"/>
          <w:sz w:val="20"/>
        </w:rPr>
        <w:t>NHS Digital is the new name for the Health &amp; Social Care Information Centre, a Special Health Authority set up on 1 April 2005 to take over most DHSC statistical collection and dissemination and some functions of the former NHS Information Authority. This includes information on Personal Social Services Expenditure.</w:t>
      </w:r>
    </w:p>
    <w:p w:rsidR="006A18FD" w:rsidRDefault="006A18FD">
      <w:pPr>
        <w:spacing w:before="7"/>
        <w:rPr>
          <w:rFonts w:ascii="Calibri"/>
          <w:sz w:val="19"/>
        </w:rPr>
      </w:pPr>
    </w:p>
    <w:p w:rsidR="006A18FD" w:rsidRDefault="002D29FC">
      <w:pPr>
        <w:ind w:left="140"/>
        <w:jc w:val="both"/>
        <w:rPr>
          <w:rFonts w:ascii="Calibri"/>
          <w:sz w:val="20"/>
        </w:rPr>
      </w:pPr>
      <w:r>
        <w:rPr>
          <w:rFonts w:ascii="Calibri"/>
          <w:sz w:val="20"/>
        </w:rPr>
        <w:t xml:space="preserve">National Institute for Health and Clinical Excellence: </w:t>
      </w:r>
      <w:hyperlink r:id="rId569">
        <w:r>
          <w:rPr>
            <w:rFonts w:ascii="Calibri"/>
            <w:sz w:val="20"/>
            <w:u w:val="single"/>
          </w:rPr>
          <w:t>http://www.nice.org.uk/</w:t>
        </w:r>
      </w:hyperlink>
    </w:p>
    <w:p w:rsidR="006A18FD" w:rsidRDefault="006A18FD">
      <w:pPr>
        <w:spacing w:before="9"/>
        <w:rPr>
          <w:rFonts w:ascii="Calibri"/>
          <w:sz w:val="17"/>
        </w:rPr>
      </w:pPr>
    </w:p>
    <w:p w:rsidR="006A18FD" w:rsidRDefault="002D29FC">
      <w:pPr>
        <w:spacing w:before="59"/>
        <w:ind w:left="140"/>
        <w:rPr>
          <w:rFonts w:ascii="Calibri"/>
          <w:sz w:val="20"/>
        </w:rPr>
      </w:pPr>
      <w:r>
        <w:rPr>
          <w:rFonts w:ascii="Calibri"/>
          <w:sz w:val="20"/>
        </w:rPr>
        <w:t xml:space="preserve">Personal Social Services Expenditure Data (PSS EX1 data): </w:t>
      </w:r>
      <w:hyperlink r:id="rId570">
        <w:r>
          <w:rPr>
            <w:rFonts w:ascii="Calibri"/>
            <w:sz w:val="20"/>
            <w:u w:val="single"/>
          </w:rPr>
          <w:t>http://www.ic.nhs.uk/statistics-and-data-collections</w:t>
        </w:r>
      </w:hyperlink>
      <w:r>
        <w:rPr>
          <w:rFonts w:ascii="Calibri"/>
          <w:sz w:val="20"/>
          <w:u w:val="single"/>
        </w:rPr>
        <w:t>/</w:t>
      </w:r>
    </w:p>
    <w:p w:rsidR="006A18FD" w:rsidRDefault="006A18FD">
      <w:pPr>
        <w:spacing w:before="9"/>
        <w:rPr>
          <w:rFonts w:ascii="Calibri"/>
          <w:sz w:val="17"/>
        </w:rPr>
      </w:pPr>
    </w:p>
    <w:p w:rsidR="006A18FD" w:rsidRDefault="002D29FC">
      <w:pPr>
        <w:spacing w:before="59"/>
        <w:ind w:left="140"/>
        <w:rPr>
          <w:rFonts w:ascii="Calibri"/>
          <w:sz w:val="20"/>
        </w:rPr>
      </w:pPr>
      <w:r>
        <w:rPr>
          <w:rFonts w:ascii="Calibri"/>
          <w:sz w:val="20"/>
        </w:rPr>
        <w:t xml:space="preserve">Pub Med: </w:t>
      </w:r>
      <w:hyperlink r:id="rId571">
        <w:r>
          <w:rPr>
            <w:rFonts w:ascii="Calibri"/>
            <w:sz w:val="20"/>
            <w:u w:val="single"/>
          </w:rPr>
          <w:t>http://www.pubmedcentral.nih.gov/</w:t>
        </w:r>
      </w:hyperlink>
    </w:p>
    <w:p w:rsidR="006A18FD" w:rsidRDefault="006A18FD">
      <w:pPr>
        <w:spacing w:before="9"/>
        <w:rPr>
          <w:rFonts w:ascii="Calibri"/>
          <w:sz w:val="17"/>
        </w:rPr>
      </w:pPr>
    </w:p>
    <w:p w:rsidR="006A18FD" w:rsidRDefault="002D29FC">
      <w:pPr>
        <w:spacing w:before="59"/>
        <w:ind w:left="140"/>
        <w:rPr>
          <w:rFonts w:ascii="Calibri"/>
          <w:sz w:val="20"/>
        </w:rPr>
      </w:pPr>
      <w:r>
        <w:rPr>
          <w:rFonts w:ascii="Calibri"/>
          <w:sz w:val="20"/>
        </w:rPr>
        <w:t xml:space="preserve">Reference Costs: </w:t>
      </w:r>
      <w:r>
        <w:rPr>
          <w:rFonts w:ascii="Calibri"/>
          <w:sz w:val="20"/>
          <w:u w:val="single"/>
        </w:rPr>
        <w:t>https://improvement.nhs.uk/resources/reference-costs/</w:t>
      </w:r>
    </w:p>
    <w:p w:rsidR="006A18FD" w:rsidRDefault="002D29FC">
      <w:pPr>
        <w:spacing w:before="36" w:line="276" w:lineRule="auto"/>
        <w:ind w:left="535" w:right="189"/>
        <w:rPr>
          <w:rFonts w:ascii="Calibri"/>
          <w:sz w:val="20"/>
        </w:rPr>
      </w:pPr>
      <w:r>
        <w:rPr>
          <w:rFonts w:ascii="Calibri"/>
          <w:sz w:val="20"/>
        </w:rPr>
        <w:t>This website gives details on how and on what NHS expenditure was used. The Reference Costs/Reference Costs Index publication is the richest source of financial data on the NHS ever produced. As in previous years, its main purpose is to provide a basis for comparison within (and outside) the NHS between organisations, and down to the level of individual treatments.</w:t>
      </w:r>
    </w:p>
    <w:p w:rsidR="006A18FD" w:rsidRDefault="006A18FD">
      <w:pPr>
        <w:spacing w:before="7"/>
        <w:rPr>
          <w:rFonts w:ascii="Calibri"/>
          <w:sz w:val="19"/>
        </w:rPr>
      </w:pPr>
    </w:p>
    <w:p w:rsidR="006A18FD" w:rsidRDefault="002D29FC">
      <w:pPr>
        <w:ind w:left="140"/>
        <w:rPr>
          <w:rFonts w:ascii="Calibri"/>
          <w:sz w:val="20"/>
        </w:rPr>
      </w:pPr>
      <w:r>
        <w:rPr>
          <w:rFonts w:ascii="Calibri"/>
          <w:sz w:val="20"/>
        </w:rPr>
        <w:t xml:space="preserve">Social Care Institute for Excellence: </w:t>
      </w:r>
      <w:hyperlink r:id="rId572">
        <w:r>
          <w:rPr>
            <w:rFonts w:ascii="Calibri"/>
            <w:sz w:val="20"/>
            <w:u w:val="single"/>
          </w:rPr>
          <w:t>http://www.scie.org.uk</w:t>
        </w:r>
      </w:hyperlink>
      <w:r>
        <w:rPr>
          <w:rFonts w:ascii="Calibri"/>
          <w:sz w:val="20"/>
          <w:u w:val="single"/>
        </w:rPr>
        <w:t>/</w:t>
      </w:r>
    </w:p>
    <w:p w:rsidR="006A18FD" w:rsidRDefault="006A18FD">
      <w:pPr>
        <w:spacing w:before="9"/>
        <w:rPr>
          <w:rFonts w:ascii="Calibri"/>
          <w:sz w:val="17"/>
        </w:rPr>
      </w:pPr>
    </w:p>
    <w:p w:rsidR="006A18FD" w:rsidRDefault="002D29FC">
      <w:pPr>
        <w:spacing w:before="59"/>
        <w:ind w:left="140"/>
        <w:rPr>
          <w:rFonts w:ascii="Calibri"/>
          <w:sz w:val="20"/>
        </w:rPr>
      </w:pPr>
      <w:r>
        <w:rPr>
          <w:rFonts w:ascii="Calibri"/>
          <w:sz w:val="20"/>
        </w:rPr>
        <w:t xml:space="preserve">Social Care Online: </w:t>
      </w:r>
      <w:hyperlink r:id="rId573">
        <w:r>
          <w:rPr>
            <w:rFonts w:ascii="Calibri"/>
            <w:sz w:val="20"/>
            <w:u w:val="single"/>
          </w:rPr>
          <w:t>http://www.scie-socialcareonline.org.uk/</w:t>
        </w:r>
      </w:hyperlink>
    </w:p>
    <w:p w:rsidR="006A18FD" w:rsidRDefault="006A18FD">
      <w:pPr>
        <w:spacing w:before="7"/>
        <w:rPr>
          <w:rFonts w:ascii="Calibri"/>
          <w:sz w:val="17"/>
        </w:rPr>
      </w:pPr>
    </w:p>
    <w:p w:rsidR="006A18FD" w:rsidRDefault="002D29FC">
      <w:pPr>
        <w:spacing w:before="59"/>
        <w:ind w:left="140"/>
        <w:rPr>
          <w:rFonts w:ascii="Calibri"/>
          <w:sz w:val="20"/>
        </w:rPr>
      </w:pPr>
      <w:r>
        <w:rPr>
          <w:rFonts w:ascii="Calibri"/>
          <w:sz w:val="20"/>
        </w:rPr>
        <w:t xml:space="preserve">Social Policy Research Unit, University of York: </w:t>
      </w:r>
      <w:hyperlink r:id="rId574">
        <w:r>
          <w:rPr>
            <w:rFonts w:ascii="Calibri"/>
            <w:sz w:val="20"/>
            <w:u w:val="single"/>
          </w:rPr>
          <w:t>http://www.york.ac.uk/inst/spru</w:t>
        </w:r>
      </w:hyperlink>
      <w:r>
        <w:rPr>
          <w:rFonts w:ascii="Calibri"/>
          <w:sz w:val="20"/>
          <w:u w:val="single"/>
        </w:rPr>
        <w:t>/</w:t>
      </w:r>
    </w:p>
    <w:p w:rsidR="006A18FD" w:rsidRDefault="006A18FD">
      <w:pPr>
        <w:spacing w:before="10"/>
        <w:rPr>
          <w:rFonts w:ascii="Calibri"/>
          <w:sz w:val="17"/>
        </w:rPr>
      </w:pPr>
    </w:p>
    <w:p w:rsidR="006A18FD" w:rsidRDefault="002D29FC">
      <w:pPr>
        <w:spacing w:before="59"/>
        <w:ind w:left="140"/>
        <w:rPr>
          <w:rFonts w:ascii="Calibri"/>
          <w:sz w:val="20"/>
        </w:rPr>
      </w:pPr>
      <w:r>
        <w:rPr>
          <w:rFonts w:ascii="Calibri"/>
          <w:sz w:val="20"/>
        </w:rPr>
        <w:t xml:space="preserve">YoungMinds: </w:t>
      </w:r>
      <w:hyperlink r:id="rId575">
        <w:r>
          <w:rPr>
            <w:rFonts w:ascii="Calibri"/>
            <w:sz w:val="20"/>
            <w:u w:val="single"/>
          </w:rPr>
          <w:t>http://www.youngminds.org.uk</w:t>
        </w:r>
      </w:hyperlink>
      <w:r>
        <w:rPr>
          <w:rFonts w:ascii="Calibri"/>
          <w:sz w:val="20"/>
          <w:u w:val="single"/>
        </w:rPr>
        <w:t>/</w:t>
      </w:r>
    </w:p>
    <w:p w:rsidR="006A18FD" w:rsidRDefault="002D29FC">
      <w:pPr>
        <w:spacing w:before="36"/>
        <w:ind w:left="535"/>
        <w:rPr>
          <w:rFonts w:ascii="Calibri"/>
          <w:sz w:val="20"/>
        </w:rPr>
      </w:pPr>
      <w:r>
        <w:rPr>
          <w:rFonts w:ascii="Calibri"/>
          <w:sz w:val="20"/>
        </w:rPr>
        <w:t>YoungMinds is a national charity committed to improving the mental health of all children and young people.</w:t>
      </w:r>
    </w:p>
    <w:p w:rsidR="006A18FD" w:rsidRDefault="006A18FD">
      <w:pPr>
        <w:rPr>
          <w:rFonts w:ascii="Calibri"/>
          <w:sz w:val="20"/>
        </w:rPr>
        <w:sectPr w:rsidR="006A18FD">
          <w:pgSz w:w="11910" w:h="16840"/>
          <w:pgMar w:top="100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48" name="Line 5"/>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1023EC" id="Group 4"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">
                <v:line id="Line 5"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w10:anchorlock/>
              </v:group>
            </w:pict>
          </mc:Fallback>
        </mc:AlternateContent>
      </w:r>
    </w:p>
    <w:p w:rsidR="006A18FD" w:rsidRDefault="002D29FC" w:rsidP="005629E5">
      <w:pPr>
        <w:pStyle w:val="Heading1"/>
        <w:numPr>
          <w:ilvl w:val="0"/>
          <w:numId w:val="4"/>
        </w:numPr>
        <w:jc w:val="left"/>
      </w:pPr>
      <w:r>
        <w:t>List of items from previous</w:t>
      </w:r>
      <w:r>
        <w:rPr>
          <w:spacing w:val="-22"/>
        </w:rPr>
        <w:t xml:space="preserve"> </w:t>
      </w:r>
      <w:r>
        <w:t>volumes</w:t>
      </w:r>
    </w:p>
    <w:p w:rsidR="006A18FD" w:rsidRDefault="002D29FC">
      <w:pPr>
        <w:spacing w:before="181" w:line="276" w:lineRule="auto"/>
        <w:ind w:left="152" w:right="804"/>
        <w:rPr>
          <w:rFonts w:ascii="Calibri"/>
          <w:sz w:val="24"/>
        </w:rPr>
      </w:pPr>
      <w:r>
        <w:rPr>
          <w:rFonts w:ascii="Calibri"/>
          <w:sz w:val="24"/>
        </w:rPr>
        <w:t xml:space="preserve">All articles from our 2003 edition onward can also be searched and downloaded from our article database at </w:t>
      </w:r>
      <w:hyperlink r:id="rId576">
        <w:r>
          <w:rPr>
            <w:rFonts w:ascii="Calibri"/>
            <w:sz w:val="24"/>
            <w:u w:val="single"/>
          </w:rPr>
          <w:t>http://www.pssru.ac.uk/ucarticles/</w:t>
        </w:r>
      </w:hyperlink>
    </w:p>
    <w:p w:rsidR="006A18FD" w:rsidRDefault="002D29FC" w:rsidP="005629E5">
      <w:pPr>
        <w:pStyle w:val="Heading2"/>
      </w:pPr>
      <w:r>
        <w:t>Editorials and articles</w:t>
      </w:r>
    </w:p>
    <w:p w:rsidR="006A18FD" w:rsidRDefault="006A18FD">
      <w:pPr>
        <w:spacing w:before="4"/>
        <w:rPr>
          <w:rFonts w:ascii="Cambria"/>
          <w:b/>
          <w:sz w:val="23"/>
        </w:rPr>
      </w:pPr>
    </w:p>
    <w:p w:rsidR="006A18FD" w:rsidRDefault="002D29FC">
      <w:pPr>
        <w:ind w:left="152"/>
        <w:rPr>
          <w:rFonts w:ascii="Cambria"/>
          <w:b/>
          <w:sz w:val="20"/>
        </w:rPr>
      </w:pPr>
      <w:r>
        <w:rPr>
          <w:rFonts w:ascii="Cambria"/>
          <w:b/>
          <w:sz w:val="20"/>
        </w:rPr>
        <w:t>2007</w:t>
      </w:r>
    </w:p>
    <w:p w:rsidR="006A18FD" w:rsidRDefault="002D29FC">
      <w:pPr>
        <w:spacing w:before="38"/>
        <w:ind w:left="152"/>
        <w:rPr>
          <w:rFonts w:ascii="Calibri"/>
          <w:sz w:val="20"/>
        </w:rPr>
      </w:pPr>
      <w:r>
        <w:rPr>
          <w:rFonts w:ascii="Calibri"/>
          <w:sz w:val="20"/>
        </w:rPr>
        <w:t>The costs of telecare: from pilots to mainstream implementation</w:t>
      </w:r>
    </w:p>
    <w:p w:rsidR="006A18FD" w:rsidRDefault="002D29FC">
      <w:pPr>
        <w:spacing w:before="36" w:line="276" w:lineRule="auto"/>
        <w:ind w:left="152" w:right="2170"/>
        <w:rPr>
          <w:rFonts w:ascii="Calibri"/>
          <w:sz w:val="20"/>
        </w:rPr>
      </w:pPr>
      <w:r>
        <w:rPr>
          <w:rFonts w:ascii="Calibri"/>
          <w:sz w:val="20"/>
        </w:rPr>
        <w:t>The Health BASKET Project: documenting the benefit basket and evaluating service costs in Europe Recording professional activities to aid economic evaluations of health and social care services</w:t>
      </w:r>
    </w:p>
    <w:p w:rsidR="006A18FD" w:rsidRDefault="006A18FD">
      <w:pPr>
        <w:spacing w:before="5"/>
        <w:rPr>
          <w:rFonts w:ascii="Calibri"/>
          <w:sz w:val="19"/>
        </w:rPr>
      </w:pPr>
    </w:p>
    <w:p w:rsidR="006A18FD" w:rsidRDefault="002D29FC">
      <w:pPr>
        <w:ind w:left="152"/>
        <w:rPr>
          <w:rFonts w:ascii="Cambria"/>
          <w:b/>
          <w:sz w:val="20"/>
        </w:rPr>
      </w:pPr>
      <w:r>
        <w:rPr>
          <w:rFonts w:ascii="Cambria"/>
          <w:b/>
          <w:sz w:val="20"/>
        </w:rPr>
        <w:t>2008</w:t>
      </w:r>
    </w:p>
    <w:p w:rsidR="006A18FD" w:rsidRDefault="002D29FC">
      <w:pPr>
        <w:spacing w:before="35" w:line="276" w:lineRule="auto"/>
        <w:ind w:left="152" w:right="3324"/>
        <w:rPr>
          <w:rFonts w:ascii="Calibri"/>
          <w:sz w:val="20"/>
        </w:rPr>
      </w:pPr>
      <w:r>
        <w:rPr>
          <w:rFonts w:ascii="Calibri"/>
          <w:sz w:val="20"/>
        </w:rPr>
        <w:t>Guest editorial: National Schedule of Reference Costs data: community care services The challenges of estimating the unit cost of group-based therapies</w:t>
      </w:r>
    </w:p>
    <w:p w:rsidR="006A18FD" w:rsidRDefault="002D29FC">
      <w:pPr>
        <w:ind w:left="152"/>
        <w:rPr>
          <w:rFonts w:ascii="Calibri"/>
          <w:sz w:val="20"/>
        </w:rPr>
      </w:pPr>
      <w:r>
        <w:rPr>
          <w:rFonts w:ascii="Calibri"/>
          <w:sz w:val="20"/>
        </w:rPr>
        <w:t>Costs and users of Individual Budgets</w:t>
      </w:r>
    </w:p>
    <w:p w:rsidR="006A18FD" w:rsidRDefault="006A18FD">
      <w:pPr>
        <w:spacing w:before="6"/>
        <w:rPr>
          <w:rFonts w:ascii="Calibri"/>
        </w:rPr>
      </w:pPr>
    </w:p>
    <w:p w:rsidR="006A18FD" w:rsidRDefault="002D29FC">
      <w:pPr>
        <w:ind w:left="152"/>
        <w:rPr>
          <w:rFonts w:ascii="Cambria"/>
          <w:b/>
          <w:sz w:val="20"/>
        </w:rPr>
      </w:pPr>
      <w:r>
        <w:rPr>
          <w:rFonts w:ascii="Cambria"/>
          <w:b/>
          <w:sz w:val="20"/>
        </w:rPr>
        <w:t>2009</w:t>
      </w:r>
    </w:p>
    <w:p w:rsidR="006A18FD" w:rsidRDefault="002D29FC">
      <w:pPr>
        <w:spacing w:before="35" w:line="276" w:lineRule="auto"/>
        <w:ind w:left="152" w:right="3142"/>
        <w:rPr>
          <w:rFonts w:ascii="Calibri"/>
          <w:sz w:val="20"/>
        </w:rPr>
      </w:pPr>
      <w:r>
        <w:rPr>
          <w:rFonts w:ascii="Calibri"/>
          <w:sz w:val="20"/>
        </w:rPr>
        <w:t>Guest editorial: Economics and Cochrane and Campbell methods: the role of unit costs Estimating unit costs for Direct Payments Support Organisations</w:t>
      </w:r>
    </w:p>
    <w:p w:rsidR="006A18FD" w:rsidRDefault="002D29FC">
      <w:pPr>
        <w:spacing w:line="276" w:lineRule="auto"/>
        <w:ind w:left="152" w:right="5087"/>
        <w:rPr>
          <w:rFonts w:ascii="Calibri" w:hAnsi="Calibri"/>
          <w:sz w:val="20"/>
        </w:rPr>
      </w:pPr>
      <w:r>
        <w:rPr>
          <w:rFonts w:ascii="Calibri" w:hAnsi="Calibri"/>
          <w:sz w:val="20"/>
        </w:rPr>
        <w:t>The National Dementia Strategy: potential costs and impacts SCIE’s work on economics and the importance of informal care</w:t>
      </w:r>
    </w:p>
    <w:p w:rsidR="006A18FD" w:rsidRDefault="006A18FD">
      <w:pPr>
        <w:spacing w:before="6"/>
        <w:rPr>
          <w:rFonts w:ascii="Calibri"/>
          <w:sz w:val="19"/>
        </w:rPr>
      </w:pPr>
    </w:p>
    <w:p w:rsidR="006A18FD" w:rsidRDefault="002D29FC">
      <w:pPr>
        <w:ind w:left="152"/>
        <w:rPr>
          <w:rFonts w:ascii="Cambria"/>
          <w:b/>
          <w:sz w:val="20"/>
        </w:rPr>
      </w:pPr>
      <w:r>
        <w:rPr>
          <w:rFonts w:ascii="Cambria"/>
          <w:b/>
          <w:sz w:val="20"/>
        </w:rPr>
        <w:t>2010</w:t>
      </w:r>
    </w:p>
    <w:p w:rsidR="006A18FD" w:rsidRDefault="002D29FC">
      <w:pPr>
        <w:spacing w:before="38"/>
        <w:ind w:left="152"/>
        <w:rPr>
          <w:rFonts w:ascii="Calibri"/>
          <w:sz w:val="20"/>
        </w:rPr>
      </w:pPr>
      <w:r>
        <w:rPr>
          <w:rFonts w:ascii="Calibri"/>
          <w:sz w:val="20"/>
        </w:rPr>
        <w:t>The costs of short-break provision</w:t>
      </w:r>
    </w:p>
    <w:p w:rsidR="006A18FD" w:rsidRDefault="002D29FC">
      <w:pPr>
        <w:spacing w:before="36" w:line="276" w:lineRule="auto"/>
        <w:ind w:left="152" w:right="4316"/>
        <w:rPr>
          <w:rFonts w:ascii="Calibri"/>
          <w:sz w:val="20"/>
        </w:rPr>
      </w:pPr>
      <w:r>
        <w:rPr>
          <w:rFonts w:ascii="Calibri"/>
          <w:sz w:val="20"/>
        </w:rPr>
        <w:t>The impact of the POPP programme on changes in individual service use The Screen and Treat programme: a response to the London bombings</w:t>
      </w:r>
    </w:p>
    <w:p w:rsidR="006A18FD" w:rsidRDefault="002D29FC">
      <w:pPr>
        <w:ind w:left="152"/>
        <w:rPr>
          <w:rFonts w:ascii="Calibri"/>
          <w:sz w:val="20"/>
        </w:rPr>
      </w:pPr>
      <w:r>
        <w:rPr>
          <w:rFonts w:ascii="Calibri"/>
          <w:sz w:val="20"/>
        </w:rPr>
        <w:t>Expected lifetime costs of social care for people aged 65 and over in England</w:t>
      </w:r>
    </w:p>
    <w:p w:rsidR="006A18FD" w:rsidRDefault="006A18FD">
      <w:pPr>
        <w:spacing w:before="6"/>
        <w:rPr>
          <w:rFonts w:ascii="Calibri"/>
        </w:rPr>
      </w:pPr>
    </w:p>
    <w:p w:rsidR="006A18FD" w:rsidRDefault="002D29FC">
      <w:pPr>
        <w:ind w:left="152"/>
        <w:rPr>
          <w:rFonts w:ascii="Cambria"/>
          <w:b/>
          <w:sz w:val="20"/>
        </w:rPr>
      </w:pPr>
      <w:r>
        <w:rPr>
          <w:rFonts w:ascii="Cambria"/>
          <w:b/>
          <w:sz w:val="20"/>
        </w:rPr>
        <w:t>2011</w:t>
      </w:r>
    </w:p>
    <w:p w:rsidR="006A18FD" w:rsidRDefault="002D29FC">
      <w:pPr>
        <w:spacing w:before="35"/>
        <w:ind w:left="152"/>
        <w:rPr>
          <w:rFonts w:ascii="Calibri"/>
          <w:sz w:val="20"/>
        </w:rPr>
      </w:pPr>
      <w:r>
        <w:rPr>
          <w:rFonts w:ascii="Calibri"/>
          <w:sz w:val="20"/>
        </w:rPr>
        <w:t>The costs of extra care housing</w:t>
      </w:r>
    </w:p>
    <w:p w:rsidR="006A18FD" w:rsidRDefault="002D29FC">
      <w:pPr>
        <w:spacing w:before="36"/>
        <w:ind w:left="152"/>
        <w:rPr>
          <w:rFonts w:ascii="Calibri" w:hAnsi="Calibri"/>
          <w:sz w:val="20"/>
        </w:rPr>
      </w:pPr>
      <w:r>
        <w:rPr>
          <w:rFonts w:ascii="Calibri" w:hAnsi="Calibri"/>
          <w:sz w:val="20"/>
        </w:rPr>
        <w:t>Shared Lives – model for care and support</w:t>
      </w:r>
    </w:p>
    <w:p w:rsidR="006A18FD" w:rsidRDefault="002D29FC">
      <w:pPr>
        <w:spacing w:before="36"/>
        <w:ind w:left="152"/>
        <w:rPr>
          <w:rFonts w:ascii="Calibri"/>
          <w:sz w:val="20"/>
        </w:rPr>
      </w:pPr>
      <w:r>
        <w:rPr>
          <w:rFonts w:ascii="Calibri"/>
          <w:sz w:val="20"/>
        </w:rPr>
        <w:t>Calculating the cost and capacity implications for local authorities implementing the Laming (2009) recommendations</w:t>
      </w:r>
    </w:p>
    <w:p w:rsidR="006A18FD" w:rsidRDefault="006A18FD">
      <w:pPr>
        <w:spacing w:before="5"/>
        <w:rPr>
          <w:rFonts w:ascii="Calibri"/>
        </w:rPr>
      </w:pPr>
    </w:p>
    <w:p w:rsidR="006A18FD" w:rsidRDefault="002D29FC">
      <w:pPr>
        <w:ind w:left="152"/>
        <w:rPr>
          <w:rFonts w:ascii="Cambria"/>
          <w:b/>
          <w:sz w:val="20"/>
        </w:rPr>
      </w:pPr>
      <w:r>
        <w:rPr>
          <w:rFonts w:ascii="Cambria"/>
          <w:b/>
          <w:sz w:val="20"/>
        </w:rPr>
        <w:t>2012</w:t>
      </w:r>
    </w:p>
    <w:p w:rsidR="006A18FD" w:rsidRDefault="002D29FC">
      <w:pPr>
        <w:spacing w:before="36"/>
        <w:ind w:left="152"/>
        <w:rPr>
          <w:rFonts w:ascii="Calibri"/>
          <w:sz w:val="20"/>
        </w:rPr>
      </w:pPr>
      <w:r>
        <w:rPr>
          <w:rFonts w:ascii="Calibri"/>
          <w:sz w:val="20"/>
        </w:rPr>
        <w:t>Guest editorial: Appropriate perspectives for health care decisions</w:t>
      </w:r>
    </w:p>
    <w:p w:rsidR="006A18FD" w:rsidRDefault="002D29FC">
      <w:pPr>
        <w:spacing w:before="37" w:line="276" w:lineRule="auto"/>
        <w:ind w:left="152" w:right="3040"/>
        <w:rPr>
          <w:rFonts w:ascii="Calibri"/>
          <w:sz w:val="20"/>
        </w:rPr>
      </w:pPr>
      <w:r>
        <w:rPr>
          <w:rFonts w:ascii="Calibri"/>
          <w:sz w:val="20"/>
        </w:rPr>
        <w:t>Using time diaries to contribute to economic evaluation of criminal justice interventions Costing multi-site, group-based CBT workshops</w:t>
      </w:r>
    </w:p>
    <w:p w:rsidR="006A18FD" w:rsidRDefault="002D29FC">
      <w:pPr>
        <w:ind w:left="152"/>
        <w:rPr>
          <w:rFonts w:ascii="Calibri"/>
          <w:sz w:val="20"/>
        </w:rPr>
      </w:pPr>
      <w:r>
        <w:rPr>
          <w:rFonts w:ascii="Calibri"/>
          <w:sz w:val="20"/>
        </w:rPr>
        <w:t>A review of approaches to measure and monetarily value informal care</w:t>
      </w:r>
    </w:p>
    <w:p w:rsidR="006A18FD" w:rsidRDefault="006A18FD">
      <w:pPr>
        <w:spacing w:before="5"/>
        <w:rPr>
          <w:rFonts w:ascii="Calibri"/>
        </w:rPr>
      </w:pPr>
    </w:p>
    <w:p w:rsidR="006A18FD" w:rsidRDefault="002D29FC">
      <w:pPr>
        <w:ind w:left="152"/>
        <w:rPr>
          <w:rFonts w:ascii="Cambria"/>
          <w:b/>
          <w:sz w:val="20"/>
        </w:rPr>
      </w:pPr>
      <w:r>
        <w:rPr>
          <w:rFonts w:ascii="Cambria"/>
          <w:b/>
          <w:sz w:val="20"/>
        </w:rPr>
        <w:t>2013</w:t>
      </w:r>
    </w:p>
    <w:p w:rsidR="006A18FD" w:rsidRDefault="002D29FC">
      <w:pPr>
        <w:spacing w:before="38" w:line="276" w:lineRule="auto"/>
        <w:ind w:left="152" w:right="3673"/>
        <w:rPr>
          <w:rFonts w:ascii="Calibri"/>
          <w:sz w:val="20"/>
        </w:rPr>
      </w:pPr>
      <w:r>
        <w:rPr>
          <w:rFonts w:ascii="Calibri"/>
          <w:sz w:val="20"/>
        </w:rPr>
        <w:t>Guest editorial: Widening the scope of unit costs to include environmental costs Cognitive behaviour therapy: a comparison of costs</w:t>
      </w:r>
    </w:p>
    <w:p w:rsidR="006A18FD" w:rsidRDefault="002D29FC">
      <w:pPr>
        <w:spacing w:line="276" w:lineRule="auto"/>
        <w:ind w:left="152" w:right="4938"/>
        <w:rPr>
          <w:rFonts w:ascii="Calibri"/>
          <w:sz w:val="20"/>
        </w:rPr>
      </w:pPr>
      <w:r>
        <w:rPr>
          <w:rFonts w:ascii="Calibri"/>
          <w:sz w:val="20"/>
        </w:rPr>
        <w:t>Residential child care: costs and other information requirements The costs of telecare and telehealth</w:t>
      </w:r>
    </w:p>
    <w:p w:rsidR="006A18FD" w:rsidRDefault="006A18FD">
      <w:pPr>
        <w:spacing w:line="276" w:lineRule="auto"/>
        <w:rPr>
          <w:rFonts w:ascii="Calibri"/>
          <w:sz w:val="20"/>
        </w:rPr>
        <w:sectPr w:rsidR="006A18FD">
          <w:pgSz w:w="11910" w:h="16840"/>
          <w:pgMar w:top="960" w:right="580" w:bottom="280" w:left="980" w:header="751" w:footer="0" w:gutter="0"/>
          <w:cols w:space="720"/>
        </w:sectPr>
      </w:pPr>
    </w:p>
    <w:p w:rsidR="006A18FD" w:rsidRDefault="006A18FD">
      <w:pPr>
        <w:spacing w:before="10"/>
        <w:rPr>
          <w:rFonts w:ascii="Calibri"/>
          <w:sz w:val="13"/>
        </w:rPr>
      </w:pPr>
    </w:p>
    <w:p w:rsidR="006A18FD" w:rsidRDefault="002D29FC">
      <w:pPr>
        <w:spacing w:before="99"/>
        <w:ind w:left="140"/>
        <w:rPr>
          <w:rFonts w:ascii="Cambria"/>
          <w:b/>
          <w:sz w:val="20"/>
        </w:rPr>
      </w:pPr>
      <w:r>
        <w:rPr>
          <w:rFonts w:ascii="Cambria"/>
          <w:b/>
          <w:sz w:val="20"/>
        </w:rPr>
        <w:t>2014</w:t>
      </w:r>
    </w:p>
    <w:p w:rsidR="006A18FD" w:rsidRDefault="002D29FC">
      <w:pPr>
        <w:spacing w:before="36" w:line="276" w:lineRule="auto"/>
        <w:ind w:left="140" w:right="2578"/>
        <w:rPr>
          <w:rFonts w:ascii="Calibri"/>
          <w:sz w:val="20"/>
        </w:rPr>
      </w:pPr>
      <w:r>
        <w:rPr>
          <w:rFonts w:ascii="Calibri"/>
          <w:sz w:val="20"/>
        </w:rPr>
        <w:t>Guest editorial: Big data: increasing productivity while reducing costs in health and social care Cost of integrated care</w:t>
      </w:r>
    </w:p>
    <w:p w:rsidR="006A18FD" w:rsidRDefault="002D29FC">
      <w:pPr>
        <w:spacing w:line="276" w:lineRule="auto"/>
        <w:ind w:left="140" w:right="3973"/>
        <w:rPr>
          <w:rFonts w:ascii="Calibri" w:hAnsi="Calibri"/>
          <w:sz w:val="20"/>
        </w:rPr>
      </w:pPr>
      <w:r>
        <w:rPr>
          <w:rFonts w:ascii="Calibri" w:hAnsi="Calibri"/>
          <w:sz w:val="20"/>
        </w:rPr>
        <w:t>Shared Lives – improving understanding of the costs of family-based support RYCT &amp; CSP intervention costs</w:t>
      </w:r>
    </w:p>
    <w:p w:rsidR="006A18FD" w:rsidRDefault="006A18FD">
      <w:pPr>
        <w:spacing w:before="6"/>
        <w:rPr>
          <w:rFonts w:ascii="Calibri"/>
          <w:sz w:val="19"/>
        </w:rPr>
      </w:pPr>
    </w:p>
    <w:p w:rsidR="006A18FD" w:rsidRDefault="002D29FC">
      <w:pPr>
        <w:ind w:left="140"/>
        <w:rPr>
          <w:rFonts w:ascii="Cambria"/>
          <w:b/>
          <w:sz w:val="20"/>
        </w:rPr>
      </w:pPr>
      <w:r>
        <w:rPr>
          <w:rFonts w:ascii="Cambria"/>
          <w:b/>
          <w:sz w:val="20"/>
        </w:rPr>
        <w:t>2015</w:t>
      </w:r>
    </w:p>
    <w:p w:rsidR="006A18FD" w:rsidRDefault="002D29FC">
      <w:pPr>
        <w:spacing w:before="36"/>
        <w:ind w:left="140"/>
        <w:rPr>
          <w:rFonts w:ascii="Calibri"/>
          <w:sz w:val="20"/>
        </w:rPr>
      </w:pPr>
      <w:r>
        <w:rPr>
          <w:rFonts w:ascii="Calibri"/>
          <w:sz w:val="20"/>
        </w:rPr>
        <w:t>Guest editorial: Implications of the Care Act 2014 on social care markets for older people</w:t>
      </w:r>
    </w:p>
    <w:p w:rsidR="006A18FD" w:rsidRDefault="002D29FC">
      <w:pPr>
        <w:spacing w:before="36" w:line="276" w:lineRule="auto"/>
        <w:ind w:left="140" w:right="1002"/>
        <w:rPr>
          <w:rFonts w:ascii="Calibri" w:hAnsi="Calibri"/>
          <w:sz w:val="20"/>
        </w:rPr>
      </w:pPr>
      <w:r>
        <w:rPr>
          <w:rFonts w:ascii="Calibri" w:hAnsi="Calibri"/>
          <w:sz w:val="20"/>
        </w:rPr>
        <w:t>Survey questions on older people’s receipt of, and payment for, formal and unpaid care in the community. Estimating the unit costs of vision rehabilitation services.</w:t>
      </w:r>
    </w:p>
    <w:p w:rsidR="006A18FD" w:rsidRDefault="002D29FC">
      <w:pPr>
        <w:ind w:left="140"/>
        <w:rPr>
          <w:rFonts w:ascii="Calibri"/>
          <w:sz w:val="20"/>
        </w:rPr>
      </w:pPr>
      <w:r>
        <w:rPr>
          <w:rFonts w:ascii="Calibri"/>
          <w:sz w:val="20"/>
        </w:rPr>
        <w:t>Review of resource-use measures in UK economic evaluations.</w:t>
      </w:r>
    </w:p>
    <w:p w:rsidR="006A18FD" w:rsidRDefault="006A18FD">
      <w:pPr>
        <w:spacing w:before="6"/>
        <w:rPr>
          <w:rFonts w:ascii="Calibri"/>
        </w:rPr>
      </w:pPr>
    </w:p>
    <w:p w:rsidR="006A18FD" w:rsidRDefault="002D29FC">
      <w:pPr>
        <w:ind w:left="140"/>
        <w:rPr>
          <w:rFonts w:ascii="Cambria"/>
          <w:b/>
          <w:sz w:val="20"/>
        </w:rPr>
      </w:pPr>
      <w:r>
        <w:rPr>
          <w:rFonts w:ascii="Cambria"/>
          <w:b/>
          <w:sz w:val="20"/>
        </w:rPr>
        <w:t>2016</w:t>
      </w:r>
    </w:p>
    <w:p w:rsidR="006A18FD" w:rsidRDefault="002D29FC">
      <w:pPr>
        <w:spacing w:before="39" w:line="276" w:lineRule="auto"/>
        <w:ind w:left="140" w:right="6988"/>
        <w:rPr>
          <w:rFonts w:ascii="Calibri"/>
          <w:sz w:val="20"/>
        </w:rPr>
      </w:pPr>
      <w:r>
        <w:rPr>
          <w:rFonts w:ascii="Calibri"/>
          <w:sz w:val="20"/>
        </w:rPr>
        <w:t>Guest editorial: Agency staff in the NHS Costs of the Well London Programme</w:t>
      </w:r>
    </w:p>
    <w:p w:rsidR="006A18FD" w:rsidRDefault="002D29FC">
      <w:pPr>
        <w:ind w:left="140"/>
        <w:rPr>
          <w:rFonts w:ascii="Calibri"/>
          <w:sz w:val="20"/>
        </w:rPr>
      </w:pPr>
      <w:r>
        <w:rPr>
          <w:rFonts w:ascii="Calibri"/>
          <w:sz w:val="20"/>
        </w:rPr>
        <w:t>PUCC: The Preventonomics Unit Cost Calculator</w:t>
      </w:r>
    </w:p>
    <w:p w:rsidR="006A18FD" w:rsidRDefault="006A18FD">
      <w:pPr>
        <w:spacing w:before="5"/>
        <w:rPr>
          <w:rFonts w:ascii="Calibri"/>
        </w:rPr>
      </w:pPr>
    </w:p>
    <w:p w:rsidR="006A18FD" w:rsidRDefault="002D29FC">
      <w:pPr>
        <w:spacing w:before="1"/>
        <w:ind w:left="140"/>
        <w:rPr>
          <w:rFonts w:ascii="Cambria"/>
          <w:b/>
          <w:sz w:val="20"/>
        </w:rPr>
      </w:pPr>
      <w:r>
        <w:rPr>
          <w:rFonts w:ascii="Cambria"/>
          <w:b/>
          <w:sz w:val="20"/>
        </w:rPr>
        <w:t>2017</w:t>
      </w:r>
    </w:p>
    <w:p w:rsidR="006A18FD" w:rsidRDefault="002D29FC">
      <w:pPr>
        <w:spacing w:before="36" w:line="276" w:lineRule="auto"/>
        <w:ind w:left="140" w:right="4597"/>
        <w:rPr>
          <w:rFonts w:ascii="Calibri"/>
          <w:sz w:val="20"/>
        </w:rPr>
      </w:pPr>
      <w:r>
        <w:rPr>
          <w:rFonts w:ascii="Calibri"/>
          <w:sz w:val="20"/>
        </w:rPr>
        <w:t>Guest editorial: Estimating medication costs for economic evaluation Health care costs in the English NHS</w:t>
      </w:r>
    </w:p>
    <w:p w:rsidR="006A18FD" w:rsidRDefault="002D29FC">
      <w:pPr>
        <w:ind w:left="140"/>
        <w:rPr>
          <w:rFonts w:ascii="Calibri"/>
          <w:sz w:val="20"/>
        </w:rPr>
      </w:pPr>
      <w:r>
        <w:rPr>
          <w:rFonts w:ascii="Calibri"/>
          <w:sz w:val="20"/>
        </w:rPr>
        <w:t>A survey of English dental practices with costs in mind</w:t>
      </w:r>
    </w:p>
    <w:p w:rsidR="006A18FD" w:rsidRDefault="006A18FD">
      <w:pPr>
        <w:spacing w:before="10"/>
        <w:rPr>
          <w:rFonts w:ascii="Calibri"/>
          <w:sz w:val="25"/>
        </w:rPr>
      </w:pPr>
    </w:p>
    <w:p w:rsidR="006A18FD" w:rsidRDefault="002D29FC">
      <w:pPr>
        <w:ind w:left="140"/>
        <w:rPr>
          <w:rFonts w:ascii="Cambria"/>
          <w:b/>
          <w:sz w:val="20"/>
        </w:rPr>
      </w:pPr>
      <w:r>
        <w:rPr>
          <w:rFonts w:ascii="Cambria"/>
          <w:b/>
          <w:sz w:val="20"/>
        </w:rPr>
        <w:t>2018</w:t>
      </w:r>
    </w:p>
    <w:p w:rsidR="006A18FD" w:rsidRDefault="002D29FC">
      <w:pPr>
        <w:spacing w:before="35" w:line="276" w:lineRule="auto"/>
        <w:ind w:left="140" w:right="2262"/>
        <w:rPr>
          <w:rFonts w:ascii="Calibri" w:hAnsi="Calibri"/>
          <w:sz w:val="20"/>
        </w:rPr>
      </w:pPr>
      <w:r>
        <w:rPr>
          <w:rFonts w:ascii="Calibri" w:hAnsi="Calibri"/>
          <w:sz w:val="20"/>
        </w:rPr>
        <w:t>A comparison of two sources of primary and social care resource use data in a care home setting GP prescription costs – changes over time</w:t>
      </w:r>
    </w:p>
    <w:p w:rsidR="006A18FD" w:rsidRDefault="002D29FC" w:rsidP="005629E5">
      <w:pPr>
        <w:pStyle w:val="Heading2"/>
      </w:pPr>
      <w:r>
        <w:t>Tables</w:t>
      </w:r>
    </w:p>
    <w:p w:rsidR="006A18FD" w:rsidRDefault="006A18FD">
      <w:pPr>
        <w:spacing w:before="7"/>
        <w:rPr>
          <w:rFonts w:ascii="Cambria"/>
          <w:b/>
          <w:sz w:val="23"/>
        </w:rPr>
      </w:pPr>
    </w:p>
    <w:p w:rsidR="006A18FD" w:rsidRDefault="002D29FC">
      <w:pPr>
        <w:ind w:left="140"/>
        <w:rPr>
          <w:rFonts w:ascii="Cambria"/>
          <w:b/>
          <w:sz w:val="20"/>
        </w:rPr>
      </w:pPr>
      <w:r>
        <w:rPr>
          <w:rFonts w:ascii="Cambria"/>
          <w:b/>
          <w:sz w:val="20"/>
        </w:rPr>
        <w:t>2007</w:t>
      </w:r>
    </w:p>
    <w:p w:rsidR="006A18FD" w:rsidRDefault="002D29FC">
      <w:pPr>
        <w:spacing w:before="36"/>
        <w:ind w:left="140"/>
        <w:rPr>
          <w:rFonts w:ascii="Calibri" w:hAnsi="Calibri"/>
          <w:sz w:val="20"/>
        </w:rPr>
      </w:pPr>
      <w:r>
        <w:rPr>
          <w:rFonts w:ascii="Calibri" w:hAnsi="Calibri"/>
          <w:sz w:val="20"/>
        </w:rPr>
        <w:t>All children’s social care services withdrawn, but reinstated in 2010</w:t>
      </w:r>
    </w:p>
    <w:p w:rsidR="006A18FD" w:rsidRDefault="006A18FD">
      <w:pPr>
        <w:spacing w:before="5"/>
        <w:rPr>
          <w:rFonts w:ascii="Calibri"/>
        </w:rPr>
      </w:pPr>
    </w:p>
    <w:p w:rsidR="006A18FD" w:rsidRDefault="002D29FC">
      <w:pPr>
        <w:spacing w:before="1"/>
        <w:ind w:left="140"/>
        <w:rPr>
          <w:rFonts w:ascii="Cambria"/>
          <w:b/>
          <w:sz w:val="20"/>
        </w:rPr>
      </w:pPr>
      <w:r>
        <w:rPr>
          <w:rFonts w:ascii="Cambria"/>
          <w:b/>
          <w:sz w:val="20"/>
        </w:rPr>
        <w:t>2008</w:t>
      </w:r>
    </w:p>
    <w:p w:rsidR="006A18FD" w:rsidRDefault="002D29FC">
      <w:pPr>
        <w:spacing w:before="36"/>
        <w:ind w:left="140"/>
        <w:rPr>
          <w:rFonts w:ascii="Calibri"/>
          <w:sz w:val="20"/>
        </w:rPr>
      </w:pPr>
      <w:r>
        <w:rPr>
          <w:rFonts w:ascii="Calibri"/>
          <w:sz w:val="20"/>
        </w:rPr>
        <w:t>Paramedic and emergency ambulance services</w:t>
      </w:r>
    </w:p>
    <w:p w:rsidR="006A18FD" w:rsidRDefault="006A18FD">
      <w:pPr>
        <w:spacing w:before="5"/>
        <w:rPr>
          <w:rFonts w:ascii="Calibri"/>
        </w:rPr>
      </w:pPr>
    </w:p>
    <w:p w:rsidR="006A18FD" w:rsidRDefault="002D29FC">
      <w:pPr>
        <w:ind w:left="140"/>
        <w:rPr>
          <w:rFonts w:ascii="Cambria"/>
          <w:b/>
          <w:sz w:val="20"/>
        </w:rPr>
      </w:pPr>
      <w:r>
        <w:rPr>
          <w:rFonts w:ascii="Cambria"/>
          <w:b/>
          <w:sz w:val="20"/>
        </w:rPr>
        <w:t>2009</w:t>
      </w:r>
    </w:p>
    <w:p w:rsidR="006A18FD" w:rsidRDefault="002D29FC">
      <w:pPr>
        <w:spacing w:before="38" w:line="276" w:lineRule="auto"/>
        <w:ind w:left="140" w:right="4026"/>
        <w:rPr>
          <w:rFonts w:ascii="Calibri"/>
          <w:sz w:val="20"/>
        </w:rPr>
      </w:pPr>
      <w:r>
        <w:rPr>
          <w:rFonts w:ascii="Calibri"/>
          <w:sz w:val="20"/>
        </w:rPr>
        <w:t>Cost of maintaining a drugs misuser on a methadone treatment programme Unpaid care</w:t>
      </w:r>
    </w:p>
    <w:p w:rsidR="006A18FD" w:rsidRDefault="006A18FD">
      <w:pPr>
        <w:spacing w:before="6"/>
        <w:rPr>
          <w:rFonts w:ascii="Calibri"/>
          <w:sz w:val="19"/>
        </w:rPr>
      </w:pPr>
    </w:p>
    <w:p w:rsidR="006A18FD" w:rsidRDefault="002D29FC">
      <w:pPr>
        <w:ind w:left="140"/>
        <w:rPr>
          <w:rFonts w:ascii="Cambria"/>
          <w:b/>
          <w:sz w:val="20"/>
        </w:rPr>
      </w:pPr>
      <w:r>
        <w:rPr>
          <w:rFonts w:ascii="Cambria"/>
          <w:b/>
          <w:sz w:val="20"/>
        </w:rPr>
        <w:t>2010</w:t>
      </w:r>
    </w:p>
    <w:p w:rsidR="006A18FD" w:rsidRDefault="002D29FC">
      <w:pPr>
        <w:spacing w:before="35"/>
        <w:ind w:left="140"/>
        <w:rPr>
          <w:rFonts w:ascii="Calibri"/>
          <w:sz w:val="20"/>
        </w:rPr>
      </w:pPr>
      <w:r>
        <w:rPr>
          <w:rFonts w:ascii="Calibri"/>
          <w:sz w:val="20"/>
        </w:rPr>
        <w:t>Voluntary residential care for older people</w:t>
      </w:r>
    </w:p>
    <w:p w:rsidR="006A18FD" w:rsidRDefault="002D29FC">
      <w:pPr>
        <w:spacing w:before="36" w:line="276" w:lineRule="auto"/>
        <w:ind w:left="140" w:right="5695"/>
        <w:rPr>
          <w:rFonts w:ascii="Calibri"/>
          <w:sz w:val="20"/>
        </w:rPr>
      </w:pPr>
      <w:r>
        <w:rPr>
          <w:rFonts w:ascii="Calibri"/>
          <w:sz w:val="20"/>
        </w:rPr>
        <w:t>Nursing-Led Inpatient Unit (NLIU) for intermediate care Local authority sheltered housing for older people Housing association sheltered housing for older people Local authority very sheltered housing for older people</w:t>
      </w:r>
    </w:p>
    <w:p w:rsidR="006A18FD" w:rsidRDefault="002D29FC">
      <w:pPr>
        <w:ind w:left="140"/>
        <w:rPr>
          <w:rFonts w:ascii="Calibri"/>
          <w:sz w:val="20"/>
        </w:rPr>
      </w:pPr>
      <w:r>
        <w:rPr>
          <w:rFonts w:ascii="Calibri"/>
          <w:sz w:val="20"/>
        </w:rPr>
        <w:t>Housing association very sheltered housing for older people</w:t>
      </w:r>
    </w:p>
    <w:p w:rsidR="006A18FD" w:rsidRDefault="002D29FC">
      <w:pPr>
        <w:spacing w:before="36" w:line="276" w:lineRule="auto"/>
        <w:ind w:left="140" w:right="2974"/>
        <w:rPr>
          <w:rFonts w:ascii="Calibri"/>
          <w:sz w:val="20"/>
        </w:rPr>
      </w:pPr>
      <w:r>
        <w:rPr>
          <w:rFonts w:ascii="Calibri"/>
          <w:sz w:val="20"/>
        </w:rPr>
        <w:t>Local authority residential care (staffed hostel) for people with mental health problems Local authority residential care (group home) for people with mental health problems Voluntary sector residential care (staffed hostel) for people with mental health problems Private sector residential care (staffed hostel) for people with mental health problems Acute NHS hospital services for people with mental health problems</w:t>
      </w:r>
    </w:p>
    <w:p w:rsidR="006A18FD" w:rsidRDefault="002D29FC">
      <w:pPr>
        <w:ind w:left="140"/>
        <w:rPr>
          <w:rFonts w:ascii="Calibri"/>
          <w:sz w:val="20"/>
        </w:rPr>
      </w:pPr>
      <w:r>
        <w:rPr>
          <w:rFonts w:ascii="Calibri"/>
          <w:sz w:val="20"/>
        </w:rPr>
        <w:t>NHS long-stay hospital services for people with mental health problems</w:t>
      </w:r>
    </w:p>
    <w:p w:rsidR="006A18FD" w:rsidRDefault="002D29FC">
      <w:pPr>
        <w:spacing w:before="36" w:line="276" w:lineRule="auto"/>
        <w:ind w:left="140" w:right="2514"/>
        <w:rPr>
          <w:rFonts w:ascii="Calibri"/>
          <w:sz w:val="20"/>
        </w:rPr>
      </w:pPr>
      <w:r>
        <w:rPr>
          <w:rFonts w:ascii="Calibri"/>
          <w:sz w:val="20"/>
        </w:rPr>
        <w:t>Voluntary/non-profit organisations providing day care for people with mental health problems Sheltered work schemes for people with mental health problems</w:t>
      </w:r>
    </w:p>
    <w:p w:rsidR="006A18FD" w:rsidRDefault="002D29FC">
      <w:pPr>
        <w:ind w:left="140"/>
        <w:rPr>
          <w:rFonts w:ascii="Calibri"/>
          <w:sz w:val="20"/>
        </w:rPr>
      </w:pPr>
      <w:r>
        <w:rPr>
          <w:rFonts w:ascii="Calibri"/>
          <w:sz w:val="20"/>
        </w:rPr>
        <w:t>Village communities for people with learning disabilities</w:t>
      </w:r>
    </w:p>
    <w:p w:rsidR="006A18FD" w:rsidRDefault="006A18FD">
      <w:pPr>
        <w:rPr>
          <w:rFonts w:ascii="Calibri"/>
          <w:sz w:val="20"/>
        </w:rPr>
        <w:sectPr w:rsidR="006A18FD">
          <w:pgSz w:w="11910" w:h="16840"/>
          <w:pgMar w:top="1000" w:right="980" w:bottom="280" w:left="580" w:header="751" w:footer="0" w:gutter="0"/>
          <w:cols w:space="720"/>
        </w:sectPr>
      </w:pPr>
    </w:p>
    <w:p w:rsidR="006A18FD" w:rsidRDefault="006A18FD">
      <w:pPr>
        <w:spacing w:before="1"/>
        <w:rPr>
          <w:rFonts w:ascii="Calibri"/>
          <w:sz w:val="2"/>
        </w:rPr>
      </w:pPr>
    </w:p>
    <w:p w:rsidR="006A18FD" w:rsidRDefault="00E60AD2">
      <w:pPr>
        <w:spacing w:line="20" w:lineRule="exact"/>
        <w:ind w:left="119"/>
        <w:rPr>
          <w:rFonts w:ascii="Calibri"/>
          <w:sz w:val="2"/>
        </w:rPr>
      </w:pPr>
      <w:r>
        <w:rPr>
          <w:rFonts w:ascii="Calibri"/>
          <w:noProof/>
          <w:sz w:val="2"/>
          <w:lang w:val="en-GB" w:eastAsia="en-GB"/>
        </w:rPr>
        <mc:AlternateContent>
          <mc:Choice Requires="wpg">
            <w:drawing>
              <wp:inline distT="0" distB="0" distL="0" distR="0">
                <wp:extent cx="6426835" cy="6350"/>
                <wp:effectExtent l="9525" t="9525" r="2540" b="3175"/>
                <wp:docPr id="1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6350"/>
                          <a:chOff x="0" y="0"/>
                          <a:chExt cx="10121" cy="10"/>
                        </a:xfrm>
                      </wpg:grpSpPr>
                      <wps:wsp>
                        <wps:cNvPr id="146" name="Line 3"/>
                        <wps:cNvCnPr>
                          <a:cxnSpLocks noChangeShapeType="1"/>
                        </wps:cNvCnPr>
                        <wps:spPr bwMode="auto">
                          <a:xfrm>
                            <a:off x="5" y="5"/>
                            <a:ext cx="101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A4F49" id="Group 2" o:spid="_x0000_s1026" style="width:506.05pt;height:.5pt;mso-position-horizontal-relative:char;mso-position-vertical-relative:line" coordsize="10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">
                <v:line id="Line 3" o:spid="_x0000_s1027" style="position:absolute;visibility:visible;mso-wrap-style:square" from="5,5" to="1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w10:anchorlock/>
              </v:group>
            </w:pict>
          </mc:Fallback>
        </mc:AlternateContent>
      </w:r>
    </w:p>
    <w:p w:rsidR="006A18FD" w:rsidRDefault="002D29FC">
      <w:pPr>
        <w:ind w:left="152"/>
        <w:rPr>
          <w:rFonts w:ascii="Calibri"/>
          <w:sz w:val="20"/>
        </w:rPr>
      </w:pPr>
      <w:r>
        <w:rPr>
          <w:rFonts w:ascii="Calibri"/>
          <w:sz w:val="20"/>
        </w:rPr>
        <w:t>The costs of community-based care of technology-dependent children</w:t>
      </w:r>
    </w:p>
    <w:p w:rsidR="006A18FD" w:rsidRDefault="006A18FD">
      <w:pPr>
        <w:spacing w:before="6"/>
        <w:rPr>
          <w:rFonts w:ascii="Calibri"/>
        </w:rPr>
      </w:pPr>
    </w:p>
    <w:p w:rsidR="006A18FD" w:rsidRDefault="002D29FC">
      <w:pPr>
        <w:ind w:left="152"/>
        <w:rPr>
          <w:rFonts w:ascii="Cambria"/>
          <w:b/>
          <w:sz w:val="20"/>
        </w:rPr>
      </w:pPr>
      <w:r>
        <w:rPr>
          <w:rFonts w:ascii="Cambria"/>
          <w:b/>
          <w:sz w:val="20"/>
        </w:rPr>
        <w:t>2011</w:t>
      </w:r>
    </w:p>
    <w:p w:rsidR="006A18FD" w:rsidRDefault="002D29FC">
      <w:pPr>
        <w:spacing w:before="36"/>
        <w:ind w:left="152"/>
        <w:rPr>
          <w:rFonts w:ascii="Calibri"/>
          <w:sz w:val="20"/>
        </w:rPr>
      </w:pPr>
      <w:r>
        <w:rPr>
          <w:rFonts w:ascii="Calibri"/>
          <w:sz w:val="20"/>
        </w:rPr>
        <w:t>Approved social worker</w:t>
      </w:r>
    </w:p>
    <w:p w:rsidR="006A18FD" w:rsidRDefault="006A18FD">
      <w:pPr>
        <w:spacing w:before="6"/>
        <w:rPr>
          <w:rFonts w:ascii="Calibri"/>
        </w:rPr>
      </w:pPr>
    </w:p>
    <w:p w:rsidR="006A18FD" w:rsidRDefault="002D29FC">
      <w:pPr>
        <w:ind w:left="152"/>
        <w:rPr>
          <w:rFonts w:ascii="Cambria"/>
          <w:b/>
          <w:sz w:val="20"/>
        </w:rPr>
      </w:pPr>
      <w:r>
        <w:rPr>
          <w:rFonts w:ascii="Cambria"/>
          <w:b/>
          <w:sz w:val="20"/>
        </w:rPr>
        <w:t>2012</w:t>
      </w:r>
    </w:p>
    <w:p w:rsidR="006A18FD" w:rsidRDefault="002D29FC">
      <w:pPr>
        <w:spacing w:before="36" w:line="276" w:lineRule="auto"/>
        <w:ind w:left="152" w:right="2845"/>
        <w:rPr>
          <w:rFonts w:ascii="Calibri"/>
          <w:sz w:val="20"/>
        </w:rPr>
      </w:pPr>
      <w:r>
        <w:rPr>
          <w:rFonts w:ascii="Calibri"/>
          <w:sz w:val="20"/>
        </w:rPr>
        <w:t>High-dependency care home for younger adults with physical and sensory impairments Residential home for younger adults with physical and sensory impairments</w:t>
      </w:r>
    </w:p>
    <w:p w:rsidR="006A18FD" w:rsidRDefault="002D29FC">
      <w:pPr>
        <w:spacing w:line="276" w:lineRule="auto"/>
        <w:ind w:left="152" w:right="3942"/>
        <w:rPr>
          <w:rFonts w:ascii="Calibri"/>
          <w:sz w:val="20"/>
        </w:rPr>
      </w:pPr>
      <w:r>
        <w:rPr>
          <w:rFonts w:ascii="Calibri"/>
          <w:sz w:val="20"/>
        </w:rPr>
        <w:t>Special needs flats for younger adults with physical and sensory impairments Rehabilitation day centre for younger adults with brain injury</w:t>
      </w:r>
    </w:p>
    <w:p w:rsidR="006A18FD" w:rsidRDefault="002D29FC">
      <w:pPr>
        <w:ind w:left="152"/>
        <w:rPr>
          <w:rFonts w:ascii="Calibri"/>
          <w:sz w:val="20"/>
        </w:rPr>
      </w:pPr>
      <w:r>
        <w:rPr>
          <w:rFonts w:ascii="Calibri"/>
          <w:sz w:val="20"/>
        </w:rPr>
        <w:t>Comparative costs of providing sexually abused children with individual and group psychotherapy</w:t>
      </w:r>
    </w:p>
    <w:p w:rsidR="006A18FD" w:rsidRDefault="006A18FD">
      <w:pPr>
        <w:spacing w:before="6"/>
        <w:rPr>
          <w:rFonts w:ascii="Calibri"/>
        </w:rPr>
      </w:pPr>
    </w:p>
    <w:p w:rsidR="006A18FD" w:rsidRDefault="002D29FC">
      <w:pPr>
        <w:ind w:left="152"/>
        <w:rPr>
          <w:rFonts w:ascii="Cambria"/>
          <w:b/>
          <w:sz w:val="20"/>
        </w:rPr>
      </w:pPr>
      <w:r>
        <w:rPr>
          <w:rFonts w:ascii="Cambria"/>
          <w:b/>
          <w:sz w:val="20"/>
        </w:rPr>
        <w:t>2013</w:t>
      </w:r>
    </w:p>
    <w:p w:rsidR="006A18FD" w:rsidRDefault="002D29FC">
      <w:pPr>
        <w:spacing w:before="38"/>
        <w:ind w:left="152"/>
        <w:rPr>
          <w:rFonts w:ascii="Calibri"/>
          <w:sz w:val="20"/>
        </w:rPr>
      </w:pPr>
      <w:r>
        <w:rPr>
          <w:rFonts w:ascii="Calibri"/>
          <w:sz w:val="20"/>
        </w:rPr>
        <w:t>Rapid response service</w:t>
      </w:r>
    </w:p>
    <w:p w:rsidR="006A18FD" w:rsidRDefault="006A18FD">
      <w:pPr>
        <w:spacing w:before="10"/>
        <w:rPr>
          <w:rFonts w:ascii="Calibri"/>
          <w:sz w:val="25"/>
        </w:rPr>
      </w:pPr>
    </w:p>
    <w:p w:rsidR="006A18FD" w:rsidRDefault="002D29FC">
      <w:pPr>
        <w:ind w:left="152"/>
        <w:rPr>
          <w:rFonts w:ascii="Cambria"/>
          <w:b/>
          <w:sz w:val="20"/>
        </w:rPr>
      </w:pPr>
      <w:r>
        <w:rPr>
          <w:rFonts w:ascii="Cambria"/>
          <w:b/>
          <w:sz w:val="20"/>
        </w:rPr>
        <w:t>2014</w:t>
      </w:r>
    </w:p>
    <w:p w:rsidR="006A18FD" w:rsidRDefault="002D29FC">
      <w:pPr>
        <w:spacing w:before="36"/>
        <w:ind w:left="152"/>
        <w:rPr>
          <w:rFonts w:ascii="Calibri"/>
          <w:sz w:val="20"/>
        </w:rPr>
      </w:pPr>
      <w:r>
        <w:rPr>
          <w:rFonts w:ascii="Calibri"/>
          <w:sz w:val="20"/>
        </w:rPr>
        <w:t>Community rehabilitation unit</w:t>
      </w:r>
    </w:p>
    <w:p w:rsidR="006A18FD" w:rsidRDefault="002D29FC">
      <w:pPr>
        <w:spacing w:before="36" w:line="276" w:lineRule="auto"/>
        <w:ind w:left="152" w:right="6169"/>
        <w:rPr>
          <w:rFonts w:ascii="Calibri"/>
          <w:sz w:val="20"/>
        </w:rPr>
      </w:pPr>
      <w:r>
        <w:rPr>
          <w:rFonts w:ascii="Calibri"/>
          <w:sz w:val="20"/>
        </w:rPr>
        <w:t>Intermediate care based in residential homes Counselling services in primary medical care Group homes for people with learning disabilities</w:t>
      </w:r>
    </w:p>
    <w:p w:rsidR="006A18FD" w:rsidRDefault="002D29FC">
      <w:pPr>
        <w:ind w:left="152"/>
        <w:rPr>
          <w:rFonts w:ascii="Calibri"/>
          <w:sz w:val="20"/>
        </w:rPr>
      </w:pPr>
      <w:r>
        <w:rPr>
          <w:rFonts w:ascii="Calibri"/>
          <w:sz w:val="20"/>
        </w:rPr>
        <w:t>Fully-staffed living settings (people with learning disabilities)</w:t>
      </w:r>
    </w:p>
    <w:p w:rsidR="006A18FD" w:rsidRDefault="002D29FC">
      <w:pPr>
        <w:spacing w:before="37" w:line="276" w:lineRule="auto"/>
        <w:ind w:left="152" w:right="4796"/>
        <w:rPr>
          <w:rFonts w:ascii="Calibri"/>
          <w:sz w:val="20"/>
        </w:rPr>
      </w:pPr>
      <w:r>
        <w:rPr>
          <w:rFonts w:ascii="Calibri"/>
          <w:sz w:val="20"/>
        </w:rPr>
        <w:t>Semi-independent living settings (people with learning disabilities) Hospital-based rehabilitation care scheme</w:t>
      </w:r>
    </w:p>
    <w:p w:rsidR="006A18FD" w:rsidRDefault="002D29FC">
      <w:pPr>
        <w:ind w:left="152"/>
        <w:rPr>
          <w:rFonts w:ascii="Calibri"/>
          <w:sz w:val="20"/>
        </w:rPr>
      </w:pPr>
      <w:r>
        <w:rPr>
          <w:rFonts w:ascii="Calibri"/>
          <w:sz w:val="20"/>
        </w:rPr>
        <w:t>Expert patients programme</w:t>
      </w:r>
    </w:p>
    <w:p w:rsidR="006A18FD" w:rsidRDefault="002D29FC">
      <w:pPr>
        <w:spacing w:before="36" w:line="276" w:lineRule="auto"/>
        <w:ind w:left="152" w:right="6690"/>
        <w:rPr>
          <w:rFonts w:ascii="Calibri"/>
          <w:sz w:val="20"/>
        </w:rPr>
      </w:pPr>
      <w:r>
        <w:rPr>
          <w:rFonts w:ascii="Calibri"/>
          <w:sz w:val="20"/>
        </w:rPr>
        <w:t>Community care packages for older people Nursing homes for people with dementia</w:t>
      </w:r>
    </w:p>
    <w:p w:rsidR="006A18FD" w:rsidRDefault="002D29FC">
      <w:pPr>
        <w:ind w:left="152"/>
        <w:rPr>
          <w:rFonts w:ascii="Calibri"/>
          <w:sz w:val="20"/>
        </w:rPr>
      </w:pPr>
      <w:r>
        <w:rPr>
          <w:rFonts w:ascii="Calibri"/>
          <w:sz w:val="20"/>
        </w:rPr>
        <w:t>Private and other independent sector residential homes for people with dementia</w:t>
      </w:r>
    </w:p>
    <w:p w:rsidR="006A18FD" w:rsidRDefault="006A18FD">
      <w:pPr>
        <w:spacing w:before="10"/>
        <w:rPr>
          <w:rFonts w:ascii="Calibri"/>
          <w:sz w:val="25"/>
        </w:rPr>
      </w:pPr>
    </w:p>
    <w:p w:rsidR="006A18FD" w:rsidRDefault="002D29FC">
      <w:pPr>
        <w:ind w:left="152"/>
        <w:rPr>
          <w:rFonts w:ascii="Cambria"/>
          <w:b/>
          <w:sz w:val="20"/>
        </w:rPr>
      </w:pPr>
      <w:r>
        <w:rPr>
          <w:rFonts w:ascii="Cambria"/>
          <w:b/>
          <w:sz w:val="20"/>
        </w:rPr>
        <w:t>2015</w:t>
      </w:r>
    </w:p>
    <w:p w:rsidR="006A18FD" w:rsidRDefault="002D29FC">
      <w:pPr>
        <w:spacing w:before="35"/>
        <w:ind w:left="152"/>
        <w:rPr>
          <w:rFonts w:ascii="Calibri"/>
          <w:sz w:val="20"/>
        </w:rPr>
      </w:pPr>
      <w:r>
        <w:rPr>
          <w:rFonts w:ascii="Calibri"/>
          <w:sz w:val="20"/>
        </w:rPr>
        <w:t>Individual placement and support</w:t>
      </w:r>
    </w:p>
    <w:p w:rsidR="006A18FD" w:rsidRDefault="002D29FC">
      <w:pPr>
        <w:spacing w:before="36" w:line="276" w:lineRule="auto"/>
        <w:ind w:left="152" w:right="5280"/>
        <w:rPr>
          <w:rFonts w:ascii="Calibri"/>
          <w:sz w:val="20"/>
        </w:rPr>
      </w:pPr>
      <w:r>
        <w:rPr>
          <w:rFonts w:ascii="Calibri"/>
          <w:sz w:val="20"/>
        </w:rPr>
        <w:t>Some home care services for adults with learning disabilities Key worker services for disabled children and their families Services for children in care</w:t>
      </w:r>
    </w:p>
    <w:p w:rsidR="006A18FD" w:rsidRDefault="002D29FC">
      <w:pPr>
        <w:ind w:left="152"/>
        <w:rPr>
          <w:rFonts w:ascii="Calibri"/>
          <w:sz w:val="20"/>
        </w:rPr>
      </w:pPr>
      <w:r>
        <w:rPr>
          <w:rFonts w:ascii="Calibri"/>
          <w:sz w:val="20"/>
        </w:rPr>
        <w:t>Services for children in need</w:t>
      </w:r>
    </w:p>
    <w:p w:rsidR="006A18FD" w:rsidRDefault="002D29FC">
      <w:pPr>
        <w:spacing w:before="36" w:line="276" w:lineRule="auto"/>
        <w:ind w:left="152" w:right="6557"/>
        <w:rPr>
          <w:rFonts w:ascii="Calibri"/>
          <w:sz w:val="20"/>
        </w:rPr>
      </w:pPr>
      <w:r>
        <w:rPr>
          <w:rFonts w:ascii="Calibri"/>
          <w:sz w:val="20"/>
        </w:rPr>
        <w:t>Common assessment framework (CAF) Palliative care for children and young people</w:t>
      </w:r>
    </w:p>
    <w:p w:rsidR="006A18FD" w:rsidRDefault="006A18FD">
      <w:pPr>
        <w:spacing w:before="9"/>
        <w:rPr>
          <w:rFonts w:ascii="Calibri"/>
        </w:rPr>
      </w:pPr>
    </w:p>
    <w:p w:rsidR="006A18FD" w:rsidRDefault="002D29FC">
      <w:pPr>
        <w:ind w:left="152"/>
        <w:rPr>
          <w:rFonts w:ascii="Cambria"/>
          <w:b/>
          <w:sz w:val="20"/>
        </w:rPr>
      </w:pPr>
      <w:r>
        <w:rPr>
          <w:rFonts w:ascii="Cambria"/>
          <w:b/>
          <w:sz w:val="20"/>
        </w:rPr>
        <w:t>2016</w:t>
      </w:r>
    </w:p>
    <w:p w:rsidR="006A18FD" w:rsidRDefault="002D29FC">
      <w:pPr>
        <w:spacing w:before="36"/>
        <w:ind w:left="152"/>
        <w:rPr>
          <w:rFonts w:ascii="Calibri"/>
          <w:sz w:val="20"/>
        </w:rPr>
      </w:pPr>
      <w:r>
        <w:rPr>
          <w:rFonts w:ascii="Calibri"/>
          <w:sz w:val="20"/>
        </w:rPr>
        <w:t>Multi-dimensional treatment foster care (MTFC)</w:t>
      </w:r>
    </w:p>
    <w:p w:rsidR="006A18FD" w:rsidRDefault="006A18FD">
      <w:pPr>
        <w:spacing w:before="10"/>
        <w:rPr>
          <w:rFonts w:ascii="Calibri"/>
          <w:sz w:val="25"/>
        </w:rPr>
      </w:pPr>
    </w:p>
    <w:p w:rsidR="006A18FD" w:rsidRDefault="002D29FC">
      <w:pPr>
        <w:ind w:left="152"/>
        <w:rPr>
          <w:rFonts w:ascii="Cambria"/>
          <w:b/>
          <w:sz w:val="20"/>
        </w:rPr>
      </w:pPr>
      <w:r>
        <w:rPr>
          <w:rFonts w:ascii="Cambria"/>
          <w:b/>
          <w:sz w:val="20"/>
        </w:rPr>
        <w:t>2017</w:t>
      </w:r>
    </w:p>
    <w:p w:rsidR="006A18FD" w:rsidRDefault="002D29FC">
      <w:pPr>
        <w:spacing w:before="38"/>
        <w:ind w:left="152"/>
        <w:rPr>
          <w:rFonts w:ascii="Calibri"/>
          <w:sz w:val="20"/>
        </w:rPr>
      </w:pPr>
      <w:r>
        <w:rPr>
          <w:rFonts w:ascii="Calibri"/>
          <w:sz w:val="20"/>
        </w:rPr>
        <w:t>Extra-care housing for older people</w:t>
      </w:r>
    </w:p>
    <w:p w:rsidR="006A18FD" w:rsidRDefault="002D29FC">
      <w:pPr>
        <w:spacing w:before="36" w:line="276" w:lineRule="auto"/>
        <w:ind w:left="152" w:right="4903"/>
        <w:rPr>
          <w:rFonts w:ascii="Calibri" w:hAnsi="Calibri"/>
          <w:sz w:val="20"/>
        </w:rPr>
      </w:pPr>
      <w:r>
        <w:rPr>
          <w:rFonts w:ascii="Calibri" w:hAnsi="Calibri"/>
          <w:sz w:val="20"/>
        </w:rPr>
        <w:t>Geriatric resources for assessment and care of elders (GRACE) Mindfulness-based cognitive therapy – group-based intervention Residential rehabilitation for people who misuse drugs or alcohol Inpatient detoxification for people who misuse drugs or alcohol Specialist prescribing</w:t>
      </w:r>
    </w:p>
    <w:p w:rsidR="006A18FD" w:rsidRDefault="002D29FC">
      <w:pPr>
        <w:ind w:left="152"/>
        <w:rPr>
          <w:rFonts w:ascii="Calibri"/>
          <w:sz w:val="20"/>
        </w:rPr>
      </w:pPr>
      <w:r>
        <w:rPr>
          <w:rFonts w:ascii="Calibri"/>
          <w:sz w:val="20"/>
        </w:rPr>
        <w:t>Cognitive Behavioural Therapy</w:t>
      </w:r>
    </w:p>
    <w:p w:rsidR="006A18FD" w:rsidRDefault="002D29FC">
      <w:pPr>
        <w:spacing w:before="36"/>
        <w:ind w:left="152"/>
        <w:rPr>
          <w:rFonts w:ascii="Calibri" w:hAnsi="Calibri"/>
          <w:sz w:val="20"/>
        </w:rPr>
      </w:pPr>
      <w:r>
        <w:rPr>
          <w:rFonts w:ascii="Calibri" w:hAnsi="Calibri"/>
          <w:sz w:val="20"/>
        </w:rPr>
        <w:t>Local safeguarding children’s boards</w:t>
      </w:r>
    </w:p>
    <w:p w:rsidR="006A18FD" w:rsidRDefault="002D29FC">
      <w:pPr>
        <w:spacing w:before="36" w:line="276" w:lineRule="auto"/>
        <w:ind w:left="152" w:right="4592"/>
        <w:rPr>
          <w:rFonts w:ascii="Calibri"/>
          <w:sz w:val="20"/>
        </w:rPr>
      </w:pPr>
      <w:r>
        <w:rPr>
          <w:rFonts w:ascii="Calibri"/>
          <w:sz w:val="20"/>
        </w:rPr>
        <w:t>Parenting programmes for prevention of persistent conduct disorder Independent reviewing officer (IRO)</w:t>
      </w:r>
    </w:p>
    <w:p w:rsidR="006A18FD" w:rsidRDefault="002D29FC">
      <w:pPr>
        <w:spacing w:line="276" w:lineRule="auto"/>
        <w:ind w:left="152"/>
        <w:rPr>
          <w:rFonts w:ascii="Calibri"/>
          <w:sz w:val="20"/>
        </w:rPr>
      </w:pPr>
      <w:r>
        <w:rPr>
          <w:rFonts w:ascii="Calibri"/>
          <w:sz w:val="20"/>
        </w:rPr>
        <w:t>Social care support for older people/people with learning disabilities/people with mental health problems and people with physical disabilities</w:t>
      </w:r>
    </w:p>
    <w:p w:rsidR="006A18FD" w:rsidRDefault="002D29FC">
      <w:pPr>
        <w:ind w:left="152"/>
        <w:rPr>
          <w:rFonts w:ascii="Calibri"/>
          <w:sz w:val="20"/>
        </w:rPr>
      </w:pPr>
      <w:r>
        <w:rPr>
          <w:rFonts w:ascii="Calibri"/>
          <w:sz w:val="20"/>
        </w:rPr>
        <w:t>Support for children and adults with autism</w:t>
      </w:r>
    </w:p>
    <w:p w:rsidR="006A18FD" w:rsidRDefault="006A18FD">
      <w:pPr>
        <w:rPr>
          <w:rFonts w:ascii="Calibri"/>
          <w:sz w:val="20"/>
        </w:rPr>
        <w:sectPr w:rsidR="006A18FD">
          <w:pgSz w:w="11910" w:h="16840"/>
          <w:pgMar w:top="960" w:right="580" w:bottom="280" w:left="980" w:header="751" w:footer="0" w:gutter="0"/>
          <w:cols w:space="720"/>
        </w:sectPr>
      </w:pPr>
    </w:p>
    <w:p w:rsidR="006A18FD" w:rsidRDefault="006A18FD">
      <w:pPr>
        <w:spacing w:before="3"/>
        <w:rPr>
          <w:rFonts w:ascii="Calibri"/>
          <w:sz w:val="17"/>
        </w:rPr>
      </w:pPr>
    </w:p>
    <w:p w:rsidR="006A18FD" w:rsidRDefault="002D29FC">
      <w:pPr>
        <w:spacing w:before="60"/>
        <w:ind w:left="140"/>
        <w:rPr>
          <w:rFonts w:ascii="Calibri"/>
          <w:sz w:val="20"/>
        </w:rPr>
      </w:pPr>
      <w:r>
        <w:rPr>
          <w:rFonts w:ascii="Calibri"/>
          <w:sz w:val="20"/>
        </w:rPr>
        <w:t>Support care for children</w:t>
      </w:r>
    </w:p>
    <w:p w:rsidR="006A18FD" w:rsidRDefault="002D29FC">
      <w:pPr>
        <w:spacing w:before="37" w:line="276" w:lineRule="auto"/>
        <w:ind w:left="140" w:right="6211"/>
        <w:rPr>
          <w:rFonts w:ascii="Calibri"/>
          <w:sz w:val="20"/>
        </w:rPr>
      </w:pPr>
      <w:r>
        <w:rPr>
          <w:rFonts w:ascii="Calibri"/>
          <w:sz w:val="20"/>
        </w:rPr>
        <w:t>Young adults with acquired brain injury in the UK Residential parenting assessments</w:t>
      </w:r>
    </w:p>
    <w:p w:rsidR="006A18FD" w:rsidRDefault="002D29FC">
      <w:pPr>
        <w:spacing w:line="276" w:lineRule="auto"/>
        <w:ind w:left="140" w:right="4945"/>
        <w:rPr>
          <w:rFonts w:ascii="Calibri"/>
          <w:sz w:val="20"/>
        </w:rPr>
      </w:pPr>
      <w:r>
        <w:rPr>
          <w:rFonts w:ascii="Calibri"/>
          <w:sz w:val="20"/>
        </w:rPr>
        <w:t>Social work team leader/senior practitioner/senior social worker Family support worker</w:t>
      </w:r>
    </w:p>
    <w:p w:rsidR="006A18FD" w:rsidRDefault="002D29FC">
      <w:pPr>
        <w:ind w:left="140"/>
        <w:rPr>
          <w:rFonts w:ascii="Calibri"/>
          <w:sz w:val="20"/>
        </w:rPr>
      </w:pPr>
      <w:r>
        <w:rPr>
          <w:rFonts w:ascii="Calibri"/>
          <w:sz w:val="20"/>
        </w:rPr>
        <w:t>Health and social care teams</w:t>
      </w:r>
    </w:p>
    <w:p w:rsidR="006A18FD" w:rsidRDefault="006A18FD">
      <w:pPr>
        <w:spacing w:before="10"/>
        <w:rPr>
          <w:rFonts w:ascii="Calibri"/>
          <w:sz w:val="25"/>
        </w:rPr>
      </w:pPr>
    </w:p>
    <w:p w:rsidR="006A18FD" w:rsidRDefault="002D29FC">
      <w:pPr>
        <w:ind w:left="140"/>
        <w:rPr>
          <w:rFonts w:ascii="Cambria"/>
          <w:b/>
          <w:sz w:val="20"/>
        </w:rPr>
      </w:pPr>
      <w:r>
        <w:rPr>
          <w:rFonts w:ascii="Cambria"/>
          <w:b/>
          <w:sz w:val="20"/>
        </w:rPr>
        <w:t>2018</w:t>
      </w:r>
    </w:p>
    <w:p w:rsidR="006A18FD" w:rsidRDefault="006A18FD">
      <w:pPr>
        <w:rPr>
          <w:rFonts w:ascii="Cambria"/>
          <w:b/>
          <w:sz w:val="26"/>
        </w:rPr>
      </w:pPr>
    </w:p>
    <w:p w:rsidR="006A18FD" w:rsidRDefault="002D29FC">
      <w:pPr>
        <w:spacing w:line="276" w:lineRule="auto"/>
        <w:ind w:left="140" w:right="4538"/>
        <w:rPr>
          <w:rFonts w:ascii="Calibri"/>
          <w:sz w:val="20"/>
        </w:rPr>
      </w:pPr>
      <w:r>
        <w:rPr>
          <w:rFonts w:ascii="Calibri"/>
          <w:sz w:val="20"/>
        </w:rPr>
        <w:t>Residential care homes for adults requiring learning disability support End of life care for children at home</w:t>
      </w:r>
    </w:p>
    <w:p w:rsidR="006A18FD" w:rsidRDefault="002D29FC">
      <w:pPr>
        <w:spacing w:line="276" w:lineRule="auto"/>
        <w:ind w:left="140" w:right="8274"/>
        <w:rPr>
          <w:rFonts w:ascii="Calibri"/>
          <w:sz w:val="20"/>
        </w:rPr>
      </w:pPr>
      <w:r>
        <w:rPr>
          <w:rFonts w:ascii="Calibri"/>
          <w:sz w:val="20"/>
        </w:rPr>
        <w:t>Decision-making panels Costs of reunification</w:t>
      </w:r>
    </w:p>
    <w:p w:rsidR="006A18FD" w:rsidRDefault="002D29FC">
      <w:pPr>
        <w:spacing w:before="1"/>
        <w:ind w:left="140"/>
        <w:rPr>
          <w:rFonts w:ascii="Calibri"/>
          <w:sz w:val="20"/>
        </w:rPr>
      </w:pPr>
      <w:r>
        <w:rPr>
          <w:rFonts w:ascii="Calibri"/>
          <w:sz w:val="20"/>
        </w:rPr>
        <w:t>Short break provision for disabled children and their families</w:t>
      </w:r>
    </w:p>
    <w:p w:rsidR="006A18FD" w:rsidRDefault="002D29FC">
      <w:pPr>
        <w:spacing w:before="37" w:line="276" w:lineRule="auto"/>
        <w:ind w:left="140" w:right="750"/>
        <w:rPr>
          <w:rFonts w:ascii="Calibri"/>
          <w:sz w:val="20"/>
        </w:rPr>
      </w:pPr>
      <w:r>
        <w:rPr>
          <w:rFonts w:ascii="Calibri"/>
          <w:sz w:val="20"/>
        </w:rPr>
        <w:t>Health care support received by people with mental health problems, older people (over 75) and other service users Reablement services</w:t>
      </w:r>
    </w:p>
    <w:sectPr w:rsidR="006A18FD">
      <w:pgSz w:w="11910" w:h="16840"/>
      <w:pgMar w:top="1000" w:right="980" w:bottom="280" w:left="58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FA8" w:rsidRDefault="008E3FA8">
      <w:r>
        <w:separator/>
      </w:r>
    </w:p>
  </w:endnote>
  <w:endnote w:type="continuationSeparator" w:id="0">
    <w:p w:rsidR="008E3FA8" w:rsidRDefault="008E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Bell MT">
    <w:altName w:val="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FA8" w:rsidRDefault="008E3FA8">
      <w:r>
        <w:separator/>
      </w:r>
    </w:p>
  </w:footnote>
  <w:footnote w:type="continuationSeparator" w:id="0">
    <w:p w:rsidR="008E3FA8" w:rsidRDefault="008E3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128"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79829" id="Line 138" o:spid="_x0000_s1026" style="position:absolute;z-index:-63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xd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152" behindDoc="1" locked="0" layoutInCell="1" allowOverlap="1">
              <wp:simplePos x="0" y="0"/>
              <wp:positionH relativeFrom="page">
                <wp:posOffset>889000</wp:posOffset>
              </wp:positionH>
              <wp:positionV relativeFrom="page">
                <wp:posOffset>464185</wp:posOffset>
              </wp:positionV>
              <wp:extent cx="146050" cy="165735"/>
              <wp:effectExtent l="3175" t="0" r="3175" b="0"/>
              <wp:wrapNone/>
              <wp:docPr id="1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 roman </w:instrText>
                          </w:r>
                          <w:r>
                            <w:fldChar w:fldCharType="separate"/>
                          </w:r>
                          <w:r w:rsidR="00E60AD2">
                            <w:rPr>
                              <w:rFonts w:ascii="Calibri"/>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54" type="#_x0000_t202" style="position:absolute;margin-left:70pt;margin-top:36.55pt;width:11.5pt;height:13.05pt;z-index:-63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JdrgIAAKw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 roman </w:instrText>
                    </w:r>
                    <w:r>
                      <w:fldChar w:fldCharType="separate"/>
                    </w:r>
                    <w:r w:rsidR="00E60AD2">
                      <w:rPr>
                        <w:rFonts w:ascii="Calibri"/>
                        <w:noProof/>
                      </w:rPr>
                      <w:t>iv</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176" behindDoc="1" locked="0" layoutInCell="1" allowOverlap="1">
              <wp:simplePos x="0" y="0"/>
              <wp:positionH relativeFrom="page">
                <wp:posOffset>4290695</wp:posOffset>
              </wp:positionH>
              <wp:positionV relativeFrom="page">
                <wp:posOffset>464185</wp:posOffset>
              </wp:positionV>
              <wp:extent cx="2370455" cy="165735"/>
              <wp:effectExtent l="4445" t="0"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5" type="#_x0000_t202" style="position:absolute;margin-left:337.85pt;margin-top:36.55pt;width:186.65pt;height:13.05pt;z-index:-63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vP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6FAUacdNCkR3rQ6E4ckD+LTYWGXqXg+NCDqz7AAXhbtqq/F+VXhbhYNYRv6a2UYmgoqSBD39x0&#10;z66OOMqAbIYPooJAZKeFBTrUsjPlg4IgQIdOPZ26Y5IpYTOYzb0wijAq4cyPo/ks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848" behindDoc="1" locked="0" layoutInCell="1" allowOverlap="1">
              <wp:simplePos x="0" y="0"/>
              <wp:positionH relativeFrom="page">
                <wp:posOffset>896620</wp:posOffset>
              </wp:positionH>
              <wp:positionV relativeFrom="page">
                <wp:posOffset>635635</wp:posOffset>
              </wp:positionV>
              <wp:extent cx="5764530" cy="0"/>
              <wp:effectExtent l="10795" t="6985" r="6350" b="12065"/>
              <wp:wrapNone/>
              <wp:docPr id="1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711EF" id="Line 114" o:spid="_x0000_s1026" style="position:absolute;z-index:-63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ES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872" behindDoc="1" locked="0" layoutInCell="1" allowOverlap="1">
              <wp:simplePos x="0" y="0"/>
              <wp:positionH relativeFrom="page">
                <wp:posOffset>901700</wp:posOffset>
              </wp:positionH>
              <wp:positionV relativeFrom="page">
                <wp:posOffset>464185</wp:posOffset>
              </wp:positionV>
              <wp:extent cx="168910" cy="165735"/>
              <wp:effectExtent l="0" t="0" r="0" b="0"/>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70" type="#_x0000_t202" style="position:absolute;margin-left:71pt;margin-top:36.55pt;width:13.3pt;height:13.05pt;z-index:-6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EsQIAALQ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" filled="f" stroked="f">
              <v:textbox inset="0,0,0,0">
                <w:txbxContent>
                  <w:p w:rsidR="002E1E01" w:rsidRDefault="002E1E01">
                    <w:pPr>
                      <w:spacing w:line="245" w:lineRule="exact"/>
                      <w:ind w:left="20"/>
                      <w:rPr>
                        <w:rFonts w:ascii="Calibri"/>
                      </w:rPr>
                    </w:pPr>
                    <w:r>
                      <w:rPr>
                        <w:rFonts w:ascii="Calibri"/>
                      </w:rPr>
                      <w:t>18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896" behindDoc="1" locked="0" layoutInCell="1" allowOverlap="1">
              <wp:simplePos x="0" y="0"/>
              <wp:positionH relativeFrom="page">
                <wp:posOffset>4285615</wp:posOffset>
              </wp:positionH>
              <wp:positionV relativeFrom="page">
                <wp:posOffset>464185</wp:posOffset>
              </wp:positionV>
              <wp:extent cx="2370455" cy="165735"/>
              <wp:effectExtent l="0" t="0" r="1905" b="0"/>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1" type="#_x0000_t202" style="position:absolute;margin-left:337.45pt;margin-top:36.55pt;width:186.65pt;height:13.05pt;z-index:-63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oz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296"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70" type="#_x0000_t202" style="position:absolute;margin-left:34pt;margin-top:36.55pt;width:20.75pt;height:13.05pt;z-index:-6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d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158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320"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71" type="#_x0000_t202" style="position:absolute;margin-left:346.7pt;margin-top:36.55pt;width:186.65pt;height:13.05pt;z-index:-6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Z9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C4dJn2yAgAAtA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248"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72" type="#_x0000_t202" style="position:absolute;margin-left:55.65pt;margin-top:36.55pt;width:186.65pt;height:13.05pt;z-index:-63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oJ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&#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272"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73" type="#_x0000_t202" style="position:absolute;margin-left:534.25pt;margin-top:36.55pt;width:20.75pt;height:13.05pt;z-index:-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0C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157</w:t>
                    </w:r>
                    <w: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344" behindDoc="1" locked="0" layoutInCell="1" allowOverlap="1">
              <wp:simplePos x="0" y="0"/>
              <wp:positionH relativeFrom="page">
                <wp:posOffset>438785</wp:posOffset>
              </wp:positionH>
              <wp:positionV relativeFrom="page">
                <wp:posOffset>636905</wp:posOffset>
              </wp:positionV>
              <wp:extent cx="6420485" cy="0"/>
              <wp:effectExtent l="10160" t="8255" r="8255" b="10795"/>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0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C5EC4" id="Line 10" o:spid="_x0000_s1026" style="position:absolute;z-index:-63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0.15pt" to="540.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k6FAIAACo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" strokeweight=".48pt">
              <w10:wrap anchorx="page" anchory="page"/>
            </v:line>
          </w:pict>
        </mc:Fallback>
      </mc:AlternateContent>
    </w:r>
    <w:r>
      <w:rPr>
        <w:noProof/>
        <w:lang w:val="en-GB" w:eastAsia="en-GB"/>
      </w:rPr>
      <mc:AlternateContent>
        <mc:Choice Requires="wps">
          <w:drawing>
            <wp:anchor distT="0" distB="0" distL="114300" distR="114300" simplePos="0" relativeHeight="502686368"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74" type="#_x0000_t202" style="position:absolute;margin-left:34pt;margin-top:36.55pt;width:20.75pt;height:13.05pt;z-index:-6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aVrw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166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39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75" type="#_x0000_t202" style="position:absolute;margin-left:346.7pt;margin-top:36.55pt;width:186.65pt;height:13.05pt;z-index:-6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YN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776" behindDoc="1" locked="0" layoutInCell="1" allowOverlap="1">
              <wp:simplePos x="0" y="0"/>
              <wp:positionH relativeFrom="page">
                <wp:posOffset>896620</wp:posOffset>
              </wp:positionH>
              <wp:positionV relativeFrom="page">
                <wp:posOffset>635635</wp:posOffset>
              </wp:positionV>
              <wp:extent cx="5764530" cy="0"/>
              <wp:effectExtent l="10795" t="6985" r="6350" b="12065"/>
              <wp:wrapNone/>
              <wp:docPr id="11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C7357" id="Line 117" o:spid="_x0000_s1026" style="position:absolute;z-index:-6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ykFA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800" behindDoc="1" locked="0" layoutInCell="1" allowOverlap="1">
              <wp:simplePos x="0" y="0"/>
              <wp:positionH relativeFrom="page">
                <wp:posOffset>901700</wp:posOffset>
              </wp:positionH>
              <wp:positionV relativeFrom="page">
                <wp:posOffset>464185</wp:posOffset>
              </wp:positionV>
              <wp:extent cx="2370455" cy="165735"/>
              <wp:effectExtent l="0" t="0" r="444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72" type="#_x0000_t202" style="position:absolute;margin-left:71pt;margin-top:36.55pt;width:186.65pt;height:13.05pt;z-index:-63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2v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BEnPTTpgR40uhUHZPagQuOgMnC8H8BVH+AAvC1bNdyJ6qtCXKxawrf0RkoxtpTUkKFvbrpn&#10;VyccZUA24wdRQyCy08ICHRrZm/JBQRCgQ6ceT90xyVSwGVwuvDCKMKrgzI+jxWV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&#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824" behindDoc="1" locked="0" layoutInCell="1" allowOverlap="1">
              <wp:simplePos x="0" y="0"/>
              <wp:positionH relativeFrom="page">
                <wp:posOffset>6475730</wp:posOffset>
              </wp:positionH>
              <wp:positionV relativeFrom="page">
                <wp:posOffset>464185</wp:posOffset>
              </wp:positionV>
              <wp:extent cx="194310" cy="1657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3" type="#_x0000_t202" style="position:absolute;margin-left:509.9pt;margin-top:36.55pt;width:15.3pt;height:13.05pt;z-index:-6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hpsg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19</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416"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6" type="#_x0000_t202" style="position:absolute;margin-left:55.65pt;margin-top:36.55pt;width:186.65pt;height:13.05pt;z-index:-6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utsQIAALM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440"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77" type="#_x0000_t202" style="position:absolute;margin-left:534.25pt;margin-top:36.55pt;width:20.75pt;height:13.05pt;z-index:-6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eN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167</w:t>
                    </w:r>
                    <w: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464" behindDoc="1" locked="0" layoutInCell="1" allowOverlap="1">
              <wp:simplePos x="0" y="0"/>
              <wp:positionH relativeFrom="page">
                <wp:posOffset>438785</wp:posOffset>
              </wp:positionH>
              <wp:positionV relativeFrom="page">
                <wp:posOffset>636905</wp:posOffset>
              </wp:positionV>
              <wp:extent cx="6420485" cy="0"/>
              <wp:effectExtent l="10160" t="8255" r="8255" b="1079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0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61E93" id="Line 5" o:spid="_x0000_s1026" style="position:absolute;z-index:-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0.15pt" to="540.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T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" strokeweight=".48pt">
              <w10:wrap anchorx="page" anchory="page"/>
            </v:line>
          </w:pict>
        </mc:Fallback>
      </mc:AlternateContent>
    </w:r>
    <w:r>
      <w:rPr>
        <w:noProof/>
        <w:lang w:val="en-GB" w:eastAsia="en-GB"/>
      </w:rPr>
      <mc:AlternateContent>
        <mc:Choice Requires="wps">
          <w:drawing>
            <wp:anchor distT="0" distB="0" distL="114300" distR="114300" simplePos="0" relativeHeight="502686488"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8674FA">
                            <w:rPr>
                              <w:rFonts w:ascii="Calibri"/>
                              <w:noProof/>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78" type="#_x0000_t202" style="position:absolute;margin-left:34pt;margin-top:36.55pt;width:20.75pt;height:13.05pt;z-index:-6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vl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o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8674FA">
                      <w:rPr>
                        <w:rFonts w:ascii="Calibri"/>
                        <w:noProof/>
                      </w:rPr>
                      <w:t>176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51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79" type="#_x0000_t202" style="position:absolute;margin-left:346.7pt;margin-top:36.55pt;width:186.65pt;height:13.05pt;z-index:-6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gc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L3A6ByyAgAAsg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536"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0" type="#_x0000_t202" style="position:absolute;margin-left:55.65pt;margin-top:36.55pt;width:186.65pt;height:13.05pt;z-index:-6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n6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&#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560"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8674FA">
                            <w:rPr>
                              <w:rFonts w:ascii="Calibri"/>
                              <w:noProof/>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81" type="#_x0000_t202" style="position:absolute;margin-left:534.25pt;margin-top:36.55pt;width:20.75pt;height:13.05pt;z-index:-6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yMrwIAALE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8674FA">
                      <w:rPr>
                        <w:rFonts w:ascii="Calibri"/>
                        <w:noProof/>
                      </w:rPr>
                      <w:t>175</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920" behindDoc="1" locked="0" layoutInCell="1" allowOverlap="1">
              <wp:simplePos x="0" y="0"/>
              <wp:positionH relativeFrom="page">
                <wp:posOffset>896620</wp:posOffset>
              </wp:positionH>
              <wp:positionV relativeFrom="page">
                <wp:posOffset>635635</wp:posOffset>
              </wp:positionV>
              <wp:extent cx="5764530" cy="0"/>
              <wp:effectExtent l="10795" t="6985" r="6350" b="12065"/>
              <wp:wrapNone/>
              <wp:docPr id="1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5D46A" id="Line 111" o:spid="_x0000_s1026" style="position:absolute;z-index:-6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TFgIAACw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944" behindDoc="1" locked="0" layoutInCell="1" allowOverlap="1">
              <wp:simplePos x="0" y="0"/>
              <wp:positionH relativeFrom="page">
                <wp:posOffset>901700</wp:posOffset>
              </wp:positionH>
              <wp:positionV relativeFrom="page">
                <wp:posOffset>464185</wp:posOffset>
              </wp:positionV>
              <wp:extent cx="168910" cy="165735"/>
              <wp:effectExtent l="0" t="0" r="0" b="0"/>
              <wp:wrapNone/>
              <wp:docPr id="1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74" type="#_x0000_t202" style="position:absolute;margin-left:71pt;margin-top:36.55pt;width:13.3pt;height:13.05pt;z-index:-63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968" behindDoc="1" locked="0" layoutInCell="1" allowOverlap="1">
              <wp:simplePos x="0" y="0"/>
              <wp:positionH relativeFrom="page">
                <wp:posOffset>4285615</wp:posOffset>
              </wp:positionH>
              <wp:positionV relativeFrom="page">
                <wp:posOffset>464185</wp:posOffset>
              </wp:positionV>
              <wp:extent cx="2370455" cy="165735"/>
              <wp:effectExtent l="0" t="0" r="1905" b="0"/>
              <wp:wrapNone/>
              <wp:docPr id="1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5" type="#_x0000_t202" style="position:absolute;margin-left:337.45pt;margin-top:36.55pt;width:186.65pt;height:13.05pt;z-index:-6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SW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056"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4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2F160" id="Line 141" o:spid="_x0000_s1026" style="position:absolute;z-index:-63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nvFQ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080" behindDoc="1" locked="0" layoutInCell="1" allowOverlap="1">
              <wp:simplePos x="0" y="0"/>
              <wp:positionH relativeFrom="page">
                <wp:posOffset>901700</wp:posOffset>
              </wp:positionH>
              <wp:positionV relativeFrom="page">
                <wp:posOffset>464185</wp:posOffset>
              </wp:positionV>
              <wp:extent cx="2370455" cy="165735"/>
              <wp:effectExtent l="0" t="0"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56" type="#_x0000_t202" style="position:absolute;margin-left:71pt;margin-top:36.55pt;width:186.65pt;height:13.05pt;z-index:-63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Z5sg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&#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104" behindDoc="1" locked="0" layoutInCell="1" allowOverlap="1">
              <wp:simplePos x="0" y="0"/>
              <wp:positionH relativeFrom="page">
                <wp:posOffset>6590030</wp:posOffset>
              </wp:positionH>
              <wp:positionV relativeFrom="page">
                <wp:posOffset>464185</wp:posOffset>
              </wp:positionV>
              <wp:extent cx="83185" cy="165735"/>
              <wp:effectExtent l="0" t="0" r="381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 roman </w:instrText>
                          </w:r>
                          <w:r>
                            <w:fldChar w:fldCharType="separate"/>
                          </w:r>
                          <w:r w:rsidR="00E60AD2">
                            <w:rPr>
                              <w:rFonts w:ascii="Calibri"/>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7" type="#_x0000_t202" style="position:absolute;margin-left:518.9pt;margin-top:36.55pt;width:6.55pt;height:13.05pt;z-index:-6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wwsA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 roman </w:instrText>
                    </w:r>
                    <w:r>
                      <w:fldChar w:fldCharType="separate"/>
                    </w:r>
                    <w:r w:rsidR="00E60AD2">
                      <w:rPr>
                        <w:rFonts w:ascii="Calibri"/>
                        <w:noProof/>
                      </w:rPr>
                      <w:t>iii</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992"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1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76" type="#_x0000_t202" style="position:absolute;margin-left:35pt;margin-top:36.55pt;width:13.3pt;height:13.05pt;z-index:-63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GY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fx4iTDpr0QEeNbsWIfC82FRp6lYLjfQ+ueoQD8LZsVX8nyq8KcbFuCN/RGynF0FBSQYa+ueme&#10;XZ1wlAHZDh9EBYHIXgsLNNayM+WDgiBAh049nrpjkilNyChOfDgp4ciPFsvL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" filled="f" stroked="f">
              <v:textbox inset="0,0,0,0">
                <w:txbxContent>
                  <w:p w:rsidR="002E1E01" w:rsidRDefault="002E1E01">
                    <w:pPr>
                      <w:spacing w:line="245" w:lineRule="exact"/>
                      <w:ind w:left="20"/>
                      <w:rPr>
                        <w:rFonts w:ascii="Calibri"/>
                      </w:rPr>
                    </w:pPr>
                    <w:r>
                      <w:rPr>
                        <w:rFonts w:ascii="Calibri"/>
                      </w:rPr>
                      <w:t>28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01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7" type="#_x0000_t202" style="position:absolute;margin-left:346.7pt;margin-top:36.55pt;width:186.65pt;height:13.05pt;z-index:-63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v7tAIAALU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040" behindDoc="1" locked="0" layoutInCell="1" allowOverlap="1">
              <wp:simplePos x="0" y="0"/>
              <wp:positionH relativeFrom="page">
                <wp:posOffset>706755</wp:posOffset>
              </wp:positionH>
              <wp:positionV relativeFrom="page">
                <wp:posOffset>464185</wp:posOffset>
              </wp:positionV>
              <wp:extent cx="168910" cy="165735"/>
              <wp:effectExtent l="1905" t="0" r="635" b="0"/>
              <wp:wrapNone/>
              <wp:docPr id="10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78" type="#_x0000_t202" style="position:absolute;margin-left:55.65pt;margin-top:36.55pt;width:13.3pt;height:13.05pt;z-index:-63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3z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YiTDpr0QEeNbsWIfC8yFRp6lYLjfQ+ueoQD8LZsVX8nyq8KcbFuCN/RGynF0FBSQYa+ueme&#10;XZ1wlAHZDh9EBYHIXgsLNNayM+WDgiBAh049nrpjkilNyChOfDgp4ciPFsvL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" filled="f" stroked="f">
              <v:textbox inset="0,0,0,0">
                <w:txbxContent>
                  <w:p w:rsidR="002E1E01" w:rsidRDefault="002E1E01">
                    <w:pPr>
                      <w:spacing w:line="245" w:lineRule="exact"/>
                      <w:ind w:left="20"/>
                      <w:rPr>
                        <w:rFonts w:ascii="Calibri"/>
                      </w:rPr>
                    </w:pPr>
                    <w:r>
                      <w:rPr>
                        <w:rFonts w:ascii="Calibri"/>
                      </w:rPr>
                      <w:t>29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064"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9" type="#_x0000_t202" style="position:absolute;margin-left:367.35pt;margin-top:36.55pt;width:186.65pt;height:13.05pt;z-index:-6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titgIAALU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088"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0" type="#_x0000_t202" style="position:absolute;margin-left:35pt;margin-top:36.55pt;width:13.3pt;height:13.05pt;z-index:-6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sQ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" filled="f" stroked="f">
              <v:textbox inset="0,0,0,0">
                <w:txbxContent>
                  <w:p w:rsidR="002E1E01" w:rsidRDefault="002E1E01">
                    <w:pPr>
                      <w:spacing w:line="245" w:lineRule="exact"/>
                      <w:ind w:left="20"/>
                      <w:rPr>
                        <w:rFonts w:ascii="Calibri"/>
                      </w:rPr>
                    </w:pPr>
                    <w:r>
                      <w:rPr>
                        <w:rFonts w:ascii="Calibri"/>
                      </w:rPr>
                      <w:t>30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11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1" type="#_x0000_t202" style="position:absolute;margin-left:346.7pt;margin-top:36.55pt;width:186.65pt;height:13.05pt;z-index:-63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ZI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MUacdNCkR3rQ6E4ckO/NTIWGXqXg+NCDqz7AAXhbtqq/F+VXhbhYNYRv6a2UYmgoqSBD39x0&#10;z66OOMqAbIYPooJAZKeFBTrUsjPlg4IgQIdOPZ26Y5IpYTOYzb0wijAq4cyPo/ks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136" behindDoc="1" locked="0" layoutInCell="1" allowOverlap="1">
              <wp:simplePos x="0" y="0"/>
              <wp:positionH relativeFrom="page">
                <wp:posOffset>706755</wp:posOffset>
              </wp:positionH>
              <wp:positionV relativeFrom="page">
                <wp:posOffset>464185</wp:posOffset>
              </wp:positionV>
              <wp:extent cx="168910" cy="165735"/>
              <wp:effectExtent l="1905" t="0" r="635" b="0"/>
              <wp:wrapNone/>
              <wp:docPr id="1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82" type="#_x0000_t202" style="position:absolute;margin-left:55.65pt;margin-top:36.55pt;width:13.3pt;height:13.05pt;z-index:-63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4s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" filled="f" stroked="f">
              <v:textbox inset="0,0,0,0">
                <w:txbxContent>
                  <w:p w:rsidR="002E1E01" w:rsidRDefault="002E1E01">
                    <w:pPr>
                      <w:spacing w:line="245" w:lineRule="exact"/>
                      <w:ind w:left="20"/>
                      <w:rPr>
                        <w:rFonts w:ascii="Calibri"/>
                      </w:rPr>
                    </w:pPr>
                    <w:r>
                      <w:rPr>
                        <w:rFonts w:ascii="Calibri"/>
                      </w:rPr>
                      <w:t>31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160"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1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3" type="#_x0000_t202" style="position:absolute;margin-left:367.35pt;margin-top:36.55pt;width:186.65pt;height:13.05pt;z-index:-6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184"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1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84" type="#_x0000_t202" style="position:absolute;margin-left:35pt;margin-top:36.55pt;width:13.3pt;height:13.05pt;z-index:-63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" filled="f" stroked="f">
              <v:textbox inset="0,0,0,0">
                <w:txbxContent>
                  <w:p w:rsidR="002E1E01" w:rsidRDefault="002E1E01">
                    <w:pPr>
                      <w:spacing w:line="245" w:lineRule="exact"/>
                      <w:ind w:left="20"/>
                      <w:rPr>
                        <w:rFonts w:ascii="Calibri"/>
                      </w:rPr>
                    </w:pPr>
                    <w:r>
                      <w:rPr>
                        <w:rFonts w:ascii="Calibri"/>
                      </w:rPr>
                      <w:t>32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208"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0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5" type="#_x0000_t202" style="position:absolute;margin-left:346.7pt;margin-top:36.55pt;width:186.65pt;height:13.05pt;z-index:-63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G0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AnfKG0swIAALQ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232" behindDoc="1" locked="0" layoutInCell="1" allowOverlap="1">
              <wp:simplePos x="0" y="0"/>
              <wp:positionH relativeFrom="page">
                <wp:posOffset>706755</wp:posOffset>
              </wp:positionH>
              <wp:positionV relativeFrom="page">
                <wp:posOffset>464185</wp:posOffset>
              </wp:positionV>
              <wp:extent cx="168910" cy="165735"/>
              <wp:effectExtent l="1905" t="0" r="635" b="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86" type="#_x0000_t202" style="position:absolute;margin-left:55.65pt;margin-top:36.55pt;width:13.3pt;height:13.05pt;z-index:-63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hn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" filled="f" stroked="f">
              <v:textbox inset="0,0,0,0">
                <w:txbxContent>
                  <w:p w:rsidR="002E1E01" w:rsidRDefault="002E1E01">
                    <w:pPr>
                      <w:spacing w:line="245" w:lineRule="exact"/>
                      <w:ind w:left="20"/>
                      <w:rPr>
                        <w:rFonts w:ascii="Calibri"/>
                      </w:rPr>
                    </w:pPr>
                    <w:r>
                      <w:rPr>
                        <w:rFonts w:ascii="Calibri"/>
                      </w:rPr>
                      <w:t>33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256"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7" type="#_x0000_t202" style="position:absolute;margin-left:367.35pt;margin-top:36.55pt;width:186.65pt;height:13.05pt;z-index:-6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6sw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280"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88" type="#_x0000_t202" style="position:absolute;margin-left:34pt;margin-top:36.55pt;width:15.3pt;height:13.05pt;z-index:-63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IS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h2syEr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38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304" behindDoc="1" locked="0" layoutInCell="1" allowOverlap="1">
              <wp:simplePos x="0" y="0"/>
              <wp:positionH relativeFrom="page">
                <wp:posOffset>4331335</wp:posOffset>
              </wp:positionH>
              <wp:positionV relativeFrom="page">
                <wp:posOffset>464185</wp:posOffset>
              </wp:positionV>
              <wp:extent cx="2442845" cy="165735"/>
              <wp:effectExtent l="0" t="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9" type="#_x0000_t202" style="position:absolute;margin-left:341.05pt;margin-top:36.55pt;width:192.35pt;height:13.05pt;z-index:-63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pZ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20199</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328"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90" type="#_x0000_t202" style="position:absolute;margin-left:55.65pt;margin-top:36.55pt;width:186.65pt;height:13.05pt;z-index:-63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k7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352" behindDoc="1" locked="0" layoutInCell="1" allowOverlap="1">
              <wp:simplePos x="0" y="0"/>
              <wp:positionH relativeFrom="page">
                <wp:posOffset>6855460</wp:posOffset>
              </wp:positionH>
              <wp:positionV relativeFrom="page">
                <wp:posOffset>464185</wp:posOffset>
              </wp:positionV>
              <wp:extent cx="194310" cy="165735"/>
              <wp:effectExtent l="0" t="0" r="0" b="0"/>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1" type="#_x0000_t202" style="position:absolute;margin-left:539.8pt;margin-top:36.55pt;width:15.3pt;height:13.05pt;z-index:-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w4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39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416"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3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074D" id="Line 132" o:spid="_x0000_s1026" style="position:absolute;z-index:-6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ps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440" behindDoc="1" locked="0" layoutInCell="1" allowOverlap="1">
              <wp:simplePos x="0" y="0"/>
              <wp:positionH relativeFrom="page">
                <wp:posOffset>889000</wp:posOffset>
              </wp:positionH>
              <wp:positionV relativeFrom="page">
                <wp:posOffset>464185</wp:posOffset>
              </wp:positionV>
              <wp:extent cx="121920" cy="165735"/>
              <wp:effectExtent l="3175" t="0" r="0" b="0"/>
              <wp:wrapNone/>
              <wp:docPr id="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8" type="#_x0000_t202" style="position:absolute;margin-left:70pt;margin-top:36.55pt;width:9.6pt;height:13.05pt;z-index:-63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RwsQIAALM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464" behindDoc="1" locked="0" layoutInCell="1" allowOverlap="1">
              <wp:simplePos x="0" y="0"/>
              <wp:positionH relativeFrom="page">
                <wp:posOffset>4290695</wp:posOffset>
              </wp:positionH>
              <wp:positionV relativeFrom="page">
                <wp:posOffset>464185</wp:posOffset>
              </wp:positionV>
              <wp:extent cx="2370455" cy="165735"/>
              <wp:effectExtent l="4445" t="0" r="0" b="0"/>
              <wp:wrapNone/>
              <wp:docPr id="1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9" type="#_x0000_t202" style="position:absolute;margin-left:337.85pt;margin-top:36.55pt;width:186.65pt;height:13.05pt;z-index:-63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X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376"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92" type="#_x0000_t202" style="position:absolute;margin-left:35pt;margin-top:36.55pt;width:13.3pt;height:13.05pt;z-index:-6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8u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" filled="f" stroked="f">
              <v:textbox inset="0,0,0,0">
                <w:txbxContent>
                  <w:p w:rsidR="002E1E01" w:rsidRDefault="002E1E01">
                    <w:pPr>
                      <w:spacing w:line="245" w:lineRule="exact"/>
                      <w:ind w:left="20"/>
                      <w:rPr>
                        <w:rFonts w:ascii="Calibri"/>
                      </w:rPr>
                    </w:pPr>
                    <w:r>
                      <w:rPr>
                        <w:rFonts w:ascii="Calibri"/>
                      </w:rPr>
                      <w:t>40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400" behindDoc="1" locked="0" layoutInCell="1" allowOverlap="1">
              <wp:simplePos x="0" y="0"/>
              <wp:positionH relativeFrom="page">
                <wp:posOffset>4331335</wp:posOffset>
              </wp:positionH>
              <wp:positionV relativeFrom="page">
                <wp:posOffset>464185</wp:posOffset>
              </wp:positionV>
              <wp:extent cx="2442845" cy="165735"/>
              <wp:effectExtent l="0" t="0" r="0" b="0"/>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3" type="#_x0000_t202" style="position:absolute;margin-left:341.05pt;margin-top:36.55pt;width:192.35pt;height:13.05pt;z-index:-63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Z+swIAALM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20199</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424"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94" type="#_x0000_t202" style="position:absolute;margin-left:55.65pt;margin-top:36.55pt;width:186.65pt;height:13.05pt;z-index:-63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448" behindDoc="1" locked="0" layoutInCell="1" allowOverlap="1">
              <wp:simplePos x="0" y="0"/>
              <wp:positionH relativeFrom="page">
                <wp:posOffset>6868160</wp:posOffset>
              </wp:positionH>
              <wp:positionV relativeFrom="page">
                <wp:posOffset>464185</wp:posOffset>
              </wp:positionV>
              <wp:extent cx="168910" cy="165735"/>
              <wp:effectExtent l="635" t="0" r="1905" b="0"/>
              <wp:wrapNone/>
              <wp:docPr id="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5" type="#_x0000_t202" style="position:absolute;margin-left:540.8pt;margin-top:36.55pt;width:13.3pt;height:13.05pt;z-index:-6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4T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CjDjpoEcPdNToVowoTkx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" filled="f" stroked="f">
              <v:textbox inset="0,0,0,0">
                <w:txbxContent>
                  <w:p w:rsidR="002E1E01" w:rsidRDefault="002E1E01">
                    <w:pPr>
                      <w:spacing w:line="245" w:lineRule="exact"/>
                      <w:ind w:left="20"/>
                      <w:rPr>
                        <w:rFonts w:ascii="Calibri"/>
                      </w:rPr>
                    </w:pPr>
                    <w:r>
                      <w:rPr>
                        <w:rFonts w:ascii="Calibri"/>
                      </w:rPr>
                      <w:t>41</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472"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96" type="#_x0000_t202" style="position:absolute;margin-left:34pt;margin-top:36.55pt;width:15.3pt;height:13.05pt;z-index:-63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I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P6iDSL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46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496" behindDoc="1" locked="0" layoutInCell="1" allowOverlap="1">
              <wp:simplePos x="0" y="0"/>
              <wp:positionH relativeFrom="page">
                <wp:posOffset>4331335</wp:posOffset>
              </wp:positionH>
              <wp:positionV relativeFrom="page">
                <wp:posOffset>464185</wp:posOffset>
              </wp:positionV>
              <wp:extent cx="2442845" cy="165735"/>
              <wp:effectExtent l="0" t="0" r="0" b="0"/>
              <wp:wrapNone/>
              <wp:docPr id="9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7" type="#_x0000_t202" style="position:absolute;margin-left:341.05pt;margin-top:36.55pt;width:192.35pt;height:13.05pt;z-index:-63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b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20199</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520"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98" type="#_x0000_t202" style="position:absolute;margin-left:55.65pt;margin-top:36.55pt;width:186.65pt;height:13.05pt;z-index:-63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Oz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544" behindDoc="1" locked="0" layoutInCell="1" allowOverlap="1">
              <wp:simplePos x="0" y="0"/>
              <wp:positionH relativeFrom="page">
                <wp:posOffset>6855460</wp:posOffset>
              </wp:positionH>
              <wp:positionV relativeFrom="page">
                <wp:posOffset>464185</wp:posOffset>
              </wp:positionV>
              <wp:extent cx="194310" cy="165735"/>
              <wp:effectExtent l="0" t="0" r="0" b="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margin-left:539.8pt;margin-top:36.55pt;width:15.3pt;height:13.05pt;z-index:-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DNsg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47</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568" behindDoc="1" locked="0" layoutInCell="1" allowOverlap="1">
              <wp:simplePos x="0" y="0"/>
              <wp:positionH relativeFrom="page">
                <wp:posOffset>444500</wp:posOffset>
              </wp:positionH>
              <wp:positionV relativeFrom="page">
                <wp:posOffset>471805</wp:posOffset>
              </wp:positionV>
              <wp:extent cx="168910" cy="165735"/>
              <wp:effectExtent l="0" t="0" r="0" b="635"/>
              <wp:wrapNone/>
              <wp:docPr id="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00" type="#_x0000_t202" style="position:absolute;margin-left:35pt;margin-top:37.15pt;width:13.3pt;height:13.05pt;z-index:-63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5qsA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" filled="f" stroked="f">
              <v:textbox inset="0,0,0,0">
                <w:txbxContent>
                  <w:p w:rsidR="002E1E01" w:rsidRDefault="002E1E01">
                    <w:pPr>
                      <w:spacing w:line="245" w:lineRule="exact"/>
                      <w:ind w:left="20"/>
                      <w:rPr>
                        <w:rFonts w:ascii="Calibri"/>
                      </w:rPr>
                    </w:pPr>
                    <w:r>
                      <w:rPr>
                        <w:rFonts w:ascii="Calibri"/>
                      </w:rPr>
                      <w:t>50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592" behindDoc="1" locked="0" layoutInCell="1" allowOverlap="1">
              <wp:simplePos x="0" y="0"/>
              <wp:positionH relativeFrom="page">
                <wp:posOffset>4403090</wp:posOffset>
              </wp:positionH>
              <wp:positionV relativeFrom="page">
                <wp:posOffset>471805</wp:posOffset>
              </wp:positionV>
              <wp:extent cx="2370455" cy="165735"/>
              <wp:effectExtent l="2540" t="0" r="0" b="635"/>
              <wp:wrapNone/>
              <wp:docPr id="8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346.7pt;margin-top:37.15pt;width:186.65pt;height:13.05pt;z-index:-63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5L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344"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3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6690" id="Line 135" o:spid="_x0000_s1026" style="position:absolute;z-index:-6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UDFA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368" behindDoc="1" locked="0" layoutInCell="1" allowOverlap="1">
              <wp:simplePos x="0" y="0"/>
              <wp:positionH relativeFrom="page">
                <wp:posOffset>901700</wp:posOffset>
              </wp:positionH>
              <wp:positionV relativeFrom="page">
                <wp:posOffset>464185</wp:posOffset>
              </wp:positionV>
              <wp:extent cx="2370455" cy="165735"/>
              <wp:effectExtent l="0" t="0" r="444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60" type="#_x0000_t202" style="position:absolute;margin-left:71pt;margin-top:36.55pt;width:186.65pt;height:13.05pt;z-index:-6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VM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&#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392" behindDoc="1" locked="0" layoutInCell="1" allowOverlap="1">
              <wp:simplePos x="0" y="0"/>
              <wp:positionH relativeFrom="page">
                <wp:posOffset>6551930</wp:posOffset>
              </wp:positionH>
              <wp:positionV relativeFrom="page">
                <wp:posOffset>464185</wp:posOffset>
              </wp:positionV>
              <wp:extent cx="121920" cy="165735"/>
              <wp:effectExtent l="0" t="0" r="317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E60AD2">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1" type="#_x0000_t202" style="position:absolute;margin-left:515.9pt;margin-top:36.55pt;width:9.6pt;height:13.05pt;z-index:-6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bw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E60AD2">
                      <w:rPr>
                        <w:rFonts w:ascii="Calibri"/>
                        <w:noProof/>
                      </w:rPr>
                      <w:t>1</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616" behindDoc="1" locked="0" layoutInCell="1" allowOverlap="1">
              <wp:simplePos x="0" y="0"/>
              <wp:positionH relativeFrom="page">
                <wp:posOffset>431800</wp:posOffset>
              </wp:positionH>
              <wp:positionV relativeFrom="page">
                <wp:posOffset>471805</wp:posOffset>
              </wp:positionV>
              <wp:extent cx="194310" cy="165735"/>
              <wp:effectExtent l="3175" t="0" r="2540" b="635"/>
              <wp:wrapNone/>
              <wp:docPr id="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2" type="#_x0000_t202" style="position:absolute;margin-left:34pt;margin-top:37.15pt;width:15.3pt;height:13.05pt;z-index:-6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tP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58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640" behindDoc="1" locked="0" layoutInCell="1" allowOverlap="1">
              <wp:simplePos x="0" y="0"/>
              <wp:positionH relativeFrom="page">
                <wp:posOffset>4403090</wp:posOffset>
              </wp:positionH>
              <wp:positionV relativeFrom="page">
                <wp:posOffset>471805</wp:posOffset>
              </wp:positionV>
              <wp:extent cx="2370455" cy="165735"/>
              <wp:effectExtent l="2540" t="0" r="0" b="635"/>
              <wp:wrapNone/>
              <wp:docPr id="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3" type="#_x0000_t202" style="position:absolute;margin-left:346.7pt;margin-top:37.15pt;width:186.65pt;height:13.05pt;z-index:-6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6Y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664" behindDoc="1" locked="0" layoutInCell="1" allowOverlap="1">
              <wp:simplePos x="0" y="0"/>
              <wp:positionH relativeFrom="page">
                <wp:posOffset>706755</wp:posOffset>
              </wp:positionH>
              <wp:positionV relativeFrom="page">
                <wp:posOffset>471805</wp:posOffset>
              </wp:positionV>
              <wp:extent cx="2370455" cy="165735"/>
              <wp:effectExtent l="1905" t="0" r="0" b="635"/>
              <wp:wrapNone/>
              <wp:docPr id="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4" type="#_x0000_t202" style="position:absolute;margin-left:55.65pt;margin-top:37.15pt;width:186.65pt;height:13.05pt;z-index:-6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688" behindDoc="1" locked="0" layoutInCell="1" allowOverlap="1">
              <wp:simplePos x="0" y="0"/>
              <wp:positionH relativeFrom="page">
                <wp:posOffset>6855460</wp:posOffset>
              </wp:positionH>
              <wp:positionV relativeFrom="page">
                <wp:posOffset>471805</wp:posOffset>
              </wp:positionV>
              <wp:extent cx="194310" cy="165735"/>
              <wp:effectExtent l="0" t="0" r="0" b="635"/>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5" type="#_x0000_t202" style="position:absolute;margin-left:539.8pt;margin-top:37.15pt;width:15.3pt;height:13.05pt;z-index:-6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27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59</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712" behindDoc="1" locked="0" layoutInCell="1" allowOverlap="1">
              <wp:simplePos x="0" y="0"/>
              <wp:positionH relativeFrom="page">
                <wp:posOffset>444500</wp:posOffset>
              </wp:positionH>
              <wp:positionV relativeFrom="page">
                <wp:posOffset>471805</wp:posOffset>
              </wp:positionV>
              <wp:extent cx="168910" cy="165735"/>
              <wp:effectExtent l="0" t="0" r="0" b="635"/>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6" type="#_x0000_t202" style="position:absolute;margin-left:35pt;margin-top:37.15pt;width:13.3pt;height:13.05pt;z-index:-6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Dg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" filled="f" stroked="f">
              <v:textbox inset="0,0,0,0">
                <w:txbxContent>
                  <w:p w:rsidR="002E1E01" w:rsidRDefault="002E1E01">
                    <w:pPr>
                      <w:spacing w:line="245" w:lineRule="exact"/>
                      <w:ind w:left="20"/>
                      <w:rPr>
                        <w:rFonts w:ascii="Calibri"/>
                      </w:rPr>
                    </w:pPr>
                    <w:r>
                      <w:rPr>
                        <w:rFonts w:ascii="Calibri"/>
                      </w:rPr>
                      <w:t>60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736" behindDoc="1" locked="0" layoutInCell="1" allowOverlap="1">
              <wp:simplePos x="0" y="0"/>
              <wp:positionH relativeFrom="page">
                <wp:posOffset>4403090</wp:posOffset>
              </wp:positionH>
              <wp:positionV relativeFrom="page">
                <wp:posOffset>471805</wp:posOffset>
              </wp:positionV>
              <wp:extent cx="2370455" cy="165735"/>
              <wp:effectExtent l="2540" t="0" r="0" b="635"/>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7" type="#_x0000_t202" style="position:absolute;margin-left:346.7pt;margin-top:37.15pt;width:186.65pt;height:13.05pt;z-index:-6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760" behindDoc="1" locked="0" layoutInCell="1" allowOverlap="1">
              <wp:simplePos x="0" y="0"/>
              <wp:positionH relativeFrom="page">
                <wp:posOffset>706755</wp:posOffset>
              </wp:positionH>
              <wp:positionV relativeFrom="page">
                <wp:posOffset>471805</wp:posOffset>
              </wp:positionV>
              <wp:extent cx="2370455" cy="165735"/>
              <wp:effectExtent l="1905" t="0" r="0" b="635"/>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8" type="#_x0000_t202" style="position:absolute;margin-left:55.65pt;margin-top:37.15pt;width:186.65pt;height:13.05pt;z-index:-63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SqswIAALM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784" behindDoc="1" locked="0" layoutInCell="1" allowOverlap="1">
              <wp:simplePos x="0" y="0"/>
              <wp:positionH relativeFrom="page">
                <wp:posOffset>6868160</wp:posOffset>
              </wp:positionH>
              <wp:positionV relativeFrom="page">
                <wp:posOffset>471805</wp:posOffset>
              </wp:positionV>
              <wp:extent cx="168910" cy="165735"/>
              <wp:effectExtent l="635" t="0" r="1905" b="635"/>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9" type="#_x0000_t202" style="position:absolute;margin-left:540.8pt;margin-top:37.15pt;width:13.3pt;height:13.05pt;z-index:-6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SsgIAALI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" filled="f" stroked="f">
              <v:textbox inset="0,0,0,0">
                <w:txbxContent>
                  <w:p w:rsidR="002E1E01" w:rsidRDefault="002E1E01">
                    <w:pPr>
                      <w:spacing w:line="245" w:lineRule="exact"/>
                      <w:ind w:left="20"/>
                      <w:rPr>
                        <w:rFonts w:ascii="Calibri"/>
                      </w:rPr>
                    </w:pPr>
                    <w:r>
                      <w:rPr>
                        <w:rFonts w:ascii="Calibri"/>
                      </w:rPr>
                      <w:t>61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808" behindDoc="1" locked="0" layoutInCell="1" allowOverlap="1">
              <wp:simplePos x="0" y="0"/>
              <wp:positionH relativeFrom="page">
                <wp:posOffset>431800</wp:posOffset>
              </wp:positionH>
              <wp:positionV relativeFrom="page">
                <wp:posOffset>464185</wp:posOffset>
              </wp:positionV>
              <wp:extent cx="194310" cy="173355"/>
              <wp:effectExtent l="3175" t="0" r="2540" b="635"/>
              <wp:wrapNone/>
              <wp:docPr id="7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0" type="#_x0000_t202" style="position:absolute;margin-left:34pt;margin-top:36.55pt;width:15.3pt;height:13.65pt;z-index:-6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s8bsQIAALI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83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11" type="#_x0000_t202" style="position:absolute;margin-left:346.7pt;margin-top:36.55pt;width:186.65pt;height:13.05pt;z-index:-6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lSswIAALM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BycxlS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856"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7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12" type="#_x0000_t202" style="position:absolute;margin-left:34pt;margin-top:36.55pt;width:15.3pt;height:13.05pt;z-index:-6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Bj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MOKkgx490FGjWzGiZWDqM/QqBbf7Hhz1CPvQZ8tV9Xei/KoQF+uG8B29kVIMDSUV5Oebm+7Z&#10;1QlHGZDt8EFUEIfstbBAYy07UzwoBwJ06NPjqTcml9KETMJLH05KOPIX0fIy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RLEJb8S8FdUj&#10;KFgKUBiIEQYfGI2Q3zEaYIhkWH3bE0kxat9zeAVm4syGnI3tbBBewtUMa4wmc62nybTvJds1gDy9&#10;My5u4KXUzKr4KYvj+4LBYMkch5iZPOf/1utp1K5+AQ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h9AY7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880"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13" type="#_x0000_t202" style="position:absolute;margin-left:346.7pt;margin-top:36.55pt;width:186.65pt;height:13.05pt;z-index:-6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API6mB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904"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14" type="#_x0000_t202" style="position:absolute;margin-left:34pt;margin-top:36.55pt;width:15.3pt;height:13.05pt;z-index:-6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RUtD+b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928"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5" type="#_x0000_t202" style="position:absolute;margin-left:346.7pt;margin-top:36.55pt;width:186.65pt;height:13.05pt;z-index:-6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55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IVDnnmyAgAAsw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488"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3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3484" id="Line 129" o:spid="_x0000_s1026" style="position:absolute;z-index:-6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k2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512" behindDoc="1" locked="0" layoutInCell="1" allowOverlap="1">
              <wp:simplePos x="0" y="0"/>
              <wp:positionH relativeFrom="page">
                <wp:posOffset>901700</wp:posOffset>
              </wp:positionH>
              <wp:positionV relativeFrom="page">
                <wp:posOffset>464185</wp:posOffset>
              </wp:positionV>
              <wp:extent cx="168910" cy="165735"/>
              <wp:effectExtent l="0" t="0" r="0" b="0"/>
              <wp:wrapNone/>
              <wp:docPr id="1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62" type="#_x0000_t202" style="position:absolute;margin-left:71pt;margin-top:36.55pt;width:13.3pt;height:13.05pt;z-index:-63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csAIAALM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" filled="f" stroked="f">
              <v:textbox inset="0,0,0,0">
                <w:txbxContent>
                  <w:p w:rsidR="002E1E01" w:rsidRDefault="002E1E01">
                    <w:pPr>
                      <w:spacing w:line="245" w:lineRule="exact"/>
                      <w:ind w:left="20"/>
                      <w:rPr>
                        <w:rFonts w:ascii="Calibri"/>
                      </w:rPr>
                    </w:pPr>
                    <w:r>
                      <w:rPr>
                        <w:rFonts w:ascii="Calibri"/>
                      </w:rPr>
                      <w:t>10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536" behindDoc="1" locked="0" layoutInCell="1" allowOverlap="1">
              <wp:simplePos x="0" y="0"/>
              <wp:positionH relativeFrom="page">
                <wp:posOffset>4290695</wp:posOffset>
              </wp:positionH>
              <wp:positionV relativeFrom="page">
                <wp:posOffset>464185</wp:posOffset>
              </wp:positionV>
              <wp:extent cx="2370455" cy="165735"/>
              <wp:effectExtent l="4445" t="0" r="0" b="0"/>
              <wp:wrapNone/>
              <wp:docPr id="1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3" type="#_x0000_t202" style="position:absolute;margin-left:337.85pt;margin-top:36.55pt;width:186.65pt;height:13.05pt;z-index:-63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yIsw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4952"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6" type="#_x0000_t202" style="position:absolute;margin-left:34pt;margin-top:36.55pt;width:15.3pt;height:13.05pt;z-index:-63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p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1IkaZb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68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497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7" type="#_x0000_t202" style="position:absolute;margin-left:346.7pt;margin-top:36.55pt;width:186.65pt;height:13.05pt;z-index:-63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e3sw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DOx7e3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048"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6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18" type="#_x0000_t202" style="position:absolute;margin-left:34pt;margin-top:36.55pt;width:15.3pt;height:13.05pt;z-index:-6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SSrwIAALI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78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07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9" type="#_x0000_t202" style="position:absolute;margin-left:346.7pt;margin-top:36.55pt;width:186.65pt;height:13.05pt;z-index:-6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nn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GGayeeyAgAAsw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000"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20" type="#_x0000_t202" style="position:absolute;margin-left:55.65pt;margin-top:36.55pt;width:186.65pt;height:13.05pt;z-index:-63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QfsQ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024" behindDoc="1" locked="0" layoutInCell="1" allowOverlap="1">
              <wp:simplePos x="0" y="0"/>
              <wp:positionH relativeFrom="page">
                <wp:posOffset>6855460</wp:posOffset>
              </wp:positionH>
              <wp:positionV relativeFrom="page">
                <wp:posOffset>464185</wp:posOffset>
              </wp:positionV>
              <wp:extent cx="194310" cy="165735"/>
              <wp:effectExtent l="0" t="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21" type="#_x0000_t202" style="position:absolute;margin-left:539.8pt;margin-top:36.55pt;width:15.3pt;height:13.05pt;z-index:-6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jGsgIAALI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79</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096"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22" type="#_x0000_t202" style="position:absolute;margin-left:35pt;margin-top:36.55pt;width:13.3pt;height:13.05pt;z-index:-6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CR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" filled="f" stroked="f">
              <v:textbox inset="0,0,0,0">
                <w:txbxContent>
                  <w:p w:rsidR="002E1E01" w:rsidRDefault="002E1E01">
                    <w:pPr>
                      <w:spacing w:line="245" w:lineRule="exact"/>
                      <w:ind w:left="20"/>
                      <w:rPr>
                        <w:rFonts w:ascii="Calibri"/>
                      </w:rPr>
                    </w:pPr>
                    <w:r>
                      <w:rPr>
                        <w:rFonts w:ascii="Calibri"/>
                      </w:rPr>
                      <w:t>80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120"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23" type="#_x0000_t202" style="position:absolute;margin-left:346.7pt;margin-top:36.55pt;width:186.65pt;height:13.05pt;z-index:-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bosg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JZbpuiyAgAAsw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144"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24" type="#_x0000_t202" style="position:absolute;margin-left:34pt;margin-top:36.55pt;width:15.3pt;height:13.05pt;z-index:-6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x3M7XL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168"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25" type="#_x0000_t202" style="position:absolute;margin-left:346.7pt;margin-top:36.55pt;width:186.65pt;height:13.05pt;z-index:-63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hp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hRlJj6DL1Kwe2+B0c9wj702XJV/Z0ovyrExbohfEdvpBRDQ0kF+fnmpnt2&#10;dcJRBmQ7fBAVxCF7LSzQWMvOFA/KgQAd+vR46o3JpYTN4HLhhVGEUQlnfhwtLi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vRvo2FlbNR81ZU&#10;jyBhKUBhoFOYfGA0Qn7HaIApkmH1bU8kxah9z+EZmJEzG3I2trNBeAlXM6wxmsy1nkbTvpds1wDy&#10;9NC4uIGnUjOr4qcsjg8MJoMlc5xiZvSc/1uvp1m7+gU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B44SGmyAgAAsw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192" behindDoc="1" locked="0" layoutInCell="1" allowOverlap="1">
              <wp:simplePos x="0" y="0"/>
              <wp:positionH relativeFrom="page">
                <wp:posOffset>694055</wp:posOffset>
              </wp:positionH>
              <wp:positionV relativeFrom="page">
                <wp:posOffset>464185</wp:posOffset>
              </wp:positionV>
              <wp:extent cx="194310" cy="165735"/>
              <wp:effectExtent l="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26" type="#_x0000_t202" style="position:absolute;margin-left:54.65pt;margin-top:36.55pt;width:15.3pt;height:13.05pt;z-index:-63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xu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89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216"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27" type="#_x0000_t202" style="position:absolute;margin-left:367.35pt;margin-top:36.55pt;width:186.65pt;height:13.05pt;z-index:-6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GnswIAALM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240" behindDoc="1" locked="0" layoutInCell="1" allowOverlap="1">
              <wp:simplePos x="0" y="0"/>
              <wp:positionH relativeFrom="page">
                <wp:posOffset>444500</wp:posOffset>
              </wp:positionH>
              <wp:positionV relativeFrom="page">
                <wp:posOffset>464185</wp:posOffset>
              </wp:positionV>
              <wp:extent cx="168910" cy="165735"/>
              <wp:effectExtent l="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28" type="#_x0000_t202" style="position:absolute;margin-left:35pt;margin-top:36.55pt;width:13.3pt;height:13.05pt;z-index:-63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zOsA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" filled="f" stroked="f">
              <v:textbox inset="0,0,0,0">
                <w:txbxContent>
                  <w:p w:rsidR="002E1E01" w:rsidRDefault="002E1E01">
                    <w:pPr>
                      <w:spacing w:line="245" w:lineRule="exact"/>
                      <w:ind w:left="20"/>
                      <w:rPr>
                        <w:rFonts w:ascii="Calibri"/>
                      </w:rPr>
                    </w:pPr>
                    <w:r>
                      <w:rPr>
                        <w:rFonts w:ascii="Calibri"/>
                      </w:rPr>
                      <w:t>90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264"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9" type="#_x0000_t202" style="position:absolute;margin-left:346.7pt;margin-top:36.55pt;width:186.65pt;height:13.05pt;z-index:-63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n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560"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2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AE0E" id="Line 126" o:spid="_x0000_s1026" style="position:absolute;z-index:-63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IVFQIAACw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584" behindDoc="1" locked="0" layoutInCell="1" allowOverlap="1">
              <wp:simplePos x="0" y="0"/>
              <wp:positionH relativeFrom="page">
                <wp:posOffset>901700</wp:posOffset>
              </wp:positionH>
              <wp:positionV relativeFrom="page">
                <wp:posOffset>464185</wp:posOffset>
              </wp:positionV>
              <wp:extent cx="2370455" cy="165735"/>
              <wp:effectExtent l="0" t="0" r="4445" b="0"/>
              <wp:wrapNone/>
              <wp:docPr id="1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64" type="#_x0000_t202" style="position:absolute;margin-left:71pt;margin-top:36.55pt;width:186.65pt;height:13.05pt;z-index:-6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KrtQ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608" behindDoc="1" locked="0" layoutInCell="1" allowOverlap="1">
              <wp:simplePos x="0" y="0"/>
              <wp:positionH relativeFrom="page">
                <wp:posOffset>6492875</wp:posOffset>
              </wp:positionH>
              <wp:positionV relativeFrom="page">
                <wp:posOffset>464185</wp:posOffset>
              </wp:positionV>
              <wp:extent cx="168910" cy="165735"/>
              <wp:effectExtent l="0" t="0" r="0" b="0"/>
              <wp:wrapNone/>
              <wp:docPr id="1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5" type="#_x0000_t202" style="position:absolute;margin-left:511.25pt;margin-top:36.55pt;width:13.3pt;height:13.05pt;z-index:-6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QD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" filled="f" stroked="f">
              <v:textbox inset="0,0,0,0">
                <w:txbxContent>
                  <w:p w:rsidR="002E1E01" w:rsidRDefault="002E1E01">
                    <w:pPr>
                      <w:spacing w:line="245" w:lineRule="exact"/>
                      <w:ind w:left="20"/>
                      <w:rPr>
                        <w:rFonts w:ascii="Calibri"/>
                      </w:rPr>
                    </w:pPr>
                    <w:r>
                      <w:rPr>
                        <w:rFonts w:ascii="Calibri"/>
                      </w:rPr>
                      <w:t>11</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288" behindDoc="1" locked="0" layoutInCell="1" allowOverlap="1">
              <wp:simplePos x="0" y="0"/>
              <wp:positionH relativeFrom="page">
                <wp:posOffset>706755</wp:posOffset>
              </wp:positionH>
              <wp:positionV relativeFrom="page">
                <wp:posOffset>464185</wp:posOffset>
              </wp:positionV>
              <wp:extent cx="168910" cy="165735"/>
              <wp:effectExtent l="1905" t="0" r="635"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30" type="#_x0000_t202" style="position:absolute;margin-left:55.65pt;margin-top:36.55pt;width:13.3pt;height:13.05pt;z-index:-63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TX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" filled="f" stroked="f">
              <v:textbox inset="0,0,0,0">
                <w:txbxContent>
                  <w:p w:rsidR="002E1E01" w:rsidRDefault="002E1E01">
                    <w:pPr>
                      <w:spacing w:line="245" w:lineRule="exact"/>
                      <w:ind w:left="20"/>
                      <w:rPr>
                        <w:rFonts w:ascii="Calibri"/>
                      </w:rPr>
                    </w:pPr>
                    <w:r>
                      <w:rPr>
                        <w:rFonts w:ascii="Calibri"/>
                      </w:rPr>
                      <w:t>91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312"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31" type="#_x0000_t202" style="position:absolute;margin-left:367.35pt;margin-top:36.55pt;width:186.65pt;height:13.05pt;z-index:-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MTswIAALM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336"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32" type="#_x0000_t202" style="position:absolute;margin-left:34pt;margin-top:36.55pt;width:15.3pt;height:13.05pt;z-index:-63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y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GHHSQY8e6KjRrRhRFJj6DL1Kwe2+B0c9wj702XJV/Z0ovyrExbohfEdvpBRDQ0kF+fnmpnt2&#10;dcJRBmQ7fBAVxCF7LSzQWMvOFA/KgQAd+vR46o3JpTQhk/DSh5MSjvxFtLy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y9iEN2LeiuoR&#10;FCwFKAzECIMPjEbI7xgNMEQyrL7tiaQYte85vAIzcWZDzsZ2Nggv4WqGNUaTudbTZNr3ku0aQJ7e&#10;GRc38FJqZlX8lMXxfcFgsGSOQ8xMnvN/6/U0ale/AA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v2jB8r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360"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33" type="#_x0000_t202" style="position:absolute;margin-left:346.7pt;margin-top:36.55pt;width:186.65pt;height:13.05pt;z-index:-63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PAswIAALM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Bs9zPA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384" behindDoc="1" locked="0" layoutInCell="1" allowOverlap="1">
              <wp:simplePos x="0" y="0"/>
              <wp:positionH relativeFrom="page">
                <wp:posOffset>706755</wp:posOffset>
              </wp:positionH>
              <wp:positionV relativeFrom="page">
                <wp:posOffset>464185</wp:posOffset>
              </wp:positionV>
              <wp:extent cx="168910" cy="165735"/>
              <wp:effectExtent l="1905" t="0" r="635"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34" type="#_x0000_t202" style="position:absolute;margin-left:55.65pt;margin-top:36.55pt;width:13.3pt;height:13.05pt;z-index:-6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" filled="f" stroked="f">
              <v:textbox inset="0,0,0,0">
                <w:txbxContent>
                  <w:p w:rsidR="002E1E01" w:rsidRDefault="002E1E01">
                    <w:pPr>
                      <w:spacing w:line="245" w:lineRule="exact"/>
                      <w:ind w:left="20"/>
                      <w:rPr>
                        <w:rFonts w:ascii="Calibri"/>
                      </w:rPr>
                    </w:pPr>
                    <w:r>
                      <w:rPr>
                        <w:rFonts w:ascii="Calibri"/>
                      </w:rPr>
                      <w:t>93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408"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35" type="#_x0000_t202" style="position:absolute;margin-left:367.35pt;margin-top:36.55pt;width:186.65pt;height:13.05pt;z-index:-6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X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432" behindDoc="1" locked="0" layoutInCell="1" allowOverlap="1">
              <wp:simplePos x="0" y="0"/>
              <wp:positionH relativeFrom="page">
                <wp:posOffset>431800</wp:posOffset>
              </wp:positionH>
              <wp:positionV relativeFrom="page">
                <wp:posOffset>464185</wp:posOffset>
              </wp:positionV>
              <wp:extent cx="194310" cy="165735"/>
              <wp:effectExtent l="3175" t="0" r="2540" b="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36" type="#_x0000_t202" style="position:absolute;margin-left:34pt;margin-top:36.55pt;width:15.3pt;height:13.05pt;z-index:-63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ab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hRGJv6DL1Kwe2+B0c9wj702XJV/Z0ovyrExbohfEdvpBRDQ0kF+fnmpnt2&#10;dcJRBmQ7fBAVxCF7LSzQWMvOFA/KgQAd+vR46o3JpTQhk/DSh5MSjvxFtLy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45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37" type="#_x0000_t202" style="position:absolute;margin-left:346.7pt;margin-top:36.55pt;width:186.65pt;height:13.05pt;z-index:-63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CZ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AfetCZ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480" behindDoc="1" locked="0" layoutInCell="1" allowOverlap="1">
              <wp:simplePos x="0" y="0"/>
              <wp:positionH relativeFrom="page">
                <wp:posOffset>694055</wp:posOffset>
              </wp:positionH>
              <wp:positionV relativeFrom="page">
                <wp:posOffset>464185</wp:posOffset>
              </wp:positionV>
              <wp:extent cx="194310" cy="165735"/>
              <wp:effectExtent l="0" t="0" r="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38" type="#_x0000_t202" style="position:absolute;margin-left:54.65pt;margin-top:36.55pt;width:15.3pt;height:13.05pt;z-index:-6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FTsQIAALI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99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504"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9" type="#_x0000_t202" style="position:absolute;margin-left:367.35pt;margin-top:36.55pt;width:186.65pt;height:13.05pt;z-index:-6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3h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528"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40" type="#_x0000_t202" style="position:absolute;margin-left:34pt;margin-top:36.55pt;width:20.75pt;height:13.05pt;z-index:-6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ZD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106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55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41" type="#_x0000_t202" style="position:absolute;margin-left:346.7pt;margin-top:36.55pt;width:186.65pt;height:13.05pt;z-index:-6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EV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A6tnEV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576" behindDoc="1" locked="0" layoutInCell="1" allowOverlap="1">
              <wp:simplePos x="0" y="0"/>
              <wp:positionH relativeFrom="page">
                <wp:posOffset>694055</wp:posOffset>
              </wp:positionH>
              <wp:positionV relativeFrom="page">
                <wp:posOffset>464185</wp:posOffset>
              </wp:positionV>
              <wp:extent cx="263525" cy="165735"/>
              <wp:effectExtent l="0" t="0" r="4445" b="0"/>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42" type="#_x0000_t202" style="position:absolute;margin-left:54.65pt;margin-top:36.55pt;width:20.75pt;height:13.05pt;z-index:-6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GV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107</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600" behindDoc="1" locked="0" layoutInCell="1" allowOverlap="1">
              <wp:simplePos x="0" y="0"/>
              <wp:positionH relativeFrom="page">
                <wp:posOffset>4665345</wp:posOffset>
              </wp:positionH>
              <wp:positionV relativeFrom="page">
                <wp:posOffset>464185</wp:posOffset>
              </wp:positionV>
              <wp:extent cx="2370455" cy="165735"/>
              <wp:effectExtent l="0" t="0" r="3175" b="0"/>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3" type="#_x0000_t202" style="position:absolute;margin-left:367.35pt;margin-top:36.55pt;width:186.65pt;height:13.05pt;z-index:-6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632"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2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69F0" id="Line 123" o:spid="_x0000_s1026" style="position:absolute;z-index:-6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656" behindDoc="1" locked="0" layoutInCell="1" allowOverlap="1">
              <wp:simplePos x="0" y="0"/>
              <wp:positionH relativeFrom="page">
                <wp:posOffset>889000</wp:posOffset>
              </wp:positionH>
              <wp:positionV relativeFrom="page">
                <wp:posOffset>464185</wp:posOffset>
              </wp:positionV>
              <wp:extent cx="194310" cy="165735"/>
              <wp:effectExtent l="3175" t="0" r="2540" b="0"/>
              <wp:wrapNone/>
              <wp:docPr id="1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66" type="#_x0000_t202" style="position:absolute;margin-left:70pt;margin-top:36.55pt;width:15.3pt;height:13.05pt;z-index:-6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fUsA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680" behindDoc="1" locked="0" layoutInCell="1" allowOverlap="1">
              <wp:simplePos x="0" y="0"/>
              <wp:positionH relativeFrom="page">
                <wp:posOffset>4290695</wp:posOffset>
              </wp:positionH>
              <wp:positionV relativeFrom="page">
                <wp:posOffset>464185</wp:posOffset>
              </wp:positionV>
              <wp:extent cx="2370455" cy="165735"/>
              <wp:effectExtent l="4445" t="0" r="0" b="0"/>
              <wp:wrapNone/>
              <wp:docPr id="1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7" type="#_x0000_t202" style="position:absolute;margin-left:337.85pt;margin-top:36.55pt;width:186.65pt;height:13.05pt;z-index:-6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Csw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624" behindDoc="1" locked="0" layoutInCell="1" allowOverlap="1">
              <wp:simplePos x="0" y="0"/>
              <wp:positionH relativeFrom="page">
                <wp:posOffset>444500</wp:posOffset>
              </wp:positionH>
              <wp:positionV relativeFrom="page">
                <wp:posOffset>464185</wp:posOffset>
              </wp:positionV>
              <wp:extent cx="238125" cy="165735"/>
              <wp:effectExtent l="0" t="0" r="3175" b="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44" type="#_x0000_t202" style="position:absolute;margin-left:35pt;margin-top:36.55pt;width:18.75pt;height:13.05pt;z-index:-63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" filled="f" stroked="f">
              <v:textbox inset="0,0,0,0">
                <w:txbxContent>
                  <w:p w:rsidR="002E1E01" w:rsidRDefault="002E1E01">
                    <w:pPr>
                      <w:spacing w:line="245" w:lineRule="exact"/>
                      <w:ind w:left="20"/>
                      <w:rPr>
                        <w:rFonts w:ascii="Calibri"/>
                      </w:rPr>
                    </w:pPr>
                    <w:r>
                      <w:rPr>
                        <w:rFonts w:ascii="Calibri"/>
                      </w:rPr>
                      <w:t>112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648"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45" type="#_x0000_t202" style="position:absolute;margin-left:346.7pt;margin-top:36.55pt;width:186.65pt;height:13.05pt;z-index:-63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kn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672"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46" type="#_x0000_t202" style="position:absolute;margin-left:34pt;margin-top:36.55pt;width:20.75pt;height:13.05pt;z-index:-6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If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69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47" type="#_x0000_t202" style="position:absolute;margin-left:346.7pt;margin-top:36.55pt;width:186.65pt;height:13.05pt;z-index:-6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Dp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I5eGkhR490kGjOzGg2cLUp+9UAm4PHTjqAfahz5ar6u5F8VUhLtY14Tt6K6Xoa0pKyM83N92z&#10;qyOOMiDb/oMoIQ7Za2GBhkq2pnhQDgTokMjTqTcmlwI2g9nCC6MIowLO/Hm0mEU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vxzIQ3at6K&#10;8gkkLAUoDHQKkw+MWsjvGPUwRVKsvu2JpBg17zk8AzNyJkNOxnYyCC/gaoo1RqO51uNo2neS7WpA&#10;Hh8aF7fwVCpmVfycxfGBwWSwZI5TzIye83/r9TxrV78A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DRIjDpswIAALM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720"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48" type="#_x0000_t202" style="position:absolute;margin-left:34pt;margin-top:36.55pt;width:20.75pt;height:13.05pt;z-index:-6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qh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744" behindDoc="1" locked="0" layoutInCell="1" allowOverlap="1">
              <wp:simplePos x="0" y="0"/>
              <wp:positionH relativeFrom="page">
                <wp:posOffset>4401820</wp:posOffset>
              </wp:positionH>
              <wp:positionV relativeFrom="page">
                <wp:posOffset>464185</wp:posOffset>
              </wp:positionV>
              <wp:extent cx="2370455" cy="165735"/>
              <wp:effectExtent l="127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9" type="#_x0000_t202" style="position:absolute;margin-left:346.6pt;margin-top:36.55pt;width:186.65pt;height:13.05pt;z-index:-6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nZ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768"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0" type="#_x0000_t202" style="position:absolute;margin-left:55.65pt;margin-top:36.55pt;width:186.65pt;height:13.05pt;z-index:-63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mn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792"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51" type="#_x0000_t202" style="position:absolute;margin-left:534.25pt;margin-top:36.55pt;width:20.75pt;height:13.05pt;z-index:-6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SL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119</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3704" behindDoc="1" locked="0" layoutInCell="1" allowOverlap="1">
              <wp:simplePos x="0" y="0"/>
              <wp:positionH relativeFrom="page">
                <wp:posOffset>896620</wp:posOffset>
              </wp:positionH>
              <wp:positionV relativeFrom="page">
                <wp:posOffset>635635</wp:posOffset>
              </wp:positionV>
              <wp:extent cx="5768975" cy="0"/>
              <wp:effectExtent l="10795" t="6985" r="11430" b="12065"/>
              <wp:wrapNone/>
              <wp:docPr id="12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36B86" id="Line 120" o:spid="_x0000_s1026" style="position:absolute;z-index:-6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5pt" to="524.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" strokeweight=".48pt">
              <w10:wrap anchorx="page" anchory="page"/>
            </v:line>
          </w:pict>
        </mc:Fallback>
      </mc:AlternateContent>
    </w:r>
    <w:r>
      <w:rPr>
        <w:noProof/>
        <w:lang w:val="en-GB" w:eastAsia="en-GB"/>
      </w:rPr>
      <mc:AlternateContent>
        <mc:Choice Requires="wps">
          <w:drawing>
            <wp:anchor distT="0" distB="0" distL="114300" distR="114300" simplePos="0" relativeHeight="502683728" behindDoc="1" locked="0" layoutInCell="1" allowOverlap="1">
              <wp:simplePos x="0" y="0"/>
              <wp:positionH relativeFrom="page">
                <wp:posOffset>901700</wp:posOffset>
              </wp:positionH>
              <wp:positionV relativeFrom="page">
                <wp:posOffset>464185</wp:posOffset>
              </wp:positionV>
              <wp:extent cx="2370455" cy="165735"/>
              <wp:effectExtent l="0" t="0" r="4445" b="0"/>
              <wp:wrapNone/>
              <wp:docPr id="1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8" type="#_x0000_t202" style="position:absolute;margin-left:71pt;margin-top:36.55pt;width:186.65pt;height:13.05pt;z-index:-6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c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3752" behindDoc="1" locked="0" layoutInCell="1" allowOverlap="1">
              <wp:simplePos x="0" y="0"/>
              <wp:positionH relativeFrom="page">
                <wp:posOffset>6492875</wp:posOffset>
              </wp:positionH>
              <wp:positionV relativeFrom="page">
                <wp:posOffset>464185</wp:posOffset>
              </wp:positionV>
              <wp:extent cx="168910" cy="165735"/>
              <wp:effectExtent l="0" t="0" r="0" b="0"/>
              <wp:wrapNone/>
              <wp:docPr id="1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9" type="#_x0000_t202" style="position:absolute;margin-left:511.25pt;margin-top:36.55pt;width:13.3pt;height:13.05pt;z-index:-6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Zu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x4iTDpr0QEeNbsWIfD82FRp6lYLjfQ+ueoQD8LZsVX8nyq8KcbFuCN/RGynF0FBSQYa+ueme&#10;XZ1wlAHZDh9EBYHIXgsLNNayM+WDgiBAh049nrpjkilNyChOfDgp4ciPFsvL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" filled="f" stroked="f">
              <v:textbox inset="0,0,0,0">
                <w:txbxContent>
                  <w:p w:rsidR="002E1E01" w:rsidRDefault="002E1E01">
                    <w:pPr>
                      <w:spacing w:line="245" w:lineRule="exact"/>
                      <w:ind w:left="20"/>
                      <w:rPr>
                        <w:rFonts w:ascii="Calibri"/>
                      </w:rPr>
                    </w:pPr>
                    <w:r>
                      <w:rPr>
                        <w:rFonts w:ascii="Calibri"/>
                      </w:rPr>
                      <w:t>13</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816" behindDoc="1" locked="0" layoutInCell="1" allowOverlap="1">
              <wp:simplePos x="0" y="0"/>
              <wp:positionH relativeFrom="page">
                <wp:posOffset>431800</wp:posOffset>
              </wp:positionH>
              <wp:positionV relativeFrom="page">
                <wp:posOffset>464185</wp:posOffset>
              </wp:positionV>
              <wp:extent cx="263525" cy="173355"/>
              <wp:effectExtent l="3175" t="0" r="0" b="63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52" type="#_x0000_t202" style="position:absolute;margin-left:34pt;margin-top:36.55pt;width:20.75pt;height:13.65pt;z-index:-63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3A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126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840" behindDoc="1" locked="0" layoutInCell="1" allowOverlap="1">
              <wp:simplePos x="0" y="0"/>
              <wp:positionH relativeFrom="page">
                <wp:posOffset>4401820</wp:posOffset>
              </wp:positionH>
              <wp:positionV relativeFrom="page">
                <wp:posOffset>464185</wp:posOffset>
              </wp:positionV>
              <wp:extent cx="2370455" cy="165735"/>
              <wp:effectExtent l="127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53" type="#_x0000_t202" style="position:absolute;margin-left:346.6pt;margin-top:36.55pt;width:186.65pt;height:13.05pt;z-index:-63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sw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864"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54" type="#_x0000_t202" style="position:absolute;margin-left:55.65pt;margin-top:36.55pt;width:186.65pt;height:13.05pt;z-index:-6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888" behindDoc="1" locked="0" layoutInCell="1" allowOverlap="1">
              <wp:simplePos x="0" y="0"/>
              <wp:positionH relativeFrom="page">
                <wp:posOffset>6784975</wp:posOffset>
              </wp:positionH>
              <wp:positionV relativeFrom="page">
                <wp:posOffset>464185</wp:posOffset>
              </wp:positionV>
              <wp:extent cx="263525" cy="173355"/>
              <wp:effectExtent l="3175" t="0" r="0" b="63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55" type="#_x0000_t202" style="position:absolute;margin-left:534.25pt;margin-top:36.55pt;width:20.75pt;height:13.65pt;z-index:-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j9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125</w:t>
                    </w:r>
                    <w: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912" behindDoc="1" locked="0" layoutInCell="1" allowOverlap="1">
              <wp:simplePos x="0" y="0"/>
              <wp:positionH relativeFrom="page">
                <wp:posOffset>444500</wp:posOffset>
              </wp:positionH>
              <wp:positionV relativeFrom="page">
                <wp:posOffset>464185</wp:posOffset>
              </wp:positionV>
              <wp:extent cx="238125" cy="165735"/>
              <wp:effectExtent l="0" t="0" r="3175"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56" type="#_x0000_t202" style="position:absolute;margin-left:35pt;margin-top:36.55pt;width:18.75pt;height:13.05pt;z-index:-6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d1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" filled="f" stroked="f">
              <v:textbox inset="0,0,0,0">
                <w:txbxContent>
                  <w:p w:rsidR="002E1E01" w:rsidRDefault="002E1E01">
                    <w:pPr>
                      <w:spacing w:line="245" w:lineRule="exact"/>
                      <w:ind w:left="20"/>
                      <w:rPr>
                        <w:rFonts w:ascii="Calibri"/>
                      </w:rPr>
                    </w:pPr>
                    <w:r>
                      <w:rPr>
                        <w:rFonts w:ascii="Calibri"/>
                      </w:rPr>
                      <w:t>130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93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7" type="#_x0000_t202" style="position:absolute;margin-left:346.7pt;margin-top:36.55pt;width:186.65pt;height:13.05pt;z-index:-6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Vm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ysNJCz16pINGd2JAwcLUp+9UAm4PHTjqAfahz5ar6u5F8VUhLtY14Tt6K6Xoa0pKyM83N92z&#10;qyOOMiDb/oMoIQ7Za2GBhkq2pnhQDgTokMjTqTcmlwI2g9nCC6MIowLO/Hm0mEU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5960" behindDoc="1" locked="0" layoutInCell="1" allowOverlap="1">
              <wp:simplePos x="0" y="0"/>
              <wp:positionH relativeFrom="page">
                <wp:posOffset>706755</wp:posOffset>
              </wp:positionH>
              <wp:positionV relativeFrom="page">
                <wp:posOffset>464185</wp:posOffset>
              </wp:positionV>
              <wp:extent cx="3255645" cy="165735"/>
              <wp:effectExtent l="1905"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58" type="#_x0000_t202" style="position:absolute;margin-left:55.65pt;margin-top:36.55pt;width:256.35pt;height:13.05pt;z-index:-6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WM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GHHSQY8e6KjRrRhREJv6DL1Kwe2+B0c9wj702XJV/Z0ovyrExbohfEdvpBRDQ0kF+fnmpnt2&#10;dcJRBmQ7fBAVxCF7LSzQWMvOFA/KgQAd+vR46o3JpYTNyyCK4jDCqIQzP44Wl5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5984"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rPr>
                              <w:rFonts w:ascii="Calibri"/>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9" type="#_x0000_t202" style="position:absolute;margin-left:534.25pt;margin-top:36.55pt;width:20.75pt;height:13.05pt;z-index:-6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qjtA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" filled="f" stroked="f">
              <v:textbox inset="0,0,0,0">
                <w:txbxContent>
                  <w:p w:rsidR="002E1E01" w:rsidRDefault="002E1E01">
                    <w:pPr>
                      <w:spacing w:line="245" w:lineRule="exact"/>
                      <w:ind w:left="40"/>
                      <w:rPr>
                        <w:rFonts w:ascii="Calibri"/>
                      </w:rPr>
                    </w:pPr>
                    <w:r>
                      <w:rPr>
                        <w:rFonts w:ascii="Calibri"/>
                      </w:rPr>
                      <w:t>131</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008"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60" type="#_x0000_t202" style="position:absolute;margin-left:34pt;margin-top:36.55pt;width:20.75pt;height:13.05pt;z-index:-6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rd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138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032"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61" type="#_x0000_t202" style="position:absolute;margin-left:346.7pt;margin-top:36.55pt;width:186.65pt;height:13.05pt;z-index:-63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Mz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056" behindDoc="1" locked="0" layoutInCell="1" allowOverlap="1">
              <wp:simplePos x="0" y="0"/>
              <wp:positionH relativeFrom="page">
                <wp:posOffset>706755</wp:posOffset>
              </wp:positionH>
              <wp:positionV relativeFrom="page">
                <wp:posOffset>464185</wp:posOffset>
              </wp:positionV>
              <wp:extent cx="2370455" cy="165735"/>
              <wp:effectExtent l="1905"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62" type="#_x0000_t202" style="position:absolute;margin-left:55.65pt;margin-top:36.55pt;width:186.65pt;height:13.05pt;z-index:-6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kn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080" behindDoc="1" locked="0" layoutInCell="1" allowOverlap="1">
              <wp:simplePos x="0" y="0"/>
              <wp:positionH relativeFrom="page">
                <wp:posOffset>6784975</wp:posOffset>
              </wp:positionH>
              <wp:positionV relativeFrom="page">
                <wp:posOffset>464185</wp:posOffset>
              </wp:positionV>
              <wp:extent cx="263525" cy="165735"/>
              <wp:effectExtent l="3175"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63" type="#_x0000_t202" style="position:absolute;margin-left:534.25pt;margin-top:36.55pt;width:20.75pt;height:13.05pt;z-index:-6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aEsgIAALM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137</w:t>
                    </w:r>
                    <w: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104" behindDoc="1" locked="0" layoutInCell="1" allowOverlap="1">
              <wp:simplePos x="0" y="0"/>
              <wp:positionH relativeFrom="page">
                <wp:posOffset>444500</wp:posOffset>
              </wp:positionH>
              <wp:positionV relativeFrom="page">
                <wp:posOffset>464185</wp:posOffset>
              </wp:positionV>
              <wp:extent cx="238125" cy="165735"/>
              <wp:effectExtent l="0" t="0" r="3175"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64" type="#_x0000_t202" style="position:absolute;margin-left:35pt;margin-top:36.55pt;width:18.75pt;height:13.05pt;z-index:-63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" filled="f" stroked="f">
              <v:textbox inset="0,0,0,0">
                <w:txbxContent>
                  <w:p w:rsidR="002E1E01" w:rsidRDefault="002E1E01">
                    <w:pPr>
                      <w:spacing w:line="245" w:lineRule="exact"/>
                      <w:ind w:left="20"/>
                      <w:rPr>
                        <w:rFonts w:ascii="Calibri"/>
                      </w:rPr>
                    </w:pPr>
                    <w:r>
                      <w:rPr>
                        <w:rFonts w:ascii="Calibri"/>
                      </w:rPr>
                      <w:t>142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128"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65" type="#_x0000_t202" style="position:absolute;margin-left:346.7pt;margin-top:36.55pt;width:186.65pt;height:13.05pt;z-index:-6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Eh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CYxDEhswIAALQ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152"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6" type="#_x0000_t202" style="position:absolute;margin-left:34pt;margin-top:36.55pt;width:20.75pt;height:13.05pt;z-index:-6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X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176"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67" type="#_x0000_t202" style="position:absolute;margin-left:346.7pt;margin-top:36.55pt;width:186.65pt;height:13.05pt;z-index:-6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7P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E60AD2">
    <w:pPr>
      <w:spacing w:line="14" w:lineRule="auto"/>
      <w:rPr>
        <w:sz w:val="20"/>
      </w:rPr>
    </w:pPr>
    <w:r>
      <w:rPr>
        <w:noProof/>
        <w:lang w:val="en-GB" w:eastAsia="en-GB"/>
      </w:rPr>
      <mc:AlternateContent>
        <mc:Choice Requires="wps">
          <w:drawing>
            <wp:anchor distT="0" distB="0" distL="114300" distR="114300" simplePos="0" relativeHeight="502686200" behindDoc="1" locked="0" layoutInCell="1" allowOverlap="1">
              <wp:simplePos x="0" y="0"/>
              <wp:positionH relativeFrom="page">
                <wp:posOffset>431800</wp:posOffset>
              </wp:positionH>
              <wp:positionV relativeFrom="page">
                <wp:posOffset>464185</wp:posOffset>
              </wp:positionV>
              <wp:extent cx="263525" cy="165735"/>
              <wp:effectExtent l="3175"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8" type="#_x0000_t202" style="position:absolute;margin-left:34pt;margin-top:36.55pt;width:20.75pt;height:13.05pt;z-index:-6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6H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" filled="f" stroked="f">
              <v:textbox inset="0,0,0,0">
                <w:txbxContent>
                  <w:p w:rsidR="002E1E01" w:rsidRDefault="002E1E01">
                    <w:pPr>
                      <w:spacing w:line="245" w:lineRule="exact"/>
                      <w:ind w:left="40"/>
                      <w:rPr>
                        <w:rFonts w:ascii="Calibri"/>
                      </w:rPr>
                    </w:pPr>
                    <w:r>
                      <w:fldChar w:fldCharType="begin"/>
                    </w:r>
                    <w:r>
                      <w:rPr>
                        <w:rFonts w:ascii="Calibri"/>
                      </w:rPr>
                      <w:instrText xml:space="preserve"> PAGE </w:instrText>
                    </w:r>
                    <w:r>
                      <w:fldChar w:fldCharType="separate"/>
                    </w:r>
                    <w:r w:rsidR="004337D0">
                      <w:rPr>
                        <w:rFonts w:ascii="Calibri"/>
                        <w:noProof/>
                      </w:rPr>
                      <w:t>148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2686224" behindDoc="1" locked="0" layoutInCell="1" allowOverlap="1">
              <wp:simplePos x="0" y="0"/>
              <wp:positionH relativeFrom="page">
                <wp:posOffset>4403090</wp:posOffset>
              </wp:positionH>
              <wp:positionV relativeFrom="page">
                <wp:posOffset>464185</wp:posOffset>
              </wp:positionV>
              <wp:extent cx="2370455" cy="165735"/>
              <wp:effectExtent l="254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E01" w:rsidRDefault="002E1E01">
                          <w:pPr>
                            <w:spacing w:line="245" w:lineRule="exact"/>
                            <w:ind w:left="20"/>
                            <w:rPr>
                              <w:rFonts w:ascii="Calibri"/>
                            </w:rPr>
                          </w:pPr>
                          <w:r>
                            <w:rPr>
                              <w:rFonts w:ascii="Calibri"/>
                            </w:rPr>
                            <w:t>Unit Costs of Health and Social Care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9" type="#_x0000_t202" style="position:absolute;margin-left:346.7pt;margin-top:36.55pt;width:186.65pt;height:13.05pt;z-index:-63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" filled="f" stroked="f">
              <v:textbox inset="0,0,0,0">
                <w:txbxContent>
                  <w:p w:rsidR="002E1E01" w:rsidRDefault="002E1E01">
                    <w:pPr>
                      <w:spacing w:line="245" w:lineRule="exact"/>
                      <w:ind w:left="20"/>
                      <w:rPr>
                        <w:rFonts w:ascii="Calibri"/>
                      </w:rPr>
                    </w:pPr>
                    <w:r>
                      <w:rPr>
                        <w:rFonts w:ascii="Calibri"/>
                      </w:rPr>
                      <w:t>Unit Costs of Health and Social Care 2019</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E01" w:rsidRDefault="002E1E01">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B92"/>
    <w:multiLevelType w:val="multilevel"/>
    <w:tmpl w:val="9FE6C2A8"/>
    <w:lvl w:ilvl="0">
      <w:start w:val="15"/>
      <w:numFmt w:val="decimal"/>
      <w:lvlText w:val="%1."/>
      <w:lvlJc w:val="left"/>
      <w:pPr>
        <w:ind w:left="742" w:hanging="590"/>
        <w:jc w:val="right"/>
      </w:pPr>
      <w:rPr>
        <w:rFonts w:ascii="Cambria" w:eastAsia="Cambria" w:hAnsi="Cambria" w:cs="Cambria" w:hint="default"/>
        <w:b/>
        <w:bCs/>
        <w:spacing w:val="-2"/>
        <w:w w:val="100"/>
        <w:sz w:val="36"/>
        <w:szCs w:val="36"/>
      </w:rPr>
    </w:lvl>
    <w:lvl w:ilvl="1">
      <w:start w:val="1"/>
      <w:numFmt w:val="decimal"/>
      <w:lvlText w:val="%1.%2"/>
      <w:lvlJc w:val="left"/>
      <w:pPr>
        <w:ind w:left="152" w:hanging="625"/>
      </w:pPr>
      <w:rPr>
        <w:rFonts w:ascii="Cambria" w:eastAsia="Cambria" w:hAnsi="Cambria" w:cs="Cambria" w:hint="default"/>
        <w:b/>
        <w:bCs/>
        <w:spacing w:val="-1"/>
        <w:w w:val="100"/>
        <w:sz w:val="28"/>
        <w:szCs w:val="28"/>
      </w:rPr>
    </w:lvl>
    <w:lvl w:ilvl="2">
      <w:start w:val="1"/>
      <w:numFmt w:val="decimal"/>
      <w:lvlText w:val="%1.%2.%3"/>
      <w:lvlJc w:val="left"/>
      <w:pPr>
        <w:ind w:left="809" w:hanging="670"/>
      </w:pPr>
      <w:rPr>
        <w:rFonts w:ascii="Cambria" w:eastAsia="Cambria" w:hAnsi="Cambria" w:cs="Cambria" w:hint="default"/>
        <w:b/>
        <w:bCs/>
        <w:spacing w:val="-2"/>
        <w:w w:val="100"/>
        <w:sz w:val="22"/>
        <w:szCs w:val="22"/>
      </w:rPr>
    </w:lvl>
    <w:lvl w:ilvl="3">
      <w:numFmt w:val="bullet"/>
      <w:lvlText w:val="•"/>
      <w:lvlJc w:val="left"/>
      <w:pPr>
        <w:ind w:left="780" w:hanging="670"/>
      </w:pPr>
      <w:rPr>
        <w:rFonts w:hint="default"/>
      </w:rPr>
    </w:lvl>
    <w:lvl w:ilvl="4">
      <w:numFmt w:val="bullet"/>
      <w:lvlText w:val="•"/>
      <w:lvlJc w:val="left"/>
      <w:pPr>
        <w:ind w:left="800" w:hanging="670"/>
      </w:pPr>
      <w:rPr>
        <w:rFonts w:hint="default"/>
      </w:rPr>
    </w:lvl>
    <w:lvl w:ilvl="5">
      <w:numFmt w:val="bullet"/>
      <w:lvlText w:val="•"/>
      <w:lvlJc w:val="left"/>
      <w:pPr>
        <w:ind w:left="2324" w:hanging="670"/>
      </w:pPr>
      <w:rPr>
        <w:rFonts w:hint="default"/>
      </w:rPr>
    </w:lvl>
    <w:lvl w:ilvl="6">
      <w:numFmt w:val="bullet"/>
      <w:lvlText w:val="•"/>
      <w:lvlJc w:val="left"/>
      <w:pPr>
        <w:ind w:left="3848" w:hanging="670"/>
      </w:pPr>
      <w:rPr>
        <w:rFonts w:hint="default"/>
      </w:rPr>
    </w:lvl>
    <w:lvl w:ilvl="7">
      <w:numFmt w:val="bullet"/>
      <w:lvlText w:val="•"/>
      <w:lvlJc w:val="left"/>
      <w:pPr>
        <w:ind w:left="5373" w:hanging="670"/>
      </w:pPr>
      <w:rPr>
        <w:rFonts w:hint="default"/>
      </w:rPr>
    </w:lvl>
    <w:lvl w:ilvl="8">
      <w:numFmt w:val="bullet"/>
      <w:lvlText w:val="•"/>
      <w:lvlJc w:val="left"/>
      <w:pPr>
        <w:ind w:left="6897" w:hanging="670"/>
      </w:pPr>
      <w:rPr>
        <w:rFonts w:hint="default"/>
      </w:rPr>
    </w:lvl>
  </w:abstractNum>
  <w:abstractNum w:abstractNumId="1" w15:restartNumberingAfterBreak="0">
    <w:nsid w:val="07531F1C"/>
    <w:multiLevelType w:val="hybridMultilevel"/>
    <w:tmpl w:val="3B407528"/>
    <w:lvl w:ilvl="0" w:tplc="07B891A4">
      <w:start w:val="3"/>
      <w:numFmt w:val="upperLetter"/>
      <w:lvlText w:val="%1."/>
      <w:lvlJc w:val="left"/>
      <w:pPr>
        <w:ind w:left="105" w:hanging="202"/>
      </w:pPr>
      <w:rPr>
        <w:rFonts w:ascii="Calibri" w:eastAsia="Calibri" w:hAnsi="Calibri" w:cs="Calibri" w:hint="default"/>
        <w:spacing w:val="-1"/>
        <w:w w:val="99"/>
        <w:sz w:val="20"/>
        <w:szCs w:val="20"/>
      </w:rPr>
    </w:lvl>
    <w:lvl w:ilvl="1" w:tplc="EEE68182">
      <w:numFmt w:val="bullet"/>
      <w:lvlText w:val="•"/>
      <w:lvlJc w:val="left"/>
      <w:pPr>
        <w:ind w:left="309" w:hanging="202"/>
      </w:pPr>
      <w:rPr>
        <w:rFonts w:hint="default"/>
      </w:rPr>
    </w:lvl>
    <w:lvl w:ilvl="2" w:tplc="DBDAF594">
      <w:numFmt w:val="bullet"/>
      <w:lvlText w:val="•"/>
      <w:lvlJc w:val="left"/>
      <w:pPr>
        <w:ind w:left="519" w:hanging="202"/>
      </w:pPr>
      <w:rPr>
        <w:rFonts w:hint="default"/>
      </w:rPr>
    </w:lvl>
    <w:lvl w:ilvl="3" w:tplc="C9986196">
      <w:numFmt w:val="bullet"/>
      <w:lvlText w:val="•"/>
      <w:lvlJc w:val="left"/>
      <w:pPr>
        <w:ind w:left="728" w:hanging="202"/>
      </w:pPr>
      <w:rPr>
        <w:rFonts w:hint="default"/>
      </w:rPr>
    </w:lvl>
    <w:lvl w:ilvl="4" w:tplc="24400F1C">
      <w:numFmt w:val="bullet"/>
      <w:lvlText w:val="•"/>
      <w:lvlJc w:val="left"/>
      <w:pPr>
        <w:ind w:left="938" w:hanging="202"/>
      </w:pPr>
      <w:rPr>
        <w:rFonts w:hint="default"/>
      </w:rPr>
    </w:lvl>
    <w:lvl w:ilvl="5" w:tplc="E66AF012">
      <w:numFmt w:val="bullet"/>
      <w:lvlText w:val="•"/>
      <w:lvlJc w:val="left"/>
      <w:pPr>
        <w:ind w:left="1148" w:hanging="202"/>
      </w:pPr>
      <w:rPr>
        <w:rFonts w:hint="default"/>
      </w:rPr>
    </w:lvl>
    <w:lvl w:ilvl="6" w:tplc="6A6AD358">
      <w:numFmt w:val="bullet"/>
      <w:lvlText w:val="•"/>
      <w:lvlJc w:val="left"/>
      <w:pPr>
        <w:ind w:left="1357" w:hanging="202"/>
      </w:pPr>
      <w:rPr>
        <w:rFonts w:hint="default"/>
      </w:rPr>
    </w:lvl>
    <w:lvl w:ilvl="7" w:tplc="742AD496">
      <w:numFmt w:val="bullet"/>
      <w:lvlText w:val="•"/>
      <w:lvlJc w:val="left"/>
      <w:pPr>
        <w:ind w:left="1567" w:hanging="202"/>
      </w:pPr>
      <w:rPr>
        <w:rFonts w:hint="default"/>
      </w:rPr>
    </w:lvl>
    <w:lvl w:ilvl="8" w:tplc="232823F0">
      <w:numFmt w:val="bullet"/>
      <w:lvlText w:val="•"/>
      <w:lvlJc w:val="left"/>
      <w:pPr>
        <w:ind w:left="1776" w:hanging="202"/>
      </w:pPr>
      <w:rPr>
        <w:rFonts w:hint="default"/>
      </w:rPr>
    </w:lvl>
  </w:abstractNum>
  <w:abstractNum w:abstractNumId="2" w15:restartNumberingAfterBreak="0">
    <w:nsid w:val="09D571A9"/>
    <w:multiLevelType w:val="multilevel"/>
    <w:tmpl w:val="6DD621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A07092"/>
    <w:multiLevelType w:val="multilevel"/>
    <w:tmpl w:val="42C6349A"/>
    <w:lvl w:ilvl="0">
      <w:start w:val="1"/>
      <w:numFmt w:val="upperRoman"/>
      <w:lvlText w:val="%1."/>
      <w:lvlJc w:val="left"/>
      <w:pPr>
        <w:ind w:left="324" w:hanging="185"/>
      </w:pPr>
      <w:rPr>
        <w:rFonts w:ascii="Calibri" w:eastAsia="Calibri" w:hAnsi="Calibri" w:cs="Calibri" w:hint="default"/>
        <w:b/>
        <w:bCs/>
        <w:w w:val="100"/>
        <w:sz w:val="24"/>
        <w:szCs w:val="24"/>
      </w:rPr>
    </w:lvl>
    <w:lvl w:ilvl="1">
      <w:start w:val="1"/>
      <w:numFmt w:val="decimal"/>
      <w:lvlText w:val="%2."/>
      <w:lvlJc w:val="left"/>
      <w:pPr>
        <w:ind w:left="339" w:hanging="200"/>
      </w:pPr>
      <w:rPr>
        <w:rFonts w:hint="default"/>
        <w:b/>
        <w:bCs/>
        <w:w w:val="99"/>
      </w:rPr>
    </w:lvl>
    <w:lvl w:ilvl="2">
      <w:start w:val="1"/>
      <w:numFmt w:val="decimal"/>
      <w:lvlText w:val="%2.%3"/>
      <w:lvlJc w:val="left"/>
      <w:pPr>
        <w:ind w:left="437" w:hanging="298"/>
      </w:pPr>
      <w:rPr>
        <w:rFonts w:ascii="Calibri" w:eastAsia="Calibri" w:hAnsi="Calibri" w:cs="Calibri" w:hint="default"/>
        <w:w w:val="99"/>
        <w:sz w:val="20"/>
        <w:szCs w:val="20"/>
      </w:rPr>
    </w:lvl>
    <w:lvl w:ilvl="3">
      <w:numFmt w:val="bullet"/>
      <w:lvlText w:val="•"/>
      <w:lvlJc w:val="left"/>
      <w:pPr>
        <w:ind w:left="1548" w:hanging="298"/>
      </w:pPr>
      <w:rPr>
        <w:rFonts w:hint="default"/>
      </w:rPr>
    </w:lvl>
    <w:lvl w:ilvl="4">
      <w:numFmt w:val="bullet"/>
      <w:lvlText w:val="•"/>
      <w:lvlJc w:val="left"/>
      <w:pPr>
        <w:ind w:left="2656" w:hanging="298"/>
      </w:pPr>
      <w:rPr>
        <w:rFonts w:hint="default"/>
      </w:rPr>
    </w:lvl>
    <w:lvl w:ilvl="5">
      <w:numFmt w:val="bullet"/>
      <w:lvlText w:val="•"/>
      <w:lvlJc w:val="left"/>
      <w:pPr>
        <w:ind w:left="3764" w:hanging="298"/>
      </w:pPr>
      <w:rPr>
        <w:rFonts w:hint="default"/>
      </w:rPr>
    </w:lvl>
    <w:lvl w:ilvl="6">
      <w:numFmt w:val="bullet"/>
      <w:lvlText w:val="•"/>
      <w:lvlJc w:val="left"/>
      <w:pPr>
        <w:ind w:left="4873" w:hanging="298"/>
      </w:pPr>
      <w:rPr>
        <w:rFonts w:hint="default"/>
      </w:rPr>
    </w:lvl>
    <w:lvl w:ilvl="7">
      <w:numFmt w:val="bullet"/>
      <w:lvlText w:val="•"/>
      <w:lvlJc w:val="left"/>
      <w:pPr>
        <w:ind w:left="5981" w:hanging="298"/>
      </w:pPr>
      <w:rPr>
        <w:rFonts w:hint="default"/>
      </w:rPr>
    </w:lvl>
    <w:lvl w:ilvl="8">
      <w:numFmt w:val="bullet"/>
      <w:lvlText w:val="•"/>
      <w:lvlJc w:val="left"/>
      <w:pPr>
        <w:ind w:left="7089" w:hanging="298"/>
      </w:pPr>
      <w:rPr>
        <w:rFonts w:hint="default"/>
      </w:rPr>
    </w:lvl>
  </w:abstractNum>
  <w:abstractNum w:abstractNumId="4" w15:restartNumberingAfterBreak="0">
    <w:nsid w:val="105F33C9"/>
    <w:multiLevelType w:val="hybridMultilevel"/>
    <w:tmpl w:val="B3D0AA56"/>
    <w:lvl w:ilvl="0" w:tplc="1F08B57C">
      <w:numFmt w:val="bullet"/>
      <w:lvlText w:val=""/>
      <w:lvlJc w:val="left"/>
      <w:pPr>
        <w:ind w:left="823" w:hanging="360"/>
      </w:pPr>
      <w:rPr>
        <w:rFonts w:ascii="Symbol" w:eastAsia="Symbol" w:hAnsi="Symbol" w:cs="Symbol" w:hint="default"/>
        <w:w w:val="99"/>
        <w:sz w:val="19"/>
        <w:szCs w:val="19"/>
      </w:rPr>
    </w:lvl>
    <w:lvl w:ilvl="1" w:tplc="C5C6CDDE">
      <w:numFmt w:val="bullet"/>
      <w:lvlText w:val="•"/>
      <w:lvlJc w:val="left"/>
      <w:pPr>
        <w:ind w:left="1638" w:hanging="360"/>
      </w:pPr>
      <w:rPr>
        <w:rFonts w:hint="default"/>
      </w:rPr>
    </w:lvl>
    <w:lvl w:ilvl="2" w:tplc="7A3A6E1E">
      <w:numFmt w:val="bullet"/>
      <w:lvlText w:val="•"/>
      <w:lvlJc w:val="left"/>
      <w:pPr>
        <w:ind w:left="2457" w:hanging="360"/>
      </w:pPr>
      <w:rPr>
        <w:rFonts w:hint="default"/>
      </w:rPr>
    </w:lvl>
    <w:lvl w:ilvl="3" w:tplc="E3B8A11C">
      <w:numFmt w:val="bullet"/>
      <w:lvlText w:val="•"/>
      <w:lvlJc w:val="left"/>
      <w:pPr>
        <w:ind w:left="3276" w:hanging="360"/>
      </w:pPr>
      <w:rPr>
        <w:rFonts w:hint="default"/>
      </w:rPr>
    </w:lvl>
    <w:lvl w:ilvl="4" w:tplc="4B00B7EA">
      <w:numFmt w:val="bullet"/>
      <w:lvlText w:val="•"/>
      <w:lvlJc w:val="left"/>
      <w:pPr>
        <w:ind w:left="4095" w:hanging="360"/>
      </w:pPr>
      <w:rPr>
        <w:rFonts w:hint="default"/>
      </w:rPr>
    </w:lvl>
    <w:lvl w:ilvl="5" w:tplc="1C3C9950">
      <w:numFmt w:val="bullet"/>
      <w:lvlText w:val="•"/>
      <w:lvlJc w:val="left"/>
      <w:pPr>
        <w:ind w:left="4914" w:hanging="360"/>
      </w:pPr>
      <w:rPr>
        <w:rFonts w:hint="default"/>
      </w:rPr>
    </w:lvl>
    <w:lvl w:ilvl="6" w:tplc="273C992A">
      <w:numFmt w:val="bullet"/>
      <w:lvlText w:val="•"/>
      <w:lvlJc w:val="left"/>
      <w:pPr>
        <w:ind w:left="5733" w:hanging="360"/>
      </w:pPr>
      <w:rPr>
        <w:rFonts w:hint="default"/>
      </w:rPr>
    </w:lvl>
    <w:lvl w:ilvl="7" w:tplc="82EAD366">
      <w:numFmt w:val="bullet"/>
      <w:lvlText w:val="•"/>
      <w:lvlJc w:val="left"/>
      <w:pPr>
        <w:ind w:left="6552" w:hanging="360"/>
      </w:pPr>
      <w:rPr>
        <w:rFonts w:hint="default"/>
      </w:rPr>
    </w:lvl>
    <w:lvl w:ilvl="8" w:tplc="9D94C486">
      <w:numFmt w:val="bullet"/>
      <w:lvlText w:val="•"/>
      <w:lvlJc w:val="left"/>
      <w:pPr>
        <w:ind w:left="7370" w:hanging="360"/>
      </w:pPr>
      <w:rPr>
        <w:rFonts w:hint="default"/>
      </w:rPr>
    </w:lvl>
  </w:abstractNum>
  <w:abstractNum w:abstractNumId="5" w15:restartNumberingAfterBreak="0">
    <w:nsid w:val="13915364"/>
    <w:multiLevelType w:val="hybridMultilevel"/>
    <w:tmpl w:val="BAACEE1A"/>
    <w:lvl w:ilvl="0" w:tplc="1DA6C158">
      <w:start w:val="1"/>
      <w:numFmt w:val="upperLetter"/>
      <w:lvlText w:val="%1."/>
      <w:lvlJc w:val="left"/>
      <w:pPr>
        <w:ind w:left="361" w:hanging="209"/>
      </w:pPr>
      <w:rPr>
        <w:rFonts w:ascii="Calibri" w:eastAsia="Calibri" w:hAnsi="Calibri" w:cs="Calibri" w:hint="default"/>
        <w:b/>
        <w:bCs/>
        <w:w w:val="99"/>
        <w:sz w:val="19"/>
        <w:szCs w:val="19"/>
      </w:rPr>
    </w:lvl>
    <w:lvl w:ilvl="1" w:tplc="DF321C48">
      <w:numFmt w:val="bullet"/>
      <w:lvlText w:val="•"/>
      <w:lvlJc w:val="left"/>
      <w:pPr>
        <w:ind w:left="1358" w:hanging="209"/>
      </w:pPr>
      <w:rPr>
        <w:rFonts w:hint="default"/>
      </w:rPr>
    </w:lvl>
    <w:lvl w:ilvl="2" w:tplc="54D02572">
      <w:numFmt w:val="bullet"/>
      <w:lvlText w:val="•"/>
      <w:lvlJc w:val="left"/>
      <w:pPr>
        <w:ind w:left="2357" w:hanging="209"/>
      </w:pPr>
      <w:rPr>
        <w:rFonts w:hint="default"/>
      </w:rPr>
    </w:lvl>
    <w:lvl w:ilvl="3" w:tplc="D27A390A">
      <w:numFmt w:val="bullet"/>
      <w:lvlText w:val="•"/>
      <w:lvlJc w:val="left"/>
      <w:pPr>
        <w:ind w:left="3355" w:hanging="209"/>
      </w:pPr>
      <w:rPr>
        <w:rFonts w:hint="default"/>
      </w:rPr>
    </w:lvl>
    <w:lvl w:ilvl="4" w:tplc="A89CF4F4">
      <w:numFmt w:val="bullet"/>
      <w:lvlText w:val="•"/>
      <w:lvlJc w:val="left"/>
      <w:pPr>
        <w:ind w:left="4354" w:hanging="209"/>
      </w:pPr>
      <w:rPr>
        <w:rFonts w:hint="default"/>
      </w:rPr>
    </w:lvl>
    <w:lvl w:ilvl="5" w:tplc="BA9ED45E">
      <w:numFmt w:val="bullet"/>
      <w:lvlText w:val="•"/>
      <w:lvlJc w:val="left"/>
      <w:pPr>
        <w:ind w:left="5353" w:hanging="209"/>
      </w:pPr>
      <w:rPr>
        <w:rFonts w:hint="default"/>
      </w:rPr>
    </w:lvl>
    <w:lvl w:ilvl="6" w:tplc="95845BEE">
      <w:numFmt w:val="bullet"/>
      <w:lvlText w:val="•"/>
      <w:lvlJc w:val="left"/>
      <w:pPr>
        <w:ind w:left="6351" w:hanging="209"/>
      </w:pPr>
      <w:rPr>
        <w:rFonts w:hint="default"/>
      </w:rPr>
    </w:lvl>
    <w:lvl w:ilvl="7" w:tplc="24CC12AA">
      <w:numFmt w:val="bullet"/>
      <w:lvlText w:val="•"/>
      <w:lvlJc w:val="left"/>
      <w:pPr>
        <w:ind w:left="7350" w:hanging="209"/>
      </w:pPr>
      <w:rPr>
        <w:rFonts w:hint="default"/>
      </w:rPr>
    </w:lvl>
    <w:lvl w:ilvl="8" w:tplc="533C9C76">
      <w:numFmt w:val="bullet"/>
      <w:lvlText w:val="•"/>
      <w:lvlJc w:val="left"/>
      <w:pPr>
        <w:ind w:left="8349" w:hanging="209"/>
      </w:pPr>
      <w:rPr>
        <w:rFonts w:hint="default"/>
      </w:rPr>
    </w:lvl>
  </w:abstractNum>
  <w:abstractNum w:abstractNumId="6" w15:restartNumberingAfterBreak="0">
    <w:nsid w:val="143A33F7"/>
    <w:multiLevelType w:val="hybridMultilevel"/>
    <w:tmpl w:val="A3B2682E"/>
    <w:lvl w:ilvl="0" w:tplc="3AB476DC">
      <w:start w:val="4"/>
      <w:numFmt w:val="upperRoman"/>
      <w:lvlText w:val="%1."/>
      <w:lvlJc w:val="left"/>
      <w:pPr>
        <w:ind w:left="466" w:hanging="326"/>
      </w:pPr>
      <w:rPr>
        <w:rFonts w:ascii="Calibri" w:eastAsia="Calibri" w:hAnsi="Calibri" w:cs="Calibri" w:hint="default"/>
        <w:b/>
        <w:bCs/>
        <w:spacing w:val="-1"/>
        <w:w w:val="100"/>
        <w:sz w:val="24"/>
        <w:szCs w:val="24"/>
      </w:rPr>
    </w:lvl>
    <w:lvl w:ilvl="1" w:tplc="560CA414">
      <w:numFmt w:val="bullet"/>
      <w:lvlText w:val="•"/>
      <w:lvlJc w:val="left"/>
      <w:pPr>
        <w:ind w:left="1344" w:hanging="326"/>
      </w:pPr>
      <w:rPr>
        <w:rFonts w:hint="default"/>
      </w:rPr>
    </w:lvl>
    <w:lvl w:ilvl="2" w:tplc="2E584644">
      <w:numFmt w:val="bullet"/>
      <w:lvlText w:val="•"/>
      <w:lvlJc w:val="left"/>
      <w:pPr>
        <w:ind w:left="2229" w:hanging="326"/>
      </w:pPr>
      <w:rPr>
        <w:rFonts w:hint="default"/>
      </w:rPr>
    </w:lvl>
    <w:lvl w:ilvl="3" w:tplc="0886571E">
      <w:numFmt w:val="bullet"/>
      <w:lvlText w:val="•"/>
      <w:lvlJc w:val="left"/>
      <w:pPr>
        <w:ind w:left="3113" w:hanging="326"/>
      </w:pPr>
      <w:rPr>
        <w:rFonts w:hint="default"/>
      </w:rPr>
    </w:lvl>
    <w:lvl w:ilvl="4" w:tplc="995E3FDA">
      <w:numFmt w:val="bullet"/>
      <w:lvlText w:val="•"/>
      <w:lvlJc w:val="left"/>
      <w:pPr>
        <w:ind w:left="3998" w:hanging="326"/>
      </w:pPr>
      <w:rPr>
        <w:rFonts w:hint="default"/>
      </w:rPr>
    </w:lvl>
    <w:lvl w:ilvl="5" w:tplc="F7225778">
      <w:numFmt w:val="bullet"/>
      <w:lvlText w:val="•"/>
      <w:lvlJc w:val="left"/>
      <w:pPr>
        <w:ind w:left="4883" w:hanging="326"/>
      </w:pPr>
      <w:rPr>
        <w:rFonts w:hint="default"/>
      </w:rPr>
    </w:lvl>
    <w:lvl w:ilvl="6" w:tplc="F75E6646">
      <w:numFmt w:val="bullet"/>
      <w:lvlText w:val="•"/>
      <w:lvlJc w:val="left"/>
      <w:pPr>
        <w:ind w:left="5767" w:hanging="326"/>
      </w:pPr>
      <w:rPr>
        <w:rFonts w:hint="default"/>
      </w:rPr>
    </w:lvl>
    <w:lvl w:ilvl="7" w:tplc="EEB2C756">
      <w:numFmt w:val="bullet"/>
      <w:lvlText w:val="•"/>
      <w:lvlJc w:val="left"/>
      <w:pPr>
        <w:ind w:left="6652" w:hanging="326"/>
      </w:pPr>
      <w:rPr>
        <w:rFonts w:hint="default"/>
      </w:rPr>
    </w:lvl>
    <w:lvl w:ilvl="8" w:tplc="BC4C4576">
      <w:numFmt w:val="bullet"/>
      <w:lvlText w:val="•"/>
      <w:lvlJc w:val="left"/>
      <w:pPr>
        <w:ind w:left="7537" w:hanging="326"/>
      </w:pPr>
      <w:rPr>
        <w:rFonts w:hint="default"/>
      </w:rPr>
    </w:lvl>
  </w:abstractNum>
  <w:abstractNum w:abstractNumId="7" w15:restartNumberingAfterBreak="0">
    <w:nsid w:val="15F92851"/>
    <w:multiLevelType w:val="multilevel"/>
    <w:tmpl w:val="05B2FC4C"/>
    <w:lvl w:ilvl="0">
      <w:start w:val="11"/>
      <w:numFmt w:val="decimal"/>
      <w:lvlText w:val="%1"/>
      <w:lvlJc w:val="left"/>
      <w:pPr>
        <w:ind w:left="538" w:hanging="399"/>
      </w:pPr>
      <w:rPr>
        <w:rFonts w:hint="default"/>
      </w:rPr>
    </w:lvl>
    <w:lvl w:ilvl="1">
      <w:start w:val="3"/>
      <w:numFmt w:val="decimal"/>
      <w:lvlText w:val="%1.%2"/>
      <w:lvlJc w:val="left"/>
      <w:pPr>
        <w:ind w:left="538" w:hanging="399"/>
      </w:pPr>
      <w:rPr>
        <w:rFonts w:ascii="Calibri" w:eastAsia="Calibri" w:hAnsi="Calibri" w:cs="Calibri" w:hint="default"/>
        <w:w w:val="99"/>
        <w:sz w:val="20"/>
        <w:szCs w:val="20"/>
      </w:rPr>
    </w:lvl>
    <w:lvl w:ilvl="2">
      <w:numFmt w:val="bullet"/>
      <w:lvlText w:val="•"/>
      <w:lvlJc w:val="left"/>
      <w:pPr>
        <w:ind w:left="2293" w:hanging="399"/>
      </w:pPr>
      <w:rPr>
        <w:rFonts w:hint="default"/>
      </w:rPr>
    </w:lvl>
    <w:lvl w:ilvl="3">
      <w:numFmt w:val="bullet"/>
      <w:lvlText w:val="•"/>
      <w:lvlJc w:val="left"/>
      <w:pPr>
        <w:ind w:left="3169" w:hanging="399"/>
      </w:pPr>
      <w:rPr>
        <w:rFonts w:hint="default"/>
      </w:rPr>
    </w:lvl>
    <w:lvl w:ilvl="4">
      <w:numFmt w:val="bullet"/>
      <w:lvlText w:val="•"/>
      <w:lvlJc w:val="left"/>
      <w:pPr>
        <w:ind w:left="4046" w:hanging="399"/>
      </w:pPr>
      <w:rPr>
        <w:rFonts w:hint="default"/>
      </w:rPr>
    </w:lvl>
    <w:lvl w:ilvl="5">
      <w:numFmt w:val="bullet"/>
      <w:lvlText w:val="•"/>
      <w:lvlJc w:val="left"/>
      <w:pPr>
        <w:ind w:left="4923" w:hanging="399"/>
      </w:pPr>
      <w:rPr>
        <w:rFonts w:hint="default"/>
      </w:rPr>
    </w:lvl>
    <w:lvl w:ilvl="6">
      <w:numFmt w:val="bullet"/>
      <w:lvlText w:val="•"/>
      <w:lvlJc w:val="left"/>
      <w:pPr>
        <w:ind w:left="5799" w:hanging="399"/>
      </w:pPr>
      <w:rPr>
        <w:rFonts w:hint="default"/>
      </w:rPr>
    </w:lvl>
    <w:lvl w:ilvl="7">
      <w:numFmt w:val="bullet"/>
      <w:lvlText w:val="•"/>
      <w:lvlJc w:val="left"/>
      <w:pPr>
        <w:ind w:left="6676" w:hanging="399"/>
      </w:pPr>
      <w:rPr>
        <w:rFonts w:hint="default"/>
      </w:rPr>
    </w:lvl>
    <w:lvl w:ilvl="8">
      <w:numFmt w:val="bullet"/>
      <w:lvlText w:val="•"/>
      <w:lvlJc w:val="left"/>
      <w:pPr>
        <w:ind w:left="7553" w:hanging="399"/>
      </w:pPr>
      <w:rPr>
        <w:rFonts w:hint="default"/>
      </w:rPr>
    </w:lvl>
  </w:abstractNum>
  <w:abstractNum w:abstractNumId="8" w15:restartNumberingAfterBreak="0">
    <w:nsid w:val="1607425E"/>
    <w:multiLevelType w:val="hybridMultilevel"/>
    <w:tmpl w:val="9F4CAC9A"/>
    <w:lvl w:ilvl="0" w:tplc="0D4444D4">
      <w:start w:val="3"/>
      <w:numFmt w:val="upperLetter"/>
      <w:lvlText w:val="%1."/>
      <w:lvlJc w:val="left"/>
      <w:pPr>
        <w:ind w:left="52" w:hanging="202"/>
      </w:pPr>
      <w:rPr>
        <w:rFonts w:ascii="Calibri" w:eastAsia="Calibri" w:hAnsi="Calibri" w:cs="Calibri" w:hint="default"/>
        <w:spacing w:val="-1"/>
        <w:w w:val="99"/>
        <w:sz w:val="20"/>
        <w:szCs w:val="20"/>
      </w:rPr>
    </w:lvl>
    <w:lvl w:ilvl="1" w:tplc="E73EC0A8">
      <w:numFmt w:val="bullet"/>
      <w:lvlText w:val="•"/>
      <w:lvlJc w:val="left"/>
      <w:pPr>
        <w:ind w:left="275" w:hanging="202"/>
      </w:pPr>
      <w:rPr>
        <w:rFonts w:hint="default"/>
      </w:rPr>
    </w:lvl>
    <w:lvl w:ilvl="2" w:tplc="71BCC4B2">
      <w:numFmt w:val="bullet"/>
      <w:lvlText w:val="•"/>
      <w:lvlJc w:val="left"/>
      <w:pPr>
        <w:ind w:left="490" w:hanging="202"/>
      </w:pPr>
      <w:rPr>
        <w:rFonts w:hint="default"/>
      </w:rPr>
    </w:lvl>
    <w:lvl w:ilvl="3" w:tplc="600AC954">
      <w:numFmt w:val="bullet"/>
      <w:lvlText w:val="•"/>
      <w:lvlJc w:val="left"/>
      <w:pPr>
        <w:ind w:left="705" w:hanging="202"/>
      </w:pPr>
      <w:rPr>
        <w:rFonts w:hint="default"/>
      </w:rPr>
    </w:lvl>
    <w:lvl w:ilvl="4" w:tplc="4BC09C12">
      <w:numFmt w:val="bullet"/>
      <w:lvlText w:val="•"/>
      <w:lvlJc w:val="left"/>
      <w:pPr>
        <w:ind w:left="921" w:hanging="202"/>
      </w:pPr>
      <w:rPr>
        <w:rFonts w:hint="default"/>
      </w:rPr>
    </w:lvl>
    <w:lvl w:ilvl="5" w:tplc="DCD44D02">
      <w:numFmt w:val="bullet"/>
      <w:lvlText w:val="•"/>
      <w:lvlJc w:val="left"/>
      <w:pPr>
        <w:ind w:left="1136" w:hanging="202"/>
      </w:pPr>
      <w:rPr>
        <w:rFonts w:hint="default"/>
      </w:rPr>
    </w:lvl>
    <w:lvl w:ilvl="6" w:tplc="BEE01DEC">
      <w:numFmt w:val="bullet"/>
      <w:lvlText w:val="•"/>
      <w:lvlJc w:val="left"/>
      <w:pPr>
        <w:ind w:left="1351" w:hanging="202"/>
      </w:pPr>
      <w:rPr>
        <w:rFonts w:hint="default"/>
      </w:rPr>
    </w:lvl>
    <w:lvl w:ilvl="7" w:tplc="5B147EF8">
      <w:numFmt w:val="bullet"/>
      <w:lvlText w:val="•"/>
      <w:lvlJc w:val="left"/>
      <w:pPr>
        <w:ind w:left="1566" w:hanging="202"/>
      </w:pPr>
      <w:rPr>
        <w:rFonts w:hint="default"/>
      </w:rPr>
    </w:lvl>
    <w:lvl w:ilvl="8" w:tplc="4F9C8C28">
      <w:numFmt w:val="bullet"/>
      <w:lvlText w:val="•"/>
      <w:lvlJc w:val="left"/>
      <w:pPr>
        <w:ind w:left="1782" w:hanging="202"/>
      </w:pPr>
      <w:rPr>
        <w:rFonts w:hint="default"/>
      </w:rPr>
    </w:lvl>
  </w:abstractNum>
  <w:abstractNum w:abstractNumId="9" w15:restartNumberingAfterBreak="0">
    <w:nsid w:val="19422085"/>
    <w:multiLevelType w:val="multilevel"/>
    <w:tmpl w:val="43B03B94"/>
    <w:lvl w:ilvl="0">
      <w:start w:val="10"/>
      <w:numFmt w:val="decimal"/>
      <w:lvlText w:val="%1."/>
      <w:lvlJc w:val="left"/>
      <w:pPr>
        <w:ind w:left="476" w:hanging="377"/>
      </w:pPr>
      <w:rPr>
        <w:rFonts w:ascii="Cambria" w:eastAsia="Cambria" w:hAnsi="Cambria" w:cs="Cambria" w:hint="default"/>
        <w:b/>
        <w:bCs/>
        <w:spacing w:val="-2"/>
        <w:w w:val="100"/>
        <w:sz w:val="36"/>
        <w:szCs w:val="36"/>
      </w:rPr>
    </w:lvl>
    <w:lvl w:ilvl="1">
      <w:start w:val="1"/>
      <w:numFmt w:val="decimal"/>
      <w:lvlText w:val="%1.%2"/>
      <w:lvlJc w:val="left"/>
      <w:pPr>
        <w:ind w:left="117" w:hanging="685"/>
      </w:pPr>
      <w:rPr>
        <w:rFonts w:ascii="Calibri" w:eastAsia="Calibri" w:hAnsi="Calibri" w:cs="Calibri" w:hint="default"/>
        <w:spacing w:val="-2"/>
        <w:w w:val="100"/>
        <w:sz w:val="28"/>
        <w:szCs w:val="28"/>
      </w:rPr>
    </w:lvl>
    <w:lvl w:ilvl="2">
      <w:numFmt w:val="bullet"/>
      <w:lvlText w:val="•"/>
      <w:lvlJc w:val="left"/>
      <w:pPr>
        <w:ind w:left="680" w:hanging="685"/>
      </w:pPr>
      <w:rPr>
        <w:rFonts w:hint="default"/>
      </w:rPr>
    </w:lvl>
    <w:lvl w:ilvl="3">
      <w:numFmt w:val="bullet"/>
      <w:lvlText w:val="•"/>
      <w:lvlJc w:val="left"/>
      <w:pPr>
        <w:ind w:left="1745" w:hanging="685"/>
      </w:pPr>
      <w:rPr>
        <w:rFonts w:hint="default"/>
      </w:rPr>
    </w:lvl>
    <w:lvl w:ilvl="4">
      <w:numFmt w:val="bullet"/>
      <w:lvlText w:val="•"/>
      <w:lvlJc w:val="left"/>
      <w:pPr>
        <w:ind w:left="2811" w:hanging="685"/>
      </w:pPr>
      <w:rPr>
        <w:rFonts w:hint="default"/>
      </w:rPr>
    </w:lvl>
    <w:lvl w:ilvl="5">
      <w:numFmt w:val="bullet"/>
      <w:lvlText w:val="•"/>
      <w:lvlJc w:val="left"/>
      <w:pPr>
        <w:ind w:left="3877" w:hanging="685"/>
      </w:pPr>
      <w:rPr>
        <w:rFonts w:hint="default"/>
      </w:rPr>
    </w:lvl>
    <w:lvl w:ilvl="6">
      <w:numFmt w:val="bullet"/>
      <w:lvlText w:val="•"/>
      <w:lvlJc w:val="left"/>
      <w:pPr>
        <w:ind w:left="4943" w:hanging="685"/>
      </w:pPr>
      <w:rPr>
        <w:rFonts w:hint="default"/>
      </w:rPr>
    </w:lvl>
    <w:lvl w:ilvl="7">
      <w:numFmt w:val="bullet"/>
      <w:lvlText w:val="•"/>
      <w:lvlJc w:val="left"/>
      <w:pPr>
        <w:ind w:left="6009" w:hanging="685"/>
      </w:pPr>
      <w:rPr>
        <w:rFonts w:hint="default"/>
      </w:rPr>
    </w:lvl>
    <w:lvl w:ilvl="8">
      <w:numFmt w:val="bullet"/>
      <w:lvlText w:val="•"/>
      <w:lvlJc w:val="left"/>
      <w:pPr>
        <w:ind w:left="7074" w:hanging="685"/>
      </w:pPr>
      <w:rPr>
        <w:rFonts w:hint="default"/>
      </w:rPr>
    </w:lvl>
  </w:abstractNum>
  <w:abstractNum w:abstractNumId="10" w15:restartNumberingAfterBreak="0">
    <w:nsid w:val="1A5D24A0"/>
    <w:multiLevelType w:val="multilevel"/>
    <w:tmpl w:val="3F6094E6"/>
    <w:lvl w:ilvl="0">
      <w:start w:val="6"/>
      <w:numFmt w:val="decimal"/>
      <w:lvlText w:val="%1"/>
      <w:lvlJc w:val="left"/>
      <w:pPr>
        <w:ind w:left="437" w:hanging="298"/>
      </w:pPr>
      <w:rPr>
        <w:rFonts w:hint="default"/>
      </w:rPr>
    </w:lvl>
    <w:lvl w:ilvl="1">
      <w:start w:val="9"/>
      <w:numFmt w:val="decimal"/>
      <w:lvlText w:val="%1.%2"/>
      <w:lvlJc w:val="left"/>
      <w:pPr>
        <w:ind w:left="437" w:hanging="298"/>
      </w:pPr>
      <w:rPr>
        <w:rFonts w:ascii="Calibri" w:eastAsia="Calibri" w:hAnsi="Calibri" w:cs="Calibri" w:hint="default"/>
        <w:w w:val="99"/>
        <w:sz w:val="20"/>
        <w:szCs w:val="20"/>
      </w:rPr>
    </w:lvl>
    <w:lvl w:ilvl="2">
      <w:numFmt w:val="bullet"/>
      <w:lvlText w:val="•"/>
      <w:lvlJc w:val="left"/>
      <w:pPr>
        <w:ind w:left="2213" w:hanging="298"/>
      </w:pPr>
      <w:rPr>
        <w:rFonts w:hint="default"/>
      </w:rPr>
    </w:lvl>
    <w:lvl w:ilvl="3">
      <w:numFmt w:val="bullet"/>
      <w:lvlText w:val="•"/>
      <w:lvlJc w:val="left"/>
      <w:pPr>
        <w:ind w:left="3099" w:hanging="298"/>
      </w:pPr>
      <w:rPr>
        <w:rFonts w:hint="default"/>
      </w:rPr>
    </w:lvl>
    <w:lvl w:ilvl="4">
      <w:numFmt w:val="bullet"/>
      <w:lvlText w:val="•"/>
      <w:lvlJc w:val="left"/>
      <w:pPr>
        <w:ind w:left="3986" w:hanging="298"/>
      </w:pPr>
      <w:rPr>
        <w:rFonts w:hint="default"/>
      </w:rPr>
    </w:lvl>
    <w:lvl w:ilvl="5">
      <w:numFmt w:val="bullet"/>
      <w:lvlText w:val="•"/>
      <w:lvlJc w:val="left"/>
      <w:pPr>
        <w:ind w:left="4873" w:hanging="298"/>
      </w:pPr>
      <w:rPr>
        <w:rFonts w:hint="default"/>
      </w:rPr>
    </w:lvl>
    <w:lvl w:ilvl="6">
      <w:numFmt w:val="bullet"/>
      <w:lvlText w:val="•"/>
      <w:lvlJc w:val="left"/>
      <w:pPr>
        <w:ind w:left="5759" w:hanging="298"/>
      </w:pPr>
      <w:rPr>
        <w:rFonts w:hint="default"/>
      </w:rPr>
    </w:lvl>
    <w:lvl w:ilvl="7">
      <w:numFmt w:val="bullet"/>
      <w:lvlText w:val="•"/>
      <w:lvlJc w:val="left"/>
      <w:pPr>
        <w:ind w:left="6646" w:hanging="298"/>
      </w:pPr>
      <w:rPr>
        <w:rFonts w:hint="default"/>
      </w:rPr>
    </w:lvl>
    <w:lvl w:ilvl="8">
      <w:numFmt w:val="bullet"/>
      <w:lvlText w:val="•"/>
      <w:lvlJc w:val="left"/>
      <w:pPr>
        <w:ind w:left="7533" w:hanging="298"/>
      </w:pPr>
      <w:rPr>
        <w:rFonts w:hint="default"/>
      </w:rPr>
    </w:lvl>
  </w:abstractNum>
  <w:abstractNum w:abstractNumId="11" w15:restartNumberingAfterBreak="0">
    <w:nsid w:val="1AC81B98"/>
    <w:multiLevelType w:val="multilevel"/>
    <w:tmpl w:val="5CCA48A8"/>
    <w:lvl w:ilvl="0">
      <w:start w:val="1"/>
      <w:numFmt w:val="decimal"/>
      <w:lvlText w:val="%1"/>
      <w:lvlJc w:val="left"/>
      <w:pPr>
        <w:ind w:left="598" w:hanging="459"/>
      </w:pPr>
      <w:rPr>
        <w:rFonts w:hint="default"/>
      </w:rPr>
    </w:lvl>
    <w:lvl w:ilvl="1">
      <w:start w:val="1"/>
      <w:numFmt w:val="decimal"/>
      <w:lvlText w:val="%1.%2"/>
      <w:lvlJc w:val="left"/>
      <w:pPr>
        <w:ind w:left="152" w:hanging="459"/>
      </w:pPr>
      <w:rPr>
        <w:rFonts w:ascii="Cambria" w:eastAsia="Cambria" w:hAnsi="Cambria" w:cs="Cambria" w:hint="default"/>
        <w:b w:val="0"/>
        <w:bCs/>
        <w:spacing w:val="-1"/>
        <w:w w:val="100"/>
        <w:sz w:val="28"/>
        <w:szCs w:val="28"/>
      </w:rPr>
    </w:lvl>
    <w:lvl w:ilvl="2">
      <w:numFmt w:val="bullet"/>
      <w:lvlText w:val=""/>
      <w:lvlJc w:val="left"/>
      <w:pPr>
        <w:ind w:left="873" w:hanging="360"/>
      </w:pPr>
      <w:rPr>
        <w:rFonts w:ascii="Symbol" w:eastAsia="Symbol" w:hAnsi="Symbol" w:cs="Symbol" w:hint="default"/>
        <w:w w:val="99"/>
        <w:sz w:val="20"/>
        <w:szCs w:val="20"/>
      </w:rPr>
    </w:lvl>
    <w:lvl w:ilvl="3">
      <w:numFmt w:val="bullet"/>
      <w:lvlText w:val="•"/>
      <w:lvlJc w:val="left"/>
      <w:pPr>
        <w:ind w:left="2013" w:hanging="360"/>
      </w:pPr>
      <w:rPr>
        <w:rFonts w:hint="default"/>
      </w:rPr>
    </w:lvl>
    <w:lvl w:ilvl="4">
      <w:numFmt w:val="bullet"/>
      <w:lvlText w:val="•"/>
      <w:lvlJc w:val="left"/>
      <w:pPr>
        <w:ind w:left="3146" w:hanging="360"/>
      </w:pPr>
      <w:rPr>
        <w:rFonts w:hint="default"/>
      </w:rPr>
    </w:lvl>
    <w:lvl w:ilvl="5">
      <w:numFmt w:val="bullet"/>
      <w:lvlText w:val="•"/>
      <w:lvlJc w:val="left"/>
      <w:pPr>
        <w:ind w:left="4279" w:hanging="360"/>
      </w:pPr>
      <w:rPr>
        <w:rFonts w:hint="default"/>
      </w:rPr>
    </w:lvl>
    <w:lvl w:ilvl="6">
      <w:numFmt w:val="bullet"/>
      <w:lvlText w:val="•"/>
      <w:lvlJc w:val="left"/>
      <w:pPr>
        <w:ind w:left="5413" w:hanging="360"/>
      </w:pPr>
      <w:rPr>
        <w:rFonts w:hint="default"/>
      </w:rPr>
    </w:lvl>
    <w:lvl w:ilvl="7">
      <w:numFmt w:val="bullet"/>
      <w:lvlText w:val="•"/>
      <w:lvlJc w:val="left"/>
      <w:pPr>
        <w:ind w:left="6546" w:hanging="360"/>
      </w:pPr>
      <w:rPr>
        <w:rFonts w:hint="default"/>
      </w:rPr>
    </w:lvl>
    <w:lvl w:ilvl="8">
      <w:numFmt w:val="bullet"/>
      <w:lvlText w:val="•"/>
      <w:lvlJc w:val="left"/>
      <w:pPr>
        <w:ind w:left="7679" w:hanging="360"/>
      </w:pPr>
      <w:rPr>
        <w:rFonts w:hint="default"/>
      </w:rPr>
    </w:lvl>
  </w:abstractNum>
  <w:abstractNum w:abstractNumId="12" w15:restartNumberingAfterBreak="0">
    <w:nsid w:val="1F0C46A7"/>
    <w:multiLevelType w:val="hybridMultilevel"/>
    <w:tmpl w:val="4FC83E22"/>
    <w:lvl w:ilvl="0" w:tplc="13CE1A2C">
      <w:start w:val="6"/>
      <w:numFmt w:val="upperLetter"/>
      <w:lvlText w:val="%1."/>
      <w:lvlJc w:val="left"/>
      <w:pPr>
        <w:ind w:left="220" w:hanging="168"/>
      </w:pPr>
      <w:rPr>
        <w:rFonts w:ascii="Calibri" w:eastAsia="Calibri" w:hAnsi="Calibri" w:cs="Calibri" w:hint="default"/>
        <w:spacing w:val="-2"/>
        <w:w w:val="100"/>
        <w:sz w:val="18"/>
        <w:szCs w:val="18"/>
      </w:rPr>
    </w:lvl>
    <w:lvl w:ilvl="1" w:tplc="59EAC6AC">
      <w:numFmt w:val="bullet"/>
      <w:lvlText w:val="•"/>
      <w:lvlJc w:val="left"/>
      <w:pPr>
        <w:ind w:left="420" w:hanging="168"/>
      </w:pPr>
      <w:rPr>
        <w:rFonts w:hint="default"/>
      </w:rPr>
    </w:lvl>
    <w:lvl w:ilvl="2" w:tplc="71F8CAC4">
      <w:numFmt w:val="bullet"/>
      <w:lvlText w:val="•"/>
      <w:lvlJc w:val="left"/>
      <w:pPr>
        <w:ind w:left="621" w:hanging="168"/>
      </w:pPr>
      <w:rPr>
        <w:rFonts w:hint="default"/>
      </w:rPr>
    </w:lvl>
    <w:lvl w:ilvl="3" w:tplc="7C68246C">
      <w:numFmt w:val="bullet"/>
      <w:lvlText w:val="•"/>
      <w:lvlJc w:val="left"/>
      <w:pPr>
        <w:ind w:left="822" w:hanging="168"/>
      </w:pPr>
      <w:rPr>
        <w:rFonts w:hint="default"/>
      </w:rPr>
    </w:lvl>
    <w:lvl w:ilvl="4" w:tplc="BB38D0C2">
      <w:numFmt w:val="bullet"/>
      <w:lvlText w:val="•"/>
      <w:lvlJc w:val="left"/>
      <w:pPr>
        <w:ind w:left="1022" w:hanging="168"/>
      </w:pPr>
      <w:rPr>
        <w:rFonts w:hint="default"/>
      </w:rPr>
    </w:lvl>
    <w:lvl w:ilvl="5" w:tplc="33E08BC0">
      <w:numFmt w:val="bullet"/>
      <w:lvlText w:val="•"/>
      <w:lvlJc w:val="left"/>
      <w:pPr>
        <w:ind w:left="1223" w:hanging="168"/>
      </w:pPr>
      <w:rPr>
        <w:rFonts w:hint="default"/>
      </w:rPr>
    </w:lvl>
    <w:lvl w:ilvl="6" w:tplc="EE283D5E">
      <w:numFmt w:val="bullet"/>
      <w:lvlText w:val="•"/>
      <w:lvlJc w:val="left"/>
      <w:pPr>
        <w:ind w:left="1424" w:hanging="168"/>
      </w:pPr>
      <w:rPr>
        <w:rFonts w:hint="default"/>
      </w:rPr>
    </w:lvl>
    <w:lvl w:ilvl="7" w:tplc="8FE006D8">
      <w:numFmt w:val="bullet"/>
      <w:lvlText w:val="•"/>
      <w:lvlJc w:val="left"/>
      <w:pPr>
        <w:ind w:left="1625" w:hanging="168"/>
      </w:pPr>
      <w:rPr>
        <w:rFonts w:hint="default"/>
      </w:rPr>
    </w:lvl>
    <w:lvl w:ilvl="8" w:tplc="D220D48E">
      <w:numFmt w:val="bullet"/>
      <w:lvlText w:val="•"/>
      <w:lvlJc w:val="left"/>
      <w:pPr>
        <w:ind w:left="1825" w:hanging="168"/>
      </w:pPr>
      <w:rPr>
        <w:rFonts w:hint="default"/>
      </w:rPr>
    </w:lvl>
  </w:abstractNum>
  <w:abstractNum w:abstractNumId="13" w15:restartNumberingAfterBreak="0">
    <w:nsid w:val="20E477A6"/>
    <w:multiLevelType w:val="hybridMultilevel"/>
    <w:tmpl w:val="D9ECE3D4"/>
    <w:lvl w:ilvl="0" w:tplc="FAE60172">
      <w:start w:val="4"/>
      <w:numFmt w:val="upperRoman"/>
      <w:lvlText w:val="%1."/>
      <w:lvlJc w:val="left"/>
      <w:pPr>
        <w:ind w:left="803" w:hanging="691"/>
      </w:pPr>
      <w:rPr>
        <w:rFonts w:ascii="Cambria" w:eastAsia="Cambria" w:hAnsi="Cambria" w:cs="Cambria" w:hint="default"/>
        <w:b/>
        <w:bCs/>
        <w:spacing w:val="-3"/>
        <w:w w:val="100"/>
        <w:sz w:val="48"/>
        <w:szCs w:val="48"/>
      </w:rPr>
    </w:lvl>
    <w:lvl w:ilvl="1" w:tplc="F2BA717A">
      <w:numFmt w:val="bullet"/>
      <w:lvlText w:val="•"/>
      <w:lvlJc w:val="left"/>
      <w:pPr>
        <w:ind w:left="1678" w:hanging="691"/>
      </w:pPr>
      <w:rPr>
        <w:rFonts w:hint="default"/>
      </w:rPr>
    </w:lvl>
    <w:lvl w:ilvl="2" w:tplc="CA92DBFC">
      <w:numFmt w:val="bullet"/>
      <w:lvlText w:val="•"/>
      <w:lvlJc w:val="left"/>
      <w:pPr>
        <w:ind w:left="2557" w:hanging="691"/>
      </w:pPr>
      <w:rPr>
        <w:rFonts w:hint="default"/>
      </w:rPr>
    </w:lvl>
    <w:lvl w:ilvl="3" w:tplc="08B2F612">
      <w:numFmt w:val="bullet"/>
      <w:lvlText w:val="•"/>
      <w:lvlJc w:val="left"/>
      <w:pPr>
        <w:ind w:left="3435" w:hanging="691"/>
      </w:pPr>
      <w:rPr>
        <w:rFonts w:hint="default"/>
      </w:rPr>
    </w:lvl>
    <w:lvl w:ilvl="4" w:tplc="D2B27B06">
      <w:numFmt w:val="bullet"/>
      <w:lvlText w:val="•"/>
      <w:lvlJc w:val="left"/>
      <w:pPr>
        <w:ind w:left="4314" w:hanging="691"/>
      </w:pPr>
      <w:rPr>
        <w:rFonts w:hint="default"/>
      </w:rPr>
    </w:lvl>
    <w:lvl w:ilvl="5" w:tplc="2FBA537E">
      <w:numFmt w:val="bullet"/>
      <w:lvlText w:val="•"/>
      <w:lvlJc w:val="left"/>
      <w:pPr>
        <w:ind w:left="5193" w:hanging="691"/>
      </w:pPr>
      <w:rPr>
        <w:rFonts w:hint="default"/>
      </w:rPr>
    </w:lvl>
    <w:lvl w:ilvl="6" w:tplc="70F4A164">
      <w:numFmt w:val="bullet"/>
      <w:lvlText w:val="•"/>
      <w:lvlJc w:val="left"/>
      <w:pPr>
        <w:ind w:left="6071" w:hanging="691"/>
      </w:pPr>
      <w:rPr>
        <w:rFonts w:hint="default"/>
      </w:rPr>
    </w:lvl>
    <w:lvl w:ilvl="7" w:tplc="F458984E">
      <w:numFmt w:val="bullet"/>
      <w:lvlText w:val="•"/>
      <w:lvlJc w:val="left"/>
      <w:pPr>
        <w:ind w:left="6950" w:hanging="691"/>
      </w:pPr>
      <w:rPr>
        <w:rFonts w:hint="default"/>
      </w:rPr>
    </w:lvl>
    <w:lvl w:ilvl="8" w:tplc="6DB8B702">
      <w:numFmt w:val="bullet"/>
      <w:lvlText w:val="•"/>
      <w:lvlJc w:val="left"/>
      <w:pPr>
        <w:ind w:left="7829" w:hanging="691"/>
      </w:pPr>
      <w:rPr>
        <w:rFonts w:hint="default"/>
      </w:rPr>
    </w:lvl>
  </w:abstractNum>
  <w:abstractNum w:abstractNumId="14" w15:restartNumberingAfterBreak="0">
    <w:nsid w:val="24FF0D8F"/>
    <w:multiLevelType w:val="hybridMultilevel"/>
    <w:tmpl w:val="B5E4658A"/>
    <w:lvl w:ilvl="0" w:tplc="C602C74C">
      <w:start w:val="1"/>
      <w:numFmt w:val="lowerLetter"/>
      <w:lvlText w:val="%1)"/>
      <w:lvlJc w:val="left"/>
      <w:pPr>
        <w:ind w:left="152" w:hanging="162"/>
      </w:pPr>
      <w:rPr>
        <w:rFonts w:ascii="Calibri" w:eastAsia="Calibri" w:hAnsi="Calibri" w:cs="Calibri" w:hint="default"/>
        <w:spacing w:val="-1"/>
        <w:w w:val="100"/>
        <w:sz w:val="16"/>
        <w:szCs w:val="16"/>
      </w:rPr>
    </w:lvl>
    <w:lvl w:ilvl="1" w:tplc="2076D7A0">
      <w:start w:val="1"/>
      <w:numFmt w:val="lowerLetter"/>
      <w:lvlText w:val="%2)"/>
      <w:lvlJc w:val="left"/>
      <w:pPr>
        <w:ind w:left="248" w:hanging="162"/>
      </w:pPr>
      <w:rPr>
        <w:rFonts w:ascii="Calibri" w:eastAsia="Calibri" w:hAnsi="Calibri" w:cs="Calibri" w:hint="default"/>
        <w:spacing w:val="-1"/>
        <w:w w:val="100"/>
        <w:sz w:val="16"/>
        <w:szCs w:val="16"/>
      </w:rPr>
    </w:lvl>
    <w:lvl w:ilvl="2" w:tplc="C54A6148">
      <w:numFmt w:val="bullet"/>
      <w:lvlText w:val="•"/>
      <w:lvlJc w:val="left"/>
      <w:pPr>
        <w:ind w:left="1318" w:hanging="162"/>
      </w:pPr>
      <w:rPr>
        <w:rFonts w:hint="default"/>
      </w:rPr>
    </w:lvl>
    <w:lvl w:ilvl="3" w:tplc="73A0358E">
      <w:numFmt w:val="bullet"/>
      <w:lvlText w:val="•"/>
      <w:lvlJc w:val="left"/>
      <w:pPr>
        <w:ind w:left="2396" w:hanging="162"/>
      </w:pPr>
      <w:rPr>
        <w:rFonts w:hint="default"/>
      </w:rPr>
    </w:lvl>
    <w:lvl w:ilvl="4" w:tplc="15B416AA">
      <w:numFmt w:val="bullet"/>
      <w:lvlText w:val="•"/>
      <w:lvlJc w:val="left"/>
      <w:pPr>
        <w:ind w:left="3475" w:hanging="162"/>
      </w:pPr>
      <w:rPr>
        <w:rFonts w:hint="default"/>
      </w:rPr>
    </w:lvl>
    <w:lvl w:ilvl="5" w:tplc="E930770A">
      <w:numFmt w:val="bullet"/>
      <w:lvlText w:val="•"/>
      <w:lvlJc w:val="left"/>
      <w:pPr>
        <w:ind w:left="4553" w:hanging="162"/>
      </w:pPr>
      <w:rPr>
        <w:rFonts w:hint="default"/>
      </w:rPr>
    </w:lvl>
    <w:lvl w:ilvl="6" w:tplc="2158898A">
      <w:numFmt w:val="bullet"/>
      <w:lvlText w:val="•"/>
      <w:lvlJc w:val="left"/>
      <w:pPr>
        <w:ind w:left="5632" w:hanging="162"/>
      </w:pPr>
      <w:rPr>
        <w:rFonts w:hint="default"/>
      </w:rPr>
    </w:lvl>
    <w:lvl w:ilvl="7" w:tplc="EACADA78">
      <w:numFmt w:val="bullet"/>
      <w:lvlText w:val="•"/>
      <w:lvlJc w:val="left"/>
      <w:pPr>
        <w:ind w:left="6710" w:hanging="162"/>
      </w:pPr>
      <w:rPr>
        <w:rFonts w:hint="default"/>
      </w:rPr>
    </w:lvl>
    <w:lvl w:ilvl="8" w:tplc="E5ACA20E">
      <w:numFmt w:val="bullet"/>
      <w:lvlText w:val="•"/>
      <w:lvlJc w:val="left"/>
      <w:pPr>
        <w:ind w:left="7789" w:hanging="162"/>
      </w:pPr>
      <w:rPr>
        <w:rFonts w:hint="default"/>
      </w:rPr>
    </w:lvl>
  </w:abstractNum>
  <w:abstractNum w:abstractNumId="15" w15:restartNumberingAfterBreak="0">
    <w:nsid w:val="2F713763"/>
    <w:multiLevelType w:val="multilevel"/>
    <w:tmpl w:val="B6A2D362"/>
    <w:lvl w:ilvl="0">
      <w:start w:val="1"/>
      <w:numFmt w:val="decimal"/>
      <w:lvlText w:val="%1"/>
      <w:lvlJc w:val="left"/>
      <w:pPr>
        <w:ind w:left="598" w:hanging="459"/>
      </w:pPr>
      <w:rPr>
        <w:rFonts w:hint="default"/>
      </w:rPr>
    </w:lvl>
    <w:lvl w:ilvl="1">
      <w:start w:val="1"/>
      <w:numFmt w:val="decimal"/>
      <w:lvlText w:val="%1.%2"/>
      <w:lvlJc w:val="left"/>
      <w:pPr>
        <w:ind w:left="152" w:hanging="459"/>
      </w:pPr>
      <w:rPr>
        <w:rFonts w:ascii="Cambria" w:eastAsia="Cambria" w:hAnsi="Cambria" w:cs="Cambria" w:hint="default"/>
        <w:b w:val="0"/>
        <w:bCs/>
        <w:spacing w:val="-1"/>
        <w:w w:val="100"/>
        <w:sz w:val="28"/>
        <w:szCs w:val="28"/>
      </w:rPr>
    </w:lvl>
    <w:lvl w:ilvl="2">
      <w:numFmt w:val="bullet"/>
      <w:lvlText w:val=""/>
      <w:lvlJc w:val="left"/>
      <w:pPr>
        <w:ind w:left="873" w:hanging="360"/>
      </w:pPr>
      <w:rPr>
        <w:rFonts w:ascii="Symbol" w:eastAsia="Symbol" w:hAnsi="Symbol" w:cs="Symbol" w:hint="default"/>
        <w:w w:val="99"/>
        <w:sz w:val="20"/>
        <w:szCs w:val="20"/>
      </w:rPr>
    </w:lvl>
    <w:lvl w:ilvl="3">
      <w:numFmt w:val="bullet"/>
      <w:lvlText w:val="•"/>
      <w:lvlJc w:val="left"/>
      <w:pPr>
        <w:ind w:left="2013" w:hanging="360"/>
      </w:pPr>
      <w:rPr>
        <w:rFonts w:hint="default"/>
      </w:rPr>
    </w:lvl>
    <w:lvl w:ilvl="4">
      <w:numFmt w:val="bullet"/>
      <w:lvlText w:val="•"/>
      <w:lvlJc w:val="left"/>
      <w:pPr>
        <w:ind w:left="3146" w:hanging="360"/>
      </w:pPr>
      <w:rPr>
        <w:rFonts w:hint="default"/>
      </w:rPr>
    </w:lvl>
    <w:lvl w:ilvl="5">
      <w:numFmt w:val="bullet"/>
      <w:lvlText w:val="•"/>
      <w:lvlJc w:val="left"/>
      <w:pPr>
        <w:ind w:left="4279" w:hanging="360"/>
      </w:pPr>
      <w:rPr>
        <w:rFonts w:hint="default"/>
      </w:rPr>
    </w:lvl>
    <w:lvl w:ilvl="6">
      <w:numFmt w:val="bullet"/>
      <w:lvlText w:val="•"/>
      <w:lvlJc w:val="left"/>
      <w:pPr>
        <w:ind w:left="5413" w:hanging="360"/>
      </w:pPr>
      <w:rPr>
        <w:rFonts w:hint="default"/>
      </w:rPr>
    </w:lvl>
    <w:lvl w:ilvl="7">
      <w:numFmt w:val="bullet"/>
      <w:lvlText w:val="•"/>
      <w:lvlJc w:val="left"/>
      <w:pPr>
        <w:ind w:left="6546" w:hanging="360"/>
      </w:pPr>
      <w:rPr>
        <w:rFonts w:hint="default"/>
      </w:rPr>
    </w:lvl>
    <w:lvl w:ilvl="8">
      <w:numFmt w:val="bullet"/>
      <w:lvlText w:val="•"/>
      <w:lvlJc w:val="left"/>
      <w:pPr>
        <w:ind w:left="7679" w:hanging="360"/>
      </w:pPr>
      <w:rPr>
        <w:rFonts w:hint="default"/>
      </w:rPr>
    </w:lvl>
  </w:abstractNum>
  <w:abstractNum w:abstractNumId="16" w15:restartNumberingAfterBreak="0">
    <w:nsid w:val="318E50A5"/>
    <w:multiLevelType w:val="hybridMultilevel"/>
    <w:tmpl w:val="3CDC4FCE"/>
    <w:lvl w:ilvl="0" w:tplc="166A5D1A">
      <w:start w:val="1"/>
      <w:numFmt w:val="lowerLetter"/>
      <w:lvlText w:val="%1)"/>
      <w:lvlJc w:val="left"/>
      <w:pPr>
        <w:ind w:left="820" w:hanging="360"/>
      </w:pPr>
      <w:rPr>
        <w:rFonts w:ascii="Calibri" w:eastAsia="Calibri" w:hAnsi="Calibri" w:cs="Calibri" w:hint="default"/>
        <w:spacing w:val="-1"/>
        <w:w w:val="100"/>
        <w:sz w:val="16"/>
        <w:szCs w:val="16"/>
      </w:rPr>
    </w:lvl>
    <w:lvl w:ilvl="1" w:tplc="0D246ABA">
      <w:numFmt w:val="bullet"/>
      <w:lvlText w:val="•"/>
      <w:lvlJc w:val="left"/>
      <w:pPr>
        <w:ind w:left="2301" w:hanging="360"/>
      </w:pPr>
      <w:rPr>
        <w:rFonts w:hint="default"/>
      </w:rPr>
    </w:lvl>
    <w:lvl w:ilvl="2" w:tplc="CE0E7EB6">
      <w:numFmt w:val="bullet"/>
      <w:lvlText w:val="•"/>
      <w:lvlJc w:val="left"/>
      <w:pPr>
        <w:ind w:left="3783" w:hanging="360"/>
      </w:pPr>
      <w:rPr>
        <w:rFonts w:hint="default"/>
      </w:rPr>
    </w:lvl>
    <w:lvl w:ilvl="3" w:tplc="6DFCEE8A">
      <w:numFmt w:val="bullet"/>
      <w:lvlText w:val="•"/>
      <w:lvlJc w:val="left"/>
      <w:pPr>
        <w:ind w:left="5265" w:hanging="360"/>
      </w:pPr>
      <w:rPr>
        <w:rFonts w:hint="default"/>
      </w:rPr>
    </w:lvl>
    <w:lvl w:ilvl="4" w:tplc="EB98DDA8">
      <w:numFmt w:val="bullet"/>
      <w:lvlText w:val="•"/>
      <w:lvlJc w:val="left"/>
      <w:pPr>
        <w:ind w:left="6747" w:hanging="360"/>
      </w:pPr>
      <w:rPr>
        <w:rFonts w:hint="default"/>
      </w:rPr>
    </w:lvl>
    <w:lvl w:ilvl="5" w:tplc="F5C88470">
      <w:numFmt w:val="bullet"/>
      <w:lvlText w:val="•"/>
      <w:lvlJc w:val="left"/>
      <w:pPr>
        <w:ind w:left="8229" w:hanging="360"/>
      </w:pPr>
      <w:rPr>
        <w:rFonts w:hint="default"/>
      </w:rPr>
    </w:lvl>
    <w:lvl w:ilvl="6" w:tplc="52B6644C">
      <w:numFmt w:val="bullet"/>
      <w:lvlText w:val="•"/>
      <w:lvlJc w:val="left"/>
      <w:pPr>
        <w:ind w:left="9711" w:hanging="360"/>
      </w:pPr>
      <w:rPr>
        <w:rFonts w:hint="default"/>
      </w:rPr>
    </w:lvl>
    <w:lvl w:ilvl="7" w:tplc="20C8F5A6">
      <w:numFmt w:val="bullet"/>
      <w:lvlText w:val="•"/>
      <w:lvlJc w:val="left"/>
      <w:pPr>
        <w:ind w:left="11192" w:hanging="360"/>
      </w:pPr>
      <w:rPr>
        <w:rFonts w:hint="default"/>
      </w:rPr>
    </w:lvl>
    <w:lvl w:ilvl="8" w:tplc="702223D4">
      <w:numFmt w:val="bullet"/>
      <w:lvlText w:val="•"/>
      <w:lvlJc w:val="left"/>
      <w:pPr>
        <w:ind w:left="12674" w:hanging="360"/>
      </w:pPr>
      <w:rPr>
        <w:rFonts w:hint="default"/>
      </w:rPr>
    </w:lvl>
  </w:abstractNum>
  <w:abstractNum w:abstractNumId="17" w15:restartNumberingAfterBreak="0">
    <w:nsid w:val="3A2C6A4A"/>
    <w:multiLevelType w:val="hybridMultilevel"/>
    <w:tmpl w:val="D80855CA"/>
    <w:lvl w:ilvl="0" w:tplc="95B6F544">
      <w:start w:val="14"/>
      <w:numFmt w:val="decimal"/>
      <w:lvlText w:val="%1."/>
      <w:lvlJc w:val="left"/>
      <w:pPr>
        <w:ind w:left="696" w:hanging="591"/>
      </w:pPr>
      <w:rPr>
        <w:rFonts w:hint="default"/>
        <w:b/>
        <w:bCs/>
        <w:spacing w:val="-2"/>
        <w:w w:val="100"/>
      </w:rPr>
    </w:lvl>
    <w:lvl w:ilvl="1" w:tplc="C51EC638">
      <w:numFmt w:val="bullet"/>
      <w:lvlText w:val="•"/>
      <w:lvlJc w:val="left"/>
      <w:pPr>
        <w:ind w:left="2183" w:hanging="591"/>
      </w:pPr>
      <w:rPr>
        <w:rFonts w:hint="default"/>
      </w:rPr>
    </w:lvl>
    <w:lvl w:ilvl="2" w:tplc="0A26A95A">
      <w:numFmt w:val="bullet"/>
      <w:lvlText w:val="•"/>
      <w:lvlJc w:val="left"/>
      <w:pPr>
        <w:ind w:left="3667" w:hanging="591"/>
      </w:pPr>
      <w:rPr>
        <w:rFonts w:hint="default"/>
      </w:rPr>
    </w:lvl>
    <w:lvl w:ilvl="3" w:tplc="7C0079EA">
      <w:numFmt w:val="bullet"/>
      <w:lvlText w:val="•"/>
      <w:lvlJc w:val="left"/>
      <w:pPr>
        <w:ind w:left="5151" w:hanging="591"/>
      </w:pPr>
      <w:rPr>
        <w:rFonts w:hint="default"/>
      </w:rPr>
    </w:lvl>
    <w:lvl w:ilvl="4" w:tplc="7E921EE6">
      <w:numFmt w:val="bullet"/>
      <w:lvlText w:val="•"/>
      <w:lvlJc w:val="left"/>
      <w:pPr>
        <w:ind w:left="6635" w:hanging="591"/>
      </w:pPr>
      <w:rPr>
        <w:rFonts w:hint="default"/>
      </w:rPr>
    </w:lvl>
    <w:lvl w:ilvl="5" w:tplc="DDCA23CE">
      <w:numFmt w:val="bullet"/>
      <w:lvlText w:val="•"/>
      <w:lvlJc w:val="left"/>
      <w:pPr>
        <w:ind w:left="8119" w:hanging="591"/>
      </w:pPr>
      <w:rPr>
        <w:rFonts w:hint="default"/>
      </w:rPr>
    </w:lvl>
    <w:lvl w:ilvl="6" w:tplc="222A05E8">
      <w:numFmt w:val="bullet"/>
      <w:lvlText w:val="•"/>
      <w:lvlJc w:val="left"/>
      <w:pPr>
        <w:ind w:left="9603" w:hanging="591"/>
      </w:pPr>
      <w:rPr>
        <w:rFonts w:hint="default"/>
      </w:rPr>
    </w:lvl>
    <w:lvl w:ilvl="7" w:tplc="D2B2A3E2">
      <w:numFmt w:val="bullet"/>
      <w:lvlText w:val="•"/>
      <w:lvlJc w:val="left"/>
      <w:pPr>
        <w:ind w:left="11086" w:hanging="591"/>
      </w:pPr>
      <w:rPr>
        <w:rFonts w:hint="default"/>
      </w:rPr>
    </w:lvl>
    <w:lvl w:ilvl="8" w:tplc="B6B8662C">
      <w:numFmt w:val="bullet"/>
      <w:lvlText w:val="•"/>
      <w:lvlJc w:val="left"/>
      <w:pPr>
        <w:ind w:left="12570" w:hanging="591"/>
      </w:pPr>
      <w:rPr>
        <w:rFonts w:hint="default"/>
      </w:rPr>
    </w:lvl>
  </w:abstractNum>
  <w:abstractNum w:abstractNumId="18" w15:restartNumberingAfterBreak="0">
    <w:nsid w:val="3F531DD0"/>
    <w:multiLevelType w:val="hybridMultilevel"/>
    <w:tmpl w:val="DECE2E24"/>
    <w:lvl w:ilvl="0" w:tplc="6414E26E">
      <w:start w:val="1"/>
      <w:numFmt w:val="lowerLetter"/>
      <w:lvlText w:val="%1)"/>
      <w:lvlJc w:val="left"/>
      <w:pPr>
        <w:ind w:left="873" w:hanging="360"/>
      </w:pPr>
      <w:rPr>
        <w:rFonts w:ascii="Calibri" w:eastAsia="Calibri" w:hAnsi="Calibri" w:cs="Calibri" w:hint="default"/>
        <w:w w:val="99"/>
        <w:sz w:val="20"/>
        <w:szCs w:val="20"/>
      </w:rPr>
    </w:lvl>
    <w:lvl w:ilvl="1" w:tplc="39828740">
      <w:numFmt w:val="bullet"/>
      <w:lvlText w:val="•"/>
      <w:lvlJc w:val="left"/>
      <w:pPr>
        <w:ind w:left="1826" w:hanging="360"/>
      </w:pPr>
      <w:rPr>
        <w:rFonts w:hint="default"/>
      </w:rPr>
    </w:lvl>
    <w:lvl w:ilvl="2" w:tplc="30E4F956">
      <w:numFmt w:val="bullet"/>
      <w:lvlText w:val="•"/>
      <w:lvlJc w:val="left"/>
      <w:pPr>
        <w:ind w:left="2773" w:hanging="360"/>
      </w:pPr>
      <w:rPr>
        <w:rFonts w:hint="default"/>
      </w:rPr>
    </w:lvl>
    <w:lvl w:ilvl="3" w:tplc="1E1A2A4C">
      <w:numFmt w:val="bullet"/>
      <w:lvlText w:val="•"/>
      <w:lvlJc w:val="left"/>
      <w:pPr>
        <w:ind w:left="3719" w:hanging="360"/>
      </w:pPr>
      <w:rPr>
        <w:rFonts w:hint="default"/>
      </w:rPr>
    </w:lvl>
    <w:lvl w:ilvl="4" w:tplc="F154E660">
      <w:numFmt w:val="bullet"/>
      <w:lvlText w:val="•"/>
      <w:lvlJc w:val="left"/>
      <w:pPr>
        <w:ind w:left="4666" w:hanging="360"/>
      </w:pPr>
      <w:rPr>
        <w:rFonts w:hint="default"/>
      </w:rPr>
    </w:lvl>
    <w:lvl w:ilvl="5" w:tplc="ACA2739A">
      <w:numFmt w:val="bullet"/>
      <w:lvlText w:val="•"/>
      <w:lvlJc w:val="left"/>
      <w:pPr>
        <w:ind w:left="5613" w:hanging="360"/>
      </w:pPr>
      <w:rPr>
        <w:rFonts w:hint="default"/>
      </w:rPr>
    </w:lvl>
    <w:lvl w:ilvl="6" w:tplc="72F244AE">
      <w:numFmt w:val="bullet"/>
      <w:lvlText w:val="•"/>
      <w:lvlJc w:val="left"/>
      <w:pPr>
        <w:ind w:left="6559" w:hanging="360"/>
      </w:pPr>
      <w:rPr>
        <w:rFonts w:hint="default"/>
      </w:rPr>
    </w:lvl>
    <w:lvl w:ilvl="7" w:tplc="3FC0FBDC">
      <w:numFmt w:val="bullet"/>
      <w:lvlText w:val="•"/>
      <w:lvlJc w:val="left"/>
      <w:pPr>
        <w:ind w:left="7506" w:hanging="360"/>
      </w:pPr>
      <w:rPr>
        <w:rFonts w:hint="default"/>
      </w:rPr>
    </w:lvl>
    <w:lvl w:ilvl="8" w:tplc="E10C476C">
      <w:numFmt w:val="bullet"/>
      <w:lvlText w:val="•"/>
      <w:lvlJc w:val="left"/>
      <w:pPr>
        <w:ind w:left="8453" w:hanging="360"/>
      </w:pPr>
      <w:rPr>
        <w:rFonts w:hint="default"/>
      </w:rPr>
    </w:lvl>
  </w:abstractNum>
  <w:abstractNum w:abstractNumId="19" w15:restartNumberingAfterBreak="0">
    <w:nsid w:val="41964FD7"/>
    <w:multiLevelType w:val="hybridMultilevel"/>
    <w:tmpl w:val="83049E60"/>
    <w:lvl w:ilvl="0" w:tplc="48905014">
      <w:start w:val="9"/>
      <w:numFmt w:val="decimal"/>
      <w:lvlText w:val="%1"/>
      <w:lvlJc w:val="left"/>
      <w:pPr>
        <w:ind w:left="240" w:hanging="101"/>
      </w:pPr>
      <w:rPr>
        <w:rFonts w:ascii="Calibri" w:eastAsia="Calibri" w:hAnsi="Calibri" w:cs="Calibri" w:hint="default"/>
        <w:w w:val="99"/>
        <w:sz w:val="14"/>
        <w:szCs w:val="14"/>
      </w:rPr>
    </w:lvl>
    <w:lvl w:ilvl="1" w:tplc="6A42EE8C">
      <w:numFmt w:val="bullet"/>
      <w:lvlText w:val="•"/>
      <w:lvlJc w:val="left"/>
      <w:pPr>
        <w:ind w:left="1250" w:hanging="101"/>
      </w:pPr>
      <w:rPr>
        <w:rFonts w:hint="default"/>
      </w:rPr>
    </w:lvl>
    <w:lvl w:ilvl="2" w:tplc="18B6568A">
      <w:numFmt w:val="bullet"/>
      <w:lvlText w:val="•"/>
      <w:lvlJc w:val="left"/>
      <w:pPr>
        <w:ind w:left="2261" w:hanging="101"/>
      </w:pPr>
      <w:rPr>
        <w:rFonts w:hint="default"/>
      </w:rPr>
    </w:lvl>
    <w:lvl w:ilvl="3" w:tplc="6CFED956">
      <w:numFmt w:val="bullet"/>
      <w:lvlText w:val="•"/>
      <w:lvlJc w:val="left"/>
      <w:pPr>
        <w:ind w:left="3271" w:hanging="101"/>
      </w:pPr>
      <w:rPr>
        <w:rFonts w:hint="default"/>
      </w:rPr>
    </w:lvl>
    <w:lvl w:ilvl="4" w:tplc="733E867A">
      <w:numFmt w:val="bullet"/>
      <w:lvlText w:val="•"/>
      <w:lvlJc w:val="left"/>
      <w:pPr>
        <w:ind w:left="4282" w:hanging="101"/>
      </w:pPr>
      <w:rPr>
        <w:rFonts w:hint="default"/>
      </w:rPr>
    </w:lvl>
    <w:lvl w:ilvl="5" w:tplc="85FEE172">
      <w:numFmt w:val="bullet"/>
      <w:lvlText w:val="•"/>
      <w:lvlJc w:val="left"/>
      <w:pPr>
        <w:ind w:left="5293" w:hanging="101"/>
      </w:pPr>
      <w:rPr>
        <w:rFonts w:hint="default"/>
      </w:rPr>
    </w:lvl>
    <w:lvl w:ilvl="6" w:tplc="57F0E816">
      <w:numFmt w:val="bullet"/>
      <w:lvlText w:val="•"/>
      <w:lvlJc w:val="left"/>
      <w:pPr>
        <w:ind w:left="6303" w:hanging="101"/>
      </w:pPr>
      <w:rPr>
        <w:rFonts w:hint="default"/>
      </w:rPr>
    </w:lvl>
    <w:lvl w:ilvl="7" w:tplc="547EF7D0">
      <w:numFmt w:val="bullet"/>
      <w:lvlText w:val="•"/>
      <w:lvlJc w:val="left"/>
      <w:pPr>
        <w:ind w:left="7314" w:hanging="101"/>
      </w:pPr>
      <w:rPr>
        <w:rFonts w:hint="default"/>
      </w:rPr>
    </w:lvl>
    <w:lvl w:ilvl="8" w:tplc="9C40D7B2">
      <w:numFmt w:val="bullet"/>
      <w:lvlText w:val="•"/>
      <w:lvlJc w:val="left"/>
      <w:pPr>
        <w:ind w:left="8325" w:hanging="101"/>
      </w:pPr>
      <w:rPr>
        <w:rFonts w:hint="default"/>
      </w:rPr>
    </w:lvl>
  </w:abstractNum>
  <w:abstractNum w:abstractNumId="20" w15:restartNumberingAfterBreak="0">
    <w:nsid w:val="44176319"/>
    <w:multiLevelType w:val="hybridMultilevel"/>
    <w:tmpl w:val="029209AA"/>
    <w:lvl w:ilvl="0" w:tplc="2494AE94">
      <w:start w:val="4"/>
      <w:numFmt w:val="upperLetter"/>
      <w:lvlText w:val="%1."/>
      <w:lvlJc w:val="left"/>
      <w:pPr>
        <w:ind w:left="103" w:hanging="197"/>
      </w:pPr>
      <w:rPr>
        <w:rFonts w:ascii="Calibri" w:eastAsia="Calibri" w:hAnsi="Calibri" w:cs="Calibri" w:hint="default"/>
        <w:spacing w:val="-1"/>
        <w:w w:val="100"/>
        <w:sz w:val="18"/>
        <w:szCs w:val="18"/>
      </w:rPr>
    </w:lvl>
    <w:lvl w:ilvl="1" w:tplc="0700F29C">
      <w:numFmt w:val="bullet"/>
      <w:lvlText w:val="•"/>
      <w:lvlJc w:val="left"/>
      <w:pPr>
        <w:ind w:left="315" w:hanging="197"/>
      </w:pPr>
      <w:rPr>
        <w:rFonts w:hint="default"/>
      </w:rPr>
    </w:lvl>
    <w:lvl w:ilvl="2" w:tplc="0540BB26">
      <w:numFmt w:val="bullet"/>
      <w:lvlText w:val="•"/>
      <w:lvlJc w:val="left"/>
      <w:pPr>
        <w:ind w:left="531" w:hanging="197"/>
      </w:pPr>
      <w:rPr>
        <w:rFonts w:hint="default"/>
      </w:rPr>
    </w:lvl>
    <w:lvl w:ilvl="3" w:tplc="116CA7A4">
      <w:numFmt w:val="bullet"/>
      <w:lvlText w:val="•"/>
      <w:lvlJc w:val="left"/>
      <w:pPr>
        <w:ind w:left="747" w:hanging="197"/>
      </w:pPr>
      <w:rPr>
        <w:rFonts w:hint="default"/>
      </w:rPr>
    </w:lvl>
    <w:lvl w:ilvl="4" w:tplc="CC66F926">
      <w:numFmt w:val="bullet"/>
      <w:lvlText w:val="•"/>
      <w:lvlJc w:val="left"/>
      <w:pPr>
        <w:ind w:left="963" w:hanging="197"/>
      </w:pPr>
      <w:rPr>
        <w:rFonts w:hint="default"/>
      </w:rPr>
    </w:lvl>
    <w:lvl w:ilvl="5" w:tplc="D1BCCEBE">
      <w:numFmt w:val="bullet"/>
      <w:lvlText w:val="•"/>
      <w:lvlJc w:val="left"/>
      <w:pPr>
        <w:ind w:left="1179" w:hanging="197"/>
      </w:pPr>
      <w:rPr>
        <w:rFonts w:hint="default"/>
      </w:rPr>
    </w:lvl>
    <w:lvl w:ilvl="6" w:tplc="F57887FE">
      <w:numFmt w:val="bullet"/>
      <w:lvlText w:val="•"/>
      <w:lvlJc w:val="left"/>
      <w:pPr>
        <w:ind w:left="1395" w:hanging="197"/>
      </w:pPr>
      <w:rPr>
        <w:rFonts w:hint="default"/>
      </w:rPr>
    </w:lvl>
    <w:lvl w:ilvl="7" w:tplc="B1C0BE16">
      <w:numFmt w:val="bullet"/>
      <w:lvlText w:val="•"/>
      <w:lvlJc w:val="left"/>
      <w:pPr>
        <w:ind w:left="1610" w:hanging="197"/>
      </w:pPr>
      <w:rPr>
        <w:rFonts w:hint="default"/>
      </w:rPr>
    </w:lvl>
    <w:lvl w:ilvl="8" w:tplc="DC46F0B8">
      <w:numFmt w:val="bullet"/>
      <w:lvlText w:val="•"/>
      <w:lvlJc w:val="left"/>
      <w:pPr>
        <w:ind w:left="1826" w:hanging="197"/>
      </w:pPr>
      <w:rPr>
        <w:rFonts w:hint="default"/>
      </w:rPr>
    </w:lvl>
  </w:abstractNum>
  <w:abstractNum w:abstractNumId="21" w15:restartNumberingAfterBreak="0">
    <w:nsid w:val="449B3C07"/>
    <w:multiLevelType w:val="hybridMultilevel"/>
    <w:tmpl w:val="0B7629E6"/>
    <w:lvl w:ilvl="0" w:tplc="D5468614">
      <w:numFmt w:val="bullet"/>
      <w:lvlText w:val=""/>
      <w:lvlJc w:val="left"/>
      <w:pPr>
        <w:ind w:left="823" w:hanging="360"/>
      </w:pPr>
      <w:rPr>
        <w:rFonts w:ascii="Symbol" w:eastAsia="Symbol" w:hAnsi="Symbol" w:cs="Symbol" w:hint="default"/>
        <w:w w:val="99"/>
        <w:sz w:val="19"/>
        <w:szCs w:val="19"/>
      </w:rPr>
    </w:lvl>
    <w:lvl w:ilvl="1" w:tplc="2638B49E">
      <w:numFmt w:val="bullet"/>
      <w:lvlText w:val="•"/>
      <w:lvlJc w:val="left"/>
      <w:pPr>
        <w:ind w:left="1638" w:hanging="360"/>
      </w:pPr>
      <w:rPr>
        <w:rFonts w:hint="default"/>
      </w:rPr>
    </w:lvl>
    <w:lvl w:ilvl="2" w:tplc="C88E992A">
      <w:numFmt w:val="bullet"/>
      <w:lvlText w:val="•"/>
      <w:lvlJc w:val="left"/>
      <w:pPr>
        <w:ind w:left="2457" w:hanging="360"/>
      </w:pPr>
      <w:rPr>
        <w:rFonts w:hint="default"/>
      </w:rPr>
    </w:lvl>
    <w:lvl w:ilvl="3" w:tplc="7062C7A2">
      <w:numFmt w:val="bullet"/>
      <w:lvlText w:val="•"/>
      <w:lvlJc w:val="left"/>
      <w:pPr>
        <w:ind w:left="3276" w:hanging="360"/>
      </w:pPr>
      <w:rPr>
        <w:rFonts w:hint="default"/>
      </w:rPr>
    </w:lvl>
    <w:lvl w:ilvl="4" w:tplc="38C4392C">
      <w:numFmt w:val="bullet"/>
      <w:lvlText w:val="•"/>
      <w:lvlJc w:val="left"/>
      <w:pPr>
        <w:ind w:left="4095" w:hanging="360"/>
      </w:pPr>
      <w:rPr>
        <w:rFonts w:hint="default"/>
      </w:rPr>
    </w:lvl>
    <w:lvl w:ilvl="5" w:tplc="C8CCDBEC">
      <w:numFmt w:val="bullet"/>
      <w:lvlText w:val="•"/>
      <w:lvlJc w:val="left"/>
      <w:pPr>
        <w:ind w:left="4914" w:hanging="360"/>
      </w:pPr>
      <w:rPr>
        <w:rFonts w:hint="default"/>
      </w:rPr>
    </w:lvl>
    <w:lvl w:ilvl="6" w:tplc="8362E79A">
      <w:numFmt w:val="bullet"/>
      <w:lvlText w:val="•"/>
      <w:lvlJc w:val="left"/>
      <w:pPr>
        <w:ind w:left="5733" w:hanging="360"/>
      </w:pPr>
      <w:rPr>
        <w:rFonts w:hint="default"/>
      </w:rPr>
    </w:lvl>
    <w:lvl w:ilvl="7" w:tplc="93A218FA">
      <w:numFmt w:val="bullet"/>
      <w:lvlText w:val="•"/>
      <w:lvlJc w:val="left"/>
      <w:pPr>
        <w:ind w:left="6552" w:hanging="360"/>
      </w:pPr>
      <w:rPr>
        <w:rFonts w:hint="default"/>
      </w:rPr>
    </w:lvl>
    <w:lvl w:ilvl="8" w:tplc="852A2378">
      <w:numFmt w:val="bullet"/>
      <w:lvlText w:val="•"/>
      <w:lvlJc w:val="left"/>
      <w:pPr>
        <w:ind w:left="7370" w:hanging="360"/>
      </w:pPr>
      <w:rPr>
        <w:rFonts w:hint="default"/>
      </w:rPr>
    </w:lvl>
  </w:abstractNum>
  <w:abstractNum w:abstractNumId="22" w15:restartNumberingAfterBreak="0">
    <w:nsid w:val="46C41286"/>
    <w:multiLevelType w:val="multilevel"/>
    <w:tmpl w:val="661A8832"/>
    <w:lvl w:ilvl="0">
      <w:start w:val="2"/>
      <w:numFmt w:val="decimal"/>
      <w:lvlText w:val="%1"/>
      <w:lvlJc w:val="left"/>
      <w:pPr>
        <w:ind w:left="152" w:hanging="459"/>
      </w:pPr>
      <w:rPr>
        <w:rFonts w:hint="default"/>
      </w:rPr>
    </w:lvl>
    <w:lvl w:ilvl="1">
      <w:start w:val="1"/>
      <w:numFmt w:val="decimal"/>
      <w:lvlText w:val="%1.%2"/>
      <w:lvlJc w:val="left"/>
      <w:pPr>
        <w:ind w:left="152" w:hanging="459"/>
      </w:pPr>
      <w:rPr>
        <w:rFonts w:hint="default"/>
        <w:b/>
        <w:bCs/>
        <w:spacing w:val="-1"/>
        <w:w w:val="100"/>
      </w:rPr>
    </w:lvl>
    <w:lvl w:ilvl="2">
      <w:numFmt w:val="bullet"/>
      <w:lvlText w:val="•"/>
      <w:lvlJc w:val="left"/>
      <w:pPr>
        <w:ind w:left="2197" w:hanging="459"/>
      </w:pPr>
      <w:rPr>
        <w:rFonts w:hint="default"/>
      </w:rPr>
    </w:lvl>
    <w:lvl w:ilvl="3">
      <w:numFmt w:val="bullet"/>
      <w:lvlText w:val="•"/>
      <w:lvlJc w:val="left"/>
      <w:pPr>
        <w:ind w:left="3215" w:hanging="459"/>
      </w:pPr>
      <w:rPr>
        <w:rFonts w:hint="default"/>
      </w:rPr>
    </w:lvl>
    <w:lvl w:ilvl="4">
      <w:numFmt w:val="bullet"/>
      <w:lvlText w:val="•"/>
      <w:lvlJc w:val="left"/>
      <w:pPr>
        <w:ind w:left="4234" w:hanging="459"/>
      </w:pPr>
      <w:rPr>
        <w:rFonts w:hint="default"/>
      </w:rPr>
    </w:lvl>
    <w:lvl w:ilvl="5">
      <w:numFmt w:val="bullet"/>
      <w:lvlText w:val="•"/>
      <w:lvlJc w:val="left"/>
      <w:pPr>
        <w:ind w:left="5253" w:hanging="459"/>
      </w:pPr>
      <w:rPr>
        <w:rFonts w:hint="default"/>
      </w:rPr>
    </w:lvl>
    <w:lvl w:ilvl="6">
      <w:numFmt w:val="bullet"/>
      <w:lvlText w:val="•"/>
      <w:lvlJc w:val="left"/>
      <w:pPr>
        <w:ind w:left="6271" w:hanging="459"/>
      </w:pPr>
      <w:rPr>
        <w:rFonts w:hint="default"/>
      </w:rPr>
    </w:lvl>
    <w:lvl w:ilvl="7">
      <w:numFmt w:val="bullet"/>
      <w:lvlText w:val="•"/>
      <w:lvlJc w:val="left"/>
      <w:pPr>
        <w:ind w:left="7290" w:hanging="459"/>
      </w:pPr>
      <w:rPr>
        <w:rFonts w:hint="default"/>
      </w:rPr>
    </w:lvl>
    <w:lvl w:ilvl="8">
      <w:numFmt w:val="bullet"/>
      <w:lvlText w:val="•"/>
      <w:lvlJc w:val="left"/>
      <w:pPr>
        <w:ind w:left="8309" w:hanging="459"/>
      </w:pPr>
      <w:rPr>
        <w:rFonts w:hint="default"/>
      </w:rPr>
    </w:lvl>
  </w:abstractNum>
  <w:abstractNum w:abstractNumId="23" w15:restartNumberingAfterBreak="0">
    <w:nsid w:val="483D014D"/>
    <w:multiLevelType w:val="hybridMultilevel"/>
    <w:tmpl w:val="39D4C1C8"/>
    <w:lvl w:ilvl="0" w:tplc="8C180992">
      <w:start w:val="1"/>
      <w:numFmt w:val="decimal"/>
      <w:lvlText w:val="%1)"/>
      <w:lvlJc w:val="left"/>
      <w:pPr>
        <w:ind w:left="140" w:hanging="188"/>
      </w:pPr>
      <w:rPr>
        <w:rFonts w:ascii="Calibri" w:eastAsia="Calibri" w:hAnsi="Calibri" w:cs="Calibri" w:hint="default"/>
        <w:spacing w:val="-2"/>
        <w:w w:val="100"/>
        <w:sz w:val="18"/>
        <w:szCs w:val="18"/>
      </w:rPr>
    </w:lvl>
    <w:lvl w:ilvl="1" w:tplc="76C85ACC">
      <w:numFmt w:val="bullet"/>
      <w:lvlText w:val="•"/>
      <w:lvlJc w:val="left"/>
      <w:pPr>
        <w:ind w:left="1160" w:hanging="188"/>
      </w:pPr>
      <w:rPr>
        <w:rFonts w:hint="default"/>
      </w:rPr>
    </w:lvl>
    <w:lvl w:ilvl="2" w:tplc="D748758C">
      <w:numFmt w:val="bullet"/>
      <w:lvlText w:val="•"/>
      <w:lvlJc w:val="left"/>
      <w:pPr>
        <w:ind w:left="2181" w:hanging="188"/>
      </w:pPr>
      <w:rPr>
        <w:rFonts w:hint="default"/>
      </w:rPr>
    </w:lvl>
    <w:lvl w:ilvl="3" w:tplc="DC1CD796">
      <w:numFmt w:val="bullet"/>
      <w:lvlText w:val="•"/>
      <w:lvlJc w:val="left"/>
      <w:pPr>
        <w:ind w:left="3201" w:hanging="188"/>
      </w:pPr>
      <w:rPr>
        <w:rFonts w:hint="default"/>
      </w:rPr>
    </w:lvl>
    <w:lvl w:ilvl="4" w:tplc="3814C856">
      <w:numFmt w:val="bullet"/>
      <w:lvlText w:val="•"/>
      <w:lvlJc w:val="left"/>
      <w:pPr>
        <w:ind w:left="4222" w:hanging="188"/>
      </w:pPr>
      <w:rPr>
        <w:rFonts w:hint="default"/>
      </w:rPr>
    </w:lvl>
    <w:lvl w:ilvl="5" w:tplc="16EEFB50">
      <w:numFmt w:val="bullet"/>
      <w:lvlText w:val="•"/>
      <w:lvlJc w:val="left"/>
      <w:pPr>
        <w:ind w:left="5243" w:hanging="188"/>
      </w:pPr>
      <w:rPr>
        <w:rFonts w:hint="default"/>
      </w:rPr>
    </w:lvl>
    <w:lvl w:ilvl="6" w:tplc="ED321F8A">
      <w:numFmt w:val="bullet"/>
      <w:lvlText w:val="•"/>
      <w:lvlJc w:val="left"/>
      <w:pPr>
        <w:ind w:left="6263" w:hanging="188"/>
      </w:pPr>
      <w:rPr>
        <w:rFonts w:hint="default"/>
      </w:rPr>
    </w:lvl>
    <w:lvl w:ilvl="7" w:tplc="667AC4B6">
      <w:numFmt w:val="bullet"/>
      <w:lvlText w:val="•"/>
      <w:lvlJc w:val="left"/>
      <w:pPr>
        <w:ind w:left="7284" w:hanging="188"/>
      </w:pPr>
      <w:rPr>
        <w:rFonts w:hint="default"/>
      </w:rPr>
    </w:lvl>
    <w:lvl w:ilvl="8" w:tplc="F65E12DA">
      <w:numFmt w:val="bullet"/>
      <w:lvlText w:val="•"/>
      <w:lvlJc w:val="left"/>
      <w:pPr>
        <w:ind w:left="8305" w:hanging="188"/>
      </w:pPr>
      <w:rPr>
        <w:rFonts w:hint="default"/>
      </w:rPr>
    </w:lvl>
  </w:abstractNum>
  <w:abstractNum w:abstractNumId="24" w15:restartNumberingAfterBreak="0">
    <w:nsid w:val="48B17518"/>
    <w:multiLevelType w:val="multilevel"/>
    <w:tmpl w:val="499684FE"/>
    <w:lvl w:ilvl="0">
      <w:start w:val="1"/>
      <w:numFmt w:val="upperRoman"/>
      <w:lvlText w:val="%1."/>
      <w:lvlJc w:val="left"/>
      <w:pPr>
        <w:ind w:left="497" w:hanging="385"/>
      </w:pPr>
      <w:rPr>
        <w:rFonts w:ascii="Cambria" w:eastAsia="Cambria" w:hAnsi="Cambria" w:cs="Cambria" w:hint="default"/>
        <w:b/>
        <w:bCs/>
        <w:w w:val="100"/>
        <w:sz w:val="48"/>
        <w:szCs w:val="48"/>
      </w:rPr>
    </w:lvl>
    <w:lvl w:ilvl="1">
      <w:start w:val="1"/>
      <w:numFmt w:val="decimal"/>
      <w:lvlText w:val="%2."/>
      <w:lvlJc w:val="left"/>
      <w:pPr>
        <w:ind w:left="488" w:hanging="376"/>
      </w:pPr>
      <w:rPr>
        <w:rFonts w:ascii="Cambria" w:eastAsia="Cambria" w:hAnsi="Cambria" w:cs="Cambria" w:hint="default"/>
        <w:b/>
        <w:bCs/>
        <w:spacing w:val="-1"/>
        <w:w w:val="100"/>
        <w:sz w:val="36"/>
        <w:szCs w:val="36"/>
      </w:rPr>
    </w:lvl>
    <w:lvl w:ilvl="2">
      <w:start w:val="1"/>
      <w:numFmt w:val="decimal"/>
      <w:lvlText w:val="%2.%3"/>
      <w:lvlJc w:val="left"/>
      <w:pPr>
        <w:ind w:left="530" w:hanging="419"/>
      </w:pPr>
      <w:rPr>
        <w:rFonts w:ascii="Calibri" w:eastAsia="Calibri" w:hAnsi="Calibri" w:cs="Calibri" w:hint="default"/>
        <w:w w:val="100"/>
        <w:sz w:val="28"/>
        <w:szCs w:val="28"/>
      </w:rPr>
    </w:lvl>
    <w:lvl w:ilvl="3">
      <w:numFmt w:val="bullet"/>
      <w:lvlText w:val="•"/>
      <w:lvlJc w:val="left"/>
      <w:pPr>
        <w:ind w:left="680" w:hanging="419"/>
      </w:pPr>
      <w:rPr>
        <w:rFonts w:hint="default"/>
      </w:rPr>
    </w:lvl>
    <w:lvl w:ilvl="4">
      <w:numFmt w:val="bullet"/>
      <w:lvlText w:val="•"/>
      <w:lvlJc w:val="left"/>
      <w:pPr>
        <w:ind w:left="1898" w:hanging="419"/>
      </w:pPr>
      <w:rPr>
        <w:rFonts w:hint="default"/>
      </w:rPr>
    </w:lvl>
    <w:lvl w:ilvl="5">
      <w:numFmt w:val="bullet"/>
      <w:lvlText w:val="•"/>
      <w:lvlJc w:val="left"/>
      <w:pPr>
        <w:ind w:left="3116" w:hanging="419"/>
      </w:pPr>
      <w:rPr>
        <w:rFonts w:hint="default"/>
      </w:rPr>
    </w:lvl>
    <w:lvl w:ilvl="6">
      <w:numFmt w:val="bullet"/>
      <w:lvlText w:val="•"/>
      <w:lvlJc w:val="left"/>
      <w:pPr>
        <w:ind w:left="4334" w:hanging="419"/>
      </w:pPr>
      <w:rPr>
        <w:rFonts w:hint="default"/>
      </w:rPr>
    </w:lvl>
    <w:lvl w:ilvl="7">
      <w:numFmt w:val="bullet"/>
      <w:lvlText w:val="•"/>
      <w:lvlJc w:val="left"/>
      <w:pPr>
        <w:ind w:left="5552" w:hanging="419"/>
      </w:pPr>
      <w:rPr>
        <w:rFonts w:hint="default"/>
      </w:rPr>
    </w:lvl>
    <w:lvl w:ilvl="8">
      <w:numFmt w:val="bullet"/>
      <w:lvlText w:val="•"/>
      <w:lvlJc w:val="left"/>
      <w:pPr>
        <w:ind w:left="6770" w:hanging="419"/>
      </w:pPr>
      <w:rPr>
        <w:rFonts w:hint="default"/>
      </w:rPr>
    </w:lvl>
  </w:abstractNum>
  <w:abstractNum w:abstractNumId="25" w15:restartNumberingAfterBreak="0">
    <w:nsid w:val="50D7116E"/>
    <w:multiLevelType w:val="hybridMultilevel"/>
    <w:tmpl w:val="A46C4C74"/>
    <w:lvl w:ilvl="0" w:tplc="64323BA8">
      <w:start w:val="2"/>
      <w:numFmt w:val="upperLetter"/>
      <w:lvlText w:val="%1."/>
      <w:lvlJc w:val="left"/>
      <w:pPr>
        <w:ind w:left="227" w:hanging="175"/>
      </w:pPr>
      <w:rPr>
        <w:rFonts w:ascii="Calibri" w:eastAsia="Calibri" w:hAnsi="Calibri" w:cs="Calibri" w:hint="default"/>
        <w:w w:val="100"/>
        <w:sz w:val="17"/>
        <w:szCs w:val="17"/>
      </w:rPr>
    </w:lvl>
    <w:lvl w:ilvl="1" w:tplc="18E8BFB2">
      <w:numFmt w:val="bullet"/>
      <w:lvlText w:val="•"/>
      <w:lvlJc w:val="left"/>
      <w:pPr>
        <w:ind w:left="420" w:hanging="175"/>
      </w:pPr>
      <w:rPr>
        <w:rFonts w:hint="default"/>
      </w:rPr>
    </w:lvl>
    <w:lvl w:ilvl="2" w:tplc="8A8E1068">
      <w:numFmt w:val="bullet"/>
      <w:lvlText w:val="•"/>
      <w:lvlJc w:val="left"/>
      <w:pPr>
        <w:ind w:left="620" w:hanging="175"/>
      </w:pPr>
      <w:rPr>
        <w:rFonts w:hint="default"/>
      </w:rPr>
    </w:lvl>
    <w:lvl w:ilvl="3" w:tplc="DA466F88">
      <w:numFmt w:val="bullet"/>
      <w:lvlText w:val="•"/>
      <w:lvlJc w:val="left"/>
      <w:pPr>
        <w:ind w:left="820" w:hanging="175"/>
      </w:pPr>
      <w:rPr>
        <w:rFonts w:hint="default"/>
      </w:rPr>
    </w:lvl>
    <w:lvl w:ilvl="4" w:tplc="176023BC">
      <w:numFmt w:val="bullet"/>
      <w:lvlText w:val="•"/>
      <w:lvlJc w:val="left"/>
      <w:pPr>
        <w:ind w:left="1020" w:hanging="175"/>
      </w:pPr>
      <w:rPr>
        <w:rFonts w:hint="default"/>
      </w:rPr>
    </w:lvl>
    <w:lvl w:ilvl="5" w:tplc="4B1009CE">
      <w:numFmt w:val="bullet"/>
      <w:lvlText w:val="•"/>
      <w:lvlJc w:val="left"/>
      <w:pPr>
        <w:ind w:left="1221" w:hanging="175"/>
      </w:pPr>
      <w:rPr>
        <w:rFonts w:hint="default"/>
      </w:rPr>
    </w:lvl>
    <w:lvl w:ilvl="6" w:tplc="8C3EA424">
      <w:numFmt w:val="bullet"/>
      <w:lvlText w:val="•"/>
      <w:lvlJc w:val="left"/>
      <w:pPr>
        <w:ind w:left="1421" w:hanging="175"/>
      </w:pPr>
      <w:rPr>
        <w:rFonts w:hint="default"/>
      </w:rPr>
    </w:lvl>
    <w:lvl w:ilvl="7" w:tplc="9474B82E">
      <w:numFmt w:val="bullet"/>
      <w:lvlText w:val="•"/>
      <w:lvlJc w:val="left"/>
      <w:pPr>
        <w:ind w:left="1621" w:hanging="175"/>
      </w:pPr>
      <w:rPr>
        <w:rFonts w:hint="default"/>
      </w:rPr>
    </w:lvl>
    <w:lvl w:ilvl="8" w:tplc="50342DB0">
      <w:numFmt w:val="bullet"/>
      <w:lvlText w:val="•"/>
      <w:lvlJc w:val="left"/>
      <w:pPr>
        <w:ind w:left="1821" w:hanging="175"/>
      </w:pPr>
      <w:rPr>
        <w:rFonts w:hint="default"/>
      </w:rPr>
    </w:lvl>
  </w:abstractNum>
  <w:abstractNum w:abstractNumId="26" w15:restartNumberingAfterBreak="0">
    <w:nsid w:val="54405371"/>
    <w:multiLevelType w:val="multilevel"/>
    <w:tmpl w:val="C2523E2C"/>
    <w:lvl w:ilvl="0">
      <w:start w:val="7"/>
      <w:numFmt w:val="decimal"/>
      <w:lvlText w:val="%1"/>
      <w:lvlJc w:val="left"/>
      <w:pPr>
        <w:ind w:left="598" w:hanging="459"/>
      </w:pPr>
      <w:rPr>
        <w:rFonts w:hint="default"/>
      </w:rPr>
    </w:lvl>
    <w:lvl w:ilvl="1">
      <w:start w:val="5"/>
      <w:numFmt w:val="decimal"/>
      <w:lvlText w:val="%1.%2"/>
      <w:lvlJc w:val="left"/>
      <w:pPr>
        <w:ind w:left="598" w:hanging="459"/>
      </w:pPr>
      <w:rPr>
        <w:rFonts w:ascii="Cambria" w:eastAsia="Cambria" w:hAnsi="Cambria" w:cs="Cambria" w:hint="default"/>
        <w:b/>
        <w:bCs/>
        <w:spacing w:val="-1"/>
        <w:w w:val="100"/>
        <w:sz w:val="28"/>
        <w:szCs w:val="28"/>
      </w:rPr>
    </w:lvl>
    <w:lvl w:ilvl="2">
      <w:start w:val="1"/>
      <w:numFmt w:val="lowerLetter"/>
      <w:lvlText w:val="%3."/>
      <w:lvlJc w:val="left"/>
      <w:pPr>
        <w:ind w:left="853" w:hanging="356"/>
      </w:pPr>
      <w:rPr>
        <w:rFonts w:ascii="Calibri" w:eastAsia="Calibri" w:hAnsi="Calibri" w:cs="Calibri" w:hint="default"/>
        <w:w w:val="99"/>
        <w:sz w:val="20"/>
        <w:szCs w:val="20"/>
      </w:rPr>
    </w:lvl>
    <w:lvl w:ilvl="3">
      <w:numFmt w:val="bullet"/>
      <w:lvlText w:val="•"/>
      <w:lvlJc w:val="left"/>
      <w:pPr>
        <w:ind w:left="2968" w:hanging="356"/>
      </w:pPr>
      <w:rPr>
        <w:rFonts w:hint="default"/>
      </w:rPr>
    </w:lvl>
    <w:lvl w:ilvl="4">
      <w:numFmt w:val="bullet"/>
      <w:lvlText w:val="•"/>
      <w:lvlJc w:val="left"/>
      <w:pPr>
        <w:ind w:left="4022" w:hanging="356"/>
      </w:pPr>
      <w:rPr>
        <w:rFonts w:hint="default"/>
      </w:rPr>
    </w:lvl>
    <w:lvl w:ilvl="5">
      <w:numFmt w:val="bullet"/>
      <w:lvlText w:val="•"/>
      <w:lvlJc w:val="left"/>
      <w:pPr>
        <w:ind w:left="5076" w:hanging="356"/>
      </w:pPr>
      <w:rPr>
        <w:rFonts w:hint="default"/>
      </w:rPr>
    </w:lvl>
    <w:lvl w:ilvl="6">
      <w:numFmt w:val="bullet"/>
      <w:lvlText w:val="•"/>
      <w:lvlJc w:val="left"/>
      <w:pPr>
        <w:ind w:left="6130" w:hanging="356"/>
      </w:pPr>
      <w:rPr>
        <w:rFonts w:hint="default"/>
      </w:rPr>
    </w:lvl>
    <w:lvl w:ilvl="7">
      <w:numFmt w:val="bullet"/>
      <w:lvlText w:val="•"/>
      <w:lvlJc w:val="left"/>
      <w:pPr>
        <w:ind w:left="7184" w:hanging="356"/>
      </w:pPr>
      <w:rPr>
        <w:rFonts w:hint="default"/>
      </w:rPr>
    </w:lvl>
    <w:lvl w:ilvl="8">
      <w:numFmt w:val="bullet"/>
      <w:lvlText w:val="•"/>
      <w:lvlJc w:val="left"/>
      <w:pPr>
        <w:ind w:left="8238" w:hanging="356"/>
      </w:pPr>
      <w:rPr>
        <w:rFonts w:hint="default"/>
      </w:rPr>
    </w:lvl>
  </w:abstractNum>
  <w:abstractNum w:abstractNumId="27" w15:restartNumberingAfterBreak="0">
    <w:nsid w:val="5BE52AB5"/>
    <w:multiLevelType w:val="hybridMultilevel"/>
    <w:tmpl w:val="1AF8223C"/>
    <w:lvl w:ilvl="0" w:tplc="9C445D08">
      <w:numFmt w:val="bullet"/>
      <w:lvlText w:val=""/>
      <w:lvlJc w:val="left"/>
      <w:pPr>
        <w:ind w:left="823" w:hanging="360"/>
      </w:pPr>
      <w:rPr>
        <w:rFonts w:ascii="Symbol" w:eastAsia="Symbol" w:hAnsi="Symbol" w:cs="Symbol" w:hint="default"/>
        <w:w w:val="99"/>
        <w:sz w:val="19"/>
        <w:szCs w:val="19"/>
      </w:rPr>
    </w:lvl>
    <w:lvl w:ilvl="1" w:tplc="7BDC04EA">
      <w:numFmt w:val="bullet"/>
      <w:lvlText w:val="•"/>
      <w:lvlJc w:val="left"/>
      <w:pPr>
        <w:ind w:left="1638" w:hanging="360"/>
      </w:pPr>
      <w:rPr>
        <w:rFonts w:hint="default"/>
      </w:rPr>
    </w:lvl>
    <w:lvl w:ilvl="2" w:tplc="F5289F1C">
      <w:numFmt w:val="bullet"/>
      <w:lvlText w:val="•"/>
      <w:lvlJc w:val="left"/>
      <w:pPr>
        <w:ind w:left="2457" w:hanging="360"/>
      </w:pPr>
      <w:rPr>
        <w:rFonts w:hint="default"/>
      </w:rPr>
    </w:lvl>
    <w:lvl w:ilvl="3" w:tplc="6280289C">
      <w:numFmt w:val="bullet"/>
      <w:lvlText w:val="•"/>
      <w:lvlJc w:val="left"/>
      <w:pPr>
        <w:ind w:left="3276" w:hanging="360"/>
      </w:pPr>
      <w:rPr>
        <w:rFonts w:hint="default"/>
      </w:rPr>
    </w:lvl>
    <w:lvl w:ilvl="4" w:tplc="4D5639BE">
      <w:numFmt w:val="bullet"/>
      <w:lvlText w:val="•"/>
      <w:lvlJc w:val="left"/>
      <w:pPr>
        <w:ind w:left="4095" w:hanging="360"/>
      </w:pPr>
      <w:rPr>
        <w:rFonts w:hint="default"/>
      </w:rPr>
    </w:lvl>
    <w:lvl w:ilvl="5" w:tplc="8DE4DB6E">
      <w:numFmt w:val="bullet"/>
      <w:lvlText w:val="•"/>
      <w:lvlJc w:val="left"/>
      <w:pPr>
        <w:ind w:left="4914" w:hanging="360"/>
      </w:pPr>
      <w:rPr>
        <w:rFonts w:hint="default"/>
      </w:rPr>
    </w:lvl>
    <w:lvl w:ilvl="6" w:tplc="B1B4EC6E">
      <w:numFmt w:val="bullet"/>
      <w:lvlText w:val="•"/>
      <w:lvlJc w:val="left"/>
      <w:pPr>
        <w:ind w:left="5733" w:hanging="360"/>
      </w:pPr>
      <w:rPr>
        <w:rFonts w:hint="default"/>
      </w:rPr>
    </w:lvl>
    <w:lvl w:ilvl="7" w:tplc="B6849C52">
      <w:numFmt w:val="bullet"/>
      <w:lvlText w:val="•"/>
      <w:lvlJc w:val="left"/>
      <w:pPr>
        <w:ind w:left="6552" w:hanging="360"/>
      </w:pPr>
      <w:rPr>
        <w:rFonts w:hint="default"/>
      </w:rPr>
    </w:lvl>
    <w:lvl w:ilvl="8" w:tplc="89A02444">
      <w:numFmt w:val="bullet"/>
      <w:lvlText w:val="•"/>
      <w:lvlJc w:val="left"/>
      <w:pPr>
        <w:ind w:left="7370" w:hanging="360"/>
      </w:pPr>
      <w:rPr>
        <w:rFonts w:hint="default"/>
      </w:rPr>
    </w:lvl>
  </w:abstractNum>
  <w:abstractNum w:abstractNumId="28" w15:restartNumberingAfterBreak="0">
    <w:nsid w:val="5E4C4CC1"/>
    <w:multiLevelType w:val="multilevel"/>
    <w:tmpl w:val="D526CDFA"/>
    <w:lvl w:ilvl="0">
      <w:start w:val="4"/>
      <w:numFmt w:val="decimal"/>
      <w:lvlText w:val="%1"/>
      <w:lvlJc w:val="left"/>
      <w:pPr>
        <w:ind w:left="140" w:hanging="459"/>
      </w:pPr>
      <w:rPr>
        <w:rFonts w:hint="default"/>
      </w:rPr>
    </w:lvl>
    <w:lvl w:ilvl="1">
      <w:start w:val="1"/>
      <w:numFmt w:val="decimal"/>
      <w:lvlText w:val="%1.%2"/>
      <w:lvlJc w:val="left"/>
      <w:pPr>
        <w:ind w:left="140" w:hanging="459"/>
      </w:pPr>
      <w:rPr>
        <w:rFonts w:hint="default"/>
        <w:b/>
        <w:bCs/>
        <w:spacing w:val="-1"/>
        <w:w w:val="100"/>
      </w:rPr>
    </w:lvl>
    <w:lvl w:ilvl="2">
      <w:start w:val="1"/>
      <w:numFmt w:val="decimal"/>
      <w:lvlText w:val="%1.%2.%3"/>
      <w:lvlJc w:val="left"/>
      <w:pPr>
        <w:ind w:left="791" w:hanging="639"/>
      </w:pPr>
      <w:rPr>
        <w:rFonts w:hint="default"/>
        <w:b/>
        <w:bCs/>
        <w:spacing w:val="-1"/>
        <w:w w:val="99"/>
      </w:rPr>
    </w:lvl>
    <w:lvl w:ilvl="3">
      <w:numFmt w:val="bullet"/>
      <w:lvlText w:val=""/>
      <w:lvlJc w:val="left"/>
      <w:pPr>
        <w:ind w:left="873" w:hanging="639"/>
      </w:pPr>
      <w:rPr>
        <w:rFonts w:ascii="Symbol" w:eastAsia="Symbol" w:hAnsi="Symbol" w:cs="Symbol" w:hint="default"/>
        <w:w w:val="99"/>
        <w:sz w:val="20"/>
        <w:szCs w:val="20"/>
      </w:rPr>
    </w:lvl>
    <w:lvl w:ilvl="4">
      <w:numFmt w:val="bullet"/>
      <w:lvlText w:val="•"/>
      <w:lvlJc w:val="left"/>
      <w:pPr>
        <w:ind w:left="2175" w:hanging="639"/>
      </w:pPr>
      <w:rPr>
        <w:rFonts w:hint="default"/>
      </w:rPr>
    </w:lvl>
    <w:lvl w:ilvl="5">
      <w:numFmt w:val="bullet"/>
      <w:lvlText w:val="•"/>
      <w:lvlJc w:val="left"/>
      <w:pPr>
        <w:ind w:left="3470" w:hanging="639"/>
      </w:pPr>
      <w:rPr>
        <w:rFonts w:hint="default"/>
      </w:rPr>
    </w:lvl>
    <w:lvl w:ilvl="6">
      <w:numFmt w:val="bullet"/>
      <w:lvlText w:val="•"/>
      <w:lvlJc w:val="left"/>
      <w:pPr>
        <w:ind w:left="4765" w:hanging="639"/>
      </w:pPr>
      <w:rPr>
        <w:rFonts w:hint="default"/>
      </w:rPr>
    </w:lvl>
    <w:lvl w:ilvl="7">
      <w:numFmt w:val="bullet"/>
      <w:lvlText w:val="•"/>
      <w:lvlJc w:val="left"/>
      <w:pPr>
        <w:ind w:left="6060" w:hanging="639"/>
      </w:pPr>
      <w:rPr>
        <w:rFonts w:hint="default"/>
      </w:rPr>
    </w:lvl>
    <w:lvl w:ilvl="8">
      <w:numFmt w:val="bullet"/>
      <w:lvlText w:val="•"/>
      <w:lvlJc w:val="left"/>
      <w:pPr>
        <w:ind w:left="7356" w:hanging="639"/>
      </w:pPr>
      <w:rPr>
        <w:rFonts w:hint="default"/>
      </w:rPr>
    </w:lvl>
  </w:abstractNum>
  <w:abstractNum w:abstractNumId="29" w15:restartNumberingAfterBreak="0">
    <w:nsid w:val="648E7A06"/>
    <w:multiLevelType w:val="hybridMultilevel"/>
    <w:tmpl w:val="080895E0"/>
    <w:lvl w:ilvl="0" w:tplc="2A5446D4">
      <w:numFmt w:val="bullet"/>
      <w:lvlText w:val=""/>
      <w:lvlJc w:val="left"/>
      <w:pPr>
        <w:ind w:left="860" w:hanging="360"/>
      </w:pPr>
      <w:rPr>
        <w:rFonts w:ascii="Symbol" w:eastAsia="Symbol" w:hAnsi="Symbol" w:cs="Symbol" w:hint="default"/>
        <w:w w:val="99"/>
        <w:sz w:val="20"/>
        <w:szCs w:val="20"/>
      </w:rPr>
    </w:lvl>
    <w:lvl w:ilvl="1" w:tplc="A72A6094">
      <w:numFmt w:val="bullet"/>
      <w:lvlText w:val="•"/>
      <w:lvlJc w:val="left"/>
      <w:pPr>
        <w:ind w:left="1704" w:hanging="360"/>
      </w:pPr>
      <w:rPr>
        <w:rFonts w:hint="default"/>
      </w:rPr>
    </w:lvl>
    <w:lvl w:ilvl="2" w:tplc="A0902206">
      <w:numFmt w:val="bullet"/>
      <w:lvlText w:val="•"/>
      <w:lvlJc w:val="left"/>
      <w:pPr>
        <w:ind w:left="2549" w:hanging="360"/>
      </w:pPr>
      <w:rPr>
        <w:rFonts w:hint="default"/>
      </w:rPr>
    </w:lvl>
    <w:lvl w:ilvl="3" w:tplc="B3D6A2BA">
      <w:numFmt w:val="bullet"/>
      <w:lvlText w:val="•"/>
      <w:lvlJc w:val="left"/>
      <w:pPr>
        <w:ind w:left="3393" w:hanging="360"/>
      </w:pPr>
      <w:rPr>
        <w:rFonts w:hint="default"/>
      </w:rPr>
    </w:lvl>
    <w:lvl w:ilvl="4" w:tplc="27F66B56">
      <w:numFmt w:val="bullet"/>
      <w:lvlText w:val="•"/>
      <w:lvlJc w:val="left"/>
      <w:pPr>
        <w:ind w:left="4238" w:hanging="360"/>
      </w:pPr>
      <w:rPr>
        <w:rFonts w:hint="default"/>
      </w:rPr>
    </w:lvl>
    <w:lvl w:ilvl="5" w:tplc="2CAE956E">
      <w:numFmt w:val="bullet"/>
      <w:lvlText w:val="•"/>
      <w:lvlJc w:val="left"/>
      <w:pPr>
        <w:ind w:left="5083" w:hanging="360"/>
      </w:pPr>
      <w:rPr>
        <w:rFonts w:hint="default"/>
      </w:rPr>
    </w:lvl>
    <w:lvl w:ilvl="6" w:tplc="1F3CA26A">
      <w:numFmt w:val="bullet"/>
      <w:lvlText w:val="•"/>
      <w:lvlJc w:val="left"/>
      <w:pPr>
        <w:ind w:left="5927" w:hanging="360"/>
      </w:pPr>
      <w:rPr>
        <w:rFonts w:hint="default"/>
      </w:rPr>
    </w:lvl>
    <w:lvl w:ilvl="7" w:tplc="69DED08C">
      <w:numFmt w:val="bullet"/>
      <w:lvlText w:val="•"/>
      <w:lvlJc w:val="left"/>
      <w:pPr>
        <w:ind w:left="6772" w:hanging="360"/>
      </w:pPr>
      <w:rPr>
        <w:rFonts w:hint="default"/>
      </w:rPr>
    </w:lvl>
    <w:lvl w:ilvl="8" w:tplc="265881F6">
      <w:numFmt w:val="bullet"/>
      <w:lvlText w:val="•"/>
      <w:lvlJc w:val="left"/>
      <w:pPr>
        <w:ind w:left="7617" w:hanging="360"/>
      </w:pPr>
      <w:rPr>
        <w:rFonts w:hint="default"/>
      </w:rPr>
    </w:lvl>
  </w:abstractNum>
  <w:abstractNum w:abstractNumId="30" w15:restartNumberingAfterBreak="0">
    <w:nsid w:val="6BB96853"/>
    <w:multiLevelType w:val="hybridMultilevel"/>
    <w:tmpl w:val="11FE9D4C"/>
    <w:lvl w:ilvl="0" w:tplc="14E27CEA">
      <w:numFmt w:val="bullet"/>
      <w:lvlText w:val=""/>
      <w:lvlJc w:val="left"/>
      <w:pPr>
        <w:ind w:left="823" w:hanging="360"/>
      </w:pPr>
      <w:rPr>
        <w:rFonts w:ascii="Symbol" w:eastAsia="Symbol" w:hAnsi="Symbol" w:cs="Symbol" w:hint="default"/>
        <w:w w:val="99"/>
        <w:sz w:val="19"/>
        <w:szCs w:val="19"/>
      </w:rPr>
    </w:lvl>
    <w:lvl w:ilvl="1" w:tplc="BA0298DA">
      <w:numFmt w:val="bullet"/>
      <w:lvlText w:val="•"/>
      <w:lvlJc w:val="left"/>
      <w:pPr>
        <w:ind w:left="1638" w:hanging="360"/>
      </w:pPr>
      <w:rPr>
        <w:rFonts w:hint="default"/>
      </w:rPr>
    </w:lvl>
    <w:lvl w:ilvl="2" w:tplc="90DCC728">
      <w:numFmt w:val="bullet"/>
      <w:lvlText w:val="•"/>
      <w:lvlJc w:val="left"/>
      <w:pPr>
        <w:ind w:left="2457" w:hanging="360"/>
      </w:pPr>
      <w:rPr>
        <w:rFonts w:hint="default"/>
      </w:rPr>
    </w:lvl>
    <w:lvl w:ilvl="3" w:tplc="D2E4FD38">
      <w:numFmt w:val="bullet"/>
      <w:lvlText w:val="•"/>
      <w:lvlJc w:val="left"/>
      <w:pPr>
        <w:ind w:left="3276" w:hanging="360"/>
      </w:pPr>
      <w:rPr>
        <w:rFonts w:hint="default"/>
      </w:rPr>
    </w:lvl>
    <w:lvl w:ilvl="4" w:tplc="E9701988">
      <w:numFmt w:val="bullet"/>
      <w:lvlText w:val="•"/>
      <w:lvlJc w:val="left"/>
      <w:pPr>
        <w:ind w:left="4095" w:hanging="360"/>
      </w:pPr>
      <w:rPr>
        <w:rFonts w:hint="default"/>
      </w:rPr>
    </w:lvl>
    <w:lvl w:ilvl="5" w:tplc="C7047D9E">
      <w:numFmt w:val="bullet"/>
      <w:lvlText w:val="•"/>
      <w:lvlJc w:val="left"/>
      <w:pPr>
        <w:ind w:left="4914" w:hanging="360"/>
      </w:pPr>
      <w:rPr>
        <w:rFonts w:hint="default"/>
      </w:rPr>
    </w:lvl>
    <w:lvl w:ilvl="6" w:tplc="B2B20514">
      <w:numFmt w:val="bullet"/>
      <w:lvlText w:val="•"/>
      <w:lvlJc w:val="left"/>
      <w:pPr>
        <w:ind w:left="5733" w:hanging="360"/>
      </w:pPr>
      <w:rPr>
        <w:rFonts w:hint="default"/>
      </w:rPr>
    </w:lvl>
    <w:lvl w:ilvl="7" w:tplc="12C44FB6">
      <w:numFmt w:val="bullet"/>
      <w:lvlText w:val="•"/>
      <w:lvlJc w:val="left"/>
      <w:pPr>
        <w:ind w:left="6552" w:hanging="360"/>
      </w:pPr>
      <w:rPr>
        <w:rFonts w:hint="default"/>
      </w:rPr>
    </w:lvl>
    <w:lvl w:ilvl="8" w:tplc="85161688">
      <w:numFmt w:val="bullet"/>
      <w:lvlText w:val="•"/>
      <w:lvlJc w:val="left"/>
      <w:pPr>
        <w:ind w:left="7370" w:hanging="360"/>
      </w:pPr>
      <w:rPr>
        <w:rFonts w:hint="default"/>
      </w:rPr>
    </w:lvl>
  </w:abstractNum>
  <w:abstractNum w:abstractNumId="31" w15:restartNumberingAfterBreak="0">
    <w:nsid w:val="71BD4152"/>
    <w:multiLevelType w:val="hybridMultilevel"/>
    <w:tmpl w:val="3B1E4C40"/>
    <w:lvl w:ilvl="0" w:tplc="A64E974E">
      <w:start w:val="1"/>
      <w:numFmt w:val="decimal"/>
      <w:lvlText w:val="%1"/>
      <w:lvlJc w:val="left"/>
      <w:pPr>
        <w:ind w:left="436" w:hanging="118"/>
      </w:pPr>
      <w:rPr>
        <w:rFonts w:ascii="Calibri" w:eastAsia="Calibri" w:hAnsi="Calibri" w:cs="Calibri" w:hint="default"/>
        <w:w w:val="100"/>
        <w:sz w:val="16"/>
        <w:szCs w:val="16"/>
      </w:rPr>
    </w:lvl>
    <w:lvl w:ilvl="1" w:tplc="F516D7E0">
      <w:numFmt w:val="bullet"/>
      <w:lvlText w:val="•"/>
      <w:lvlJc w:val="left"/>
      <w:pPr>
        <w:ind w:left="1436" w:hanging="118"/>
      </w:pPr>
      <w:rPr>
        <w:rFonts w:hint="default"/>
      </w:rPr>
    </w:lvl>
    <w:lvl w:ilvl="2" w:tplc="4DECB888">
      <w:numFmt w:val="bullet"/>
      <w:lvlText w:val="•"/>
      <w:lvlJc w:val="left"/>
      <w:pPr>
        <w:ind w:left="2433" w:hanging="118"/>
      </w:pPr>
      <w:rPr>
        <w:rFonts w:hint="default"/>
      </w:rPr>
    </w:lvl>
    <w:lvl w:ilvl="3" w:tplc="BD7E035E">
      <w:numFmt w:val="bullet"/>
      <w:lvlText w:val="•"/>
      <w:lvlJc w:val="left"/>
      <w:pPr>
        <w:ind w:left="3429" w:hanging="118"/>
      </w:pPr>
      <w:rPr>
        <w:rFonts w:hint="default"/>
      </w:rPr>
    </w:lvl>
    <w:lvl w:ilvl="4" w:tplc="7E9E0D50">
      <w:numFmt w:val="bullet"/>
      <w:lvlText w:val="•"/>
      <w:lvlJc w:val="left"/>
      <w:pPr>
        <w:ind w:left="4426" w:hanging="118"/>
      </w:pPr>
      <w:rPr>
        <w:rFonts w:hint="default"/>
      </w:rPr>
    </w:lvl>
    <w:lvl w:ilvl="5" w:tplc="F25E95E8">
      <w:numFmt w:val="bullet"/>
      <w:lvlText w:val="•"/>
      <w:lvlJc w:val="left"/>
      <w:pPr>
        <w:ind w:left="5423" w:hanging="118"/>
      </w:pPr>
      <w:rPr>
        <w:rFonts w:hint="default"/>
      </w:rPr>
    </w:lvl>
    <w:lvl w:ilvl="6" w:tplc="7CDC96B8">
      <w:numFmt w:val="bullet"/>
      <w:lvlText w:val="•"/>
      <w:lvlJc w:val="left"/>
      <w:pPr>
        <w:ind w:left="6419" w:hanging="118"/>
      </w:pPr>
      <w:rPr>
        <w:rFonts w:hint="default"/>
      </w:rPr>
    </w:lvl>
    <w:lvl w:ilvl="7" w:tplc="A97203F4">
      <w:numFmt w:val="bullet"/>
      <w:lvlText w:val="•"/>
      <w:lvlJc w:val="left"/>
      <w:pPr>
        <w:ind w:left="7416" w:hanging="118"/>
      </w:pPr>
      <w:rPr>
        <w:rFonts w:hint="default"/>
      </w:rPr>
    </w:lvl>
    <w:lvl w:ilvl="8" w:tplc="E83E1EAC">
      <w:numFmt w:val="bullet"/>
      <w:lvlText w:val="•"/>
      <w:lvlJc w:val="left"/>
      <w:pPr>
        <w:ind w:left="8413" w:hanging="118"/>
      </w:pPr>
      <w:rPr>
        <w:rFonts w:hint="default"/>
      </w:rPr>
    </w:lvl>
  </w:abstractNum>
  <w:abstractNum w:abstractNumId="32" w15:restartNumberingAfterBreak="0">
    <w:nsid w:val="724516DA"/>
    <w:multiLevelType w:val="hybridMultilevel"/>
    <w:tmpl w:val="CC18698E"/>
    <w:lvl w:ilvl="0" w:tplc="009E0C12">
      <w:numFmt w:val="bullet"/>
      <w:lvlText w:val=""/>
      <w:lvlJc w:val="left"/>
      <w:pPr>
        <w:ind w:left="707" w:hanging="284"/>
      </w:pPr>
      <w:rPr>
        <w:rFonts w:ascii="Symbol" w:eastAsia="Symbol" w:hAnsi="Symbol" w:cs="Symbol" w:hint="default"/>
        <w:w w:val="99"/>
        <w:sz w:val="19"/>
        <w:szCs w:val="19"/>
      </w:rPr>
    </w:lvl>
    <w:lvl w:ilvl="1" w:tplc="5C4E948C">
      <w:numFmt w:val="bullet"/>
      <w:lvlText w:val="•"/>
      <w:lvlJc w:val="left"/>
      <w:pPr>
        <w:ind w:left="1530" w:hanging="284"/>
      </w:pPr>
      <w:rPr>
        <w:rFonts w:hint="default"/>
      </w:rPr>
    </w:lvl>
    <w:lvl w:ilvl="2" w:tplc="4C92CE6A">
      <w:numFmt w:val="bullet"/>
      <w:lvlText w:val="•"/>
      <w:lvlJc w:val="left"/>
      <w:pPr>
        <w:ind w:left="2361" w:hanging="284"/>
      </w:pPr>
      <w:rPr>
        <w:rFonts w:hint="default"/>
      </w:rPr>
    </w:lvl>
    <w:lvl w:ilvl="3" w:tplc="44EC9BF4">
      <w:numFmt w:val="bullet"/>
      <w:lvlText w:val="•"/>
      <w:lvlJc w:val="left"/>
      <w:pPr>
        <w:ind w:left="3192" w:hanging="284"/>
      </w:pPr>
      <w:rPr>
        <w:rFonts w:hint="default"/>
      </w:rPr>
    </w:lvl>
    <w:lvl w:ilvl="4" w:tplc="5CA6C3B2">
      <w:numFmt w:val="bullet"/>
      <w:lvlText w:val="•"/>
      <w:lvlJc w:val="left"/>
      <w:pPr>
        <w:ind w:left="4023" w:hanging="284"/>
      </w:pPr>
      <w:rPr>
        <w:rFonts w:hint="default"/>
      </w:rPr>
    </w:lvl>
    <w:lvl w:ilvl="5" w:tplc="40D47900">
      <w:numFmt w:val="bullet"/>
      <w:lvlText w:val="•"/>
      <w:lvlJc w:val="left"/>
      <w:pPr>
        <w:ind w:left="4854" w:hanging="284"/>
      </w:pPr>
      <w:rPr>
        <w:rFonts w:hint="default"/>
      </w:rPr>
    </w:lvl>
    <w:lvl w:ilvl="6" w:tplc="61DA6322">
      <w:numFmt w:val="bullet"/>
      <w:lvlText w:val="•"/>
      <w:lvlJc w:val="left"/>
      <w:pPr>
        <w:ind w:left="5685" w:hanging="284"/>
      </w:pPr>
      <w:rPr>
        <w:rFonts w:hint="default"/>
      </w:rPr>
    </w:lvl>
    <w:lvl w:ilvl="7" w:tplc="6ED09602">
      <w:numFmt w:val="bullet"/>
      <w:lvlText w:val="•"/>
      <w:lvlJc w:val="left"/>
      <w:pPr>
        <w:ind w:left="6516" w:hanging="284"/>
      </w:pPr>
      <w:rPr>
        <w:rFonts w:hint="default"/>
      </w:rPr>
    </w:lvl>
    <w:lvl w:ilvl="8" w:tplc="3D8694C0">
      <w:numFmt w:val="bullet"/>
      <w:lvlText w:val="•"/>
      <w:lvlJc w:val="left"/>
      <w:pPr>
        <w:ind w:left="7346" w:hanging="284"/>
      </w:pPr>
      <w:rPr>
        <w:rFonts w:hint="default"/>
      </w:rPr>
    </w:lvl>
  </w:abstractNum>
  <w:abstractNum w:abstractNumId="33" w15:restartNumberingAfterBreak="0">
    <w:nsid w:val="73C92BCC"/>
    <w:multiLevelType w:val="hybridMultilevel"/>
    <w:tmpl w:val="E3EC85A6"/>
    <w:lvl w:ilvl="0" w:tplc="ABF0C338">
      <w:start w:val="3"/>
      <w:numFmt w:val="upperLetter"/>
      <w:lvlText w:val="%1."/>
      <w:lvlJc w:val="left"/>
      <w:pPr>
        <w:ind w:left="234" w:hanging="182"/>
      </w:pPr>
      <w:rPr>
        <w:rFonts w:ascii="Calibri" w:eastAsia="Calibri" w:hAnsi="Calibri" w:cs="Calibri" w:hint="default"/>
        <w:spacing w:val="-1"/>
        <w:w w:val="100"/>
        <w:sz w:val="18"/>
        <w:szCs w:val="18"/>
      </w:rPr>
    </w:lvl>
    <w:lvl w:ilvl="1" w:tplc="E5023ECC">
      <w:numFmt w:val="bullet"/>
      <w:lvlText w:val="•"/>
      <w:lvlJc w:val="left"/>
      <w:pPr>
        <w:ind w:left="438" w:hanging="182"/>
      </w:pPr>
      <w:rPr>
        <w:rFonts w:hint="default"/>
      </w:rPr>
    </w:lvl>
    <w:lvl w:ilvl="2" w:tplc="664CC990">
      <w:numFmt w:val="bullet"/>
      <w:lvlText w:val="•"/>
      <w:lvlJc w:val="left"/>
      <w:pPr>
        <w:ind w:left="637" w:hanging="182"/>
      </w:pPr>
      <w:rPr>
        <w:rFonts w:hint="default"/>
      </w:rPr>
    </w:lvl>
    <w:lvl w:ilvl="3" w:tplc="246499EE">
      <w:numFmt w:val="bullet"/>
      <w:lvlText w:val="•"/>
      <w:lvlJc w:val="left"/>
      <w:pPr>
        <w:ind w:left="836" w:hanging="182"/>
      </w:pPr>
      <w:rPr>
        <w:rFonts w:hint="default"/>
      </w:rPr>
    </w:lvl>
    <w:lvl w:ilvl="4" w:tplc="DBD8A9BE">
      <w:numFmt w:val="bullet"/>
      <w:lvlText w:val="•"/>
      <w:lvlJc w:val="left"/>
      <w:pPr>
        <w:ind w:left="1035" w:hanging="182"/>
      </w:pPr>
      <w:rPr>
        <w:rFonts w:hint="default"/>
      </w:rPr>
    </w:lvl>
    <w:lvl w:ilvl="5" w:tplc="5666E3D0">
      <w:numFmt w:val="bullet"/>
      <w:lvlText w:val="•"/>
      <w:lvlJc w:val="left"/>
      <w:pPr>
        <w:ind w:left="1234" w:hanging="182"/>
      </w:pPr>
      <w:rPr>
        <w:rFonts w:hint="default"/>
      </w:rPr>
    </w:lvl>
    <w:lvl w:ilvl="6" w:tplc="55529744">
      <w:numFmt w:val="bullet"/>
      <w:lvlText w:val="•"/>
      <w:lvlJc w:val="left"/>
      <w:pPr>
        <w:ind w:left="1433" w:hanging="182"/>
      </w:pPr>
      <w:rPr>
        <w:rFonts w:hint="default"/>
      </w:rPr>
    </w:lvl>
    <w:lvl w:ilvl="7" w:tplc="74545442">
      <w:numFmt w:val="bullet"/>
      <w:lvlText w:val="•"/>
      <w:lvlJc w:val="left"/>
      <w:pPr>
        <w:ind w:left="1632" w:hanging="182"/>
      </w:pPr>
      <w:rPr>
        <w:rFonts w:hint="default"/>
      </w:rPr>
    </w:lvl>
    <w:lvl w:ilvl="8" w:tplc="D66EE332">
      <w:numFmt w:val="bullet"/>
      <w:lvlText w:val="•"/>
      <w:lvlJc w:val="left"/>
      <w:pPr>
        <w:ind w:left="1831" w:hanging="182"/>
      </w:pPr>
      <w:rPr>
        <w:rFonts w:hint="default"/>
      </w:rPr>
    </w:lvl>
  </w:abstractNum>
  <w:abstractNum w:abstractNumId="34" w15:restartNumberingAfterBreak="0">
    <w:nsid w:val="74A8314E"/>
    <w:multiLevelType w:val="multilevel"/>
    <w:tmpl w:val="786681B4"/>
    <w:lvl w:ilvl="0">
      <w:start w:val="10"/>
      <w:numFmt w:val="decimal"/>
      <w:lvlText w:val="%1."/>
      <w:lvlJc w:val="left"/>
      <w:pPr>
        <w:ind w:left="476" w:hanging="377"/>
      </w:pPr>
      <w:rPr>
        <w:rFonts w:ascii="Cambria" w:eastAsia="Cambria" w:hAnsi="Cambria" w:cs="Cambria" w:hint="default"/>
        <w:b/>
        <w:bCs/>
        <w:spacing w:val="-2"/>
        <w:w w:val="100"/>
        <w:sz w:val="36"/>
        <w:szCs w:val="36"/>
      </w:rPr>
    </w:lvl>
    <w:lvl w:ilvl="1">
      <w:start w:val="1"/>
      <w:numFmt w:val="decimal"/>
      <w:lvlText w:val="%1.%2"/>
      <w:lvlJc w:val="left"/>
      <w:pPr>
        <w:ind w:left="117" w:hanging="685"/>
      </w:pPr>
      <w:rPr>
        <w:rFonts w:ascii="Calibri" w:eastAsia="Calibri" w:hAnsi="Calibri" w:cs="Calibri" w:hint="default"/>
        <w:spacing w:val="-2"/>
        <w:w w:val="100"/>
        <w:sz w:val="28"/>
        <w:szCs w:val="28"/>
      </w:rPr>
    </w:lvl>
    <w:lvl w:ilvl="2">
      <w:start w:val="1"/>
      <w:numFmt w:val="upperLetter"/>
      <w:lvlText w:val="%3."/>
      <w:lvlJc w:val="left"/>
      <w:pPr>
        <w:ind w:left="680" w:hanging="685"/>
      </w:pPr>
      <w:rPr>
        <w:rFonts w:ascii="Calibri" w:eastAsia="Calibri" w:hAnsi="Calibri" w:cs="Calibri" w:hint="default"/>
        <w:b/>
        <w:bCs/>
        <w:w w:val="99"/>
        <w:sz w:val="19"/>
        <w:szCs w:val="19"/>
      </w:rPr>
    </w:lvl>
    <w:lvl w:ilvl="3">
      <w:numFmt w:val="bullet"/>
      <w:lvlText w:val="•"/>
      <w:lvlJc w:val="left"/>
      <w:pPr>
        <w:ind w:left="1745" w:hanging="685"/>
      </w:pPr>
      <w:rPr>
        <w:rFonts w:hint="default"/>
      </w:rPr>
    </w:lvl>
    <w:lvl w:ilvl="4">
      <w:numFmt w:val="bullet"/>
      <w:lvlText w:val="•"/>
      <w:lvlJc w:val="left"/>
      <w:pPr>
        <w:ind w:left="2811" w:hanging="685"/>
      </w:pPr>
      <w:rPr>
        <w:rFonts w:hint="default"/>
      </w:rPr>
    </w:lvl>
    <w:lvl w:ilvl="5">
      <w:numFmt w:val="bullet"/>
      <w:lvlText w:val="•"/>
      <w:lvlJc w:val="left"/>
      <w:pPr>
        <w:ind w:left="3877" w:hanging="685"/>
      </w:pPr>
      <w:rPr>
        <w:rFonts w:hint="default"/>
      </w:rPr>
    </w:lvl>
    <w:lvl w:ilvl="6">
      <w:numFmt w:val="bullet"/>
      <w:lvlText w:val="•"/>
      <w:lvlJc w:val="left"/>
      <w:pPr>
        <w:ind w:left="4943" w:hanging="685"/>
      </w:pPr>
      <w:rPr>
        <w:rFonts w:hint="default"/>
      </w:rPr>
    </w:lvl>
    <w:lvl w:ilvl="7">
      <w:numFmt w:val="bullet"/>
      <w:lvlText w:val="•"/>
      <w:lvlJc w:val="left"/>
      <w:pPr>
        <w:ind w:left="6009" w:hanging="685"/>
      </w:pPr>
      <w:rPr>
        <w:rFonts w:hint="default"/>
      </w:rPr>
    </w:lvl>
    <w:lvl w:ilvl="8">
      <w:numFmt w:val="bullet"/>
      <w:lvlText w:val="•"/>
      <w:lvlJc w:val="left"/>
      <w:pPr>
        <w:ind w:left="7074" w:hanging="685"/>
      </w:pPr>
      <w:rPr>
        <w:rFonts w:hint="default"/>
      </w:rPr>
    </w:lvl>
  </w:abstractNum>
  <w:abstractNum w:abstractNumId="35" w15:restartNumberingAfterBreak="0">
    <w:nsid w:val="780116D2"/>
    <w:multiLevelType w:val="hybridMultilevel"/>
    <w:tmpl w:val="3F4A6584"/>
    <w:lvl w:ilvl="0" w:tplc="13D677C8">
      <w:start w:val="1"/>
      <w:numFmt w:val="lowerLetter"/>
      <w:lvlText w:val="%1)"/>
      <w:lvlJc w:val="left"/>
      <w:pPr>
        <w:ind w:left="868" w:hanging="360"/>
      </w:pPr>
      <w:rPr>
        <w:rFonts w:ascii="Calibri" w:eastAsia="Calibri" w:hAnsi="Calibri" w:cs="Calibri" w:hint="default"/>
        <w:w w:val="99"/>
        <w:sz w:val="19"/>
        <w:szCs w:val="19"/>
      </w:rPr>
    </w:lvl>
    <w:lvl w:ilvl="1" w:tplc="AD74C388">
      <w:numFmt w:val="bullet"/>
      <w:lvlText w:val="•"/>
      <w:lvlJc w:val="left"/>
      <w:pPr>
        <w:ind w:left="1283" w:hanging="360"/>
      </w:pPr>
      <w:rPr>
        <w:rFonts w:hint="default"/>
      </w:rPr>
    </w:lvl>
    <w:lvl w:ilvl="2" w:tplc="BC28FA04">
      <w:numFmt w:val="bullet"/>
      <w:lvlText w:val="•"/>
      <w:lvlJc w:val="left"/>
      <w:pPr>
        <w:ind w:left="1706" w:hanging="360"/>
      </w:pPr>
      <w:rPr>
        <w:rFonts w:hint="default"/>
      </w:rPr>
    </w:lvl>
    <w:lvl w:ilvl="3" w:tplc="3848963C">
      <w:numFmt w:val="bullet"/>
      <w:lvlText w:val="•"/>
      <w:lvlJc w:val="left"/>
      <w:pPr>
        <w:ind w:left="2130" w:hanging="360"/>
      </w:pPr>
      <w:rPr>
        <w:rFonts w:hint="default"/>
      </w:rPr>
    </w:lvl>
    <w:lvl w:ilvl="4" w:tplc="059ED3D8">
      <w:numFmt w:val="bullet"/>
      <w:lvlText w:val="•"/>
      <w:lvlJc w:val="left"/>
      <w:pPr>
        <w:ind w:left="2553" w:hanging="360"/>
      </w:pPr>
      <w:rPr>
        <w:rFonts w:hint="default"/>
      </w:rPr>
    </w:lvl>
    <w:lvl w:ilvl="5" w:tplc="C31CBB98">
      <w:numFmt w:val="bullet"/>
      <w:lvlText w:val="•"/>
      <w:lvlJc w:val="left"/>
      <w:pPr>
        <w:ind w:left="2976" w:hanging="360"/>
      </w:pPr>
      <w:rPr>
        <w:rFonts w:hint="default"/>
      </w:rPr>
    </w:lvl>
    <w:lvl w:ilvl="6" w:tplc="382407CC">
      <w:numFmt w:val="bullet"/>
      <w:lvlText w:val="•"/>
      <w:lvlJc w:val="left"/>
      <w:pPr>
        <w:ind w:left="3400" w:hanging="360"/>
      </w:pPr>
      <w:rPr>
        <w:rFonts w:hint="default"/>
      </w:rPr>
    </w:lvl>
    <w:lvl w:ilvl="7" w:tplc="825A1520">
      <w:numFmt w:val="bullet"/>
      <w:lvlText w:val="•"/>
      <w:lvlJc w:val="left"/>
      <w:pPr>
        <w:ind w:left="3823" w:hanging="360"/>
      </w:pPr>
      <w:rPr>
        <w:rFonts w:hint="default"/>
      </w:rPr>
    </w:lvl>
    <w:lvl w:ilvl="8" w:tplc="F342EE1A">
      <w:numFmt w:val="bullet"/>
      <w:lvlText w:val="•"/>
      <w:lvlJc w:val="left"/>
      <w:pPr>
        <w:ind w:left="4246" w:hanging="360"/>
      </w:pPr>
      <w:rPr>
        <w:rFonts w:hint="default"/>
      </w:rPr>
    </w:lvl>
  </w:abstractNum>
  <w:abstractNum w:abstractNumId="36" w15:restartNumberingAfterBreak="0">
    <w:nsid w:val="7E723F26"/>
    <w:multiLevelType w:val="multilevel"/>
    <w:tmpl w:val="97365D5A"/>
    <w:lvl w:ilvl="0">
      <w:start w:val="9"/>
      <w:numFmt w:val="decimal"/>
      <w:lvlText w:val="%1."/>
      <w:lvlJc w:val="left"/>
      <w:pPr>
        <w:ind w:left="336" w:hanging="197"/>
      </w:pPr>
      <w:rPr>
        <w:rFonts w:hint="default"/>
        <w:w w:val="99"/>
      </w:rPr>
    </w:lvl>
    <w:lvl w:ilvl="1">
      <w:start w:val="1"/>
      <w:numFmt w:val="decimal"/>
      <w:lvlText w:val="%1.%2"/>
      <w:lvlJc w:val="left"/>
      <w:pPr>
        <w:ind w:left="538" w:hanging="399"/>
      </w:pPr>
      <w:rPr>
        <w:rFonts w:ascii="Calibri" w:eastAsia="Calibri" w:hAnsi="Calibri" w:cs="Calibri" w:hint="default"/>
        <w:w w:val="99"/>
        <w:sz w:val="20"/>
        <w:szCs w:val="20"/>
      </w:rPr>
    </w:lvl>
    <w:lvl w:ilvl="2">
      <w:numFmt w:val="bullet"/>
      <w:lvlText w:val="•"/>
      <w:lvlJc w:val="left"/>
      <w:pPr>
        <w:ind w:left="1514" w:hanging="399"/>
      </w:pPr>
      <w:rPr>
        <w:rFonts w:hint="default"/>
      </w:rPr>
    </w:lvl>
    <w:lvl w:ilvl="3">
      <w:numFmt w:val="bullet"/>
      <w:lvlText w:val="•"/>
      <w:lvlJc w:val="left"/>
      <w:pPr>
        <w:ind w:left="2488" w:hanging="399"/>
      </w:pPr>
      <w:rPr>
        <w:rFonts w:hint="default"/>
      </w:rPr>
    </w:lvl>
    <w:lvl w:ilvl="4">
      <w:numFmt w:val="bullet"/>
      <w:lvlText w:val="•"/>
      <w:lvlJc w:val="left"/>
      <w:pPr>
        <w:ind w:left="3462" w:hanging="399"/>
      </w:pPr>
      <w:rPr>
        <w:rFonts w:hint="default"/>
      </w:rPr>
    </w:lvl>
    <w:lvl w:ilvl="5">
      <w:numFmt w:val="bullet"/>
      <w:lvlText w:val="•"/>
      <w:lvlJc w:val="left"/>
      <w:pPr>
        <w:ind w:left="4436" w:hanging="399"/>
      </w:pPr>
      <w:rPr>
        <w:rFonts w:hint="default"/>
      </w:rPr>
    </w:lvl>
    <w:lvl w:ilvl="6">
      <w:numFmt w:val="bullet"/>
      <w:lvlText w:val="•"/>
      <w:lvlJc w:val="left"/>
      <w:pPr>
        <w:ind w:left="5410" w:hanging="399"/>
      </w:pPr>
      <w:rPr>
        <w:rFonts w:hint="default"/>
      </w:rPr>
    </w:lvl>
    <w:lvl w:ilvl="7">
      <w:numFmt w:val="bullet"/>
      <w:lvlText w:val="•"/>
      <w:lvlJc w:val="left"/>
      <w:pPr>
        <w:ind w:left="6384" w:hanging="399"/>
      </w:pPr>
      <w:rPr>
        <w:rFonts w:hint="default"/>
      </w:rPr>
    </w:lvl>
    <w:lvl w:ilvl="8">
      <w:numFmt w:val="bullet"/>
      <w:lvlText w:val="•"/>
      <w:lvlJc w:val="left"/>
      <w:pPr>
        <w:ind w:left="7358" w:hanging="399"/>
      </w:pPr>
      <w:rPr>
        <w:rFonts w:hint="default"/>
      </w:rPr>
    </w:lvl>
  </w:abstractNum>
  <w:num w:numId="1">
    <w:abstractNumId w:val="29"/>
  </w:num>
  <w:num w:numId="2">
    <w:abstractNumId w:val="16"/>
  </w:num>
  <w:num w:numId="3">
    <w:abstractNumId w:val="31"/>
  </w:num>
  <w:num w:numId="4">
    <w:abstractNumId w:val="0"/>
  </w:num>
  <w:num w:numId="5">
    <w:abstractNumId w:val="17"/>
  </w:num>
  <w:num w:numId="6">
    <w:abstractNumId w:val="5"/>
  </w:num>
  <w:num w:numId="7">
    <w:abstractNumId w:val="19"/>
  </w:num>
  <w:num w:numId="8">
    <w:abstractNumId w:val="13"/>
  </w:num>
  <w:num w:numId="9">
    <w:abstractNumId w:val="9"/>
  </w:num>
  <w:num w:numId="10">
    <w:abstractNumId w:val="18"/>
  </w:num>
  <w:num w:numId="11">
    <w:abstractNumId w:val="14"/>
  </w:num>
  <w:num w:numId="12">
    <w:abstractNumId w:val="23"/>
  </w:num>
  <w:num w:numId="13">
    <w:abstractNumId w:val="26"/>
  </w:num>
  <w:num w:numId="14">
    <w:abstractNumId w:val="35"/>
  </w:num>
  <w:num w:numId="15">
    <w:abstractNumId w:val="1"/>
  </w:num>
  <w:num w:numId="16">
    <w:abstractNumId w:val="8"/>
  </w:num>
  <w:num w:numId="17">
    <w:abstractNumId w:val="28"/>
  </w:num>
  <w:num w:numId="18">
    <w:abstractNumId w:val="20"/>
  </w:num>
  <w:num w:numId="19">
    <w:abstractNumId w:val="22"/>
  </w:num>
  <w:num w:numId="20">
    <w:abstractNumId w:val="12"/>
  </w:num>
  <w:num w:numId="21">
    <w:abstractNumId w:val="33"/>
  </w:num>
  <w:num w:numId="22">
    <w:abstractNumId w:val="25"/>
  </w:num>
  <w:num w:numId="23">
    <w:abstractNumId w:val="11"/>
  </w:num>
  <w:num w:numId="24">
    <w:abstractNumId w:val="24"/>
  </w:num>
  <w:num w:numId="25">
    <w:abstractNumId w:val="10"/>
  </w:num>
  <w:num w:numId="26">
    <w:abstractNumId w:val="30"/>
  </w:num>
  <w:num w:numId="27">
    <w:abstractNumId w:val="27"/>
  </w:num>
  <w:num w:numId="28">
    <w:abstractNumId w:val="21"/>
  </w:num>
  <w:num w:numId="29">
    <w:abstractNumId w:val="4"/>
  </w:num>
  <w:num w:numId="30">
    <w:abstractNumId w:val="32"/>
  </w:num>
  <w:num w:numId="31">
    <w:abstractNumId w:val="6"/>
  </w:num>
  <w:num w:numId="32">
    <w:abstractNumId w:val="7"/>
  </w:num>
  <w:num w:numId="33">
    <w:abstractNumId w:val="36"/>
  </w:num>
  <w:num w:numId="34">
    <w:abstractNumId w:val="3"/>
  </w:num>
  <w:num w:numId="35">
    <w:abstractNumId w:val="15"/>
  </w:num>
  <w:num w:numId="36">
    <w:abstractNumId w:val="2"/>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20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FD"/>
    <w:rsid w:val="00130045"/>
    <w:rsid w:val="001B7F44"/>
    <w:rsid w:val="0025638D"/>
    <w:rsid w:val="002D29FC"/>
    <w:rsid w:val="002E1E01"/>
    <w:rsid w:val="00416A04"/>
    <w:rsid w:val="004337D0"/>
    <w:rsid w:val="0053166C"/>
    <w:rsid w:val="005629E5"/>
    <w:rsid w:val="005B5AB5"/>
    <w:rsid w:val="00610F71"/>
    <w:rsid w:val="006267D6"/>
    <w:rsid w:val="006A18FD"/>
    <w:rsid w:val="008674FA"/>
    <w:rsid w:val="008D2D0B"/>
    <w:rsid w:val="008E3FA8"/>
    <w:rsid w:val="009C3814"/>
    <w:rsid w:val="00AF6861"/>
    <w:rsid w:val="00C5052B"/>
    <w:rsid w:val="00CA19E0"/>
    <w:rsid w:val="00E06635"/>
    <w:rsid w:val="00E2663F"/>
    <w:rsid w:val="00E42AC6"/>
    <w:rsid w:val="00E60AD2"/>
    <w:rsid w:val="00EE3E6C"/>
    <w:rsid w:val="00EE595F"/>
    <w:rsid w:val="00EE69D4"/>
    <w:rsid w:val="00F61E87"/>
    <w:rsid w:val="00F82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5:docId w15:val="{AA7AD163-00C8-461C-BD0A-F5FEB12E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link w:val="Heading1Char"/>
    <w:uiPriority w:val="9"/>
    <w:qFormat/>
    <w:rsid w:val="00EE59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59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E59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10F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4"/>
      <w:ind w:left="140"/>
    </w:pPr>
    <w:rPr>
      <w:rFonts w:ascii="Calibri" w:eastAsia="Calibri" w:hAnsi="Calibri" w:cs="Calibri"/>
      <w:b/>
      <w:bCs/>
      <w:sz w:val="24"/>
      <w:szCs w:val="24"/>
    </w:rPr>
  </w:style>
  <w:style w:type="paragraph" w:styleId="TOC2">
    <w:name w:val="toc 2"/>
    <w:basedOn w:val="Normal"/>
    <w:uiPriority w:val="1"/>
    <w:qFormat/>
    <w:pPr>
      <w:spacing w:before="156"/>
      <w:ind w:left="439" w:hanging="299"/>
    </w:pPr>
    <w:rPr>
      <w:rFonts w:ascii="Calibri" w:eastAsia="Calibri" w:hAnsi="Calibri" w:cs="Calibri"/>
      <w:b/>
      <w:bCs/>
      <w:sz w:val="20"/>
      <w:szCs w:val="20"/>
    </w:rPr>
  </w:style>
  <w:style w:type="paragraph" w:styleId="TOC3">
    <w:name w:val="toc 3"/>
    <w:basedOn w:val="Normal"/>
    <w:uiPriority w:val="1"/>
    <w:qFormat/>
    <w:pPr>
      <w:spacing w:before="156"/>
      <w:ind w:left="437" w:hanging="297"/>
    </w:pPr>
    <w:rPr>
      <w:rFonts w:ascii="Calibri" w:eastAsia="Calibri" w:hAnsi="Calibri" w:cs="Calibri"/>
      <w:sz w:val="20"/>
      <w:szCs w:val="20"/>
    </w:rPr>
  </w:style>
  <w:style w:type="paragraph" w:styleId="NoSpacing">
    <w:name w:val="No Spacing"/>
    <w:uiPriority w:val="1"/>
    <w:qFormat/>
    <w:rsid w:val="00EE595F"/>
  </w:style>
  <w:style w:type="character" w:customStyle="1" w:styleId="Heading1Char">
    <w:name w:val="Heading 1 Char"/>
    <w:basedOn w:val="DefaultParagraphFont"/>
    <w:link w:val="Heading1"/>
    <w:uiPriority w:val="9"/>
    <w:rsid w:val="00EE595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E595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E595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C3814"/>
    <w:pPr>
      <w:ind w:left="720"/>
      <w:contextualSpacing/>
    </w:pPr>
  </w:style>
  <w:style w:type="character" w:customStyle="1" w:styleId="Heading4Char">
    <w:name w:val="Heading 4 Char"/>
    <w:basedOn w:val="DefaultParagraphFont"/>
    <w:link w:val="Heading4"/>
    <w:uiPriority w:val="9"/>
    <w:rsid w:val="00610F71"/>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AF6861"/>
    <w:pPr>
      <w:tabs>
        <w:tab w:val="center" w:pos="4513"/>
        <w:tab w:val="right" w:pos="9026"/>
      </w:tabs>
    </w:pPr>
  </w:style>
  <w:style w:type="character" w:customStyle="1" w:styleId="HeaderChar">
    <w:name w:val="Header Char"/>
    <w:basedOn w:val="DefaultParagraphFont"/>
    <w:link w:val="Header"/>
    <w:uiPriority w:val="99"/>
    <w:rsid w:val="00AF6861"/>
  </w:style>
  <w:style w:type="paragraph" w:styleId="Footer">
    <w:name w:val="footer"/>
    <w:basedOn w:val="Normal"/>
    <w:link w:val="FooterChar"/>
    <w:uiPriority w:val="99"/>
    <w:unhideWhenUsed/>
    <w:rsid w:val="00AF6861"/>
    <w:pPr>
      <w:tabs>
        <w:tab w:val="center" w:pos="4513"/>
        <w:tab w:val="right" w:pos="9026"/>
      </w:tabs>
    </w:pPr>
  </w:style>
  <w:style w:type="character" w:customStyle="1" w:styleId="FooterChar">
    <w:name w:val="Footer Char"/>
    <w:basedOn w:val="DefaultParagraphFont"/>
    <w:link w:val="Footer"/>
    <w:uiPriority w:val="99"/>
    <w:rsid w:val="00AF6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99" Type="http://schemas.openxmlformats.org/officeDocument/2006/relationships/hyperlink" Target="https://www4.shu.ac.uk/research/cresr/sites/shu.ac.uk/files/social-economic-impact-rotherham.pdf" TargetMode="External"/><Relationship Id="rId21" Type="http://schemas.openxmlformats.org/officeDocument/2006/relationships/hyperlink" Target="https://www.pssru.ac.uk/" TargetMode="External"/><Relationship Id="rId63" Type="http://schemas.openxmlformats.org/officeDocument/2006/relationships/hyperlink" Target="https://improvement.nhs.uk/documents/1972/1_-_Reference_costs_201718.pdf" TargetMode="External"/><Relationship Id="rId159" Type="http://schemas.openxmlformats.org/officeDocument/2006/relationships/hyperlink" Target="http://www.lldc.org/wp-content/uploads/2016/09/LaingBuisson_LLDC_Final_Report_070916.pdf" TargetMode="External"/><Relationship Id="rId324" Type="http://schemas.openxmlformats.org/officeDocument/2006/relationships/hyperlink" Target="http://nhsemployers.org/your-workforce/pay-and-reward/nhs-terms-and-conditions/nhs-terms-and-conditions-of-service-handbook/mileage-allowances" TargetMode="External"/><Relationship Id="rId366" Type="http://schemas.openxmlformats.org/officeDocument/2006/relationships/hyperlink" Target="https://www.gdc-uk.org/professionals/cpd" TargetMode="External"/><Relationship Id="rId531" Type="http://schemas.openxmlformats.org/officeDocument/2006/relationships/hyperlink" Target="https://www.gov.uk/government/publications/personalised-health-and-care-2020" TargetMode="External"/><Relationship Id="rId573" Type="http://schemas.openxmlformats.org/officeDocument/2006/relationships/hyperlink" Target="http://www.scie-socialcareonline.org.uk/" TargetMode="External"/><Relationship Id="rId170" Type="http://schemas.openxmlformats.org/officeDocument/2006/relationships/hyperlink" Target="http://autism-alliance.org.uk/about-us/the-alliance" TargetMode="External"/><Relationship Id="rId226" Type="http://schemas.openxmlformats.org/officeDocument/2006/relationships/hyperlink" Target="https://www.gov.uk/government/statistics/children-looked-after-in-england-including-adoption-2017-to-2018" TargetMode="External"/><Relationship Id="rId433" Type="http://schemas.openxmlformats.org/officeDocument/2006/relationships/hyperlink" Target="http://www.nhsemployers.org/tchandbook" TargetMode="External"/><Relationship Id="rId268" Type="http://schemas.openxmlformats.org/officeDocument/2006/relationships/hyperlink" Target="http://www.kcl.ac.uk/lsm/research/divisions/cicelysaunders/research/studies/ukroc/Commissioning-Tools.aspx" TargetMode="External"/><Relationship Id="rId475" Type="http://schemas.openxmlformats.org/officeDocument/2006/relationships/hyperlink" Target="https://www.pssru.ac.uk/project-pages/unit-costs/unit-costs-2019/" TargetMode="External"/><Relationship Id="rId32" Type="http://schemas.openxmlformats.org/officeDocument/2006/relationships/hyperlink" Target="http://www.pulsetoday.co.uk/news/gp-topics/employment/more-than-two-thirds-of-gps-work-less-than-full-time-says-official-data/20037483.article" TargetMode="External"/><Relationship Id="rId74" Type="http://schemas.openxmlformats.org/officeDocument/2006/relationships/header" Target="header18.xml"/><Relationship Id="rId128" Type="http://schemas.openxmlformats.org/officeDocument/2006/relationships/hyperlink" Target="https://www.gov.uk/government/publications/land-value-estimates-for-policy-appraisal-2017" TargetMode="External"/><Relationship Id="rId335" Type="http://schemas.openxmlformats.org/officeDocument/2006/relationships/hyperlink" Target="https://digital.nhs.uk/data-and-information/publications/statistical/nhs-sickness-absence-rates/january-2019-to-march-2019-and-annual-summary-2010-11-to-2018-19" TargetMode="External"/><Relationship Id="rId377" Type="http://schemas.openxmlformats.org/officeDocument/2006/relationships/hyperlink" Target="https://www.gov.uk/government/publications/land-value-estimates-for-policy-appraisal-2017" TargetMode="External"/><Relationship Id="rId500" Type="http://schemas.openxmlformats.org/officeDocument/2006/relationships/hyperlink" Target="http://www.education.gov.uk/childrenandyoungpeople/safeguardingchildren/a0068940/children-in-care" TargetMode="External"/><Relationship Id="rId542" Type="http://schemas.openxmlformats.org/officeDocument/2006/relationships/hyperlink" Target="http://sexualhealthtariff.pathwayanalytics.com/" TargetMode="External"/><Relationship Id="rId5" Type="http://schemas.openxmlformats.org/officeDocument/2006/relationships/footnotes" Target="footnotes.xml"/><Relationship Id="rId181" Type="http://schemas.openxmlformats.org/officeDocument/2006/relationships/hyperlink" Target="https://digital.nhs.uk/data-and-information/publications/statistical/adult-social-care-activity-and-finance-report/2018-19" TargetMode="External"/><Relationship Id="rId237" Type="http://schemas.openxmlformats.org/officeDocument/2006/relationships/hyperlink" Target="https://www.gov.uk/government/uploads/system/uploads/attachment_data/file/270100/adoption_statutory_guidance_2013.pdf" TargetMode="External"/><Relationship Id="rId402" Type="http://schemas.openxmlformats.org/officeDocument/2006/relationships/hyperlink" Target="https://store.mintel.com/uk-domiciliary-care-market-report" TargetMode="External"/><Relationship Id="rId279" Type="http://schemas.openxmlformats.org/officeDocument/2006/relationships/header" Target="header61.xml"/><Relationship Id="rId444" Type="http://schemas.openxmlformats.org/officeDocument/2006/relationships/header" Target="header94.xml"/><Relationship Id="rId486" Type="http://schemas.openxmlformats.org/officeDocument/2006/relationships/hyperlink" Target="http://en.wikipedia.org/wiki/Mental_health" TargetMode="External"/><Relationship Id="rId43" Type="http://schemas.openxmlformats.org/officeDocument/2006/relationships/hyperlink" Target="https://www.england.nhs.uk/publication/" TargetMode="External"/><Relationship Id="rId139" Type="http://schemas.openxmlformats.org/officeDocument/2006/relationships/header" Target="header34.xml"/><Relationship Id="rId290" Type="http://schemas.openxmlformats.org/officeDocument/2006/relationships/hyperlink" Target="http://www.education.gov.uk/childrenandyoungpeople/safeguardingchildren/a0068940/children-in-care" TargetMode="External"/><Relationship Id="rId304" Type="http://schemas.openxmlformats.org/officeDocument/2006/relationships/header" Target="header69.xml"/><Relationship Id="rId346" Type="http://schemas.openxmlformats.org/officeDocument/2006/relationships/hyperlink" Target="https://www.gov.uk/government/publications/land-value-estimates-for-policy-appraisal-2017" TargetMode="External"/><Relationship Id="rId388" Type="http://schemas.openxmlformats.org/officeDocument/2006/relationships/hyperlink" Target="https://assets.publishing.service.gov.uk/government/uploads/system/uploads/attachment_data/file/681546/SFR09-2018_Main_Text.pdf" TargetMode="External"/><Relationship Id="rId511" Type="http://schemas.openxmlformats.org/officeDocument/2006/relationships/hyperlink" Target="https://www.gov.uk/government/publications/nhs-reference-costs-2014-to-2015" TargetMode="External"/><Relationship Id="rId553" Type="http://schemas.openxmlformats.org/officeDocument/2006/relationships/hyperlink" Target="http://www.lboro.ac.uk/research/ccfr/" TargetMode="External"/><Relationship Id="rId85" Type="http://schemas.openxmlformats.org/officeDocument/2006/relationships/hyperlink" Target="http://www.laingbuissonevents.com/wp-content/uploads/2017/05/William-COP.pdf" TargetMode="External"/><Relationship Id="rId150" Type="http://schemas.openxmlformats.org/officeDocument/2006/relationships/hyperlink" Target="https://digital.nhs.uk/data-and-information/publications/statistical/nhs-sickness-absence-rates/january-2019-to-march-2019-and-annual-summary-2010-11-to-2018-19" TargetMode="External"/><Relationship Id="rId192" Type="http://schemas.openxmlformats.org/officeDocument/2006/relationships/header" Target="header50.xml"/><Relationship Id="rId206" Type="http://schemas.openxmlformats.org/officeDocument/2006/relationships/hyperlink" Target="http://innovationcsc.co.uk/wp-content/uploads/2017/11/1.2.68-Evaluation_of_the_Sefton_Community_Adolescent_Service-1.pdf" TargetMode="External"/><Relationship Id="rId413" Type="http://schemas.openxmlformats.org/officeDocument/2006/relationships/hyperlink" Target="https://www.local.gov.uk/sites/default/files/documents/LG%20Workforce%20Survey%202016-17%20-%20report%20final%2020180718.pdf" TargetMode="External"/><Relationship Id="rId248" Type="http://schemas.openxmlformats.org/officeDocument/2006/relationships/header" Target="header57.xml"/><Relationship Id="rId455" Type="http://schemas.openxmlformats.org/officeDocument/2006/relationships/hyperlink" Target="http://www.foundationprogramme.nhs.uk/pages/home" TargetMode="External"/><Relationship Id="rId497" Type="http://schemas.openxmlformats.org/officeDocument/2006/relationships/hyperlink" Target="http://www.bsrm.co.uk/Publications.html" TargetMode="External"/><Relationship Id="rId12" Type="http://schemas.openxmlformats.org/officeDocument/2006/relationships/header" Target="header1.xml"/><Relationship Id="rId108" Type="http://schemas.openxmlformats.org/officeDocument/2006/relationships/hyperlink" Target="http://www.londonhp.nhs.uk/wp-content/uploads/2011/03/Dementia-Services-Guide.pdf" TargetMode="External"/><Relationship Id="rId315" Type="http://schemas.openxmlformats.org/officeDocument/2006/relationships/hyperlink" Target="https://www.nhsemployers.org/tchandbook/annex-4-to-10/annex-9-high-cost-area-supplements%20%5baccessed" TargetMode="External"/><Relationship Id="rId357" Type="http://schemas.openxmlformats.org/officeDocument/2006/relationships/hyperlink" Target="http://www.gdc-uk.org/Dentalprofessionals/Education/Pages/Dentist-qualifications.aspx" TargetMode="External"/><Relationship Id="rId522" Type="http://schemas.openxmlformats.org/officeDocument/2006/relationships/hyperlink" Target="http://socialwelfare.bl.uk/subject-areas/services-client-groups/families/actionforchildren/153741intensive-family-support-cost-effectiveness_full-report.pdf" TargetMode="External"/><Relationship Id="rId54" Type="http://schemas.openxmlformats.org/officeDocument/2006/relationships/header" Target="header8.xml"/><Relationship Id="rId96" Type="http://schemas.openxmlformats.org/officeDocument/2006/relationships/hyperlink" Target="https://assets.publishing.service.gov.uk/government/uploads/system/uploads/attachment_data/file/772969/Social_care_charging_for_care_and_support_-_LAC_2019.pdf" TargetMode="External"/><Relationship Id="rId161" Type="http://schemas.openxmlformats.org/officeDocument/2006/relationships/hyperlink" Target="https://digital.nhs.uk/data-and-information/publications/statistical/adult-social-care-activity-and-finance-report/2018-19" TargetMode="External"/><Relationship Id="rId217" Type="http://schemas.openxmlformats.org/officeDocument/2006/relationships/hyperlink" Target="https://www.gov.uk/government/publications/land-value-estimates-for-policy-appraisal-2017" TargetMode="External"/><Relationship Id="rId399" Type="http://schemas.openxmlformats.org/officeDocument/2006/relationships/hyperlink" Target="https://www.ukhca.co.uk/CostingModel/default.aspx" TargetMode="External"/><Relationship Id="rId564" Type="http://schemas.openxmlformats.org/officeDocument/2006/relationships/hyperlink" Target="http://www.livability.org.uk/" TargetMode="External"/><Relationship Id="rId259" Type="http://schemas.openxmlformats.org/officeDocument/2006/relationships/hyperlink" Target="https://publichealthmatters.blog.gov.uk/2016/02/29/investing-in-prevention-is-it-cost-effective/" TargetMode="External"/><Relationship Id="rId424" Type="http://schemas.openxmlformats.org/officeDocument/2006/relationships/hyperlink" Target="mailto:Alexandra.melaugh@kcl.ac.uk" TargetMode="External"/><Relationship Id="rId466" Type="http://schemas.openxmlformats.org/officeDocument/2006/relationships/header" Target="header100.xml"/><Relationship Id="rId23" Type="http://schemas.openxmlformats.org/officeDocument/2006/relationships/hyperlink" Target="https://www.pssru.ac.uk/ucarticles/" TargetMode="External"/><Relationship Id="rId119" Type="http://schemas.openxmlformats.org/officeDocument/2006/relationships/hyperlink" Target="https://www.sduhealth.org.uk/policy-strategy/reporting/natural-resource-footprint-2018.aspx" TargetMode="External"/><Relationship Id="rId270" Type="http://schemas.openxmlformats.org/officeDocument/2006/relationships/hyperlink" Target="http://www.england.nhs.uk/commissioning/spec-services/npc-crg/group-d/d02/" TargetMode="External"/><Relationship Id="rId326" Type="http://schemas.openxmlformats.org/officeDocument/2006/relationships/hyperlink" Target="https://digital.nhs.uk/data-and-information/publications/statistical/nhs-sickness-absence-rates/january-2019-to-march-2019-and-annual-summary-2010-11-to-2018-19" TargetMode="External"/><Relationship Id="rId533" Type="http://schemas.openxmlformats.org/officeDocument/2006/relationships/hyperlink" Target="http://content.digital.nhs.uk/catalogue/PUB21701/nhs-dent-stat-eng-15-16-rep.pdf" TargetMode="External"/><Relationship Id="rId65" Type="http://schemas.openxmlformats.org/officeDocument/2006/relationships/hyperlink" Target="http://sexualhealthtariff.pathwayanalytics.com/" TargetMode="External"/><Relationship Id="rId130" Type="http://schemas.openxmlformats.org/officeDocument/2006/relationships/hyperlink" Target="https://www.gov.uk/government/publications/land-value-estimates-for-policy-appraisal-2017" TargetMode="External"/><Relationship Id="rId368" Type="http://schemas.openxmlformats.org/officeDocument/2006/relationships/hyperlink" Target="https://files.digital.nhs.uk/D5/AB5837/Dental-Working-Hours-2016-17-and-2017-18-Working-Patterns-Motivation-and-Morale-Report.pdf" TargetMode="External"/><Relationship Id="rId575" Type="http://schemas.openxmlformats.org/officeDocument/2006/relationships/hyperlink" Target="http://www.youngminds.org.uk/" TargetMode="External"/><Relationship Id="rId172" Type="http://schemas.openxmlformats.org/officeDocument/2006/relationships/header" Target="header43.xml"/><Relationship Id="rId228" Type="http://schemas.openxmlformats.org/officeDocument/2006/relationships/hyperlink" Target="http://www.cvaa.org.uk/the-voluntary-adoption-sector/inter-agency-fees/)" TargetMode="External"/><Relationship Id="rId435" Type="http://schemas.openxmlformats.org/officeDocument/2006/relationships/hyperlink" Target="https://www.gov.uk/government/publications/nhs-foundation-trust-accounts-consolidation-ftc-files-201415" TargetMode="External"/><Relationship Id="rId477" Type="http://schemas.openxmlformats.org/officeDocument/2006/relationships/hyperlink" Target="https://www.thecompleteuniversityguide.co.uk/university-tuition-fees/university-tuition-fees-and-financial-support/if-you-come-from-england/" TargetMode="External"/><Relationship Id="rId281" Type="http://schemas.openxmlformats.org/officeDocument/2006/relationships/hyperlink" Target="https://www.gov.uk/government/collections/nhs-reference-costs" TargetMode="External"/><Relationship Id="rId337" Type="http://schemas.openxmlformats.org/officeDocument/2006/relationships/hyperlink" Target="https://www.nhsemployers.org/tchandbook/annex-4-to-10/annex-9-high-cost-area-supplements%20%5baccessed" TargetMode="External"/><Relationship Id="rId502" Type="http://schemas.openxmlformats.org/officeDocument/2006/relationships/hyperlink" Target="http://www.education.gov.uk/a00227754/looked-after-children-data-pack" TargetMode="External"/><Relationship Id="rId34" Type="http://schemas.openxmlformats.org/officeDocument/2006/relationships/hyperlink" Target="https://www.telegraph.co.uk/news/2018/02/01/gps-retire-early-amid-clampdown-multi-million-pension-pots/" TargetMode="External"/><Relationship Id="rId76" Type="http://schemas.openxmlformats.org/officeDocument/2006/relationships/hyperlink" Target="https://digital.nhs.uk/data-and-information/publications/statistical/adult-social-care-activity-and-finance-report/2018-19" TargetMode="External"/><Relationship Id="rId141" Type="http://schemas.openxmlformats.org/officeDocument/2006/relationships/hyperlink" Target="https://improvement.nhs.uk/resources/reference-costs/" TargetMode="External"/><Relationship Id="rId379" Type="http://schemas.openxmlformats.org/officeDocument/2006/relationships/hyperlink" Target="http://www.gov.uk/government/publications/the-green-book-appraisal-and-evaluation-in-central-governent" TargetMode="External"/><Relationship Id="rId544" Type="http://schemas.openxmlformats.org/officeDocument/2006/relationships/hyperlink" Target="https://data.gov.uk/dataset/9cd42409-1a44-4e6c-9696-29d6a760e746/national-minimum-dataset-for-social-care-nmds-sc" TargetMode="External"/><Relationship Id="rId7" Type="http://schemas.openxmlformats.org/officeDocument/2006/relationships/image" Target="media/image1.jpeg"/><Relationship Id="rId183" Type="http://schemas.openxmlformats.org/officeDocument/2006/relationships/hyperlink" Target="https://www.gov.uk/government/publications/land-value-estimates-for-policy-appraisal-2017" TargetMode="External"/><Relationship Id="rId239" Type="http://schemas.openxmlformats.org/officeDocument/2006/relationships/hyperlink" Target="http://www.basw.co.uk/social-work-careers/" TargetMode="External"/><Relationship Id="rId390" Type="http://schemas.openxmlformats.org/officeDocument/2006/relationships/hyperlink" Target="https://www.gov.uk/government/publications/land-value-estimates-for-policy-appraisal-2017" TargetMode="External"/><Relationship Id="rId404" Type="http://schemas.openxmlformats.org/officeDocument/2006/relationships/hyperlink" Target="https://digital.nhs.uk/data-and-information/publications/statistical/adult-social-care-activity-and-finance-report/2018-19" TargetMode="External"/><Relationship Id="rId446" Type="http://schemas.openxmlformats.org/officeDocument/2006/relationships/header" Target="header95.xml"/><Relationship Id="rId250" Type="http://schemas.openxmlformats.org/officeDocument/2006/relationships/hyperlink" Target="https://www.uk-wheelchairs.co.uk/" TargetMode="External"/><Relationship Id="rId292" Type="http://schemas.openxmlformats.org/officeDocument/2006/relationships/header" Target="header66.xml"/><Relationship Id="rId306" Type="http://schemas.openxmlformats.org/officeDocument/2006/relationships/hyperlink" Target="http://www.nhsemployers.org/your-workforce/pay-and-reward/pay/job-evaluation/national-job-profiles" TargetMode="External"/><Relationship Id="rId488" Type="http://schemas.openxmlformats.org/officeDocument/2006/relationships/hyperlink" Target="http://en.wikipedia.org/wiki/United_Kingdom" TargetMode="External"/><Relationship Id="rId45" Type="http://schemas.openxmlformats.org/officeDocument/2006/relationships/hyperlink" Target="https://www.gov.uk/government/consultations/improving-the-costing-of-nhs-services-proposals-for-2015-to-2021" TargetMode="External"/><Relationship Id="rId87" Type="http://schemas.openxmlformats.org/officeDocument/2006/relationships/hyperlink" Target="http://www.rcpa.org.uk/wp-content/uploads/2016/12/NAT00339_Healthcare_Report_Midres.pdf" TargetMode="External"/><Relationship Id="rId110" Type="http://schemas.openxmlformats.org/officeDocument/2006/relationships/hyperlink" Target="http://webarchive.nationalarchives.gov.uk/%2B/www.dh.gov.uk/en/Publicationsandstatistics/Publications/PublicationsPolicyAndGuidance/Browsable/DH_127381" TargetMode="External"/><Relationship Id="rId348" Type="http://schemas.openxmlformats.org/officeDocument/2006/relationships/hyperlink" Target="http://www.sciencedirect.com/science/article/pii/S0140673616006206" TargetMode="External"/><Relationship Id="rId513" Type="http://schemas.openxmlformats.org/officeDocument/2006/relationships/hyperlink" Target="http://www.nuffieldtrust.org.uk/publications/health-social-care-end-life/" TargetMode="External"/><Relationship Id="rId555" Type="http://schemas.openxmlformats.org/officeDocument/2006/relationships/hyperlink" Target="http://www.education.gov.uk/" TargetMode="External"/><Relationship Id="rId152" Type="http://schemas.openxmlformats.org/officeDocument/2006/relationships/header" Target="header37.xml"/><Relationship Id="rId194" Type="http://schemas.openxmlformats.org/officeDocument/2006/relationships/hyperlink" Target="https://www.gov.uk/government/publications/childrens-services-innovation-programme" TargetMode="External"/><Relationship Id="rId208" Type="http://schemas.openxmlformats.org/officeDocument/2006/relationships/header" Target="header52.xml"/><Relationship Id="rId415" Type="http://schemas.openxmlformats.org/officeDocument/2006/relationships/hyperlink" Target="https://careertrend.com/about-4618849-job-description-community-outreach-worker.html%20%5b17" TargetMode="External"/><Relationship Id="rId457" Type="http://schemas.openxmlformats.org/officeDocument/2006/relationships/header" Target="header98.xml"/><Relationship Id="rId261" Type="http://schemas.openxmlformats.org/officeDocument/2006/relationships/hyperlink" Target="https://www.nice.org.uk/guidance/ph19" TargetMode="External"/><Relationship Id="rId499" Type="http://schemas.openxmlformats.org/officeDocument/2006/relationships/hyperlink" Target="https://www.education.gov.uk/publications/standard/publicationDetail/Page1/DCSF-RBX-16-08" TargetMode="External"/><Relationship Id="rId14" Type="http://schemas.openxmlformats.org/officeDocument/2006/relationships/hyperlink" Target="https://www.pssru.ac.uk/project-pages/unit-costs/unit-costs-2018/" TargetMode="External"/><Relationship Id="rId56" Type="http://schemas.openxmlformats.org/officeDocument/2006/relationships/image" Target="media/image3.png"/><Relationship Id="rId317" Type="http://schemas.openxmlformats.org/officeDocument/2006/relationships/hyperlink" Target="https://improvement.nhs.uk/resources/201920-payment-reform-proposals/" TargetMode="External"/><Relationship Id="rId359" Type="http://schemas.openxmlformats.org/officeDocument/2006/relationships/hyperlink" Target="https://www.gdc-uk.org/professionals/cpd" TargetMode="External"/><Relationship Id="rId524" Type="http://schemas.openxmlformats.org/officeDocument/2006/relationships/hyperlink" Target="http://socialwelfare.bl.uk/subject-areas/services-client-groups/families/actionforchildren/153741intensive-family-support-cost-effectiveness_full-report.pdf" TargetMode="External"/><Relationship Id="rId566" Type="http://schemas.openxmlformats.org/officeDocument/2006/relationships/hyperlink" Target="http://www.ncpc.org.uk/" TargetMode="External"/><Relationship Id="rId98" Type="http://schemas.openxmlformats.org/officeDocument/2006/relationships/hyperlink" Target="http://www.laingbuissonevents.com/wp-content/uploads/2017/05/William-COP.pdf" TargetMode="External"/><Relationship Id="rId121" Type="http://schemas.openxmlformats.org/officeDocument/2006/relationships/header" Target="header29.xml"/><Relationship Id="rId163" Type="http://schemas.openxmlformats.org/officeDocument/2006/relationships/hyperlink" Target="https://www.peoplefirstinfo.org.uk/health-and-well-being/learning-disability/accommodation-for-people-with-learning-disabilities/" TargetMode="External"/><Relationship Id="rId219" Type="http://schemas.openxmlformats.org/officeDocument/2006/relationships/hyperlink" Target="https://www.gov.uk/government/collections/section-251-materials" TargetMode="External"/><Relationship Id="rId370" Type="http://schemas.openxmlformats.org/officeDocument/2006/relationships/header" Target="header82.xml"/><Relationship Id="rId426" Type="http://schemas.openxmlformats.org/officeDocument/2006/relationships/hyperlink" Target="http://eprints.lse.ac.uk/29956/1/Internet_Use_and_Opinion_Formation_in_Countries_with_Different_ICT_Contexts.pdf" TargetMode="External"/><Relationship Id="rId230" Type="http://schemas.openxmlformats.org/officeDocument/2006/relationships/hyperlink" Target="https://www.gov.uk/government/collections/section-251-materials" TargetMode="External"/><Relationship Id="rId468" Type="http://schemas.openxmlformats.org/officeDocument/2006/relationships/header" Target="header102.xml"/><Relationship Id="rId25" Type="http://schemas.openxmlformats.org/officeDocument/2006/relationships/hyperlink" Target="https://bartshealth.nhs.uk/virtual-consultations" TargetMode="External"/><Relationship Id="rId67" Type="http://schemas.openxmlformats.org/officeDocument/2006/relationships/header" Target="header13.xml"/><Relationship Id="rId272" Type="http://schemas.openxmlformats.org/officeDocument/2006/relationships/hyperlink" Target="http://www.england.nhs.uk/commissioning/spec-services/npc-crg/group-d/d02/)%20%5baccessed" TargetMode="External"/><Relationship Id="rId328" Type="http://schemas.openxmlformats.org/officeDocument/2006/relationships/header" Target="header76.xml"/><Relationship Id="rId535" Type="http://schemas.openxmlformats.org/officeDocument/2006/relationships/hyperlink" Target="http://content.digital.nhs.uk/catalogue/PUB21316/dent-work-hour-1415-1516-rep.pdf" TargetMode="External"/><Relationship Id="rId577" Type="http://schemas.openxmlformats.org/officeDocument/2006/relationships/fontTable" Target="fontTable.xml"/><Relationship Id="rId132" Type="http://schemas.openxmlformats.org/officeDocument/2006/relationships/hyperlink" Target="http://www.healthcareers.nhs.uk/about/careers-nhs/nhs-pay-and-benefits" TargetMode="External"/><Relationship Id="rId174" Type="http://schemas.openxmlformats.org/officeDocument/2006/relationships/header" Target="header44.xml"/><Relationship Id="rId381" Type="http://schemas.openxmlformats.org/officeDocument/2006/relationships/header" Target="header85.xml"/><Relationship Id="rId241" Type="http://schemas.openxmlformats.org/officeDocument/2006/relationships/hyperlink" Target="https://www.counselling-directory.org.uk/what-is-counselling.html" TargetMode="External"/><Relationship Id="rId437" Type="http://schemas.openxmlformats.org/officeDocument/2006/relationships/hyperlink" Target="https://www.gov.uk/government/publications/land-value-estimates-for-policy-appraisal-2017" TargetMode="External"/><Relationship Id="rId479" Type="http://schemas.openxmlformats.org/officeDocument/2006/relationships/hyperlink" Target="https://assets.publishing.service.gov.uk/government/uploads/system/uploads/attachment_data/file/791560/education-and-training-tariffs-2019-to-2020.pdf" TargetMode="External"/><Relationship Id="rId36" Type="http://schemas.openxmlformats.org/officeDocument/2006/relationships/hyperlink" Target="https://www.pssru.ac.uk/blog/category/unit-costs/" TargetMode="External"/><Relationship Id="rId283" Type="http://schemas.openxmlformats.org/officeDocument/2006/relationships/hyperlink" Target="https://improvement.nhs.uk/resources/reference-costs/" TargetMode="External"/><Relationship Id="rId339" Type="http://schemas.openxmlformats.org/officeDocument/2006/relationships/hyperlink" Target="https://improvement.nhs.uk/resources/201920-payment-reform-proposals/" TargetMode="External"/><Relationship Id="rId490" Type="http://schemas.openxmlformats.org/officeDocument/2006/relationships/hyperlink" Target="http://en.wikipedia.org/wiki/Department_of_Social_Security" TargetMode="External"/><Relationship Id="rId504" Type="http://schemas.openxmlformats.org/officeDocument/2006/relationships/hyperlink" Target="http://www.gov.uk/government/publications/section-251-outturn-2013-to-2014-data" TargetMode="External"/><Relationship Id="rId546" Type="http://schemas.openxmlformats.org/officeDocument/2006/relationships/hyperlink" Target="http://www.skillsforcare.org.uk/Topics/Learning-disability/Positive-behavioural-support/Positive-behaviour-support.aspx" TargetMode="External"/><Relationship Id="rId78" Type="http://schemas.openxmlformats.org/officeDocument/2006/relationships/hyperlink" Target="https://www.gov.uk/government/news/nhs-funded-nursing-care-rate-announced-for-2018-to-2019" TargetMode="External"/><Relationship Id="rId101" Type="http://schemas.openxmlformats.org/officeDocument/2006/relationships/hyperlink" Target="https://digital.nhs.uk/data-and-information/publications/statistical/adult-social-care-activity-and-finance-report/2018-19" TargetMode="External"/><Relationship Id="rId143" Type="http://schemas.openxmlformats.org/officeDocument/2006/relationships/header" Target="header36.xml"/><Relationship Id="rId185" Type="http://schemas.openxmlformats.org/officeDocument/2006/relationships/hyperlink" Target="https://assets.publishing.service.gov.uk/government/uploads/system/uploads/attachment_data/file/772969/Social_care_charging_for_care_and_support_-_LAC_2019.pdf" TargetMode="External"/><Relationship Id="rId350" Type="http://schemas.openxmlformats.org/officeDocument/2006/relationships/hyperlink" Target="http://digital.nhs.uk/pubs/gpworkmay19" TargetMode="External"/><Relationship Id="rId406" Type="http://schemas.openxmlformats.org/officeDocument/2006/relationships/hyperlink" Target="http://www.gov.uk/government/publications/the-green-book-appraisal-and-evaluation-in-central-governentf" TargetMode="External"/><Relationship Id="rId9" Type="http://schemas.openxmlformats.org/officeDocument/2006/relationships/hyperlink" Target="http://www.pssru.ac.uk/" TargetMode="External"/><Relationship Id="rId210" Type="http://schemas.openxmlformats.org/officeDocument/2006/relationships/hyperlink" Target="https://www.gov.uk/government/publications/land-value-estimates-for-policy-appraisal-2017" TargetMode="External"/><Relationship Id="rId392" Type="http://schemas.openxmlformats.org/officeDocument/2006/relationships/hyperlink" Target="https://assets.publishing.service.gov.uk/government/uploads/system/uploads/attachment_data/file/681546/SFR09-2018_Main_Text.pdf" TargetMode="External"/><Relationship Id="rId448" Type="http://schemas.openxmlformats.org/officeDocument/2006/relationships/hyperlink" Target="https://www.gov.uk/government/publications/nhs-foundation-trust-accounts-consolidation-ftc-files-201415" TargetMode="External"/><Relationship Id="rId252" Type="http://schemas.openxmlformats.org/officeDocument/2006/relationships/hyperlink" Target="https://www.pssru.ac.uk/blog/category/adaptation/" TargetMode="External"/><Relationship Id="rId294" Type="http://schemas.openxmlformats.org/officeDocument/2006/relationships/hyperlink" Target="https://www.nice.org.uk/guidance/ng92" TargetMode="External"/><Relationship Id="rId308" Type="http://schemas.openxmlformats.org/officeDocument/2006/relationships/header" Target="header71.xml"/><Relationship Id="rId515" Type="http://schemas.openxmlformats.org/officeDocument/2006/relationships/hyperlink" Target="https://assets.publishing.service.gov.uk/government/uploads/system/uploads/attachment_data/file/791560/education-and-training-tariffs-2019-to-2020.pdf" TargetMode="External"/><Relationship Id="rId47" Type="http://schemas.openxmlformats.org/officeDocument/2006/relationships/hyperlink" Target="https://assets.publishing.service.gov.uk/government/uploads/system/uploads/attachment_data/file/466112/Reference_cost_audit_report_final_v2.pdf" TargetMode="External"/><Relationship Id="rId68" Type="http://schemas.openxmlformats.org/officeDocument/2006/relationships/hyperlink" Target="https://www.youthemployment.org.uk/careers-hub-job-role/health-trainer/" TargetMode="External"/><Relationship Id="rId89" Type="http://schemas.openxmlformats.org/officeDocument/2006/relationships/header" Target="header21.xml"/><Relationship Id="rId112" Type="http://schemas.openxmlformats.org/officeDocument/2006/relationships/hyperlink" Target="http://dementianews.wordpress.com/2011/05/12/nice-commissioning-guide-memory-assessment-services/" TargetMode="External"/><Relationship Id="rId133" Type="http://schemas.openxmlformats.org/officeDocument/2006/relationships/header" Target="header30.xml"/><Relationship Id="rId154" Type="http://schemas.openxmlformats.org/officeDocument/2006/relationships/header" Target="header39.xml"/><Relationship Id="rId175" Type="http://schemas.openxmlformats.org/officeDocument/2006/relationships/header" Target="header45.xml"/><Relationship Id="rId340" Type="http://schemas.openxmlformats.org/officeDocument/2006/relationships/header" Target="header78.xml"/><Relationship Id="rId361" Type="http://schemas.openxmlformats.org/officeDocument/2006/relationships/hyperlink" Target="https://digital.nhs.uk/data-and-information/publications/statistical/dental-earnings-and-expenses-estimates/2017-18" TargetMode="External"/><Relationship Id="rId557" Type="http://schemas.openxmlformats.org/officeDocument/2006/relationships/hyperlink" Target="http://www.gov.uk/government/organisations/department-of-health-and-social-" TargetMode="External"/><Relationship Id="rId578" Type="http://schemas.openxmlformats.org/officeDocument/2006/relationships/theme" Target="theme/theme1.xml"/><Relationship Id="rId196" Type="http://schemas.openxmlformats.org/officeDocument/2006/relationships/hyperlink" Target="http://innovationcsc.co.uk/projects/belhaven-service/" TargetMode="External"/><Relationship Id="rId200" Type="http://schemas.openxmlformats.org/officeDocument/2006/relationships/hyperlink" Target="http://innovationcsc.co.uk/wp-content/uploads/2017/11/1.2.67-Priory_Belhaven_IP_evaluation_report_July_17.pdf" TargetMode="External"/><Relationship Id="rId382" Type="http://schemas.openxmlformats.org/officeDocument/2006/relationships/header" Target="header86.xml"/><Relationship Id="rId417" Type="http://schemas.openxmlformats.org/officeDocument/2006/relationships/hyperlink" Target="http://lgpsboard.org/index.php/schemedata" TargetMode="External"/><Relationship Id="rId438" Type="http://schemas.openxmlformats.org/officeDocument/2006/relationships/hyperlink" Target="https://digital.nhs.uk/data-and-information/publications/statistical/nhs-sickness-absence-rates/january-2019-to-march-2019-and-annual-summary-2010-11-to-2018-19" TargetMode="External"/><Relationship Id="rId459" Type="http://schemas.openxmlformats.org/officeDocument/2006/relationships/hyperlink" Target="https://www.gov.uk/government/publications/nhs-foundation-trust-accounts-consolidation-ftc-files-201415" TargetMode="External"/><Relationship Id="rId16" Type="http://schemas.openxmlformats.org/officeDocument/2006/relationships/header" Target="header4.xml"/><Relationship Id="rId221" Type="http://schemas.openxmlformats.org/officeDocument/2006/relationships/hyperlink" Target="https://www.gov.uk/government/uploads/system/uploads/attachment_data/file/391529/RR437_-_Children_s_homes_workforce_census_.pdf" TargetMode="External"/><Relationship Id="rId242" Type="http://schemas.openxmlformats.org/officeDocument/2006/relationships/header" Target="header55.xml"/><Relationship Id="rId263" Type="http://schemas.openxmlformats.org/officeDocument/2006/relationships/hyperlink" Target="https://www.jmir.org/article/viewFile/jmir_v19i5e144/2" TargetMode="External"/><Relationship Id="rId284" Type="http://schemas.openxmlformats.org/officeDocument/2006/relationships/hyperlink" Target="https://www.bpas.org/abortion-care/considering-abortion/prices/" TargetMode="External"/><Relationship Id="rId319" Type="http://schemas.openxmlformats.org/officeDocument/2006/relationships/header" Target="header73.xml"/><Relationship Id="rId470" Type="http://schemas.openxmlformats.org/officeDocument/2006/relationships/hyperlink" Target="http://en.wikipedia.org/wiki/Office_for_National_Statistics" TargetMode="External"/><Relationship Id="rId491" Type="http://schemas.openxmlformats.org/officeDocument/2006/relationships/hyperlink" Target="http://en.wikipedia.org/wiki/Secretary_of_State_for_Work_and_Pensions" TargetMode="External"/><Relationship Id="rId505" Type="http://schemas.openxmlformats.org/officeDocument/2006/relationships/hyperlink" Target="http://www.gov.uk/government/publications/section-251-outturn-2013-to-2014-data" TargetMode="External"/><Relationship Id="rId526" Type="http://schemas.openxmlformats.org/officeDocument/2006/relationships/hyperlink" Target="https://www.gov.uk/government/publications/land-value-estimates-for-policy-appraisal-2017" TargetMode="External"/><Relationship Id="rId37" Type="http://schemas.openxmlformats.org/officeDocument/2006/relationships/hyperlink" Target="https://www.skillsforcare.org.uk/Documents/NMDS-SC-and-intelligence/Research-evidence/Impact-of-longer-working-hours-on-quality-of-care-final-report.pdf" TargetMode="External"/><Relationship Id="rId58" Type="http://schemas.openxmlformats.org/officeDocument/2006/relationships/hyperlink" Target="https://www.longtermplan.nhs.uk/" TargetMode="External"/><Relationship Id="rId79" Type="http://schemas.openxmlformats.org/officeDocument/2006/relationships/hyperlink" Target="https://www.ohe.org/sites/default/files/Competition%20in%20care%20home%20market%202011.pdf" TargetMode="External"/><Relationship Id="rId102" Type="http://schemas.openxmlformats.org/officeDocument/2006/relationships/hyperlink" Target="https://www.gov.uk/government/publications/land-value-estimates-for-policy-appraisal-2017" TargetMode="External"/><Relationship Id="rId123" Type="http://schemas.openxmlformats.org/officeDocument/2006/relationships/hyperlink" Target="https://digital.nhs.uk/data-and-information/publications/statistical/adult-social-care-activity-and-finance-report/2018-19" TargetMode="External"/><Relationship Id="rId144" Type="http://schemas.openxmlformats.org/officeDocument/2006/relationships/hyperlink" Target="http://alcoholresearchuk.org/downloads/finalReports/FinalReport_0115.pdf" TargetMode="External"/><Relationship Id="rId330" Type="http://schemas.openxmlformats.org/officeDocument/2006/relationships/hyperlink" Target="http://www.nhsemployers.org/tchandbook" TargetMode="External"/><Relationship Id="rId547" Type="http://schemas.openxmlformats.org/officeDocument/2006/relationships/hyperlink" Target="http://www.skillsforcare.org.uk/Topics/Learning-disability/Positive-behavioural-support/Positive-behaviour-support.aspx" TargetMode="External"/><Relationship Id="rId568" Type="http://schemas.openxmlformats.org/officeDocument/2006/relationships/hyperlink" Target="https://digital.nhs.uk/" TargetMode="External"/><Relationship Id="rId90" Type="http://schemas.openxmlformats.org/officeDocument/2006/relationships/hyperlink" Target="https://digital.nhs.uk/data-and-information/publications/statistical/adult-social-care-activity-and-finance-report/2018-19" TargetMode="External"/><Relationship Id="rId165" Type="http://schemas.openxmlformats.org/officeDocument/2006/relationships/hyperlink" Target="http://lldc.org/wp-content/uploads/2016/09/LaingBuisson_LLDC_Final_Report_070916.pdf" TargetMode="External"/><Relationship Id="rId186" Type="http://schemas.openxmlformats.org/officeDocument/2006/relationships/header" Target="header47.xml"/><Relationship Id="rId351" Type="http://schemas.openxmlformats.org/officeDocument/2006/relationships/header" Target="header80.xml"/><Relationship Id="rId372" Type="http://schemas.openxmlformats.org/officeDocument/2006/relationships/header" Target="header84.xml"/><Relationship Id="rId393" Type="http://schemas.openxmlformats.org/officeDocument/2006/relationships/header" Target="header87.xml"/><Relationship Id="rId407" Type="http://schemas.openxmlformats.org/officeDocument/2006/relationships/hyperlink" Target="http://www.ukhca.co.uk/pdfs/AMPFHC_150719.pdf" TargetMode="External"/><Relationship Id="rId428" Type="http://schemas.openxmlformats.org/officeDocument/2006/relationships/hyperlink" Target="https://www.derbyshirealc.gov.uk/uploads/2016-2018-national-salary-award.pdf" TargetMode="External"/><Relationship Id="rId449" Type="http://schemas.openxmlformats.org/officeDocument/2006/relationships/hyperlink" Target="https://www.gov.uk/government/publications/nhs-foundation-trust-accounts-consolidation-ftc-files-201415" TargetMode="External"/><Relationship Id="rId211" Type="http://schemas.openxmlformats.org/officeDocument/2006/relationships/hyperlink" Target="https://www.gov.uk/government/collections/section-251-materials" TargetMode="External"/><Relationship Id="rId232" Type="http://schemas.openxmlformats.org/officeDocument/2006/relationships/hyperlink" Target="https://www.gov.uk/government/statistics/children-looked-after-in-england-including-adoption-2017-to-2018" TargetMode="External"/><Relationship Id="rId253" Type="http://schemas.openxmlformats.org/officeDocument/2006/relationships/hyperlink" Target="http://journals.sagepub.com/doi/full/10.1177/0308022618771534" TargetMode="External"/><Relationship Id="rId274" Type="http://schemas.openxmlformats.org/officeDocument/2006/relationships/header" Target="header60.xml"/><Relationship Id="rId295" Type="http://schemas.openxmlformats.org/officeDocument/2006/relationships/hyperlink" Target="https://www.herc.ox.ac.uk/publications/830311" TargetMode="External"/><Relationship Id="rId309" Type="http://schemas.openxmlformats.org/officeDocument/2006/relationships/hyperlink" Target="http://www.nhsemployers.org/tchandbook" TargetMode="External"/><Relationship Id="rId460" Type="http://schemas.openxmlformats.org/officeDocument/2006/relationships/hyperlink" Target="https://www.gov.uk/government/publications/nhs-foundation-trust-accounts-consolidation-ftc-files-201415" TargetMode="External"/><Relationship Id="rId481" Type="http://schemas.openxmlformats.org/officeDocument/2006/relationships/hyperlink" Target="https://assets.publishing.service.gov.uk/government/uploads/system/uploads/attachment_data/file/791560/education-and-training-tariffs-2019-to-2020.pdf" TargetMode="External"/><Relationship Id="rId516" Type="http://schemas.openxmlformats.org/officeDocument/2006/relationships/hyperlink" Target="https://assets.publishing.service.gov.uk/government/uploads/system/uploads/attachment_data/file/791560/education-and-training-tariffs-2019-to-2020.pdf" TargetMode="External"/><Relationship Id="rId27" Type="http://schemas.openxmlformats.org/officeDocument/2006/relationships/hyperlink" Target="https://www.pssru.ac.uk/project-pages/unit-costs/unit-costs-2018/" TargetMode="External"/><Relationship Id="rId48" Type="http://schemas.openxmlformats.org/officeDocument/2006/relationships/hyperlink" Target="https://assets.publishing.service.gov.uk/government/uploads/system/uploads/attachment_data/file/466112/Reference_cost_audit_report_final_v2.pdf" TargetMode="External"/><Relationship Id="rId69" Type="http://schemas.openxmlformats.org/officeDocument/2006/relationships/hyperlink" Target="https://www.birmingham.ac.uk/staff/jobs/pay.aspx" TargetMode="External"/><Relationship Id="rId113" Type="http://schemas.openxmlformats.org/officeDocument/2006/relationships/hyperlink" Target="https://www.gov.uk/government/publications/land-value-estimates-for-policy-appraisal-2017" TargetMode="External"/><Relationship Id="rId134" Type="http://schemas.openxmlformats.org/officeDocument/2006/relationships/header" Target="header31.xml"/><Relationship Id="rId320" Type="http://schemas.openxmlformats.org/officeDocument/2006/relationships/header" Target="header74.xml"/><Relationship Id="rId537" Type="http://schemas.openxmlformats.org/officeDocument/2006/relationships/hyperlink" Target="https://digital.nhs.uk/data-and-information/publications/statistical/nhs-sickness-absence-rates/nhs-sickness-absence-rates---january-2018-to-march-2018-and-annual-summary-2010-11-to-2017-18" TargetMode="External"/><Relationship Id="rId558" Type="http://schemas.openxmlformats.org/officeDocument/2006/relationships/hyperlink" Target="http://www.dwp.gov.uk/" TargetMode="External"/><Relationship Id="rId80" Type="http://schemas.openxmlformats.org/officeDocument/2006/relationships/hyperlink" Target="http://www.cqc.org.uk/sites/default/files/201402-market-stability-report.pdf" TargetMode="External"/><Relationship Id="rId155" Type="http://schemas.openxmlformats.org/officeDocument/2006/relationships/hyperlink" Target="https://www.gov.uk/government/publications/land-value-estimates-for-policy-appraisal-2017" TargetMode="External"/><Relationship Id="rId176" Type="http://schemas.openxmlformats.org/officeDocument/2006/relationships/hyperlink" Target="https://digital.nhs.uk/data-and-information/publications/statistical/adult-social-care-activity-and-finance-report/2018-19" TargetMode="External"/><Relationship Id="rId197" Type="http://schemas.openxmlformats.org/officeDocument/2006/relationships/hyperlink" Target="https://www.gov.uk/government/publications/social-care-pause-programme" TargetMode="External"/><Relationship Id="rId341" Type="http://schemas.openxmlformats.org/officeDocument/2006/relationships/header" Target="header79.xml"/><Relationship Id="rId362" Type="http://schemas.openxmlformats.org/officeDocument/2006/relationships/hyperlink" Target="https://www.gov.uk/government/publications/land-value-estimates-for-policy-appraisal-2017" TargetMode="External"/><Relationship Id="rId383" Type="http://schemas.openxmlformats.org/officeDocument/2006/relationships/hyperlink" Target="https://www.nmds-sc-online.org.uk/" TargetMode="External"/><Relationship Id="rId418" Type="http://schemas.openxmlformats.org/officeDocument/2006/relationships/hyperlink" Target="https://www.gov.uk/government/publications/land-value-estimates-for-policy-appraisal-2017" TargetMode="External"/><Relationship Id="rId439" Type="http://schemas.openxmlformats.org/officeDocument/2006/relationships/hyperlink" Target="https://digital.nhs.uk/data-and-information/publications/statistical/nhs-sickness-absence-rates/january-2019-to-march-2019-and-annual-summary-2010-11-to-2018-19" TargetMode="External"/><Relationship Id="rId201" Type="http://schemas.openxmlformats.org/officeDocument/2006/relationships/header" Target="header51.xml"/><Relationship Id="rId222" Type="http://schemas.openxmlformats.org/officeDocument/2006/relationships/hyperlink" Target="https://www.gov.uk/government/collections/section-251-materials" TargetMode="External"/><Relationship Id="rId243" Type="http://schemas.openxmlformats.org/officeDocument/2006/relationships/header" Target="header56.xml"/><Relationship Id="rId264" Type="http://schemas.openxmlformats.org/officeDocument/2006/relationships/hyperlink" Target="https://www.gov.uk/government/publications/nhs-foundation-trust-accounts-consolidation-ftc-files-201415" TargetMode="External"/><Relationship Id="rId285" Type="http://schemas.openxmlformats.org/officeDocument/2006/relationships/header" Target="header63.xml"/><Relationship Id="rId450" Type="http://schemas.openxmlformats.org/officeDocument/2006/relationships/hyperlink" Target="https://www.gov.uk/government/publications/land-value-estimates-for-policy-appraisal-2017" TargetMode="External"/><Relationship Id="rId471" Type="http://schemas.openxmlformats.org/officeDocument/2006/relationships/hyperlink" Target="http://www.rics.org/uk/knowledge/bcis/about-bcis/rebuilding/bcis-house-rebuilding-cost-index" TargetMode="External"/><Relationship Id="rId506" Type="http://schemas.openxmlformats.org/officeDocument/2006/relationships/hyperlink" Target="http://www.gov.uk/government/uploads/system/uploads/attachment_data/file/359277/SFR36_2014_Text.pdf" TargetMode="External"/><Relationship Id="rId17" Type="http://schemas.openxmlformats.org/officeDocument/2006/relationships/hyperlink" Target="https://www.pssru.ac.uk/ucarticles/" TargetMode="External"/><Relationship Id="rId38" Type="http://schemas.openxmlformats.org/officeDocument/2006/relationships/hyperlink" Target="https://www.skillsforcare.org.uk/Documents/NMDS-SC-and-intelligence/Research-evidence/Impact-of-longer-working-hours-on-quality-of-care-final-report.pdf" TargetMode="External"/><Relationship Id="rId59" Type="http://schemas.openxmlformats.org/officeDocument/2006/relationships/header" Target="header10.xml"/><Relationship Id="rId103" Type="http://schemas.openxmlformats.org/officeDocument/2006/relationships/hyperlink" Target="https://assets.publishing.service.gov.uk/government/uploads/system/uploads/attachment_data/file/772969/Social_care_charging_for_care_and_support_-_LAC_2019.pdf" TargetMode="External"/><Relationship Id="rId124" Type="http://schemas.openxmlformats.org/officeDocument/2006/relationships/hyperlink" Target="http://www.gov.uk/government/uploads/system/uploads/attachment_data/file/572844/proposed-benefit-and-pension-rates-2017-to-2018.pdf" TargetMode="External"/><Relationship Id="rId310" Type="http://schemas.openxmlformats.org/officeDocument/2006/relationships/hyperlink" Target="https://www.gov.uk/government/publications/land-value-estimates-for-policy-appraisal-2017" TargetMode="External"/><Relationship Id="rId492" Type="http://schemas.openxmlformats.org/officeDocument/2006/relationships/hyperlink" Target="http://en.wikipedia.org/wiki/Cabinet_of_the_United_Kingdom" TargetMode="External"/><Relationship Id="rId527" Type="http://schemas.openxmlformats.org/officeDocument/2006/relationships/hyperlink" Target="https://www.gov.uk/government/publications/guide-to-the-market-forces-factor-201415" TargetMode="External"/><Relationship Id="rId548" Type="http://schemas.openxmlformats.org/officeDocument/2006/relationships/header" Target="header111.xml"/><Relationship Id="rId569" Type="http://schemas.openxmlformats.org/officeDocument/2006/relationships/hyperlink" Target="http://www.nice.org.uk/" TargetMode="External"/><Relationship Id="rId70" Type="http://schemas.openxmlformats.org/officeDocument/2006/relationships/header" Target="header14.xml"/><Relationship Id="rId91" Type="http://schemas.openxmlformats.org/officeDocument/2006/relationships/hyperlink" Target="https://digital.nhs.uk/data-and-information/publications/statistical/adult-social-care-activity-and-finance-report/2018-19" TargetMode="External"/><Relationship Id="rId145" Type="http://schemas.openxmlformats.org/officeDocument/2006/relationships/hyperlink" Target="http://www.nhsemployers.org/your-workforce/pay-and-reward/nhs-terms-and-conditions/nhs-terms-and-conditions-of-service-handbook" TargetMode="External"/><Relationship Id="rId166" Type="http://schemas.openxmlformats.org/officeDocument/2006/relationships/hyperlink" Target="https://www.mencap.org.uk/sites/default/files/2018-04/2018.052%20Housing%20report_FINAL_WEB.pdf" TargetMode="External"/><Relationship Id="rId187" Type="http://schemas.openxmlformats.org/officeDocument/2006/relationships/hyperlink" Target="https://www.gov.uk/government/publications/land-value-estimates-for-policy-appraisal-2017" TargetMode="External"/><Relationship Id="rId331" Type="http://schemas.openxmlformats.org/officeDocument/2006/relationships/hyperlink" Target="https://sharepoint.kent.ac.uk/pssru/Unit%20Costs/2019%20report/Told%20you%20he%20was%20a%20massive%20dxxk!" TargetMode="External"/><Relationship Id="rId352" Type="http://schemas.openxmlformats.org/officeDocument/2006/relationships/header" Target="header81.xml"/><Relationship Id="rId373" Type="http://schemas.openxmlformats.org/officeDocument/2006/relationships/hyperlink" Target="https://www.nmds-sc-online.org.uk/" TargetMode="External"/><Relationship Id="rId394" Type="http://schemas.openxmlformats.org/officeDocument/2006/relationships/header" Target="header88.xml"/><Relationship Id="rId408" Type="http://schemas.openxmlformats.org/officeDocument/2006/relationships/hyperlink" Target="http://www.ukhca.co.uk/pdfs/MarketOverviewV352016FINAL.pdf" TargetMode="External"/><Relationship Id="rId429" Type="http://schemas.openxmlformats.org/officeDocument/2006/relationships/header" Target="header89.xml"/><Relationship Id="rId1" Type="http://schemas.openxmlformats.org/officeDocument/2006/relationships/numbering" Target="numbering.xml"/><Relationship Id="rId212" Type="http://schemas.openxmlformats.org/officeDocument/2006/relationships/hyperlink" Target="https://www.gov.uk/government/collections/section-251-materials" TargetMode="External"/><Relationship Id="rId233" Type="http://schemas.openxmlformats.org/officeDocument/2006/relationships/hyperlink" Target="http://trixresources.proceduresonline.com/nat_key/keywords/placement_order.html" TargetMode="External"/><Relationship Id="rId254" Type="http://schemas.openxmlformats.org/officeDocument/2006/relationships/hyperlink" Target="https://www.gov.uk/government/publications/the-green-book-appraisal-and-evaluation-in-central-governent" TargetMode="External"/><Relationship Id="rId440" Type="http://schemas.openxmlformats.org/officeDocument/2006/relationships/hyperlink" Target="https://www.nhsemployers.org/tchandbook/annex-4-to-10/annex-9-high-cost-area-supplements%20%5baccessed" TargetMode="External"/><Relationship Id="rId28" Type="http://schemas.openxmlformats.org/officeDocument/2006/relationships/hyperlink" Target="https://www.pssru.ac.uk/project-pages/unit-costs/" TargetMode="External"/><Relationship Id="rId49" Type="http://schemas.openxmlformats.org/officeDocument/2006/relationships/hyperlink" Target="https://improvement.nhs.uk/resources/reference-costs/" TargetMode="External"/><Relationship Id="rId114" Type="http://schemas.openxmlformats.org/officeDocument/2006/relationships/header" Target="header24.xml"/><Relationship Id="rId275" Type="http://schemas.openxmlformats.org/officeDocument/2006/relationships/hyperlink" Target="https://www.gov.uk/government/collections/nhs-reference-costs" TargetMode="External"/><Relationship Id="rId296" Type="http://schemas.openxmlformats.org/officeDocument/2006/relationships/hyperlink" Target="https://www.kingsfund.org.uk/publications/social-prescribing" TargetMode="External"/><Relationship Id="rId300" Type="http://schemas.openxmlformats.org/officeDocument/2006/relationships/hyperlink" Target="http://www.syha.co.uk/wp-content/uploads/2017/01/Evaluation-of-Doncaster-Social-Prescribing-Service-Final-Report-.pdf" TargetMode="External"/><Relationship Id="rId461" Type="http://schemas.openxmlformats.org/officeDocument/2006/relationships/hyperlink" Target="https://www.gov.uk/government/publications/land-value-estimates-for-policy-appraisal-2017" TargetMode="External"/><Relationship Id="rId482" Type="http://schemas.openxmlformats.org/officeDocument/2006/relationships/header" Target="header106.xml"/><Relationship Id="rId517" Type="http://schemas.openxmlformats.org/officeDocument/2006/relationships/hyperlink" Target="http://www.fostering.net/sites/www.fostering.net/files/public/resources/reports/update_cost_foster_care.pdf" TargetMode="External"/><Relationship Id="rId538" Type="http://schemas.openxmlformats.org/officeDocument/2006/relationships/hyperlink" Target="https://digital.nhs.uk/data-and-information/publications/statistical/nhs-sickness-absence-rates/nhs-sickness-absence-rates---january-2018-to-march-2018-and-annual-summary-2010-11-to-2017-18" TargetMode="External"/><Relationship Id="rId559" Type="http://schemas.openxmlformats.org/officeDocument/2006/relationships/hyperlink" Target="http://research.dwp.gov.uk/asd/frs/" TargetMode="External"/><Relationship Id="rId60" Type="http://schemas.openxmlformats.org/officeDocument/2006/relationships/header" Target="header11.xml"/><Relationship Id="rId81" Type="http://schemas.openxmlformats.org/officeDocument/2006/relationships/hyperlink" Target="http://www.laingbuisson.co.uk/Portals/1/PressReleases/FairPrice_12_PR.pdf" TargetMode="External"/><Relationship Id="rId135" Type="http://schemas.openxmlformats.org/officeDocument/2006/relationships/header" Target="header32.xml"/><Relationship Id="rId156" Type="http://schemas.openxmlformats.org/officeDocument/2006/relationships/header" Target="header40.xml"/><Relationship Id="rId177" Type="http://schemas.openxmlformats.org/officeDocument/2006/relationships/hyperlink" Target="https://www.gov.uk/government/publications/land-value-estimates-for-policy-appraisal-2017" TargetMode="External"/><Relationship Id="rId198" Type="http://schemas.openxmlformats.org/officeDocument/2006/relationships/hyperlink" Target="https://www.gov.uk/government/publications/no-wrong-door-innovation-programme-evaluation" TargetMode="External"/><Relationship Id="rId321" Type="http://schemas.openxmlformats.org/officeDocument/2006/relationships/header" Target="header75.xml"/><Relationship Id="rId342" Type="http://schemas.openxmlformats.org/officeDocument/2006/relationships/hyperlink" Target="https://digital.nhs.uk/data-and-information/publications/statistical/gp-earnings-and-expenses-estimates" TargetMode="External"/><Relationship Id="rId363" Type="http://schemas.openxmlformats.org/officeDocument/2006/relationships/hyperlink" Target="https://files.digital.nhs.uk/D5/AB5837/Dental-Working-Hours-2016-17-and-2017-18-Working-Patterns-Motivation-and-Morale-Report.pdf" TargetMode="External"/><Relationship Id="rId384" Type="http://schemas.openxmlformats.org/officeDocument/2006/relationships/hyperlink" Target="http://lgpsboard.org/index.php/schemedata" TargetMode="External"/><Relationship Id="rId419" Type="http://schemas.openxmlformats.org/officeDocument/2006/relationships/hyperlink" Target="https://www.local.gov.uk/sites/default/files/documents/LG%20Workforce%20Survey%202016-17%20-%20report%20final%2020180718.pdf" TargetMode="External"/><Relationship Id="rId570" Type="http://schemas.openxmlformats.org/officeDocument/2006/relationships/hyperlink" Target="http://www.ic.nhs.uk/statistics-and-data-collections" TargetMode="External"/><Relationship Id="rId202" Type="http://schemas.openxmlformats.org/officeDocument/2006/relationships/hyperlink" Target="http://innovationcsc.co.uk/wp-content/uploads/2017/11/1.2.73-DFE-RR528-Mockingbird_family_model_evaluation.pdf" TargetMode="External"/><Relationship Id="rId223" Type="http://schemas.openxmlformats.org/officeDocument/2006/relationships/hyperlink" Target="https://www.gov.uk/government/collections/section-251-materials" TargetMode="External"/><Relationship Id="rId244" Type="http://schemas.openxmlformats.org/officeDocument/2006/relationships/hyperlink" Target="https://improvement.nhs.uk/resources/reference-costs/" TargetMode="External"/><Relationship Id="rId430" Type="http://schemas.openxmlformats.org/officeDocument/2006/relationships/header" Target="header90.xml"/><Relationship Id="rId18" Type="http://schemas.openxmlformats.org/officeDocument/2006/relationships/hyperlink" Target="https://www.pssru.ac.uk/blog/category/unit-costs/page/6/" TargetMode="External"/><Relationship Id="rId39" Type="http://schemas.openxmlformats.org/officeDocument/2006/relationships/hyperlink" Target="https://www.england.nhs.uk/five-year-forward-view/" TargetMode="External"/><Relationship Id="rId265" Type="http://schemas.openxmlformats.org/officeDocument/2006/relationships/hyperlink" Target="https://www.gov.uk/government/publications/nhs-foundation-trust-accounts-consolidation-ftc-files-201415" TargetMode="External"/><Relationship Id="rId286" Type="http://schemas.openxmlformats.org/officeDocument/2006/relationships/hyperlink" Target="http://www.education.gov.uk/a00227754/looked-after-children-data-pack" TargetMode="External"/><Relationship Id="rId451" Type="http://schemas.openxmlformats.org/officeDocument/2006/relationships/hyperlink" Target="https://digital.nhs.uk/data-and-information/publications/statistical/nhs-sickness-absence-rates/january-2019-to-march-2019-and-annual-summary-2010-11-to-2018-19" TargetMode="External"/><Relationship Id="rId472" Type="http://schemas.openxmlformats.org/officeDocument/2006/relationships/hyperlink" Target="http://www.swanlowpark.co.uk/retail-price-index" TargetMode="External"/><Relationship Id="rId493" Type="http://schemas.openxmlformats.org/officeDocument/2006/relationships/header" Target="header109.xml"/><Relationship Id="rId507" Type="http://schemas.openxmlformats.org/officeDocument/2006/relationships/hyperlink" Target="http://www.gov.uk/government/uploads/system/uploads/attachment_data/file/359277/SFR36_2014_Text.pdf" TargetMode="External"/><Relationship Id="rId528" Type="http://schemas.openxmlformats.org/officeDocument/2006/relationships/hyperlink" Target="https://www.gov.uk/government/publications/guide-to-the-market-forces-factor-201415" TargetMode="External"/><Relationship Id="rId549" Type="http://schemas.openxmlformats.org/officeDocument/2006/relationships/header" Target="header112.xml"/><Relationship Id="rId50" Type="http://schemas.openxmlformats.org/officeDocument/2006/relationships/hyperlink" Target="https://improvement.nhs.uk/resources/reference-costs/" TargetMode="External"/><Relationship Id="rId104" Type="http://schemas.openxmlformats.org/officeDocument/2006/relationships/hyperlink" Target="https://assets.publishing.service.gov.uk/government/uploads/system/uploads/attachment_data/file/772969/Social_care_charging_for_care_and_support_-_LAC_2019.pdf" TargetMode="External"/><Relationship Id="rId125" Type="http://schemas.openxmlformats.org/officeDocument/2006/relationships/hyperlink" Target="https://digital.nhs.uk/data-and-information/publications/statistical/adult-social-care-activity-and-finance-report/2017-18" TargetMode="External"/><Relationship Id="rId146" Type="http://schemas.openxmlformats.org/officeDocument/2006/relationships/hyperlink" Target="http://www.nhsemployers.org/your-workforce/pay-and-reward/nhs-terms-and-conditions/nhs-terms-and-conditions-of-service-handbook" TargetMode="External"/><Relationship Id="rId167" Type="http://schemas.openxmlformats.org/officeDocument/2006/relationships/hyperlink" Target="http://autism-alliance.org.uk/about-us/the-alliance" TargetMode="External"/><Relationship Id="rId188" Type="http://schemas.openxmlformats.org/officeDocument/2006/relationships/header" Target="header48.xml"/><Relationship Id="rId311" Type="http://schemas.openxmlformats.org/officeDocument/2006/relationships/hyperlink" Target="http://www.nhsemployers.org/your-workforce/pay-and-reward/agenda-for-change/nhs-terms-and-conditions-of-service-handbook/mileage-allowances" TargetMode="External"/><Relationship Id="rId332" Type="http://schemas.openxmlformats.org/officeDocument/2006/relationships/hyperlink" Target="https://www.gov.uk/government/publications/land-value-estimates-for-policy-appraisal-2017" TargetMode="External"/><Relationship Id="rId353" Type="http://schemas.openxmlformats.org/officeDocument/2006/relationships/hyperlink" Target="https://www.gov.uk/government/publications/valuation-of-energy-use-and-greenhouse-gas-emissions-for-appraisal" TargetMode="External"/><Relationship Id="rId374" Type="http://schemas.openxmlformats.org/officeDocument/2006/relationships/hyperlink" Target="http://lgpsboard.org/index.php/schemedata" TargetMode="External"/><Relationship Id="rId395" Type="http://schemas.openxmlformats.org/officeDocument/2006/relationships/hyperlink" Target="https://www.nmds-sc-online.org.uk/" TargetMode="External"/><Relationship Id="rId409" Type="http://schemas.openxmlformats.org/officeDocument/2006/relationships/hyperlink" Target="https://www.nmds-sc-online.org.uk/" TargetMode="External"/><Relationship Id="rId560" Type="http://schemas.openxmlformats.org/officeDocument/2006/relationships/hyperlink" Target="http://www.fodo.com/" TargetMode="External"/><Relationship Id="rId71" Type="http://schemas.openxmlformats.org/officeDocument/2006/relationships/header" Target="header15.xml"/><Relationship Id="rId92" Type="http://schemas.openxmlformats.org/officeDocument/2006/relationships/hyperlink" Target="https://assets.publishing.service.gov.uk/media/5a1fdf30e5274a750b82533a/care-homes-market-study-final-report.pdf" TargetMode="External"/><Relationship Id="rId213" Type="http://schemas.openxmlformats.org/officeDocument/2006/relationships/hyperlink" Target="https://www.gov.uk/government/statistics/children-looked-after-in-england-including-adoption-2017-to-2018" TargetMode="External"/><Relationship Id="rId234" Type="http://schemas.openxmlformats.org/officeDocument/2006/relationships/hyperlink" Target="https://www.gov.uk/government/uploads/system/uploads/attachment_data/file/638885/Inter-agency_Adoption_and_Subsidy_of_the_Inter-Agency_Fee.pdf" TargetMode="External"/><Relationship Id="rId420" Type="http://schemas.openxmlformats.org/officeDocument/2006/relationships/hyperlink" Target="http://lambethcollaborative.org.uk/wp-content/uploads/2018/03/LWN-Hub-Year-Two-Evaluation-Report-December-2017_04.01.18.pdf" TargetMode="External"/><Relationship Id="rId2" Type="http://schemas.openxmlformats.org/officeDocument/2006/relationships/styles" Target="styles.xml"/><Relationship Id="rId29" Type="http://schemas.openxmlformats.org/officeDocument/2006/relationships/hyperlink" Target="https://www.pssru.ac.uk/blog/the-hidden-costs-of-obesity-implications-for-long-term-care/" TargetMode="External"/><Relationship Id="rId255" Type="http://schemas.openxmlformats.org/officeDocument/2006/relationships/hyperlink" Target="http://www.yhpho.org.uk/PHICED/" TargetMode="External"/><Relationship Id="rId276" Type="http://schemas.openxmlformats.org/officeDocument/2006/relationships/hyperlink" Target="https://improvement.nhs.uk/resources/approved-costing-guidance/" TargetMode="External"/><Relationship Id="rId297" Type="http://schemas.openxmlformats.org/officeDocument/2006/relationships/hyperlink" Target="http://i5health.com/SPReports/COP_Report_SP_EPP_SouthWestLondonSTP_ver2.0.pdf" TargetMode="External"/><Relationship Id="rId441" Type="http://schemas.openxmlformats.org/officeDocument/2006/relationships/hyperlink" Target="https://improvement.nhs.uk/resources/201920-payment-reform-proposals/" TargetMode="External"/><Relationship Id="rId462" Type="http://schemas.openxmlformats.org/officeDocument/2006/relationships/hyperlink" Target="https://www.gov.uk/government/publications/land-value-estimates-for-policy-appraisal-2017" TargetMode="External"/><Relationship Id="rId483" Type="http://schemas.openxmlformats.org/officeDocument/2006/relationships/header" Target="header107.xml"/><Relationship Id="rId518" Type="http://schemas.openxmlformats.org/officeDocument/2006/relationships/hyperlink" Target="http://dx.doi.org/10.1136/sextrans-2014-051719" TargetMode="External"/><Relationship Id="rId539" Type="http://schemas.openxmlformats.org/officeDocument/2006/relationships/hyperlink" Target="http://www.nhsemployers.org/tchandbook" TargetMode="External"/><Relationship Id="rId40" Type="http://schemas.openxmlformats.org/officeDocument/2006/relationships/hyperlink" Target="https://doi.org/10.1002/gps.4641" TargetMode="External"/><Relationship Id="rId115" Type="http://schemas.openxmlformats.org/officeDocument/2006/relationships/header" Target="header25.xml"/><Relationship Id="rId136" Type="http://schemas.openxmlformats.org/officeDocument/2006/relationships/header" Target="header33.xml"/><Relationship Id="rId157" Type="http://schemas.openxmlformats.org/officeDocument/2006/relationships/header" Target="header41.xml"/><Relationship Id="rId178" Type="http://schemas.openxmlformats.org/officeDocument/2006/relationships/hyperlink" Target="https://assets.publishing.service.gov.uk/government/uploads/system/uploads/attachment_data/file/772969/Social_care_charging_for_care_and_support_-_LAC_2019.pdf" TargetMode="External"/><Relationship Id="rId301" Type="http://schemas.openxmlformats.org/officeDocument/2006/relationships/hyperlink" Target="http://www.syha.co.uk/wp-content/uploads/2017/01/Evaluation-of-Doncaster-Social-Prescribing-Service-Final-Report-.pdf" TargetMode="External"/><Relationship Id="rId322" Type="http://schemas.openxmlformats.org/officeDocument/2006/relationships/hyperlink" Target="http://www.nhsemployers.org/tchandbook" TargetMode="External"/><Relationship Id="rId343" Type="http://schemas.openxmlformats.org/officeDocument/2006/relationships/hyperlink" Target="https://digital.nhs.uk/data-and-information/publications/statistical/gp-earnings-and-expenses-estimates" TargetMode="External"/><Relationship Id="rId364" Type="http://schemas.openxmlformats.org/officeDocument/2006/relationships/hyperlink" Target="http://www.gdc-uk.org/Dentalprofessionals/Education/Pages/Dentist-qualifications.aspx" TargetMode="External"/><Relationship Id="rId550" Type="http://schemas.openxmlformats.org/officeDocument/2006/relationships/hyperlink" Target="http://content.digital.nhs.uk/datacollections/ASC-FR" TargetMode="External"/><Relationship Id="rId61" Type="http://schemas.openxmlformats.org/officeDocument/2006/relationships/hyperlink" Target="https://www.gov.uk/government/publications/personalised-health-and-care-2020" TargetMode="External"/><Relationship Id="rId82" Type="http://schemas.openxmlformats.org/officeDocument/2006/relationships/hyperlink" Target="https://assets.publishing.service.gov.uk/government/uploads/system/uploads/attachment_data/file/772969/Social_care_charging_for_care_and_support_-_LAC_2019.pdf" TargetMode="External"/><Relationship Id="rId199" Type="http://schemas.openxmlformats.org/officeDocument/2006/relationships/hyperlink" Target="https://www.gov.uk/government/publications/no-wrong-door-innovation-programme-evaluation" TargetMode="External"/><Relationship Id="rId203" Type="http://schemas.openxmlformats.org/officeDocument/2006/relationships/hyperlink" Target="http://innovationcsc.co.uk/wp-content/uploads/2017/11/1.2.73-DFE-RR528-Mockingbird_family_model_evaluation.pdf" TargetMode="External"/><Relationship Id="rId385" Type="http://schemas.openxmlformats.org/officeDocument/2006/relationships/hyperlink" Target="http://www.basw.co.uk/social-work-careers/" TargetMode="External"/><Relationship Id="rId571" Type="http://schemas.openxmlformats.org/officeDocument/2006/relationships/hyperlink" Target="http://www.pubmedcentral.nih.gov/" TargetMode="External"/><Relationship Id="rId19" Type="http://schemas.openxmlformats.org/officeDocument/2006/relationships/hyperlink" Target="https://www.pssru.ac.uk/project-pages/unit-costs" TargetMode="External"/><Relationship Id="rId224" Type="http://schemas.openxmlformats.org/officeDocument/2006/relationships/hyperlink" Target="https://www.gov.uk/government/statistics/children-looked-after-in-england-including-adoption-2017-to-2018" TargetMode="External"/><Relationship Id="rId245" Type="http://schemas.openxmlformats.org/officeDocument/2006/relationships/hyperlink" Target="https://improvement.nhs.uk/resources/reference-costs/" TargetMode="External"/><Relationship Id="rId266" Type="http://schemas.openxmlformats.org/officeDocument/2006/relationships/hyperlink" Target="https://www.gov.uk/government/publications/land-value-estimates-for-policy-appraisal-2017" TargetMode="External"/><Relationship Id="rId287" Type="http://schemas.openxmlformats.org/officeDocument/2006/relationships/hyperlink" Target="http://www.education.gov.uk/a00227754/looked-after-children-data-pack" TargetMode="External"/><Relationship Id="rId410" Type="http://schemas.openxmlformats.org/officeDocument/2006/relationships/hyperlink" Target="http://lgpsboard.org/index.php/schemedata" TargetMode="External"/><Relationship Id="rId431" Type="http://schemas.openxmlformats.org/officeDocument/2006/relationships/hyperlink" Target="http://www.nhsemployers.org/your-workforce/pay-and-reward/pay/job-evaluation/national-job-profiles" TargetMode="External"/><Relationship Id="rId452" Type="http://schemas.openxmlformats.org/officeDocument/2006/relationships/hyperlink" Target="https://digital.nhs.uk/data-and-information/publications/statistical/nhs-sickness-absence-rates/january-2019-to-march-2019-and-annual-summary-2010-11-to-2018-19" TargetMode="External"/><Relationship Id="rId473" Type="http://schemas.openxmlformats.org/officeDocument/2006/relationships/header" Target="header103.xml"/><Relationship Id="rId494" Type="http://schemas.openxmlformats.org/officeDocument/2006/relationships/header" Target="header110.xml"/><Relationship Id="rId508" Type="http://schemas.openxmlformats.org/officeDocument/2006/relationships/hyperlink" Target="https://www.bda.org/dentists/policy-campaigns/research/nat-init/pilots/Documents/dh_proposals_2010.pdf" TargetMode="External"/><Relationship Id="rId529" Type="http://schemas.openxmlformats.org/officeDocument/2006/relationships/hyperlink" Target="http://www.nice.org.uk/Search.do?searchText=Commissioning%2Ba%2Bmemory%2Bassessment%2Bservice%2Bfor%2Bthe%2Bearly%2Bidentifi" TargetMode="External"/><Relationship Id="rId30" Type="http://schemas.openxmlformats.org/officeDocument/2006/relationships/hyperlink" Target="https://www.theguardian.com/social-care-network/2016/nov/17/ive-returned-older-and-wiser-the-social-workers-coming-back-to-practice" TargetMode="External"/><Relationship Id="rId105" Type="http://schemas.openxmlformats.org/officeDocument/2006/relationships/header" Target="header22.xml"/><Relationship Id="rId126" Type="http://schemas.openxmlformats.org/officeDocument/2006/relationships/hyperlink" Target="https://digital.nhs.uk/data-and-information/publications/statistical/adult-social-care-activity-and-finance-report/2017-18" TargetMode="External"/><Relationship Id="rId147" Type="http://schemas.openxmlformats.org/officeDocument/2006/relationships/hyperlink" Target="https://www.gov.uk/government/publications/nhs-foundation-trust-accounts-consolidation-ftc-files-201415" TargetMode="External"/><Relationship Id="rId168" Type="http://schemas.openxmlformats.org/officeDocument/2006/relationships/hyperlink" Target="http://autism-alliance.org.uk/about-us/the-alliance" TargetMode="External"/><Relationship Id="rId312" Type="http://schemas.openxmlformats.org/officeDocument/2006/relationships/hyperlink" Target="http://www.nhsemployers.org/your-workforce/pay-and-reward/agenda-for-change/nhs-terms-and-conditions-of-service-handbook/mileage-allowances" TargetMode="External"/><Relationship Id="rId333" Type="http://schemas.openxmlformats.org/officeDocument/2006/relationships/hyperlink" Target="http://www.nhsemployers.org/your-workforce/pay-and-reward/agenda-for-change/nhs-terms-and-conditions-of-service-handbook/mileage-allowances" TargetMode="External"/><Relationship Id="rId354" Type="http://schemas.openxmlformats.org/officeDocument/2006/relationships/hyperlink" Target="https://www.gov.uk/government/publications/valuation-of-energy-use-and-greenhouse-gas-emissions-for-appraisal" TargetMode="External"/><Relationship Id="rId540" Type="http://schemas.openxmlformats.org/officeDocument/2006/relationships/hyperlink" Target="https://improvement.nhs.uk/documents/1972/1_-_Reference_costs_201718.pdf" TargetMode="External"/><Relationship Id="rId51" Type="http://schemas.openxmlformats.org/officeDocument/2006/relationships/hyperlink" Target="https://www.england.nhs.uk/five-year-forward-view/" TargetMode="External"/><Relationship Id="rId72" Type="http://schemas.openxmlformats.org/officeDocument/2006/relationships/header" Target="header16.xml"/><Relationship Id="rId93" Type="http://schemas.openxmlformats.org/officeDocument/2006/relationships/hyperlink" Target="https://www.ohe.org/sites/default/files/Competition%20in%20care%20home%20market%202011.pdf" TargetMode="External"/><Relationship Id="rId189" Type="http://schemas.openxmlformats.org/officeDocument/2006/relationships/header" Target="header49.xml"/><Relationship Id="rId375" Type="http://schemas.openxmlformats.org/officeDocument/2006/relationships/hyperlink" Target="http://bjsw.oxfordjournals.org/content/early/2011/08/22/bjsw.bcr113.short?rss=1" TargetMode="External"/><Relationship Id="rId396" Type="http://schemas.openxmlformats.org/officeDocument/2006/relationships/hyperlink" Target="http://lgpsboard.org/index.php/schemedata" TargetMode="External"/><Relationship Id="rId561" Type="http://schemas.openxmlformats.org/officeDocument/2006/relationships/hyperlink" Target="http://www.hesonline.nhs.uk/" TargetMode="External"/><Relationship Id="rId3" Type="http://schemas.openxmlformats.org/officeDocument/2006/relationships/settings" Target="settings.xml"/><Relationship Id="rId214" Type="http://schemas.openxmlformats.org/officeDocument/2006/relationships/hyperlink" Target="https://www.gov.uk/government/uploads/system/uploads/attachment_data/file/391529/RR437_-_Children_s_homes_workforce_census_.pdf" TargetMode="External"/><Relationship Id="rId235" Type="http://schemas.openxmlformats.org/officeDocument/2006/relationships/hyperlink" Target="https://www.gov.uk/government/uploads/system/uploads/attachment_data/file/638885/Inter-agency_Adoption_and_Subsidy_of_the_Inter-Agency_Fee.pdf" TargetMode="External"/><Relationship Id="rId256" Type="http://schemas.openxmlformats.org/officeDocument/2006/relationships/hyperlink" Target="https://www.kingsfund.org.uk/audio-video/public-health-spending-roi" TargetMode="External"/><Relationship Id="rId277" Type="http://schemas.openxmlformats.org/officeDocument/2006/relationships/hyperlink" Target="https://improvement.nhs.uk/resources/reference-costs/" TargetMode="External"/><Relationship Id="rId298" Type="http://schemas.openxmlformats.org/officeDocument/2006/relationships/hyperlink" Target="https://www4.shu.ac.uk/research/cresr/sites/shu.ac.uk/files/social-economic-impact-rotherham.pdf" TargetMode="External"/><Relationship Id="rId400" Type="http://schemas.openxmlformats.org/officeDocument/2006/relationships/hyperlink" Target="https://www.gov.uk/government/publications/care-homes-market-study-summary-of-final-report/care-homes-market-study-summary-of-final-report" TargetMode="External"/><Relationship Id="rId421" Type="http://schemas.openxmlformats.org/officeDocument/2006/relationships/hyperlink" Target="http://lambethcollaborative.org.uk/wp-content/uploads/2018/03/LWN-Hub-Year-Two-Evaluation-Report-December-2017_04.01.18.pdf" TargetMode="External"/><Relationship Id="rId442" Type="http://schemas.openxmlformats.org/officeDocument/2006/relationships/header" Target="header92.xml"/><Relationship Id="rId463" Type="http://schemas.openxmlformats.org/officeDocument/2006/relationships/hyperlink" Target="https://www.nhsemployers.org/tchandbook/annex-4-to-10/annex-9-high-cost-area-supplements%20%5baccessed" TargetMode="External"/><Relationship Id="rId484" Type="http://schemas.openxmlformats.org/officeDocument/2006/relationships/header" Target="header108.xml"/><Relationship Id="rId519" Type="http://schemas.openxmlformats.org/officeDocument/2006/relationships/hyperlink" Target="http://www.local.gov.uk/research-pay-and-workforce" TargetMode="External"/><Relationship Id="rId116" Type="http://schemas.openxmlformats.org/officeDocument/2006/relationships/header" Target="header26.xml"/><Relationship Id="rId137" Type="http://schemas.openxmlformats.org/officeDocument/2006/relationships/hyperlink" Target="http://eprints.lse.ac.uk/64685/2/Bauer_Lifetime%20costs_2015.pdf" TargetMode="External"/><Relationship Id="rId158" Type="http://schemas.openxmlformats.org/officeDocument/2006/relationships/hyperlink" Target="https://www.nmds-sc-online.org.uk/" TargetMode="External"/><Relationship Id="rId302" Type="http://schemas.openxmlformats.org/officeDocument/2006/relationships/hyperlink" Target="https://doi.org/10.1002/gps.4641" TargetMode="External"/><Relationship Id="rId323" Type="http://schemas.openxmlformats.org/officeDocument/2006/relationships/hyperlink" Target="https://www.gov.uk/government/publications/land-value-estimates-for-policy-appraisal-2017" TargetMode="External"/><Relationship Id="rId344" Type="http://schemas.openxmlformats.org/officeDocument/2006/relationships/hyperlink" Target="https://digital.nhs.uk/data-and-information/publications/statistical/general-and-personal-medical-services/final-31-march-2019-experimental-statistics%20%5b18" TargetMode="External"/><Relationship Id="rId530" Type="http://schemas.openxmlformats.org/officeDocument/2006/relationships/hyperlink" Target="http://www.lvsc.org.uk/media/24718/njc%20payscales%202013-14.pdf.%5baccessed" TargetMode="External"/><Relationship Id="rId20" Type="http://schemas.openxmlformats.org/officeDocument/2006/relationships/hyperlink" Target="https://www.pssru.ac.uk/ucarticles/" TargetMode="External"/><Relationship Id="rId41" Type="http://schemas.openxmlformats.org/officeDocument/2006/relationships/header" Target="header5.xml"/><Relationship Id="rId62" Type="http://schemas.openxmlformats.org/officeDocument/2006/relationships/hyperlink" Target="https://www.gov.uk/government/publications/personalised-health-and-care-2020" TargetMode="External"/><Relationship Id="rId83" Type="http://schemas.openxmlformats.org/officeDocument/2006/relationships/hyperlink" Target="https://assets.publishing.service.gov.uk/government/uploads/system/uploads/attachment_data/file/772969/Social_care_charging_for_care_and_support_-_LAC_2019.pdf" TargetMode="External"/><Relationship Id="rId179" Type="http://schemas.openxmlformats.org/officeDocument/2006/relationships/hyperlink" Target="https://assets.publishing.service.gov.uk/government/uploads/system/uploads/attachment_data/file/772969/Social_care_charging_for_care_and_support_-_LAC_2019.pdf" TargetMode="External"/><Relationship Id="rId365" Type="http://schemas.openxmlformats.org/officeDocument/2006/relationships/hyperlink" Target="http://www.gdc-uk.org/Dentalprofessionals/Education/Pages/Dentist-qualifications.aspx" TargetMode="External"/><Relationship Id="rId386" Type="http://schemas.openxmlformats.org/officeDocument/2006/relationships/hyperlink" Target="https://www.gov.uk/government/publications/land-value-estimates-for-policy-appraisal-2017" TargetMode="External"/><Relationship Id="rId551" Type="http://schemas.openxmlformats.org/officeDocument/2006/relationships/hyperlink" Target="http://www.bcis.co.uk/site/index.aspx" TargetMode="External"/><Relationship Id="rId572" Type="http://schemas.openxmlformats.org/officeDocument/2006/relationships/hyperlink" Target="http://www.scie.org.uk/" TargetMode="External"/><Relationship Id="rId190" Type="http://schemas.openxmlformats.org/officeDocument/2006/relationships/hyperlink" Target="https://improvement.nhs.uk/resources/reference-costs/" TargetMode="External"/><Relationship Id="rId204" Type="http://schemas.openxmlformats.org/officeDocument/2006/relationships/hyperlink" Target="http://innovationcsc.co.uk/wp-content/uploads/2017/11/1.2.49-Hampshire_and_IOW_Evaluation_Report_March_2017.pdf" TargetMode="External"/><Relationship Id="rId225" Type="http://schemas.openxmlformats.org/officeDocument/2006/relationships/hyperlink" Target="https://www.gov.uk/government/statistics/children-looked-after-in-england-including-adoption-2017-to-2018" TargetMode="External"/><Relationship Id="rId246" Type="http://schemas.openxmlformats.org/officeDocument/2006/relationships/hyperlink" Target="https://www.sduhealth.org.uk/policy-strategy/reporting/natural-resource-footprint-2018.aspx.See" TargetMode="External"/><Relationship Id="rId267" Type="http://schemas.openxmlformats.org/officeDocument/2006/relationships/hyperlink" Target="https://www.gov.uk/government/publications/land-value-estimates-for-policy-appraisal-2017" TargetMode="External"/><Relationship Id="rId288" Type="http://schemas.openxmlformats.org/officeDocument/2006/relationships/header" Target="header64.xml"/><Relationship Id="rId411" Type="http://schemas.openxmlformats.org/officeDocument/2006/relationships/hyperlink" Target="https://www.gov.uk/government/publications/land-value-estimates-for-policy-appraisal-2017" TargetMode="External"/><Relationship Id="rId432" Type="http://schemas.openxmlformats.org/officeDocument/2006/relationships/header" Target="header91.xml"/><Relationship Id="rId453" Type="http://schemas.openxmlformats.org/officeDocument/2006/relationships/header" Target="header96.xml"/><Relationship Id="rId474" Type="http://schemas.openxmlformats.org/officeDocument/2006/relationships/header" Target="header104.xml"/><Relationship Id="rId509" Type="http://schemas.openxmlformats.org/officeDocument/2006/relationships/hyperlink" Target="http://webarchive.nationalarchives.gov.uk/%2B/www.dh.gov.uk/en/Publicationsandstatistics/Publications/PublicationsPolicyAndGuidance/Browsable/DH_127381" TargetMode="External"/><Relationship Id="rId106" Type="http://schemas.openxmlformats.org/officeDocument/2006/relationships/header" Target="header23.xml"/><Relationship Id="rId127" Type="http://schemas.openxmlformats.org/officeDocument/2006/relationships/hyperlink" Target="http://www.salford.gov.uk/mentalhealth.htm" TargetMode="External"/><Relationship Id="rId313" Type="http://schemas.openxmlformats.org/officeDocument/2006/relationships/hyperlink" Target="https://digital.nhs.uk/data-and-information/publications/statistical/nhs-sickness-absence-rates/january-2019-to-march-2019-and-annual-summary-2010-11-to-2018-19" TargetMode="External"/><Relationship Id="rId495" Type="http://schemas.openxmlformats.org/officeDocument/2006/relationships/hyperlink" Target="http://eprints.lse.ac.uk/29956/1/Internet_Use_and_Opinion_Formation_in_Countries_with_Different_ICTContexts.pdf.%5baccessed" TargetMode="External"/><Relationship Id="rId10" Type="http://schemas.openxmlformats.org/officeDocument/2006/relationships/hyperlink" Target="mailto:pssru@kent.ac.uk" TargetMode="External"/><Relationship Id="rId31" Type="http://schemas.openxmlformats.org/officeDocument/2006/relationships/hyperlink" Target="https://www.theguardian.com/social-care-network/2016/nov/17/ive-returned-older-and-wiser-the-social-workers-coming-back-to-practice" TargetMode="External"/><Relationship Id="rId52" Type="http://schemas.openxmlformats.org/officeDocument/2006/relationships/hyperlink" Target="https://www.longtermplan.nhs.uk/" TargetMode="External"/><Relationship Id="rId73" Type="http://schemas.openxmlformats.org/officeDocument/2006/relationships/header" Target="header17.xml"/><Relationship Id="rId94" Type="http://schemas.openxmlformats.org/officeDocument/2006/relationships/hyperlink" Target="http://www.cqc.org.uk/sites/default/files/201402-market-stability-report.pdf" TargetMode="External"/><Relationship Id="rId148" Type="http://schemas.openxmlformats.org/officeDocument/2006/relationships/hyperlink" Target="https://www.gov.uk/government/publications/nhs-foundation-trust-accounts-consolidation-ftc-files-201415" TargetMode="External"/><Relationship Id="rId169" Type="http://schemas.openxmlformats.org/officeDocument/2006/relationships/hyperlink" Target="http://autism-alliance.org.uk/about-us/the-alliance" TargetMode="External"/><Relationship Id="rId334" Type="http://schemas.openxmlformats.org/officeDocument/2006/relationships/hyperlink" Target="http://www.nhsemployers.org/your-workforce/pay-and-reward/agenda-for-change/nhs-terms-and-conditions-of-service-handbook/mileage-allowances" TargetMode="External"/><Relationship Id="rId355" Type="http://schemas.openxmlformats.org/officeDocument/2006/relationships/hyperlink" Target="http://www.rcgp.org.uk/about-us/news/2018/january/workload-in-general-practice-a-real-concern-says-rcgp.aspx" TargetMode="External"/><Relationship Id="rId376" Type="http://schemas.openxmlformats.org/officeDocument/2006/relationships/hyperlink" Target="http://www.basw.co.uk/social-work-careers/" TargetMode="External"/><Relationship Id="rId397" Type="http://schemas.openxmlformats.org/officeDocument/2006/relationships/hyperlink" Target="https://www.gov.uk/government/publications/land-value-estimates-for-policy-appraisal-2017" TargetMode="External"/><Relationship Id="rId520" Type="http://schemas.openxmlformats.org/officeDocument/2006/relationships/hyperlink" Target="http://www.lge.gov.uk/lge/core/page.do?pageId=119175" TargetMode="External"/><Relationship Id="rId541" Type="http://schemas.openxmlformats.org/officeDocument/2006/relationships/hyperlink" Target="http://www.champspublichealth.com/writedir/0c65health_choices%20-%20FINAL.pdf" TargetMode="External"/><Relationship Id="rId562" Type="http://schemas.openxmlformats.org/officeDocument/2006/relationships/hyperlink" Target="http://www.jrf.org.uk/" TargetMode="External"/><Relationship Id="rId4" Type="http://schemas.openxmlformats.org/officeDocument/2006/relationships/webSettings" Target="webSettings.xml"/><Relationship Id="rId180" Type="http://schemas.openxmlformats.org/officeDocument/2006/relationships/header" Target="header46.xml"/><Relationship Id="rId215" Type="http://schemas.openxmlformats.org/officeDocument/2006/relationships/header" Target="header53.xml"/><Relationship Id="rId236" Type="http://schemas.openxmlformats.org/officeDocument/2006/relationships/hyperlink" Target="https://www.gov.uk/government/publications/childrens-services-innovation-programme" TargetMode="External"/><Relationship Id="rId257" Type="http://schemas.openxmlformats.org/officeDocument/2006/relationships/hyperlink" Target="https://www.nice.org.uk/advice/lgb10/chapter/judging-the-cost-effectiveness-of-public-health-activities" TargetMode="External"/><Relationship Id="rId278" Type="http://schemas.openxmlformats.org/officeDocument/2006/relationships/hyperlink" Target="http://sro.sussex.ac.uk/53486/1/100.full.pdf" TargetMode="External"/><Relationship Id="rId401" Type="http://schemas.openxmlformats.org/officeDocument/2006/relationships/hyperlink" Target="https://www.gov.uk/government/publications/care-homes-market-study-summary-of-final-report/care-homes-market-study-summary-of-final-report" TargetMode="External"/><Relationship Id="rId422" Type="http://schemas.openxmlformats.org/officeDocument/2006/relationships/hyperlink" Target="http://www.lambethccg.nhs.uk/our-plans/mental-health-services/lambeth-living-well-network/Pages/default.aspx" TargetMode="External"/><Relationship Id="rId443" Type="http://schemas.openxmlformats.org/officeDocument/2006/relationships/header" Target="header93.xml"/><Relationship Id="rId464" Type="http://schemas.openxmlformats.org/officeDocument/2006/relationships/hyperlink" Target="https://improvement.nhs.uk/resources/201920-payment-reform-proposals/" TargetMode="External"/><Relationship Id="rId303" Type="http://schemas.openxmlformats.org/officeDocument/2006/relationships/header" Target="header68.xml"/><Relationship Id="rId485" Type="http://schemas.openxmlformats.org/officeDocument/2006/relationships/hyperlink" Target="http://en.wikipedia.org/wiki/National_Health_Service" TargetMode="External"/><Relationship Id="rId42" Type="http://schemas.openxmlformats.org/officeDocument/2006/relationships/header" Target="header6.xml"/><Relationship Id="rId84" Type="http://schemas.openxmlformats.org/officeDocument/2006/relationships/hyperlink" Target="http://www.laingbuissonevents.com/wp-content/uploads/2017/05/William-COP.pdf" TargetMode="External"/><Relationship Id="rId138" Type="http://schemas.openxmlformats.org/officeDocument/2006/relationships/hyperlink" Target="http://eprints.lse.ac.uk/64685/2/Bauer_Lifetime%20costs_2015.pdf" TargetMode="External"/><Relationship Id="rId345" Type="http://schemas.openxmlformats.org/officeDocument/2006/relationships/hyperlink" Target="https://digital.nhs.uk/data-and-information/publications/statistical/general-and-personal-medical-services/final-31-march-2019-experimental-statistics%20%5b18" TargetMode="External"/><Relationship Id="rId387" Type="http://schemas.openxmlformats.org/officeDocument/2006/relationships/hyperlink" Target="https://www.gov.uk/government/publications/the-green-book-appraisal-and-evaluation-in-central-governent" TargetMode="External"/><Relationship Id="rId510" Type="http://schemas.openxmlformats.org/officeDocument/2006/relationships/hyperlink" Target="http://webarchive.nationalarchives.gov.uk/%2B/www.dh.gov.uk/en/Publicationsandstatistics/Publications/PublicationsPolicyAndGuidance/Browsable/DH_127381" TargetMode="External"/><Relationship Id="rId552" Type="http://schemas.openxmlformats.org/officeDocument/2006/relationships/hyperlink" Target="http://www.cqc.org.uk/" TargetMode="External"/><Relationship Id="rId191" Type="http://schemas.openxmlformats.org/officeDocument/2006/relationships/hyperlink" Target="https://www.sduhealth.org.uk/policy-strategy/reporting/natural-resource-footprint-2018.aspx" TargetMode="External"/><Relationship Id="rId205" Type="http://schemas.openxmlformats.org/officeDocument/2006/relationships/hyperlink" Target="http://innovationcsc.co.uk/wp-content/uploads/2017/11/1.2.49-Hampshire_and_IOW_Evaluation_Report_March_2017.pdf" TargetMode="External"/><Relationship Id="rId247" Type="http://schemas.openxmlformats.org/officeDocument/2006/relationships/hyperlink" Target="http://www.emeraldinsight.com/doi/pdfplus/10.1108/JHOM-01-2012-0005" TargetMode="External"/><Relationship Id="rId412" Type="http://schemas.openxmlformats.org/officeDocument/2006/relationships/hyperlink" Target="https://www.gov.uk/government/publications/the-green-book-appraisal-and-evaluation-in-central-governent" TargetMode="External"/><Relationship Id="rId107" Type="http://schemas.openxmlformats.org/officeDocument/2006/relationships/hyperlink" Target="https://www.gov.uk/government/publications/land-value-estimates-for-policy-appraisal-2017" TargetMode="External"/><Relationship Id="rId289" Type="http://schemas.openxmlformats.org/officeDocument/2006/relationships/header" Target="header65.xml"/><Relationship Id="rId454" Type="http://schemas.openxmlformats.org/officeDocument/2006/relationships/header" Target="header97.xml"/><Relationship Id="rId496" Type="http://schemas.openxmlformats.org/officeDocument/2006/relationships/hyperlink" Target="http://www.basw.co.uk/social-work-careers/" TargetMode="External"/><Relationship Id="rId11" Type="http://schemas.openxmlformats.org/officeDocument/2006/relationships/hyperlink" Target="http://www.pssru.ac.uk/" TargetMode="External"/><Relationship Id="rId53" Type="http://schemas.openxmlformats.org/officeDocument/2006/relationships/header" Target="header7.xml"/><Relationship Id="rId149" Type="http://schemas.openxmlformats.org/officeDocument/2006/relationships/hyperlink" Target="https://www.gov.uk/government/publications/land-value-estimates-for-policy-appraisal-2017" TargetMode="External"/><Relationship Id="rId314" Type="http://schemas.openxmlformats.org/officeDocument/2006/relationships/hyperlink" Target="https://digital.nhs.uk/data-and-information/publications/statistical/nhs-sickness-absence-rates/january-2019-to-march-2019-and-annual-summary-2010-11-to-2018-19" TargetMode="External"/><Relationship Id="rId356" Type="http://schemas.openxmlformats.org/officeDocument/2006/relationships/hyperlink" Target="http://www.sciencedirect.com/science/article/pii/S0140673616006206" TargetMode="External"/><Relationship Id="rId398" Type="http://schemas.openxmlformats.org/officeDocument/2006/relationships/hyperlink" Target="https://www.local.gov.uk/sites/default/files/documents/LG%20Workforce%20Survey%202016-17%20-%20report%20final%2020180718.pdf" TargetMode="External"/><Relationship Id="rId521" Type="http://schemas.openxmlformats.org/officeDocument/2006/relationships/hyperlink" Target="http://www.lgpsboard.org/index.php/fund-actuarial-valuations-2013" TargetMode="External"/><Relationship Id="rId563" Type="http://schemas.openxmlformats.org/officeDocument/2006/relationships/hyperlink" Target="http://www.laingbuisson.co.uk/" TargetMode="External"/><Relationship Id="rId95" Type="http://schemas.openxmlformats.org/officeDocument/2006/relationships/hyperlink" Target="http://www.laingbuisson.co.uk/Portals/1/PressReleases/FairPrice_12_PR.pdf" TargetMode="External"/><Relationship Id="rId160" Type="http://schemas.openxmlformats.org/officeDocument/2006/relationships/hyperlink" Target="http://www.lldc.org/wp-content/uploads/2016/09/LaingBuisson_LLDC_Final_Report_070916.pdf" TargetMode="External"/><Relationship Id="rId216" Type="http://schemas.openxmlformats.org/officeDocument/2006/relationships/header" Target="header54.xml"/><Relationship Id="rId423" Type="http://schemas.openxmlformats.org/officeDocument/2006/relationships/hyperlink" Target="http://www.lambethccg.nhs.uk/our-plans/mental-health-services/lambeth-living-well-network/Pages/default.aspx" TargetMode="External"/><Relationship Id="rId258" Type="http://schemas.openxmlformats.org/officeDocument/2006/relationships/hyperlink" Target="https://www.nice.org.uk/advice/lgb10/chapter/judging-the-cost-effectiveness-of-public-health-activities" TargetMode="External"/><Relationship Id="rId465" Type="http://schemas.openxmlformats.org/officeDocument/2006/relationships/header" Target="header99.xml"/><Relationship Id="rId22" Type="http://schemas.openxmlformats.org/officeDocument/2006/relationships/hyperlink" Target="https://www.pssru.ac.uk/project-pages/unit-costs" TargetMode="External"/><Relationship Id="rId64" Type="http://schemas.openxmlformats.org/officeDocument/2006/relationships/hyperlink" Target="https://improvement.nhs.uk/documents/1972/1_-_Reference_costs_201718.pdf" TargetMode="External"/><Relationship Id="rId118" Type="http://schemas.openxmlformats.org/officeDocument/2006/relationships/hyperlink" Target="https://improvement.nhs.uk/resources/reference-costs/" TargetMode="External"/><Relationship Id="rId325" Type="http://schemas.openxmlformats.org/officeDocument/2006/relationships/hyperlink" Target="http://nhsemployers.org/your-workforce/pay-and-reward/nhs-terms-and-conditions/nhs-terms-and-conditions-of-service-handbook/mileage-allowances" TargetMode="External"/><Relationship Id="rId367" Type="http://schemas.openxmlformats.org/officeDocument/2006/relationships/hyperlink" Target="https://files.digital.nhs.uk/AD/73DD0A/nhs-dent-stat-eng-18-19-anx4-gui.pdf" TargetMode="External"/><Relationship Id="rId532" Type="http://schemas.openxmlformats.org/officeDocument/2006/relationships/hyperlink" Target="http://www.content.digital.nhs.uk/catalogue/PUB22240" TargetMode="External"/><Relationship Id="rId574" Type="http://schemas.openxmlformats.org/officeDocument/2006/relationships/hyperlink" Target="http://www.york.ac.uk/inst/spru" TargetMode="External"/><Relationship Id="rId171" Type="http://schemas.openxmlformats.org/officeDocument/2006/relationships/header" Target="header42.xml"/><Relationship Id="rId227" Type="http://schemas.openxmlformats.org/officeDocument/2006/relationships/hyperlink" Target="http://www.cipfa.org/services/benchmarking" TargetMode="External"/><Relationship Id="rId269" Type="http://schemas.openxmlformats.org/officeDocument/2006/relationships/hyperlink" Target="https://web.nhs.net/owa/nwlh-tr.ukroc%40nhs.net/redir.aspx?C=gNRme8M00Euy8me3tiyjud6aKAux09FIGmcV7jeUykYysvIXy0FLLlppgq5YWKfJISxaZIYd0Vk.&amp;amp;URL=mailto%3alnwh-tr.ukroc%40nhs.net" TargetMode="External"/><Relationship Id="rId434" Type="http://schemas.openxmlformats.org/officeDocument/2006/relationships/hyperlink" Target="https://www.gov.uk/government/publications/nhs-foundation-trust-accounts-consolidation-ftc-files-201415" TargetMode="External"/><Relationship Id="rId476" Type="http://schemas.openxmlformats.org/officeDocument/2006/relationships/hyperlink" Target="https://www.thecompleteuniversityguide.co.uk/university-tuition-fees/university-tuition-fees-and-financial-support/if-you-come-from-england/" TargetMode="External"/><Relationship Id="rId33" Type="http://schemas.openxmlformats.org/officeDocument/2006/relationships/hyperlink" Target="http://www.pulsetoday.co.uk/news/gp-topics/employment/more-than-two-thirds-of-gps-work-less-than-full-time-says-official-data/20037483.article" TargetMode="External"/><Relationship Id="rId129" Type="http://schemas.openxmlformats.org/officeDocument/2006/relationships/hyperlink" Target="http://www.salford.gov.uk/mentalhealth.htm" TargetMode="External"/><Relationship Id="rId280" Type="http://schemas.openxmlformats.org/officeDocument/2006/relationships/header" Target="header62.xml"/><Relationship Id="rId336" Type="http://schemas.openxmlformats.org/officeDocument/2006/relationships/hyperlink" Target="https://digital.nhs.uk/data-and-information/publications/statistical/nhs-sickness-absence-rates/january-2019-to-march-2019-and-annual-summary-2010-11-to-2018-19" TargetMode="External"/><Relationship Id="rId501" Type="http://schemas.openxmlformats.org/officeDocument/2006/relationships/hyperlink" Target="http://media.education.gov.uk/assets/files/pdf/c/childrens%20homes%20data%20pack%20march%202012.pdf" TargetMode="External"/><Relationship Id="rId543" Type="http://schemas.openxmlformats.org/officeDocument/2006/relationships/hyperlink" Target="http://www.salford.gov.uk/mh%C3%A2%E2%82%AC%C2%90partnership.htm" TargetMode="External"/><Relationship Id="rId75" Type="http://schemas.openxmlformats.org/officeDocument/2006/relationships/header" Target="header19.xml"/><Relationship Id="rId140" Type="http://schemas.openxmlformats.org/officeDocument/2006/relationships/header" Target="header35.xml"/><Relationship Id="rId182" Type="http://schemas.openxmlformats.org/officeDocument/2006/relationships/hyperlink" Target="https://digital.nhs.uk/data-and-information/publications/statistical/adult-social-care-activity-and-finance-report/2018-19" TargetMode="External"/><Relationship Id="rId378" Type="http://schemas.openxmlformats.org/officeDocument/2006/relationships/hyperlink" Target="https://www.gov.uk/government/publications/land-value-estimates-for-policy-appraisal-2017" TargetMode="External"/><Relationship Id="rId403" Type="http://schemas.openxmlformats.org/officeDocument/2006/relationships/hyperlink" Target="https://www.nmds-sc-online.org.uk/" TargetMode="External"/><Relationship Id="rId6" Type="http://schemas.openxmlformats.org/officeDocument/2006/relationships/endnotes" Target="endnotes.xml"/><Relationship Id="rId238" Type="http://schemas.openxmlformats.org/officeDocument/2006/relationships/hyperlink" Target="http://www.basw.co.uk/social-work-careers/" TargetMode="External"/><Relationship Id="rId445" Type="http://schemas.openxmlformats.org/officeDocument/2006/relationships/hyperlink" Target="http://www.nhsemployers.org/your-workforce/pay-and-reward/pay/job-evaluation/national-job-profiles" TargetMode="External"/><Relationship Id="rId487" Type="http://schemas.openxmlformats.org/officeDocument/2006/relationships/hyperlink" Target="http://en.wikipedia.org/wiki/UK" TargetMode="External"/><Relationship Id="rId291" Type="http://schemas.openxmlformats.org/officeDocument/2006/relationships/hyperlink" Target="http://www.education.gov.uk/childrenandyoungpeople/safeguardingchildren/a0068940/children-in-care" TargetMode="External"/><Relationship Id="rId305" Type="http://schemas.openxmlformats.org/officeDocument/2006/relationships/header" Target="header70.xml"/><Relationship Id="rId347" Type="http://schemas.openxmlformats.org/officeDocument/2006/relationships/hyperlink" Target="http://blogs.lshtm.ac.uk/prucomm/files/2018/05/Ninth-National-GP-Worklife-Survey.pdf" TargetMode="External"/><Relationship Id="rId512" Type="http://schemas.openxmlformats.org/officeDocument/2006/relationships/hyperlink" Target="https://www.jmir.org/article/viewFile/jmir_v19i5e144/2" TargetMode="External"/><Relationship Id="rId44" Type="http://schemas.openxmlformats.org/officeDocument/2006/relationships/hyperlink" Target="https://www.gov.uk/government/publications/productivity-in-nhs-hospitals" TargetMode="External"/><Relationship Id="rId86" Type="http://schemas.openxmlformats.org/officeDocument/2006/relationships/hyperlink" Target="http://www.rcpa.org.uk/wp-content/uploads/2016/12/NAT00339_Healthcare_Report_Midres.pdf" TargetMode="External"/><Relationship Id="rId151" Type="http://schemas.openxmlformats.org/officeDocument/2006/relationships/hyperlink" Target="https://digital.nhs.uk/data-and-information/publications/statistical/nhs-sickness-absence-rates/january-2019-to-march-2019-and-annual-summary-2010-11-to-2018-19" TargetMode="External"/><Relationship Id="rId389" Type="http://schemas.openxmlformats.org/officeDocument/2006/relationships/hyperlink" Target="http://lgpsboard.org/index.php/schemedata" TargetMode="External"/><Relationship Id="rId554" Type="http://schemas.openxmlformats.org/officeDocument/2006/relationships/hyperlink" Target="http://www.cipfa.org/" TargetMode="External"/><Relationship Id="rId193" Type="http://schemas.openxmlformats.org/officeDocument/2006/relationships/hyperlink" Target="https://www.gov.uk/government/publications/childrens-services-innovation-programme" TargetMode="External"/><Relationship Id="rId207" Type="http://schemas.openxmlformats.org/officeDocument/2006/relationships/hyperlink" Target="http://innovationcsc.co.uk/wp-content/uploads/2017/11/1.2.68-Evaluation_of_the_Sefton_Community_Adolescent_Service-1.pdf" TargetMode="External"/><Relationship Id="rId249" Type="http://schemas.openxmlformats.org/officeDocument/2006/relationships/header" Target="header58.xml"/><Relationship Id="rId414" Type="http://schemas.openxmlformats.org/officeDocument/2006/relationships/hyperlink" Target="https://careertrend.com/about-4618849-job-description-community-outreach-worker.html%20%5b17" TargetMode="External"/><Relationship Id="rId456" Type="http://schemas.openxmlformats.org/officeDocument/2006/relationships/hyperlink" Target="https://www.prospects.ac.uk/job-profiles/hospital-doctor" TargetMode="External"/><Relationship Id="rId498" Type="http://schemas.openxmlformats.org/officeDocument/2006/relationships/hyperlink" Target="http://www.england.nhs.uk/commissioning/spec-services/npc-crg/group-d/d02/)%20%5baccessed" TargetMode="External"/><Relationship Id="rId13" Type="http://schemas.openxmlformats.org/officeDocument/2006/relationships/header" Target="header2.xml"/><Relationship Id="rId109" Type="http://schemas.openxmlformats.org/officeDocument/2006/relationships/hyperlink" Target="http://www.londonhp.nhs.uk/wp-content/uploads/2011/03/Dementia-Services-Guide.pdf" TargetMode="External"/><Relationship Id="rId260" Type="http://schemas.openxmlformats.org/officeDocument/2006/relationships/hyperlink" Target="https://lx.iriss.org.uk/content/review-cost-effectiveness-individual-level-behaviour-change-interventions" TargetMode="External"/><Relationship Id="rId316" Type="http://schemas.openxmlformats.org/officeDocument/2006/relationships/hyperlink" Target="https://www.nhsemployers.org/tchandbook/annex-4-to-10/annex-9-high-cost-area-supplements%20%5baccessed" TargetMode="External"/><Relationship Id="rId523" Type="http://schemas.openxmlformats.org/officeDocument/2006/relationships/hyperlink" Target="http://socialwelfare.bl.uk/subject-areas/services-client-groups/families/actionforchildren/153741intensive-family-support-cost-effectiveness_full-report.pdf" TargetMode="External"/><Relationship Id="rId55" Type="http://schemas.openxmlformats.org/officeDocument/2006/relationships/image" Target="media/image2.png"/><Relationship Id="rId97" Type="http://schemas.openxmlformats.org/officeDocument/2006/relationships/hyperlink" Target="https://assets.publishing.service.gov.uk/government/uploads/system/uploads/attachment_data/file/772969/Social_care_charging_for_care_and_support_-_LAC_2019.pdf" TargetMode="External"/><Relationship Id="rId120" Type="http://schemas.openxmlformats.org/officeDocument/2006/relationships/header" Target="header28.xml"/><Relationship Id="rId358" Type="http://schemas.openxmlformats.org/officeDocument/2006/relationships/hyperlink" Target="http://www.gdc-uk.org/Dentalprofessionals/Education/Pages/Dentist-qualifications.aspx" TargetMode="External"/><Relationship Id="rId565" Type="http://schemas.openxmlformats.org/officeDocument/2006/relationships/hyperlink" Target="https://www.nao.org.uk/" TargetMode="External"/><Relationship Id="rId162" Type="http://schemas.openxmlformats.org/officeDocument/2006/relationships/hyperlink" Target="https://www.peoplefirstinfo.org.uk/health-and-well-being/learning-disability/accommodation-for-people-with-learning-disabilities/" TargetMode="External"/><Relationship Id="rId218" Type="http://schemas.openxmlformats.org/officeDocument/2006/relationships/hyperlink" Target="https://www.gov.uk/government/collections/section-251-materials" TargetMode="External"/><Relationship Id="rId425" Type="http://schemas.openxmlformats.org/officeDocument/2006/relationships/hyperlink" Target="https://www.rgtb.org.uk/" TargetMode="External"/><Relationship Id="rId467" Type="http://schemas.openxmlformats.org/officeDocument/2006/relationships/header" Target="header101.xml"/><Relationship Id="rId271" Type="http://schemas.openxmlformats.org/officeDocument/2006/relationships/hyperlink" Target="http://www.bsrm.co.uk/Publications.html" TargetMode="External"/><Relationship Id="rId24" Type="http://schemas.openxmlformats.org/officeDocument/2006/relationships/hyperlink" Target="https://www.pssru.ac.uk/" TargetMode="External"/><Relationship Id="rId66" Type="http://schemas.openxmlformats.org/officeDocument/2006/relationships/header" Target="header12.xml"/><Relationship Id="rId131" Type="http://schemas.openxmlformats.org/officeDocument/2006/relationships/hyperlink" Target="https://www.gov.uk/government/publications/land-value-estimates-for-policy-appraisal-2017" TargetMode="External"/><Relationship Id="rId327" Type="http://schemas.openxmlformats.org/officeDocument/2006/relationships/hyperlink" Target="https://digital.nhs.uk/data-and-information/publications/statistical/nhs-sickness-absence-rates/january-2019-to-march-2019-and-annual-summary-2010-11-to-2018-19" TargetMode="External"/><Relationship Id="rId369" Type="http://schemas.openxmlformats.org/officeDocument/2006/relationships/hyperlink" Target="https://www.nhs.uk/using-the-nhs/nhs-services/dentists/understanding-nhs-dental-charges/" TargetMode="External"/><Relationship Id="rId534" Type="http://schemas.openxmlformats.org/officeDocument/2006/relationships/hyperlink" Target="https://www.gov.uk/government/statistics/dental-earnings-and-expenses-2014-to-2015-initial-analysis" TargetMode="External"/><Relationship Id="rId576" Type="http://schemas.openxmlformats.org/officeDocument/2006/relationships/hyperlink" Target="http://www.pssru.ac.uk/ucarticles/" TargetMode="External"/><Relationship Id="rId173" Type="http://schemas.openxmlformats.org/officeDocument/2006/relationships/hyperlink" Target="http://www.skillsforcare.org.uk/Topics/Learning-disability/Positive-behavioural-support/Positive-behaviour-support.aspx" TargetMode="External"/><Relationship Id="rId229" Type="http://schemas.openxmlformats.org/officeDocument/2006/relationships/hyperlink" Target="http://www.cvaa.org.uk/the-voluntary-adoption-sector/inter-agency-fees/)" TargetMode="External"/><Relationship Id="rId380" Type="http://schemas.openxmlformats.org/officeDocument/2006/relationships/hyperlink" Target="https://www.local.gov.uk/sites/default/files/documents/LG%20Workforce%20Survey%202016-17%20-%20report%20final%2020180718.pdf" TargetMode="External"/><Relationship Id="rId436" Type="http://schemas.openxmlformats.org/officeDocument/2006/relationships/hyperlink" Target="https://www.gov.uk/government/publications/land-value-estimates-for-policy-appraisal-2017" TargetMode="External"/><Relationship Id="rId240" Type="http://schemas.openxmlformats.org/officeDocument/2006/relationships/hyperlink" Target="http://incredibleyears.com/programs/teacher/classroom-mgt-curriculum/" TargetMode="External"/><Relationship Id="rId478" Type="http://schemas.openxmlformats.org/officeDocument/2006/relationships/hyperlink" Target="https://university.which.co.uk/advice/student-finance/whats-the-average-cost-of-living-at-university" TargetMode="External"/><Relationship Id="rId35" Type="http://schemas.openxmlformats.org/officeDocument/2006/relationships/hyperlink" Target="https://www.telegraph.co.uk/news/2018/02/01/gps-retire-early-amid-clampdown-multi-million-pension-pots/" TargetMode="External"/><Relationship Id="rId77" Type="http://schemas.openxmlformats.org/officeDocument/2006/relationships/hyperlink" Target="https://digital.nhs.uk/data-and-information/publications/statistical/adult-social-care-activity-and-finance-report/2018-19" TargetMode="External"/><Relationship Id="rId100" Type="http://schemas.openxmlformats.org/officeDocument/2006/relationships/hyperlink" Target="https://digital.nhs.uk/data-and-information/publications/statistical/adult-social-care-activity-and-finance-report/2018-19" TargetMode="External"/><Relationship Id="rId282" Type="http://schemas.openxmlformats.org/officeDocument/2006/relationships/hyperlink" Target="https://improvement.nhs.uk/resources/approved-costing-guidance/" TargetMode="External"/><Relationship Id="rId338" Type="http://schemas.openxmlformats.org/officeDocument/2006/relationships/hyperlink" Target="https://www.nhsemployers.org/tchandbook/annex-4-to-10/annex-9-high-cost-area-supplements%20%5baccessed" TargetMode="External"/><Relationship Id="rId503" Type="http://schemas.openxmlformats.org/officeDocument/2006/relationships/hyperlink" Target="https://www.gov.uk/government/publications/childrens-services-innovation-programme" TargetMode="External"/><Relationship Id="rId545" Type="http://schemas.openxmlformats.org/officeDocument/2006/relationships/hyperlink" Target="https://data.gov.uk/dataset/9cd42409-1a44-4e6c-9696-29d6a760e746/national-minimum-dataset-for-social-care-nmds-sc" TargetMode="External"/><Relationship Id="rId8" Type="http://schemas.openxmlformats.org/officeDocument/2006/relationships/hyperlink" Target="mailto:pssru@kent.ac.uk" TargetMode="External"/><Relationship Id="rId142" Type="http://schemas.openxmlformats.org/officeDocument/2006/relationships/hyperlink" Target="http://www.sduhealth.org.uk/" TargetMode="External"/><Relationship Id="rId184" Type="http://schemas.openxmlformats.org/officeDocument/2006/relationships/hyperlink" Target="https://assets.publishing.service.gov.uk/government/uploads/system/uploads/attachment_data/file/772969/Social_care_charging_for_care_and_support_-_LAC_2019.pdf" TargetMode="External"/><Relationship Id="rId391" Type="http://schemas.openxmlformats.org/officeDocument/2006/relationships/hyperlink" Target="https://www.gov.uk/government/publications/the-green-book-appraisal-and-evaluation-in-central-government" TargetMode="External"/><Relationship Id="rId405" Type="http://schemas.openxmlformats.org/officeDocument/2006/relationships/hyperlink" Target="http://lgpsboard.org/index.php/schemedata" TargetMode="External"/><Relationship Id="rId447" Type="http://schemas.openxmlformats.org/officeDocument/2006/relationships/hyperlink" Target="http://www.nhsemployers.org/tchandbook" TargetMode="External"/><Relationship Id="rId251" Type="http://schemas.openxmlformats.org/officeDocument/2006/relationships/hyperlink" Target="http://www.foundations.uk.com/about-home-improvement-agencies/" TargetMode="External"/><Relationship Id="rId489" Type="http://schemas.openxmlformats.org/officeDocument/2006/relationships/hyperlink" Target="http://en.wikipedia.org/wiki/Department_for_Education_and_Employment" TargetMode="External"/><Relationship Id="rId46" Type="http://schemas.openxmlformats.org/officeDocument/2006/relationships/hyperlink" Target="https://www.gov.uk/government/consultations/improving-the-costing-of-nhs-services-proposals-for-2015-to-2021" TargetMode="External"/><Relationship Id="rId293" Type="http://schemas.openxmlformats.org/officeDocument/2006/relationships/header" Target="header67.xml"/><Relationship Id="rId307" Type="http://schemas.openxmlformats.org/officeDocument/2006/relationships/hyperlink" Target="http://www.nhsemployers.org/your-workforce/pay-and-reward/pay/job-evaluation/national-job-profiles" TargetMode="External"/><Relationship Id="rId349" Type="http://schemas.openxmlformats.org/officeDocument/2006/relationships/hyperlink" Target="https://www.england.nhs.uk/2016/02/gp-contract-16-17/" TargetMode="External"/><Relationship Id="rId514" Type="http://schemas.openxmlformats.org/officeDocument/2006/relationships/hyperlink" Target="https://www.york.ac.uk/inst/spru/research/pdf/Reablement.pdf" TargetMode="External"/><Relationship Id="rId556" Type="http://schemas.openxmlformats.org/officeDocument/2006/relationships/hyperlink" Target="http://www.gov.uk/government/organisations/department-of-health-and-social-" TargetMode="External"/><Relationship Id="rId88" Type="http://schemas.openxmlformats.org/officeDocument/2006/relationships/header" Target="header20.xml"/><Relationship Id="rId111" Type="http://schemas.openxmlformats.org/officeDocument/2006/relationships/hyperlink" Target="http://webarchive.nationalarchives.gov.uk/%2B/www.dh.gov.uk/en/Publicationsandstatistics/Publications/PublicationsPolicyAndGuidance/Browsable/DH_127381" TargetMode="External"/><Relationship Id="rId153" Type="http://schemas.openxmlformats.org/officeDocument/2006/relationships/header" Target="header38.xml"/><Relationship Id="rId195" Type="http://schemas.openxmlformats.org/officeDocument/2006/relationships/hyperlink" Target="http://innovationcsc.co.uk/evaluation-approach/" TargetMode="External"/><Relationship Id="rId209" Type="http://schemas.openxmlformats.org/officeDocument/2006/relationships/hyperlink" Target="https://socialcareinspection.blog.gov.uk/2018/08/22/the-changing-picture-in-the-childrens-homes-sector/" TargetMode="External"/><Relationship Id="rId360" Type="http://schemas.openxmlformats.org/officeDocument/2006/relationships/hyperlink" Target="https://digital.nhs.uk/data-and-information/publications/statistical/dental-earnings-and-expenses-estimates/2017-18" TargetMode="External"/><Relationship Id="rId416" Type="http://schemas.openxmlformats.org/officeDocument/2006/relationships/hyperlink" Target="https://www.nmds-sc-online.org.uk/" TargetMode="External"/><Relationship Id="rId220" Type="http://schemas.openxmlformats.org/officeDocument/2006/relationships/hyperlink" Target="https://www.gov.uk/government/statistics/children-looked-after-in-england-including-adoption-2017-to-2018" TargetMode="External"/><Relationship Id="rId458" Type="http://schemas.openxmlformats.org/officeDocument/2006/relationships/hyperlink" Target="http://www.nhsemployers.org/tchandbook" TargetMode="External"/><Relationship Id="rId15" Type="http://schemas.openxmlformats.org/officeDocument/2006/relationships/header" Target="header3.xml"/><Relationship Id="rId57" Type="http://schemas.openxmlformats.org/officeDocument/2006/relationships/header" Target="header9.xml"/><Relationship Id="rId262" Type="http://schemas.openxmlformats.org/officeDocument/2006/relationships/hyperlink" Target="https://www.kingsfund.org.uk/projects/gp-commissioning/ten-priorities-for-commissioners/self-management" TargetMode="External"/><Relationship Id="rId318" Type="http://schemas.openxmlformats.org/officeDocument/2006/relationships/header" Target="header72.xml"/><Relationship Id="rId525" Type="http://schemas.openxmlformats.org/officeDocument/2006/relationships/hyperlink" Target="https://www.gov.uk/government/publications/land-value-estimates-for-policy-appraisal-2017" TargetMode="External"/><Relationship Id="rId567" Type="http://schemas.openxmlformats.org/officeDocument/2006/relationships/hyperlink" Target="http://www.endoflifecare-intelligence.org.uk/home" TargetMode="External"/><Relationship Id="rId99" Type="http://schemas.openxmlformats.org/officeDocument/2006/relationships/hyperlink" Target="http://www.laingbuissonevents.com/wp-content/uploads/2017/05/William-COP.pdf" TargetMode="External"/><Relationship Id="rId122" Type="http://schemas.openxmlformats.org/officeDocument/2006/relationships/hyperlink" Target="https://digital.nhs.uk/data-and-information/publications/statistical/adult-social-care-activity-and-finance-report/2018-19" TargetMode="External"/><Relationship Id="rId164" Type="http://schemas.openxmlformats.org/officeDocument/2006/relationships/hyperlink" Target="http://lldc.org/wp-content/uploads/2016/09/LaingBuisson_LLDC_Final_Report_070916.pdf" TargetMode="External"/><Relationship Id="rId371" Type="http://schemas.openxmlformats.org/officeDocument/2006/relationships/header" Target="header83.xml"/><Relationship Id="rId427" Type="http://schemas.openxmlformats.org/officeDocument/2006/relationships/hyperlink" Target="https://www.derbyshirealc.gov.uk/uploads/2016-2018-national-salary-award.pdf" TargetMode="External"/><Relationship Id="rId469" Type="http://schemas.openxmlformats.org/officeDocument/2006/relationships/hyperlink" Target="http://en.wikipedia.org/wiki/Inflation" TargetMode="External"/><Relationship Id="rId26" Type="http://schemas.openxmlformats.org/officeDocument/2006/relationships/hyperlink" Target="https://www.sduhealth.org.uk/policy-strategy/what-is-sustainable-health.aspx" TargetMode="External"/><Relationship Id="rId231" Type="http://schemas.openxmlformats.org/officeDocument/2006/relationships/hyperlink" Target="https://www.gov.uk/government/collections/section-251-materials" TargetMode="External"/><Relationship Id="rId273" Type="http://schemas.openxmlformats.org/officeDocument/2006/relationships/header" Target="header59.xml"/><Relationship Id="rId329" Type="http://schemas.openxmlformats.org/officeDocument/2006/relationships/header" Target="header77.xml"/><Relationship Id="rId480" Type="http://schemas.openxmlformats.org/officeDocument/2006/relationships/header" Target="header105.xml"/><Relationship Id="rId536" Type="http://schemas.openxmlformats.org/officeDocument/2006/relationships/hyperlink" Target="http://content.digital.nhs.uk/catalogue/PUB21701/nhs-dent-stat-eng-15-16-re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78916</Words>
  <Characters>449826</Characters>
  <Application>Microsoft Office Word</Application>
  <DocSecurity>0</DocSecurity>
  <Lines>3748</Lines>
  <Paragraphs>1055</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527687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Duffy</dc:creator>
  <cp:lastModifiedBy>Suzanne Duffy</cp:lastModifiedBy>
  <cp:revision>2</cp:revision>
  <dcterms:created xsi:type="dcterms:W3CDTF">2021-10-26T14:54:00Z</dcterms:created>
  <dcterms:modified xsi:type="dcterms:W3CDTF">2021-10-26T14:54:00Z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LastSaved">
    <vt:filetime>2021-10-25T00:00:00Z</vt:filetime>
  </property>
</Properties>
</file>