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8BD61" w14:textId="77777777" w:rsidR="00D55E5A" w:rsidRDefault="00D55E5A" w:rsidP="00D55E5A">
      <w:pPr>
        <w:spacing w:line="276" w:lineRule="auto"/>
        <w:jc w:val="center"/>
        <w:rPr>
          <w:rFonts w:cs="Times New Roman"/>
          <w:b/>
          <w:lang w:val="de-DE"/>
        </w:rPr>
      </w:pPr>
      <w:r>
        <w:rPr>
          <w:rFonts w:cs="Times New Roman"/>
          <w:b/>
          <w:lang w:val="de-DE"/>
        </w:rPr>
        <w:t>Lobbygruppen im politischen Wettbewerb: Die Auswirkungen des Konkurrenzkampfes unter Interessengruppen auf deren Lobbyverhalten</w:t>
      </w:r>
    </w:p>
    <w:p w14:paraId="3F75EFC1" w14:textId="77777777" w:rsidR="00D55E5A" w:rsidRPr="0095480A" w:rsidRDefault="00D55E5A" w:rsidP="00D55E5A">
      <w:pPr>
        <w:spacing w:line="360" w:lineRule="auto"/>
        <w:jc w:val="both"/>
        <w:rPr>
          <w:rFonts w:cs="Times New Roman"/>
          <w:b/>
          <w:lang w:val="de-DE"/>
        </w:rPr>
      </w:pPr>
    </w:p>
    <w:p w14:paraId="2A7B9DD3" w14:textId="77777777" w:rsidR="00D55E5A" w:rsidRPr="00F54C14" w:rsidRDefault="00D55E5A" w:rsidP="00D55E5A">
      <w:pPr>
        <w:spacing w:line="276" w:lineRule="auto"/>
        <w:jc w:val="center"/>
        <w:rPr>
          <w:rFonts w:cs="Times New Roman"/>
          <w:lang w:val="de-DE"/>
        </w:rPr>
      </w:pPr>
      <w:r w:rsidRPr="00F54C14">
        <w:rPr>
          <w:rFonts w:cs="Times New Roman"/>
          <w:lang w:val="de-DE"/>
        </w:rPr>
        <w:t>Florian Weiler</w:t>
      </w:r>
    </w:p>
    <w:p w14:paraId="636271E8" w14:textId="77777777" w:rsidR="00D55E5A" w:rsidRDefault="00D55E5A" w:rsidP="00D55E5A">
      <w:pPr>
        <w:spacing w:line="276" w:lineRule="auto"/>
        <w:jc w:val="center"/>
        <w:rPr>
          <w:rFonts w:cs="Times New Roman"/>
          <w:lang w:val="de-DE"/>
        </w:rPr>
      </w:pPr>
      <w:r>
        <w:rPr>
          <w:rFonts w:cs="Times New Roman"/>
          <w:lang w:val="de-DE"/>
        </w:rPr>
        <w:t>Professur für empirische Politikwissenschaft, Universität Bamberg</w:t>
      </w:r>
    </w:p>
    <w:p w14:paraId="52B8AB58" w14:textId="77777777" w:rsidR="00D55E5A" w:rsidRDefault="00D55E5A" w:rsidP="00D55E5A">
      <w:pPr>
        <w:spacing w:line="276" w:lineRule="auto"/>
        <w:jc w:val="center"/>
        <w:rPr>
          <w:rFonts w:cs="Times New Roman"/>
          <w:lang w:val="de-DE"/>
        </w:rPr>
      </w:pPr>
      <w:r>
        <w:rPr>
          <w:rFonts w:cs="Times New Roman"/>
          <w:lang w:val="de-DE"/>
        </w:rPr>
        <w:t>E-Mail: florian.weiler@uni-bamberg.de</w:t>
      </w:r>
    </w:p>
    <w:p w14:paraId="1192358C" w14:textId="77777777" w:rsidR="00D55E5A" w:rsidRDefault="00D55E5A" w:rsidP="00D55E5A">
      <w:pPr>
        <w:rPr>
          <w:rFonts w:cs="Times New Roman"/>
          <w:lang w:val="de-DE"/>
        </w:rPr>
      </w:pPr>
    </w:p>
    <w:p w14:paraId="311D08E3" w14:textId="77777777" w:rsidR="00D55E5A" w:rsidRDefault="00D55E5A" w:rsidP="00D55E5A">
      <w:pPr>
        <w:spacing w:line="360" w:lineRule="auto"/>
        <w:rPr>
          <w:rFonts w:cs="Times New Roman"/>
          <w:b/>
          <w:lang w:val="de-DE"/>
        </w:rPr>
      </w:pPr>
      <w:r>
        <w:rPr>
          <w:rFonts w:cs="Times New Roman"/>
          <w:b/>
          <w:lang w:val="de-DE"/>
        </w:rPr>
        <w:t>Deutsche Zusammenfassung:</w:t>
      </w:r>
    </w:p>
    <w:p w14:paraId="41EABBD0" w14:textId="77777777" w:rsidR="00D55E5A" w:rsidRDefault="00D55E5A" w:rsidP="00D55E5A">
      <w:pPr>
        <w:spacing w:line="360" w:lineRule="auto"/>
        <w:rPr>
          <w:rFonts w:cs="Times New Roman"/>
          <w:lang w:val="de-DE"/>
        </w:rPr>
      </w:pPr>
      <w:r>
        <w:rPr>
          <w:rFonts w:cs="Times New Roman"/>
          <w:lang w:val="de-DE"/>
        </w:rPr>
        <w:t>Lobbygruppen stehen in einem politischen Wettbewerb miteinander, wobei in manchen Themenfeldern ein sehr starker Konkurrenzkampf herrscht, während die Rivalität in anderen Bereichen eher gering ist. Dieser Artikel geht der Frage nach, wie sich diese unterschiedliche Intensität des Wettkampfs auf das Lobbyverhalten von Interessenorganisationen auswirkt. Basierend auf Daten einer Umfrage unter Deutschen und Schweizer Interessengruppen konnte festgestellt werden, dass sowohl direktes Lobbying bei Politikern (Insider Lobbying) als auch indirekte Einflussnahme über die Medien und die Öffentlichkeit (Outsider Lobbying) mit der Intensität des Konkurrenzdruckes zunimmt. Allerdings zeigt sich auch, dass Insider Lobbying stärker von dieser Zunahme betroffen ist, dass also Organisationen bei erhöhtem Wettbewerb insbesondere den direkten Zugang zu Entscheidungsträgern suchen.</w:t>
      </w:r>
    </w:p>
    <w:p w14:paraId="6534021D" w14:textId="77777777" w:rsidR="00D55E5A" w:rsidRPr="00A31EEA" w:rsidRDefault="00D55E5A" w:rsidP="00D55E5A">
      <w:pPr>
        <w:spacing w:line="360" w:lineRule="auto"/>
        <w:rPr>
          <w:rFonts w:cs="Times New Roman"/>
          <w:lang w:val="de-DE"/>
        </w:rPr>
      </w:pPr>
      <w:r w:rsidRPr="00A31EEA">
        <w:rPr>
          <w:rFonts w:cs="Times New Roman"/>
          <w:b/>
          <w:lang w:val="de-DE"/>
        </w:rPr>
        <w:t xml:space="preserve">Schlagwörter: </w:t>
      </w:r>
      <w:r w:rsidRPr="00A31EEA">
        <w:rPr>
          <w:rFonts w:cs="Times New Roman"/>
          <w:lang w:val="de-DE"/>
        </w:rPr>
        <w:t>Lobbying</w:t>
      </w:r>
      <w:r>
        <w:rPr>
          <w:rFonts w:cs="Times New Roman"/>
          <w:lang w:val="de-DE"/>
        </w:rPr>
        <w:t>, Interessengruppen, Wettbewerb, Insider Lobbying, Outsider Lobbying</w:t>
      </w:r>
    </w:p>
    <w:p w14:paraId="1741ED6D" w14:textId="77777777" w:rsidR="00D55E5A" w:rsidRPr="003F3F2D" w:rsidRDefault="00D55E5A" w:rsidP="00D55E5A">
      <w:pPr>
        <w:spacing w:line="360" w:lineRule="auto"/>
        <w:rPr>
          <w:rFonts w:cs="Times New Roman"/>
          <w:lang w:val="de-DE"/>
        </w:rPr>
      </w:pPr>
    </w:p>
    <w:p w14:paraId="573E2EBC" w14:textId="77777777" w:rsidR="00D55E5A" w:rsidRPr="0095480A" w:rsidRDefault="00D55E5A" w:rsidP="00D55E5A">
      <w:pPr>
        <w:spacing w:line="360" w:lineRule="auto"/>
        <w:rPr>
          <w:rFonts w:cs="Times New Roman"/>
          <w:b/>
        </w:rPr>
      </w:pPr>
      <w:r w:rsidRPr="0095480A">
        <w:rPr>
          <w:rFonts w:cs="Times New Roman"/>
          <w:b/>
        </w:rPr>
        <w:t>Englische Zusammenfassung:</w:t>
      </w:r>
    </w:p>
    <w:p w14:paraId="0793CEB9" w14:textId="77777777" w:rsidR="00D55E5A" w:rsidRDefault="00D55E5A" w:rsidP="00D55E5A">
      <w:pPr>
        <w:spacing w:line="360" w:lineRule="auto"/>
        <w:rPr>
          <w:rFonts w:cs="Times New Roman"/>
        </w:rPr>
      </w:pPr>
      <w:r w:rsidRPr="00845C3B">
        <w:rPr>
          <w:rFonts w:cs="Times New Roman"/>
        </w:rPr>
        <w:t xml:space="preserve">Lobby groups face direct competition from </w:t>
      </w:r>
      <w:r>
        <w:rPr>
          <w:rFonts w:cs="Times New Roman"/>
        </w:rPr>
        <w:t xml:space="preserve">each other, yet the level of competition they face varies and depends on the political issue area they compete in. This article investigates the question, how these differing intensities of competition affect the lobbying behavior of interest organizations. Based on data stemming from a survey among Swiss and German interest groups, this article establishes that the intensity of competition among lobby groups positively influences both directly lobbying politicians (inside lobbying) but also exercising influence indirectly via the media and the public (outside lobbying). Yet it is also demonstrated that the inside lobbying benefits more strongly from higher competition levels, hence interest organizations look for ways to directly influence politicians first when they are faced with stiffer competition. </w:t>
      </w:r>
    </w:p>
    <w:p w14:paraId="4C6E3C50" w14:textId="77777777" w:rsidR="00D55E5A" w:rsidRDefault="00D55E5A" w:rsidP="00D55E5A">
      <w:pPr>
        <w:spacing w:line="360" w:lineRule="auto"/>
        <w:rPr>
          <w:rFonts w:cs="Times New Roman"/>
        </w:rPr>
      </w:pPr>
      <w:r w:rsidRPr="00E93780">
        <w:rPr>
          <w:rFonts w:cs="Times New Roman"/>
          <w:b/>
        </w:rPr>
        <w:t>Key words:</w:t>
      </w:r>
      <w:r>
        <w:rPr>
          <w:rFonts w:cs="Times New Roman"/>
        </w:rPr>
        <w:t xml:space="preserve"> Lobbying, Interest Groups, Competition, Inside Lobbying, Outside Lobbying</w:t>
      </w:r>
    </w:p>
    <w:p w14:paraId="78ACC905" w14:textId="77777777" w:rsidR="00D55E5A" w:rsidRDefault="00D55E5A" w:rsidP="00C179DD">
      <w:pPr>
        <w:rPr>
          <w:rFonts w:cs="Times New Roman"/>
          <w:b/>
          <w:lang w:val="de-CH"/>
        </w:rPr>
      </w:pPr>
      <w:bookmarkStart w:id="0" w:name="_GoBack"/>
      <w:bookmarkEnd w:id="0"/>
    </w:p>
    <w:p w14:paraId="222D9826" w14:textId="77777777" w:rsidR="009F5188" w:rsidRPr="00091A98" w:rsidRDefault="009F5188" w:rsidP="00C179DD">
      <w:pPr>
        <w:rPr>
          <w:rFonts w:cs="Times New Roman"/>
          <w:b/>
          <w:lang w:val="de-CH"/>
        </w:rPr>
      </w:pPr>
      <w:r w:rsidRPr="00091A98">
        <w:rPr>
          <w:rFonts w:cs="Times New Roman"/>
          <w:b/>
          <w:lang w:val="de-CH"/>
        </w:rPr>
        <w:lastRenderedPageBreak/>
        <w:t>1. Einführung</w:t>
      </w:r>
    </w:p>
    <w:p w14:paraId="4A32B615" w14:textId="77777777" w:rsidR="009F5188" w:rsidRPr="00091A98" w:rsidRDefault="009F5188" w:rsidP="009F5188">
      <w:pPr>
        <w:spacing w:line="360" w:lineRule="auto"/>
        <w:jc w:val="both"/>
        <w:rPr>
          <w:rFonts w:cs="Times New Roman"/>
          <w:b/>
          <w:lang w:val="de-CH"/>
        </w:rPr>
      </w:pPr>
    </w:p>
    <w:p w14:paraId="16801A06" w14:textId="75EFD76A" w:rsidR="009F5188" w:rsidRPr="00091A98" w:rsidRDefault="009F5188" w:rsidP="009F5188">
      <w:pPr>
        <w:spacing w:line="360" w:lineRule="auto"/>
        <w:rPr>
          <w:rFonts w:cs="Times New Roman"/>
          <w:lang w:val="de-CH"/>
        </w:rPr>
      </w:pPr>
      <w:r w:rsidRPr="00091A98">
        <w:rPr>
          <w:rFonts w:cs="Times New Roman"/>
          <w:lang w:val="de-CH"/>
        </w:rPr>
        <w:t xml:space="preserve">Bereits seit geraumer Zeit haben Politikwissenschaftler eine starke Zunahme der Zahl der aktiven politischen Interessengruppen festgestellt, manche Forscher sprechen dabei sogar von einer „Explosion“ dieser Zahl seit Beginn der 70er Jahre </w:t>
      </w:r>
      <w:r w:rsidR="004B7E40" w:rsidRPr="00091A98">
        <w:rPr>
          <w:rFonts w:cs="Times New Roman"/>
          <w:lang w:val="de-CH"/>
        </w:rPr>
        <w:t xml:space="preserve">(Berry 1997; Schlozman und Tierney </w:t>
      </w:r>
      <w:r w:rsidRPr="00091A98">
        <w:rPr>
          <w:rFonts w:cs="Times New Roman"/>
          <w:lang w:val="de-CH"/>
        </w:rPr>
        <w:t>1986; Walk</w:t>
      </w:r>
      <w:r w:rsidR="004B7E40" w:rsidRPr="00091A98">
        <w:rPr>
          <w:rFonts w:cs="Times New Roman"/>
          <w:lang w:val="de-CH"/>
        </w:rPr>
        <w:t>er, 1991; Baumgartner und Leech</w:t>
      </w:r>
      <w:r w:rsidRPr="00091A98">
        <w:rPr>
          <w:rFonts w:cs="Times New Roman"/>
          <w:lang w:val="de-CH"/>
        </w:rPr>
        <w:t xml:space="preserve"> 2001). Dieses Wachstum der Interessengruppenpopulation ist bedingt durch die starke Zunahme der Regierungsmacht in pluralistischen Gesellschaften, in denen ein immer grö</w:t>
      </w:r>
      <w:r w:rsidR="00326CFE" w:rsidRPr="00091A98">
        <w:rPr>
          <w:rFonts w:cs="Times New Roman"/>
          <w:lang w:val="de-CH"/>
        </w:rPr>
        <w:t>ss</w:t>
      </w:r>
      <w:r w:rsidRPr="00091A98">
        <w:rPr>
          <w:rFonts w:cs="Times New Roman"/>
          <w:lang w:val="de-CH"/>
        </w:rPr>
        <w:t xml:space="preserve">erer Teil des gesellschaftlichen Lebens direkt durch die Politik reguliert wird (Heinz et </w:t>
      </w:r>
      <w:r w:rsidR="004B7E40" w:rsidRPr="00091A98">
        <w:rPr>
          <w:rFonts w:cs="Times New Roman"/>
          <w:lang w:val="de-CH"/>
        </w:rPr>
        <w:t>al.</w:t>
      </w:r>
      <w:r w:rsidRPr="00091A98">
        <w:rPr>
          <w:rFonts w:cs="Times New Roman"/>
          <w:lang w:val="de-CH"/>
        </w:rPr>
        <w:t xml:space="preserve"> 1993), was sich auch in der stark gestiegenen Staatsquote beinahe aller westlichen Demokratien seit damals widerspiegelt (</w:t>
      </w:r>
      <w:r w:rsidR="004B7E40" w:rsidRPr="00091A98">
        <w:rPr>
          <w:rFonts w:cs="Times New Roman"/>
          <w:lang w:val="de-CH"/>
        </w:rPr>
        <w:t>siehe z.B. Tanzi und Schuknecht</w:t>
      </w:r>
      <w:r w:rsidRPr="00091A98">
        <w:rPr>
          <w:rFonts w:cs="Times New Roman"/>
          <w:lang w:val="de-CH"/>
        </w:rPr>
        <w:t xml:space="preserve"> 2000). Durch diese Diversifizierung der Regierungsagenda wird es laut Holyoke (2009) auch wahrscheinlicher, dass sich unterschiedliche soziale Gruppen als Gegner wahrnehmen, die von Gesetzesänderungen in einem dieser neuen Politikfelder profitieren oder verlieren können. Diese Gruppen, die sich vorher neutral gegenüber standen, treten nun miteinander in Konkurrenz, in einen Wettbewerb mit dem Ziel, den politischen Entscheidungsprozess in ihrem Sinne zu beeinflussen. Dieser Artikel geht der Frage nach, wie sich die unterschiedliche </w:t>
      </w:r>
      <w:r w:rsidR="000650DC" w:rsidRPr="00091A98">
        <w:rPr>
          <w:rFonts w:cs="Times New Roman"/>
          <w:lang w:val="de-CH"/>
        </w:rPr>
        <w:t xml:space="preserve">Intensität </w:t>
      </w:r>
      <w:r w:rsidRPr="00091A98">
        <w:rPr>
          <w:rFonts w:cs="Times New Roman"/>
          <w:lang w:val="de-CH"/>
        </w:rPr>
        <w:t>dieses Konkurrenzkampfs in verschiedenen Politikfeldern auf das strategische Verhalten von Interessengruppen auswirkt.</w:t>
      </w:r>
    </w:p>
    <w:p w14:paraId="4B731C37" w14:textId="77777777" w:rsidR="009F5188" w:rsidRPr="00091A98" w:rsidRDefault="009F5188" w:rsidP="009F5188">
      <w:pPr>
        <w:spacing w:line="360" w:lineRule="auto"/>
        <w:rPr>
          <w:rFonts w:cs="Times New Roman"/>
          <w:lang w:val="de-CH"/>
        </w:rPr>
      </w:pPr>
    </w:p>
    <w:p w14:paraId="5C12AAAE" w14:textId="7B19D668" w:rsidR="00C04683" w:rsidRPr="00091A98" w:rsidRDefault="009F5188" w:rsidP="009F5188">
      <w:pPr>
        <w:spacing w:line="360" w:lineRule="auto"/>
        <w:rPr>
          <w:rFonts w:cs="Times New Roman"/>
          <w:lang w:val="de-CH"/>
        </w:rPr>
      </w:pPr>
      <w:r w:rsidRPr="00091A98">
        <w:rPr>
          <w:rFonts w:cs="Times New Roman"/>
          <w:lang w:val="de-CH"/>
        </w:rPr>
        <w:t xml:space="preserve">Dass erhöhter Wettbewerb unter Interessengruppen Auswirkungen auf deren Verhalten hat, wurde bereits von Austen-Smith und Wright (1992) untersucht und bestätigt, allerdings im Hinblick darauf, unter welchen Umständen Interessengruppen sämtliche </w:t>
      </w:r>
      <w:r w:rsidR="00E058EF" w:rsidRPr="00091A98">
        <w:rPr>
          <w:rFonts w:cs="Times New Roman"/>
          <w:lang w:val="de-CH"/>
        </w:rPr>
        <w:t xml:space="preserve">ihnen </w:t>
      </w:r>
      <w:r w:rsidRPr="00091A98">
        <w:rPr>
          <w:rFonts w:cs="Times New Roman"/>
          <w:lang w:val="de-CH"/>
        </w:rPr>
        <w:t xml:space="preserve">zur Verfügung stehende Information mit politischen Entscheidungsträgern teilen, und wann sie strategisch nur einen Ausschnitt ihrer Informationen weitergeben. In dieser Studie steht im Mittelpunkt, wie sich die Intensität des politischen Wettbewerbs unter Interessengruppen auf deren Nutzung zweier unterschiedlicher </w:t>
      </w:r>
      <w:r w:rsidR="007B6099" w:rsidRPr="00091A98">
        <w:rPr>
          <w:rFonts w:cs="Times New Roman"/>
          <w:lang w:val="de-CH"/>
        </w:rPr>
        <w:t xml:space="preserve">Arten des Lobbyings </w:t>
      </w:r>
      <w:r w:rsidRPr="00091A98">
        <w:rPr>
          <w:rFonts w:cs="Times New Roman"/>
          <w:lang w:val="de-CH"/>
        </w:rPr>
        <w:t xml:space="preserve">auswirkt: Insider und Outsider Lobbying. </w:t>
      </w:r>
      <w:r w:rsidR="00834FB4" w:rsidRPr="00091A98">
        <w:rPr>
          <w:rFonts w:cs="Times New Roman"/>
          <w:lang w:val="de-CH"/>
        </w:rPr>
        <w:t xml:space="preserve">In Zentrum steht dabei die Frage, </w:t>
      </w:r>
      <w:r w:rsidR="00B97F24" w:rsidRPr="00091A98">
        <w:rPr>
          <w:rFonts w:cs="Times New Roman"/>
          <w:lang w:val="de-CH"/>
        </w:rPr>
        <w:t>wie sich</w:t>
      </w:r>
      <w:r w:rsidR="00834FB4" w:rsidRPr="00091A98">
        <w:rPr>
          <w:rFonts w:cs="Times New Roman"/>
          <w:lang w:val="de-CH"/>
        </w:rPr>
        <w:t xml:space="preserve"> eine höhere Intensität des Wettstreits unter Lobbygruppen </w:t>
      </w:r>
      <w:r w:rsidR="00B97F24" w:rsidRPr="00091A98">
        <w:rPr>
          <w:rFonts w:cs="Times New Roman"/>
          <w:lang w:val="de-CH"/>
        </w:rPr>
        <w:t>hinsichtlich dieser beiden Arten des Lobbyings auswirkt.</w:t>
      </w:r>
      <w:r w:rsidR="00991B7A" w:rsidRPr="00091A98">
        <w:rPr>
          <w:rFonts w:cs="Times New Roman"/>
          <w:lang w:val="de-CH"/>
        </w:rPr>
        <w:t xml:space="preserve"> Darüber hinaus geht dieser Beitrag auch der Frage nach, ob die Stärke des Konkurrenzkampfes sich in ähnlicher Weise auf Insider und Outsider Lobbying auswirkt, oder ob eine der beiden Strategien </w:t>
      </w:r>
      <w:r w:rsidR="0031455E" w:rsidRPr="00091A98">
        <w:rPr>
          <w:rFonts w:cs="Times New Roman"/>
          <w:lang w:val="de-CH"/>
        </w:rPr>
        <w:t>stärker</w:t>
      </w:r>
      <w:r w:rsidR="00991B7A" w:rsidRPr="00091A98">
        <w:rPr>
          <w:rFonts w:cs="Times New Roman"/>
          <w:lang w:val="de-CH"/>
        </w:rPr>
        <w:t xml:space="preserve"> von der Intensität des Wettkampfes </w:t>
      </w:r>
      <w:r w:rsidR="0031455E" w:rsidRPr="00091A98">
        <w:rPr>
          <w:rFonts w:cs="Times New Roman"/>
          <w:lang w:val="de-CH"/>
        </w:rPr>
        <w:t>beeinflusst wird</w:t>
      </w:r>
      <w:r w:rsidR="00991B7A" w:rsidRPr="00091A98">
        <w:rPr>
          <w:rFonts w:cs="Times New Roman"/>
          <w:lang w:val="de-CH"/>
        </w:rPr>
        <w:t xml:space="preserve">. </w:t>
      </w:r>
      <w:r w:rsidR="00834FB4" w:rsidRPr="00091A98">
        <w:rPr>
          <w:rFonts w:cs="Times New Roman"/>
          <w:lang w:val="de-CH"/>
        </w:rPr>
        <w:t xml:space="preserve"> </w:t>
      </w:r>
    </w:p>
    <w:p w14:paraId="515038F2" w14:textId="77777777" w:rsidR="00760A6E" w:rsidRPr="00091A98" w:rsidRDefault="00760A6E" w:rsidP="009F5188">
      <w:pPr>
        <w:spacing w:line="360" w:lineRule="auto"/>
        <w:rPr>
          <w:rFonts w:cs="Times New Roman"/>
          <w:lang w:val="de-CH"/>
        </w:rPr>
      </w:pPr>
    </w:p>
    <w:p w14:paraId="745C9950" w14:textId="1134C92A" w:rsidR="005F5BB1" w:rsidRPr="00091A98" w:rsidRDefault="00760A6E" w:rsidP="009F5188">
      <w:pPr>
        <w:spacing w:line="360" w:lineRule="auto"/>
        <w:rPr>
          <w:rFonts w:cs="Times New Roman"/>
          <w:lang w:val="de-CH"/>
        </w:rPr>
      </w:pPr>
      <w:r w:rsidRPr="00091A98">
        <w:rPr>
          <w:rFonts w:cs="Times New Roman"/>
          <w:lang w:val="de-CH"/>
        </w:rPr>
        <w:t xml:space="preserve">Die Entscheidung zwischen </w:t>
      </w:r>
      <w:r w:rsidR="00FB2C9A" w:rsidRPr="00091A98">
        <w:rPr>
          <w:rFonts w:cs="Times New Roman"/>
          <w:lang w:val="de-CH"/>
        </w:rPr>
        <w:t>den beiden</w:t>
      </w:r>
      <w:r w:rsidRPr="00091A98">
        <w:rPr>
          <w:rFonts w:cs="Times New Roman"/>
          <w:lang w:val="de-CH"/>
        </w:rPr>
        <w:t xml:space="preserve"> Strategien</w:t>
      </w:r>
      <w:r w:rsidR="005A3864" w:rsidRPr="00091A98">
        <w:rPr>
          <w:rFonts w:cs="Times New Roman"/>
          <w:lang w:val="de-CH"/>
        </w:rPr>
        <w:t xml:space="preserve"> ist für Interessengruppen nu</w:t>
      </w:r>
      <w:r w:rsidR="00BE0655" w:rsidRPr="00091A98">
        <w:rPr>
          <w:rFonts w:cs="Times New Roman"/>
          <w:lang w:val="de-CH"/>
        </w:rPr>
        <w:t>r bedingt frei wählbar, da</w:t>
      </w:r>
      <w:r w:rsidR="005A3864" w:rsidRPr="00091A98">
        <w:rPr>
          <w:rFonts w:cs="Times New Roman"/>
          <w:lang w:val="de-CH"/>
        </w:rPr>
        <w:t xml:space="preserve"> </w:t>
      </w:r>
      <w:r w:rsidR="00993A1D" w:rsidRPr="00091A98">
        <w:rPr>
          <w:rFonts w:cs="Times New Roman"/>
          <w:lang w:val="de-CH"/>
        </w:rPr>
        <w:t>der</w:t>
      </w:r>
      <w:r w:rsidR="008D301B" w:rsidRPr="00091A98">
        <w:rPr>
          <w:rFonts w:cs="Times New Roman"/>
          <w:lang w:val="de-CH"/>
        </w:rPr>
        <w:t xml:space="preserve"> </w:t>
      </w:r>
      <w:r w:rsidR="00993A1D" w:rsidRPr="00091A98">
        <w:rPr>
          <w:rFonts w:cs="Times New Roman"/>
          <w:lang w:val="de-CH"/>
        </w:rPr>
        <w:t xml:space="preserve">Status </w:t>
      </w:r>
      <w:r w:rsidR="00C972A8" w:rsidRPr="00091A98">
        <w:rPr>
          <w:rFonts w:cs="Times New Roman"/>
          <w:lang w:val="de-CH"/>
        </w:rPr>
        <w:t>von</w:t>
      </w:r>
      <w:r w:rsidR="00993A1D" w:rsidRPr="00091A98">
        <w:rPr>
          <w:rFonts w:cs="Times New Roman"/>
          <w:lang w:val="de-CH"/>
        </w:rPr>
        <w:t xml:space="preserve"> </w:t>
      </w:r>
      <w:r w:rsidR="00C972A8" w:rsidRPr="00091A98">
        <w:rPr>
          <w:rFonts w:cs="Times New Roman"/>
          <w:lang w:val="de-CH"/>
        </w:rPr>
        <w:t xml:space="preserve">Organisationen entscheidenden Einfluss darauf  </w:t>
      </w:r>
      <w:r w:rsidR="00197CAF" w:rsidRPr="00091A98">
        <w:rPr>
          <w:rFonts w:cs="Times New Roman"/>
          <w:lang w:val="de-CH"/>
        </w:rPr>
        <w:t>hat</w:t>
      </w:r>
      <w:r w:rsidR="00C972A8" w:rsidRPr="00091A98">
        <w:rPr>
          <w:rFonts w:cs="Times New Roman"/>
          <w:lang w:val="de-CH"/>
        </w:rPr>
        <w:t xml:space="preserve">, ob </w:t>
      </w:r>
      <w:r w:rsidR="00197CAF" w:rsidRPr="00091A98">
        <w:rPr>
          <w:rFonts w:cs="Times New Roman"/>
          <w:lang w:val="de-CH"/>
        </w:rPr>
        <w:t>diese eher Insider oder Outsider Strategien nutzen</w:t>
      </w:r>
      <w:r w:rsidR="0057188D" w:rsidRPr="00091A98">
        <w:rPr>
          <w:rFonts w:cs="Times New Roman"/>
          <w:lang w:val="de-CH"/>
        </w:rPr>
        <w:t xml:space="preserve"> (Maloney et al.</w:t>
      </w:r>
      <w:r w:rsidR="00D11111" w:rsidRPr="00091A98">
        <w:rPr>
          <w:rFonts w:cs="Times New Roman"/>
          <w:lang w:val="de-CH"/>
        </w:rPr>
        <w:t xml:space="preserve"> 1994)</w:t>
      </w:r>
      <w:r w:rsidR="00197CAF" w:rsidRPr="00091A98">
        <w:rPr>
          <w:rFonts w:cs="Times New Roman"/>
          <w:lang w:val="de-CH"/>
        </w:rPr>
        <w:t xml:space="preserve">. </w:t>
      </w:r>
      <w:r w:rsidR="0053745A" w:rsidRPr="00091A98">
        <w:rPr>
          <w:rFonts w:cs="Times New Roman"/>
          <w:lang w:val="de-CH"/>
        </w:rPr>
        <w:t xml:space="preserve">Mit anderen Worten, </w:t>
      </w:r>
      <w:r w:rsidR="005062ED" w:rsidRPr="00091A98">
        <w:rPr>
          <w:rFonts w:cs="Times New Roman"/>
          <w:lang w:val="de-CH"/>
        </w:rPr>
        <w:t xml:space="preserve">es gibt eine </w:t>
      </w:r>
      <w:r w:rsidR="00431860" w:rsidRPr="00091A98">
        <w:rPr>
          <w:rFonts w:cs="Times New Roman"/>
          <w:lang w:val="de-CH"/>
        </w:rPr>
        <w:t>Reihe</w:t>
      </w:r>
      <w:r w:rsidR="00BE0655" w:rsidRPr="00091A98">
        <w:rPr>
          <w:rFonts w:cs="Times New Roman"/>
          <w:lang w:val="de-CH"/>
        </w:rPr>
        <w:t xml:space="preserve"> </w:t>
      </w:r>
      <w:r w:rsidR="0053745A" w:rsidRPr="00091A98">
        <w:rPr>
          <w:rFonts w:cs="Times New Roman"/>
          <w:lang w:val="de-CH"/>
        </w:rPr>
        <w:t>kontextuelle</w:t>
      </w:r>
      <w:r w:rsidR="00BE0655" w:rsidRPr="00091A98">
        <w:rPr>
          <w:rFonts w:cs="Times New Roman"/>
          <w:lang w:val="de-CH"/>
        </w:rPr>
        <w:t>r</w:t>
      </w:r>
      <w:r w:rsidR="0053745A" w:rsidRPr="00091A98">
        <w:rPr>
          <w:rFonts w:cs="Times New Roman"/>
          <w:lang w:val="de-CH"/>
        </w:rPr>
        <w:t xml:space="preserve"> Variablen</w:t>
      </w:r>
      <w:r w:rsidR="004E5A91" w:rsidRPr="00091A98">
        <w:rPr>
          <w:rFonts w:cs="Times New Roman"/>
          <w:lang w:val="de-CH"/>
        </w:rPr>
        <w:t>, die</w:t>
      </w:r>
      <w:r w:rsidR="00BE0655" w:rsidRPr="00091A98">
        <w:rPr>
          <w:rFonts w:cs="Times New Roman"/>
          <w:lang w:val="de-CH"/>
        </w:rPr>
        <w:t xml:space="preserve"> </w:t>
      </w:r>
      <w:r w:rsidR="007C6ACC" w:rsidRPr="00091A98">
        <w:rPr>
          <w:rFonts w:cs="Times New Roman"/>
          <w:lang w:val="de-CH"/>
        </w:rPr>
        <w:t>das Lobbyverhalten von Interessengruppen</w:t>
      </w:r>
      <w:r w:rsidR="00BE0655" w:rsidRPr="00091A98">
        <w:rPr>
          <w:rFonts w:cs="Times New Roman"/>
          <w:lang w:val="de-CH"/>
        </w:rPr>
        <w:t xml:space="preserve"> beeinflussen</w:t>
      </w:r>
      <w:r w:rsidR="007C6ACC" w:rsidRPr="00091A98">
        <w:rPr>
          <w:rFonts w:cs="Times New Roman"/>
          <w:lang w:val="de-CH"/>
        </w:rPr>
        <w:t>. Dazu zählen</w:t>
      </w:r>
      <w:r w:rsidR="00B21449" w:rsidRPr="00091A98">
        <w:rPr>
          <w:rFonts w:cs="Times New Roman"/>
          <w:lang w:val="de-CH"/>
        </w:rPr>
        <w:t xml:space="preserve"> etwa</w:t>
      </w:r>
      <w:r w:rsidR="00B457C8" w:rsidRPr="00091A98">
        <w:rPr>
          <w:rFonts w:cs="Times New Roman"/>
          <w:lang w:val="de-CH"/>
        </w:rPr>
        <w:t xml:space="preserve"> das institutionelle Gefüge, in das Organisationen eingebettet sind</w:t>
      </w:r>
      <w:r w:rsidR="008B375F" w:rsidRPr="00091A98">
        <w:rPr>
          <w:rFonts w:cs="Times New Roman"/>
          <w:lang w:val="de-CH"/>
        </w:rPr>
        <w:t xml:space="preserve"> (Weiler</w:t>
      </w:r>
      <w:r w:rsidR="00DB6DF3" w:rsidRPr="00091A98">
        <w:rPr>
          <w:rFonts w:cs="Times New Roman"/>
          <w:lang w:val="de-CH"/>
        </w:rPr>
        <w:t xml:space="preserve"> und Brändli</w:t>
      </w:r>
      <w:r w:rsidR="008B375F" w:rsidRPr="00091A98">
        <w:rPr>
          <w:rFonts w:cs="Times New Roman"/>
          <w:lang w:val="de-CH"/>
        </w:rPr>
        <w:t xml:space="preserve"> 2015</w:t>
      </w:r>
      <w:r w:rsidR="00F7042A" w:rsidRPr="00091A98">
        <w:rPr>
          <w:rFonts w:cs="Times New Roman"/>
          <w:lang w:val="de-CH"/>
        </w:rPr>
        <w:t xml:space="preserve">; </w:t>
      </w:r>
      <w:r w:rsidR="0057188D" w:rsidRPr="00091A98">
        <w:rPr>
          <w:rFonts w:cs="Times New Roman"/>
          <w:lang w:val="de-CH"/>
        </w:rPr>
        <w:t>Kriesi et al.</w:t>
      </w:r>
      <w:r w:rsidR="00BD3C93" w:rsidRPr="00091A98">
        <w:rPr>
          <w:rFonts w:cs="Times New Roman"/>
          <w:lang w:val="de-CH"/>
        </w:rPr>
        <w:t xml:space="preserve"> 2007</w:t>
      </w:r>
      <w:r w:rsidR="008B375F" w:rsidRPr="00091A98">
        <w:rPr>
          <w:rFonts w:cs="Times New Roman"/>
          <w:lang w:val="de-CH"/>
        </w:rPr>
        <w:t>)</w:t>
      </w:r>
      <w:r w:rsidR="00B457C8" w:rsidRPr="00091A98">
        <w:rPr>
          <w:rFonts w:cs="Times New Roman"/>
          <w:lang w:val="de-CH"/>
        </w:rPr>
        <w:t>,</w:t>
      </w:r>
      <w:r w:rsidR="008B375F" w:rsidRPr="00091A98">
        <w:rPr>
          <w:rFonts w:cs="Times New Roman"/>
          <w:lang w:val="de-CH"/>
        </w:rPr>
        <w:t xml:space="preserve"> </w:t>
      </w:r>
      <w:r w:rsidR="00F16200" w:rsidRPr="00091A98">
        <w:rPr>
          <w:rFonts w:cs="Times New Roman"/>
          <w:lang w:val="de-CH"/>
        </w:rPr>
        <w:t xml:space="preserve"> </w:t>
      </w:r>
      <w:r w:rsidR="00431860" w:rsidRPr="00091A98">
        <w:rPr>
          <w:rFonts w:cs="Times New Roman"/>
          <w:lang w:val="de-CH"/>
        </w:rPr>
        <w:t>das Themenfeld</w:t>
      </w:r>
      <w:r w:rsidR="00BD3C93" w:rsidRPr="00091A98">
        <w:rPr>
          <w:rFonts w:cs="Times New Roman"/>
          <w:lang w:val="de-CH"/>
        </w:rPr>
        <w:t xml:space="preserve">, </w:t>
      </w:r>
      <w:r w:rsidR="00431860" w:rsidRPr="00091A98">
        <w:rPr>
          <w:rFonts w:cs="Times New Roman"/>
          <w:lang w:val="de-CH"/>
        </w:rPr>
        <w:t>auf</w:t>
      </w:r>
      <w:r w:rsidR="0057188D" w:rsidRPr="00091A98">
        <w:rPr>
          <w:rFonts w:cs="Times New Roman"/>
          <w:lang w:val="de-CH"/>
        </w:rPr>
        <w:t xml:space="preserve"> dem sie aktiv sind (Klüver</w:t>
      </w:r>
      <w:r w:rsidR="00BD3C93" w:rsidRPr="00091A98">
        <w:rPr>
          <w:rFonts w:cs="Times New Roman"/>
          <w:lang w:val="de-CH"/>
        </w:rPr>
        <w:t xml:space="preserve"> 2011;</w:t>
      </w:r>
      <w:r w:rsidR="0057188D" w:rsidRPr="00091A98">
        <w:rPr>
          <w:rFonts w:cs="Times New Roman"/>
          <w:lang w:val="de-CH"/>
        </w:rPr>
        <w:t xml:space="preserve"> Mahoney</w:t>
      </w:r>
      <w:r w:rsidR="007C6ACC" w:rsidRPr="00091A98">
        <w:rPr>
          <w:rFonts w:cs="Times New Roman"/>
          <w:lang w:val="de-CH"/>
        </w:rPr>
        <w:t xml:space="preserve"> 2007, 2008</w:t>
      </w:r>
      <w:r w:rsidR="0057188D" w:rsidRPr="00091A98">
        <w:rPr>
          <w:rFonts w:cs="Times New Roman"/>
          <w:lang w:val="de-CH"/>
        </w:rPr>
        <w:t>; Beyers</w:t>
      </w:r>
      <w:r w:rsidR="00690960" w:rsidRPr="00091A98">
        <w:rPr>
          <w:rFonts w:cs="Times New Roman"/>
          <w:lang w:val="de-CH"/>
        </w:rPr>
        <w:t xml:space="preserve"> 2004</w:t>
      </w:r>
      <w:r w:rsidR="007C6ACC" w:rsidRPr="00091A98">
        <w:rPr>
          <w:rFonts w:cs="Times New Roman"/>
          <w:lang w:val="de-CH"/>
        </w:rPr>
        <w:t xml:space="preserve">), </w:t>
      </w:r>
      <w:r w:rsidR="00964084" w:rsidRPr="00091A98">
        <w:rPr>
          <w:rFonts w:cs="Times New Roman"/>
          <w:lang w:val="de-CH"/>
        </w:rPr>
        <w:t>sowie Grup</w:t>
      </w:r>
      <w:r w:rsidR="00431860" w:rsidRPr="00091A98">
        <w:rPr>
          <w:rFonts w:cs="Times New Roman"/>
          <w:lang w:val="de-CH"/>
        </w:rPr>
        <w:t>pencharakteristika</w:t>
      </w:r>
      <w:r w:rsidR="00895087" w:rsidRPr="00091A98">
        <w:rPr>
          <w:rFonts w:cs="Times New Roman"/>
          <w:lang w:val="de-CH"/>
        </w:rPr>
        <w:t>,</w:t>
      </w:r>
      <w:r w:rsidR="00964084" w:rsidRPr="00091A98">
        <w:rPr>
          <w:rFonts w:cs="Times New Roman"/>
          <w:lang w:val="de-CH"/>
        </w:rPr>
        <w:t xml:space="preserve"> wie etwa</w:t>
      </w:r>
      <w:r w:rsidR="007C6ACC" w:rsidRPr="00091A98">
        <w:rPr>
          <w:rFonts w:cs="Times New Roman"/>
          <w:lang w:val="de-CH"/>
        </w:rPr>
        <w:t xml:space="preserve"> </w:t>
      </w:r>
      <w:r w:rsidR="002650AB" w:rsidRPr="00091A98">
        <w:rPr>
          <w:rFonts w:cs="Times New Roman"/>
          <w:lang w:val="de-CH"/>
        </w:rPr>
        <w:t>der</w:t>
      </w:r>
      <w:r w:rsidR="002E004C" w:rsidRPr="00091A98">
        <w:rPr>
          <w:rFonts w:cs="Times New Roman"/>
          <w:lang w:val="de-CH"/>
        </w:rPr>
        <w:t xml:space="preserve"> P</w:t>
      </w:r>
      <w:r w:rsidR="002650AB" w:rsidRPr="00091A98">
        <w:rPr>
          <w:rFonts w:cs="Times New Roman"/>
          <w:lang w:val="de-CH"/>
        </w:rPr>
        <w:t xml:space="preserve">ool an potentiellen Mitgliedern, </w:t>
      </w:r>
      <w:r w:rsidR="002632BE" w:rsidRPr="00091A98">
        <w:rPr>
          <w:rFonts w:cs="Times New Roman"/>
          <w:lang w:val="de-CH"/>
        </w:rPr>
        <w:t>aus dem eine</w:t>
      </w:r>
      <w:r w:rsidR="002E004C" w:rsidRPr="00091A98">
        <w:rPr>
          <w:rFonts w:cs="Times New Roman"/>
          <w:lang w:val="de-CH"/>
        </w:rPr>
        <w:t xml:space="preserve"> </w:t>
      </w:r>
      <w:r w:rsidR="00895087" w:rsidRPr="00091A98">
        <w:rPr>
          <w:rFonts w:cs="Times New Roman"/>
          <w:lang w:val="de-CH"/>
        </w:rPr>
        <w:t>Interessenorganisation</w:t>
      </w:r>
      <w:r w:rsidR="002E004C" w:rsidRPr="00091A98">
        <w:rPr>
          <w:rFonts w:cs="Times New Roman"/>
          <w:lang w:val="de-CH"/>
        </w:rPr>
        <w:t xml:space="preserve"> rekrutieren kann</w:t>
      </w:r>
      <w:r w:rsidR="003C7822" w:rsidRPr="00091A98">
        <w:rPr>
          <w:rFonts w:cs="Times New Roman"/>
          <w:lang w:val="de-CH"/>
        </w:rPr>
        <w:t xml:space="preserve"> (Thrall </w:t>
      </w:r>
      <w:r w:rsidR="003A0A89" w:rsidRPr="00091A98">
        <w:rPr>
          <w:rFonts w:cs="Times New Roman"/>
          <w:lang w:val="de-CH"/>
        </w:rPr>
        <w:t>2006</w:t>
      </w:r>
      <w:r w:rsidR="003C7822" w:rsidRPr="00091A98">
        <w:rPr>
          <w:rFonts w:cs="Times New Roman"/>
          <w:lang w:val="de-CH"/>
        </w:rPr>
        <w:t xml:space="preserve">; Gais und Walker </w:t>
      </w:r>
      <w:r w:rsidR="00690960" w:rsidRPr="00091A98">
        <w:rPr>
          <w:rFonts w:cs="Times New Roman"/>
          <w:lang w:val="de-CH"/>
        </w:rPr>
        <w:t>1991</w:t>
      </w:r>
      <w:r w:rsidR="003A0A89" w:rsidRPr="00091A98">
        <w:rPr>
          <w:rFonts w:cs="Times New Roman"/>
          <w:lang w:val="de-CH"/>
        </w:rPr>
        <w:t>).</w:t>
      </w:r>
      <w:r w:rsidR="00491EC3" w:rsidRPr="00091A98">
        <w:rPr>
          <w:rFonts w:cs="Times New Roman"/>
          <w:lang w:val="de-CH"/>
        </w:rPr>
        <w:t xml:space="preserve"> </w:t>
      </w:r>
      <w:r w:rsidR="00924CD8" w:rsidRPr="00091A98">
        <w:rPr>
          <w:rFonts w:cs="Times New Roman"/>
          <w:lang w:val="de-CH"/>
        </w:rPr>
        <w:t>Die in diesem Artikel untersuchte Intensität des Wettbewerbs</w:t>
      </w:r>
      <w:r w:rsidR="002650AB" w:rsidRPr="00091A98">
        <w:rPr>
          <w:rFonts w:cs="Times New Roman"/>
          <w:lang w:val="de-CH"/>
        </w:rPr>
        <w:t>, dem eine Organisation ausgesetzt ist,</w:t>
      </w:r>
      <w:r w:rsidR="00924CD8" w:rsidRPr="00091A98">
        <w:rPr>
          <w:rFonts w:cs="Times New Roman"/>
          <w:lang w:val="de-CH"/>
        </w:rPr>
        <w:t xml:space="preserve"> ist ein</w:t>
      </w:r>
      <w:r w:rsidR="00D40490" w:rsidRPr="00091A98">
        <w:rPr>
          <w:rFonts w:cs="Times New Roman"/>
          <w:lang w:val="de-CH"/>
        </w:rPr>
        <w:t>e weitere solche kontextuelle Variable, der allerdings im Hinblick auf Lobby</w:t>
      </w:r>
      <w:r w:rsidR="00474212" w:rsidRPr="00091A98">
        <w:rPr>
          <w:rFonts w:cs="Times New Roman"/>
          <w:lang w:val="de-CH"/>
        </w:rPr>
        <w:t xml:space="preserve">strategien bisher erst wenig Augenmerk geschenkt wurde. </w:t>
      </w:r>
      <w:r w:rsidR="00886FDD" w:rsidRPr="00091A98">
        <w:rPr>
          <w:rFonts w:cs="Times New Roman"/>
          <w:lang w:val="de-CH"/>
        </w:rPr>
        <w:t>Wettbewerb</w:t>
      </w:r>
      <w:r w:rsidR="003A0A89" w:rsidRPr="00091A98">
        <w:rPr>
          <w:rFonts w:cs="Times New Roman"/>
          <w:lang w:val="de-CH"/>
        </w:rPr>
        <w:t>, wie auch die eben genannten anderen kontextuellen Variablen, sind</w:t>
      </w:r>
      <w:r w:rsidR="00886FDD" w:rsidRPr="00091A98">
        <w:rPr>
          <w:rFonts w:cs="Times New Roman"/>
          <w:lang w:val="de-CH"/>
        </w:rPr>
        <w:t xml:space="preserve"> </w:t>
      </w:r>
      <w:r w:rsidR="00081B3D" w:rsidRPr="00091A98">
        <w:rPr>
          <w:rFonts w:cs="Times New Roman"/>
          <w:lang w:val="de-CH"/>
        </w:rPr>
        <w:t>Rahmenbedingung</w:t>
      </w:r>
      <w:r w:rsidR="003A0A89" w:rsidRPr="00091A98">
        <w:rPr>
          <w:rFonts w:cs="Times New Roman"/>
          <w:lang w:val="de-CH"/>
        </w:rPr>
        <w:t>en</w:t>
      </w:r>
      <w:r w:rsidR="00081B3D" w:rsidRPr="00091A98">
        <w:rPr>
          <w:rFonts w:cs="Times New Roman"/>
          <w:lang w:val="de-CH"/>
        </w:rPr>
        <w:t>, mit der sich Org</w:t>
      </w:r>
      <w:r w:rsidR="00052712" w:rsidRPr="00091A98">
        <w:rPr>
          <w:rFonts w:cs="Times New Roman"/>
          <w:lang w:val="de-CH"/>
        </w:rPr>
        <w:t xml:space="preserve">anisationen konfrontiert sehen. </w:t>
      </w:r>
      <w:r w:rsidR="006C3037" w:rsidRPr="00091A98">
        <w:rPr>
          <w:rFonts w:cs="Times New Roman"/>
          <w:lang w:val="de-CH"/>
        </w:rPr>
        <w:t>Das</w:t>
      </w:r>
      <w:r w:rsidR="00DE1E02" w:rsidRPr="00091A98">
        <w:rPr>
          <w:rFonts w:cs="Times New Roman"/>
          <w:lang w:val="de-CH"/>
        </w:rPr>
        <w:t xml:space="preserve"> Lobbyverhalten von Interessengruppen </w:t>
      </w:r>
      <w:r w:rsidR="006C3037" w:rsidRPr="00091A98">
        <w:rPr>
          <w:rFonts w:cs="Times New Roman"/>
          <w:lang w:val="de-CH"/>
        </w:rPr>
        <w:t>kann</w:t>
      </w:r>
      <w:r w:rsidR="00DE1E02" w:rsidRPr="00091A98">
        <w:rPr>
          <w:rFonts w:cs="Times New Roman"/>
          <w:lang w:val="de-CH"/>
        </w:rPr>
        <w:t xml:space="preserve"> daher</w:t>
      </w:r>
      <w:r w:rsidR="00052712" w:rsidRPr="00091A98">
        <w:rPr>
          <w:rFonts w:cs="Times New Roman"/>
          <w:lang w:val="de-CH"/>
        </w:rPr>
        <w:t xml:space="preserve"> </w:t>
      </w:r>
      <w:r w:rsidR="006C3037" w:rsidRPr="00091A98">
        <w:rPr>
          <w:rFonts w:cs="Times New Roman"/>
          <w:lang w:val="de-CH"/>
        </w:rPr>
        <w:t>nur bedingt</w:t>
      </w:r>
      <w:r w:rsidR="00636ACF" w:rsidRPr="00091A98">
        <w:rPr>
          <w:rFonts w:cs="Times New Roman"/>
          <w:lang w:val="de-CH"/>
        </w:rPr>
        <w:t xml:space="preserve"> als freie Entscheidung</w:t>
      </w:r>
      <w:r w:rsidR="00BF44FF" w:rsidRPr="00091A98">
        <w:rPr>
          <w:rFonts w:cs="Times New Roman"/>
          <w:lang w:val="de-CH"/>
        </w:rPr>
        <w:t xml:space="preserve"> rationaler Akteure verstanden</w:t>
      </w:r>
      <w:r w:rsidR="00052712" w:rsidRPr="00091A98">
        <w:rPr>
          <w:rFonts w:cs="Times New Roman"/>
          <w:lang w:val="de-CH"/>
        </w:rPr>
        <w:t xml:space="preserve"> werden.</w:t>
      </w:r>
    </w:p>
    <w:p w14:paraId="02DFC672" w14:textId="77777777" w:rsidR="00B457C8" w:rsidRPr="00091A98" w:rsidRDefault="00B457C8" w:rsidP="009F5188">
      <w:pPr>
        <w:spacing w:line="360" w:lineRule="auto"/>
        <w:rPr>
          <w:rFonts w:cs="Times New Roman"/>
          <w:lang w:val="de-CH"/>
        </w:rPr>
      </w:pPr>
    </w:p>
    <w:p w14:paraId="52B22EFB" w14:textId="77777777" w:rsidR="00646CB0" w:rsidRPr="00091A98" w:rsidRDefault="00646CB0" w:rsidP="00646CB0">
      <w:pPr>
        <w:spacing w:line="360" w:lineRule="auto"/>
        <w:jc w:val="both"/>
        <w:rPr>
          <w:rFonts w:cs="Times New Roman"/>
          <w:b/>
          <w:lang w:val="de-CH"/>
        </w:rPr>
      </w:pPr>
      <w:r w:rsidRPr="00091A98">
        <w:rPr>
          <w:rFonts w:cs="Times New Roman"/>
          <w:b/>
          <w:lang w:val="de-CH"/>
        </w:rPr>
        <w:t>2. Intensität des Wettbewerbs zwischen Lobbygruppen</w:t>
      </w:r>
    </w:p>
    <w:p w14:paraId="6012F79D" w14:textId="77777777" w:rsidR="00646CB0" w:rsidRPr="00091A98" w:rsidRDefault="00646CB0" w:rsidP="009F5188">
      <w:pPr>
        <w:spacing w:line="360" w:lineRule="auto"/>
        <w:rPr>
          <w:rFonts w:cs="Times New Roman"/>
          <w:lang w:val="de-CH"/>
        </w:rPr>
      </w:pPr>
    </w:p>
    <w:p w14:paraId="2FCE6F2B" w14:textId="594E4EA3" w:rsidR="00FF1FD5" w:rsidRPr="00091A98" w:rsidRDefault="00FF1FD5" w:rsidP="00FF1FD5">
      <w:pPr>
        <w:spacing w:line="360" w:lineRule="auto"/>
        <w:rPr>
          <w:rFonts w:cs="Times New Roman"/>
          <w:lang w:val="de-CH"/>
        </w:rPr>
      </w:pPr>
      <w:r w:rsidRPr="00091A98">
        <w:rPr>
          <w:rFonts w:cs="Times New Roman"/>
          <w:lang w:val="de-CH"/>
        </w:rPr>
        <w:t>Generell ist das Ziel von Lobbygruppen, den politischen Entsc</w:t>
      </w:r>
      <w:r w:rsidR="0060707B" w:rsidRPr="00091A98">
        <w:rPr>
          <w:rFonts w:cs="Times New Roman"/>
          <w:lang w:val="de-CH"/>
        </w:rPr>
        <w:t>heidungsprozess zu beeinflussen. Die beiden ihnen dabei zur Verfügung stehenden Möglichkeiten, die in der Literatur besonders häufig genannt werden, sind Insider und Outsider Lobbying</w:t>
      </w:r>
      <w:r w:rsidRPr="00091A98">
        <w:rPr>
          <w:rFonts w:cs="Times New Roman"/>
          <w:lang w:val="de-CH"/>
        </w:rPr>
        <w:t xml:space="preserve"> (</w:t>
      </w:r>
      <w:r w:rsidR="00FC7CC6" w:rsidRPr="00091A98">
        <w:rPr>
          <w:rFonts w:cs="Times New Roman"/>
          <w:lang w:val="de-CH"/>
        </w:rPr>
        <w:t xml:space="preserve">Weiler und Brändli 2015; Dür und Mateo </w:t>
      </w:r>
      <w:r w:rsidR="00DB6DF3" w:rsidRPr="00091A98">
        <w:rPr>
          <w:rFonts w:cs="Times New Roman"/>
          <w:lang w:val="de-CH"/>
        </w:rPr>
        <w:t>2013</w:t>
      </w:r>
      <w:r w:rsidR="00542188" w:rsidRPr="00091A98">
        <w:rPr>
          <w:rFonts w:cs="Times New Roman"/>
          <w:lang w:val="de-CH"/>
        </w:rPr>
        <w:t>;</w:t>
      </w:r>
      <w:r w:rsidR="00FC7CC6" w:rsidRPr="00091A98">
        <w:rPr>
          <w:rFonts w:cs="Times New Roman"/>
          <w:lang w:val="de-CH"/>
        </w:rPr>
        <w:t xml:space="preserve"> Kriesi et al.</w:t>
      </w:r>
      <w:r w:rsidR="00DB6DF3" w:rsidRPr="00091A98">
        <w:rPr>
          <w:rFonts w:cs="Times New Roman"/>
          <w:lang w:val="de-CH"/>
        </w:rPr>
        <w:t xml:space="preserve"> 2007</w:t>
      </w:r>
      <w:r w:rsidR="00542188" w:rsidRPr="00091A98">
        <w:rPr>
          <w:rFonts w:cs="Times New Roman"/>
          <w:lang w:val="de-CH"/>
        </w:rPr>
        <w:t xml:space="preserve">; </w:t>
      </w:r>
      <w:r w:rsidRPr="00091A98">
        <w:rPr>
          <w:rFonts w:cs="Times New Roman"/>
          <w:lang w:val="de-CH"/>
        </w:rPr>
        <w:t>Kollman 1998</w:t>
      </w:r>
      <w:r w:rsidR="00FC7CC6" w:rsidRPr="00091A98">
        <w:rPr>
          <w:rFonts w:cs="Times New Roman"/>
          <w:lang w:val="de-CH"/>
        </w:rPr>
        <w:t>; Gais und Walker 1991; Schlozman und Tierney</w:t>
      </w:r>
      <w:r w:rsidR="00542188" w:rsidRPr="00091A98">
        <w:rPr>
          <w:rFonts w:cs="Times New Roman"/>
          <w:lang w:val="de-CH"/>
        </w:rPr>
        <w:t xml:space="preserve"> 1986</w:t>
      </w:r>
      <w:r w:rsidR="0024296B" w:rsidRPr="00091A98">
        <w:rPr>
          <w:rFonts w:cs="Times New Roman"/>
          <w:lang w:val="de-CH"/>
        </w:rPr>
        <w:t>), wobei manche Autoren zwar eine andere Terminologie verwenden, der jedoch sehr äh</w:t>
      </w:r>
      <w:r w:rsidR="002650AB" w:rsidRPr="00091A98">
        <w:rPr>
          <w:rFonts w:cs="Times New Roman"/>
          <w:lang w:val="de-CH"/>
        </w:rPr>
        <w:t>n</w:t>
      </w:r>
      <w:r w:rsidR="0024296B" w:rsidRPr="00091A98">
        <w:rPr>
          <w:rFonts w:cs="Times New Roman"/>
          <w:lang w:val="de-CH"/>
        </w:rPr>
        <w:t>liche Konzepte zugrunde liegen (etwas</w:t>
      </w:r>
      <w:r w:rsidR="005D5814" w:rsidRPr="00091A98">
        <w:rPr>
          <w:rFonts w:cs="Times New Roman"/>
          <w:lang w:val="de-CH"/>
        </w:rPr>
        <w:t xml:space="preserve"> die Unterscheidung zwischen Zugangsstrategien und Informationsstrategien bei</w:t>
      </w:r>
      <w:r w:rsidR="00FC7CC6" w:rsidRPr="00091A98">
        <w:rPr>
          <w:rFonts w:cs="Times New Roman"/>
          <w:lang w:val="de-CH"/>
        </w:rPr>
        <w:t xml:space="preserve"> Beyers</w:t>
      </w:r>
      <w:r w:rsidR="005D5814" w:rsidRPr="00091A98">
        <w:rPr>
          <w:rFonts w:cs="Times New Roman"/>
          <w:lang w:val="de-CH"/>
        </w:rPr>
        <w:t xml:space="preserve"> 2004). </w:t>
      </w:r>
      <w:r w:rsidRPr="00091A98">
        <w:rPr>
          <w:rFonts w:cs="Times New Roman"/>
          <w:lang w:val="de-CH"/>
        </w:rPr>
        <w:t xml:space="preserve">Einerseits können Lobbyisten versuchen, Politiker und Entscheidungsträger direkt zu beeinflussen, indem sie sich Zugang zu selbigen verschaffen (Insider Lobbying). Demgegenüber steht die Möglichkeit, den Druck auf die Politik zu erhöhen, Gesetze in einem gewünschten Rahmen zu verändern, indem ein indirekterer Weg über die Medien und die Öffentlichkeit gewählt wird (Outsider Lobbying). </w:t>
      </w:r>
      <w:r w:rsidR="00CA1351" w:rsidRPr="00091A98">
        <w:rPr>
          <w:rFonts w:cs="Times New Roman"/>
          <w:lang w:val="de-CH"/>
        </w:rPr>
        <w:t xml:space="preserve">In dieser Studie werden vier Zielgruppen der Lobbying-Aktivitäten von Interessengruppen analysiert, je </w:t>
      </w:r>
      <w:r w:rsidR="00CA1351" w:rsidRPr="00091A98">
        <w:rPr>
          <w:rFonts w:cs="Times New Roman"/>
          <w:lang w:val="de-CH"/>
        </w:rPr>
        <w:lastRenderedPageBreak/>
        <w:t>zwei die als Insider Lobbying (Regierung, politische Parteien) und als Ou</w:t>
      </w:r>
      <w:r w:rsidR="003C7822" w:rsidRPr="00091A98">
        <w:rPr>
          <w:rFonts w:cs="Times New Roman"/>
          <w:lang w:val="de-CH"/>
        </w:rPr>
        <w:t>tsider Lobbying (Medien, Bürger</w:t>
      </w:r>
      <w:r w:rsidR="00CA1351" w:rsidRPr="00091A98">
        <w:rPr>
          <w:rFonts w:cs="Times New Roman"/>
          <w:lang w:val="de-CH"/>
        </w:rPr>
        <w:t>) klassifiziert werden können.</w:t>
      </w:r>
    </w:p>
    <w:p w14:paraId="488496D2" w14:textId="77777777" w:rsidR="00720765" w:rsidRPr="00091A98" w:rsidRDefault="00720765" w:rsidP="00FF1FD5">
      <w:pPr>
        <w:spacing w:line="360" w:lineRule="auto"/>
        <w:rPr>
          <w:rFonts w:cs="Times New Roman"/>
          <w:lang w:val="de-CH"/>
        </w:rPr>
      </w:pPr>
    </w:p>
    <w:p w14:paraId="1C7992C3" w14:textId="4E1B3075" w:rsidR="00DA1510" w:rsidRPr="00091A98" w:rsidRDefault="00554A89" w:rsidP="00FF1FD5">
      <w:pPr>
        <w:spacing w:line="360" w:lineRule="auto"/>
        <w:rPr>
          <w:rFonts w:cs="Times New Roman"/>
          <w:lang w:val="de-CH"/>
        </w:rPr>
      </w:pPr>
      <w:r w:rsidRPr="00091A98">
        <w:rPr>
          <w:rFonts w:cs="Times New Roman"/>
          <w:lang w:val="de-CH"/>
        </w:rPr>
        <w:t>Entscheidungsträger suchen den direkten Kontakt zu Interessengruppen, da diese über ein hohes Ma</w:t>
      </w:r>
      <w:r w:rsidR="00326CFE" w:rsidRPr="00091A98">
        <w:rPr>
          <w:rFonts w:cs="Times New Roman"/>
          <w:lang w:val="de-CH"/>
        </w:rPr>
        <w:t>ss</w:t>
      </w:r>
      <w:r w:rsidRPr="00091A98">
        <w:rPr>
          <w:rFonts w:cs="Times New Roman"/>
          <w:lang w:val="de-CH"/>
        </w:rPr>
        <w:t xml:space="preserve"> an Expertise in dem Politikfeld verfügen, auf dem sie aktiv sind</w:t>
      </w:r>
      <w:r w:rsidR="00FC7CC6" w:rsidRPr="00091A98">
        <w:rPr>
          <w:rFonts w:cs="Times New Roman"/>
          <w:lang w:val="de-CH"/>
        </w:rPr>
        <w:t xml:space="preserve"> (Dür und Mateo 2012; Bouwen 2004; Lohmann</w:t>
      </w:r>
      <w:r w:rsidR="00CE1A59" w:rsidRPr="00091A98">
        <w:rPr>
          <w:rFonts w:cs="Times New Roman"/>
          <w:lang w:val="de-CH"/>
        </w:rPr>
        <w:t xml:space="preserve"> 1995;</w:t>
      </w:r>
      <w:r w:rsidR="00FC7CC6" w:rsidRPr="00091A98">
        <w:rPr>
          <w:rFonts w:cs="Times New Roman"/>
          <w:lang w:val="de-CH"/>
        </w:rPr>
        <w:t xml:space="preserve"> Potters und van Winden</w:t>
      </w:r>
      <w:r w:rsidR="00222736" w:rsidRPr="00091A98">
        <w:rPr>
          <w:rFonts w:cs="Times New Roman"/>
          <w:lang w:val="de-CH"/>
        </w:rPr>
        <w:t xml:space="preserve"> 1990;</w:t>
      </w:r>
      <w:r w:rsidR="00FC7CC6" w:rsidRPr="00091A98">
        <w:rPr>
          <w:rFonts w:cs="Times New Roman"/>
          <w:lang w:val="de-CH"/>
        </w:rPr>
        <w:t xml:space="preserve"> Truman</w:t>
      </w:r>
      <w:r w:rsidR="00CE1A59" w:rsidRPr="00091A98">
        <w:rPr>
          <w:rFonts w:cs="Times New Roman"/>
          <w:lang w:val="de-CH"/>
        </w:rPr>
        <w:t xml:space="preserve"> 1951)</w:t>
      </w:r>
      <w:r w:rsidR="005A46C2" w:rsidRPr="00091A98">
        <w:rPr>
          <w:rFonts w:cs="Times New Roman"/>
          <w:lang w:val="de-CH"/>
        </w:rPr>
        <w:t>. Jedoch sind sich Politiker dessen bewusst, dass diese Gruppen Interessen folgen</w:t>
      </w:r>
      <w:r w:rsidR="00363C9F" w:rsidRPr="00091A98">
        <w:rPr>
          <w:rFonts w:cs="Times New Roman"/>
          <w:lang w:val="de-CH"/>
        </w:rPr>
        <w:t>, die nicht unbedingt mit den eigene</w:t>
      </w:r>
      <w:r w:rsidR="00FC7CC6" w:rsidRPr="00091A98">
        <w:rPr>
          <w:rFonts w:cs="Times New Roman"/>
          <w:lang w:val="de-CH"/>
        </w:rPr>
        <w:t>n Zielen übereinstimmen (Hansen</w:t>
      </w:r>
      <w:r w:rsidR="00363C9F" w:rsidRPr="00091A98">
        <w:rPr>
          <w:rFonts w:cs="Times New Roman"/>
          <w:lang w:val="de-CH"/>
        </w:rPr>
        <w:t xml:space="preserve"> 1991), weshalb </w:t>
      </w:r>
      <w:r w:rsidR="00D250C7" w:rsidRPr="00091A98">
        <w:rPr>
          <w:rFonts w:cs="Times New Roman"/>
          <w:lang w:val="de-CH"/>
        </w:rPr>
        <w:t>von der Politik auch die Anliegen von Organisationen, die eher auf Outsider Strategien setzen, nicht gä</w:t>
      </w:r>
      <w:r w:rsidR="00FC7CC6" w:rsidRPr="00091A98">
        <w:rPr>
          <w:rFonts w:cs="Times New Roman"/>
          <w:lang w:val="de-CH"/>
        </w:rPr>
        <w:t>nzlich ignoriert werden (Beyers</w:t>
      </w:r>
      <w:r w:rsidR="00D250C7" w:rsidRPr="00091A98">
        <w:rPr>
          <w:rFonts w:cs="Times New Roman"/>
          <w:lang w:val="de-CH"/>
        </w:rPr>
        <w:t xml:space="preserve"> 2004). </w:t>
      </w:r>
      <w:r w:rsidR="002E5BF1" w:rsidRPr="00091A98">
        <w:rPr>
          <w:rFonts w:cs="Times New Roman"/>
          <w:lang w:val="de-CH"/>
        </w:rPr>
        <w:t xml:space="preserve">Aus diesem Grund haben Kriesi et al. (2007) festgestellt, dass ein Mix aus unterschiedlichen Lobbystrategien der effizienteste Weg der Interessenvertretung ist. </w:t>
      </w:r>
      <w:r w:rsidR="00E7313B" w:rsidRPr="00091A98">
        <w:rPr>
          <w:rFonts w:cs="Times New Roman"/>
          <w:lang w:val="de-CH"/>
        </w:rPr>
        <w:t xml:space="preserve">In der Tat </w:t>
      </w:r>
      <w:r w:rsidR="00F12947" w:rsidRPr="00091A98">
        <w:rPr>
          <w:rFonts w:cs="Times New Roman"/>
          <w:lang w:val="de-CH"/>
        </w:rPr>
        <w:t>nützen</w:t>
      </w:r>
      <w:r w:rsidR="00E7313B" w:rsidRPr="00091A98">
        <w:rPr>
          <w:rFonts w:cs="Times New Roman"/>
          <w:lang w:val="de-CH"/>
        </w:rPr>
        <w:t xml:space="preserve"> die meisten Organisationen </w:t>
      </w:r>
      <w:r w:rsidR="00A31F76" w:rsidRPr="00091A98">
        <w:rPr>
          <w:rFonts w:cs="Times New Roman"/>
          <w:lang w:val="de-CH"/>
        </w:rPr>
        <w:t xml:space="preserve">sowohl Insider </w:t>
      </w:r>
      <w:r w:rsidR="00567F5B" w:rsidRPr="00091A98">
        <w:rPr>
          <w:rFonts w:cs="Times New Roman"/>
          <w:lang w:val="de-CH"/>
        </w:rPr>
        <w:t>als auch</w:t>
      </w:r>
      <w:r w:rsidR="00A31F76" w:rsidRPr="00091A98">
        <w:rPr>
          <w:rFonts w:cs="Times New Roman"/>
          <w:lang w:val="de-CH"/>
        </w:rPr>
        <w:t xml:space="preserve"> Outsider Strategien, anstatt nur auf eine der beid</w:t>
      </w:r>
      <w:r w:rsidR="00FC7CC6" w:rsidRPr="00091A98">
        <w:rPr>
          <w:rFonts w:cs="Times New Roman"/>
          <w:lang w:val="de-CH"/>
        </w:rPr>
        <w:t>en Taktiken zu setzten (Mahoney</w:t>
      </w:r>
      <w:r w:rsidR="00A31F76" w:rsidRPr="00091A98">
        <w:rPr>
          <w:rFonts w:cs="Times New Roman"/>
          <w:lang w:val="de-CH"/>
        </w:rPr>
        <w:t xml:space="preserve"> 2007; Ba</w:t>
      </w:r>
      <w:r w:rsidR="00FC7CC6" w:rsidRPr="00091A98">
        <w:rPr>
          <w:rFonts w:cs="Times New Roman"/>
          <w:lang w:val="de-CH"/>
        </w:rPr>
        <w:t>umgartner und Leech</w:t>
      </w:r>
      <w:r w:rsidR="00A31F76" w:rsidRPr="00091A98">
        <w:rPr>
          <w:rFonts w:cs="Times New Roman"/>
          <w:lang w:val="de-CH"/>
        </w:rPr>
        <w:t xml:space="preserve"> 1998). </w:t>
      </w:r>
    </w:p>
    <w:p w14:paraId="404548CF" w14:textId="77777777" w:rsidR="00DA1510" w:rsidRPr="00091A98" w:rsidRDefault="00DA1510" w:rsidP="00FF1FD5">
      <w:pPr>
        <w:spacing w:line="360" w:lineRule="auto"/>
        <w:rPr>
          <w:rFonts w:cs="Times New Roman"/>
          <w:lang w:val="de-CH"/>
        </w:rPr>
      </w:pPr>
    </w:p>
    <w:p w14:paraId="5DF76119" w14:textId="469F5065" w:rsidR="009F5188" w:rsidRPr="00091A98" w:rsidRDefault="00FE4386" w:rsidP="003B0D5D">
      <w:pPr>
        <w:spacing w:line="360" w:lineRule="auto"/>
        <w:jc w:val="both"/>
        <w:rPr>
          <w:rFonts w:cs="Times New Roman"/>
          <w:lang w:val="de-CH"/>
        </w:rPr>
      </w:pPr>
      <w:r w:rsidRPr="00091A98">
        <w:rPr>
          <w:rFonts w:cs="Times New Roman"/>
          <w:lang w:val="de-CH"/>
        </w:rPr>
        <w:t>Wie bereits angesprochen</w:t>
      </w:r>
      <w:r w:rsidR="00FF0069" w:rsidRPr="00091A98">
        <w:rPr>
          <w:rFonts w:cs="Times New Roman"/>
          <w:lang w:val="de-CH"/>
        </w:rPr>
        <w:t>,</w:t>
      </w:r>
      <w:r w:rsidRPr="00091A98">
        <w:rPr>
          <w:rFonts w:cs="Times New Roman"/>
          <w:lang w:val="de-CH"/>
        </w:rPr>
        <w:t xml:space="preserve"> gibt es eine Reihe von Faktoren, die beeinflussen, wie viel Interessengruppen in di</w:t>
      </w:r>
      <w:r w:rsidR="00DA1510" w:rsidRPr="00091A98">
        <w:rPr>
          <w:rFonts w:cs="Times New Roman"/>
          <w:lang w:val="de-CH"/>
        </w:rPr>
        <w:t>e beiden Lobbystrategien investieren</w:t>
      </w:r>
      <w:r w:rsidR="007840C7" w:rsidRPr="00091A98">
        <w:rPr>
          <w:rFonts w:cs="Times New Roman"/>
          <w:lang w:val="de-CH"/>
        </w:rPr>
        <w:t xml:space="preserve">. </w:t>
      </w:r>
      <w:r w:rsidR="00141503" w:rsidRPr="00091A98">
        <w:rPr>
          <w:rFonts w:cs="Times New Roman"/>
          <w:lang w:val="de-CH"/>
        </w:rPr>
        <w:t>Der</w:t>
      </w:r>
      <w:r w:rsidR="007840C7" w:rsidRPr="00091A98">
        <w:rPr>
          <w:rFonts w:cs="Times New Roman"/>
          <w:lang w:val="de-CH"/>
        </w:rPr>
        <w:t xml:space="preserve"> Intensität des Wettbewerbs, dem sie dabei ausgesetzt sind, </w:t>
      </w:r>
      <w:r w:rsidR="00141503" w:rsidRPr="00091A98">
        <w:rPr>
          <w:rFonts w:cs="Times New Roman"/>
          <w:lang w:val="de-CH"/>
        </w:rPr>
        <w:t>wurde</w:t>
      </w:r>
      <w:r w:rsidR="007840C7" w:rsidRPr="00091A98">
        <w:rPr>
          <w:rFonts w:cs="Times New Roman"/>
          <w:lang w:val="de-CH"/>
        </w:rPr>
        <w:t xml:space="preserve"> dabei bisher </w:t>
      </w:r>
      <w:r w:rsidR="00141503" w:rsidRPr="00091A98">
        <w:rPr>
          <w:rFonts w:cs="Times New Roman"/>
          <w:lang w:val="de-CH"/>
        </w:rPr>
        <w:t>nur wenig Augenmerk geschenkt.</w:t>
      </w:r>
      <w:r w:rsidR="007840C7" w:rsidRPr="00091A98">
        <w:rPr>
          <w:rFonts w:cs="Times New Roman"/>
          <w:lang w:val="de-CH"/>
        </w:rPr>
        <w:t xml:space="preserve"> </w:t>
      </w:r>
      <w:r w:rsidR="00CC384C" w:rsidRPr="00091A98">
        <w:rPr>
          <w:rFonts w:cs="Times New Roman"/>
          <w:lang w:val="de-CH"/>
        </w:rPr>
        <w:t>So bemerkt etwa</w:t>
      </w:r>
      <w:r w:rsidR="004A114B" w:rsidRPr="00091A98">
        <w:rPr>
          <w:rFonts w:cs="Times New Roman"/>
          <w:lang w:val="de-CH"/>
        </w:rPr>
        <w:t xml:space="preserve"> Olsen</w:t>
      </w:r>
      <w:r w:rsidR="009F5188" w:rsidRPr="00091A98">
        <w:rPr>
          <w:rFonts w:cs="Times New Roman"/>
          <w:lang w:val="de-CH"/>
        </w:rPr>
        <w:t xml:space="preserve"> (1965)</w:t>
      </w:r>
      <w:r w:rsidR="00CC384C" w:rsidRPr="00091A98">
        <w:rPr>
          <w:rFonts w:cs="Times New Roman"/>
          <w:lang w:val="de-CH"/>
        </w:rPr>
        <w:t xml:space="preserve">, </w:t>
      </w:r>
      <w:r w:rsidR="009F5188" w:rsidRPr="00091A98">
        <w:rPr>
          <w:rFonts w:cs="Times New Roman"/>
          <w:lang w:val="de-CH"/>
        </w:rPr>
        <w:t>dass Trittbrettfahrerverhalten</w:t>
      </w:r>
      <w:r w:rsidR="00B818A8" w:rsidRPr="00091A98">
        <w:rPr>
          <w:rFonts w:cs="Times New Roman"/>
          <w:lang w:val="de-CH"/>
        </w:rPr>
        <w:t xml:space="preserve"> auch trotz </w:t>
      </w:r>
      <w:r w:rsidR="00780A0A" w:rsidRPr="00091A98">
        <w:rPr>
          <w:rFonts w:cs="Times New Roman"/>
          <w:lang w:val="de-CH"/>
        </w:rPr>
        <w:t>sich verstärkender</w:t>
      </w:r>
      <w:r w:rsidR="00B818A8" w:rsidRPr="00091A98">
        <w:rPr>
          <w:rFonts w:cs="Times New Roman"/>
          <w:lang w:val="de-CH"/>
        </w:rPr>
        <w:t xml:space="preserve"> Konkurrenz</w:t>
      </w:r>
      <w:r w:rsidR="009F5188" w:rsidRPr="00091A98">
        <w:rPr>
          <w:rFonts w:cs="Times New Roman"/>
          <w:lang w:val="de-CH"/>
        </w:rPr>
        <w:t xml:space="preserve"> zu beobachten ist, dass sich also Betroffene nicht unbedingt aktiv an der Wahrung ihrer Interessen beteiligen, sondern sich auf die Bemühungen der aktiven Vertreter ihrer Gruppe verlassen. Truman (1951), Schattschneider (1960) und Hansen (1985)</w:t>
      </w:r>
      <w:r w:rsidR="00E558F6" w:rsidRPr="00091A98">
        <w:rPr>
          <w:rFonts w:cs="Times New Roman"/>
          <w:lang w:val="de-CH"/>
        </w:rPr>
        <w:t xml:space="preserve"> </w:t>
      </w:r>
      <w:r w:rsidR="005A5946" w:rsidRPr="00091A98">
        <w:rPr>
          <w:rFonts w:cs="Times New Roman"/>
          <w:lang w:val="de-CH"/>
        </w:rPr>
        <w:t>merken</w:t>
      </w:r>
      <w:r w:rsidR="00772A92" w:rsidRPr="00091A98">
        <w:rPr>
          <w:rFonts w:cs="Times New Roman"/>
          <w:lang w:val="de-CH"/>
        </w:rPr>
        <w:t xml:space="preserve"> allerdings</w:t>
      </w:r>
      <w:r w:rsidR="005A5946" w:rsidRPr="00091A98">
        <w:rPr>
          <w:rFonts w:cs="Times New Roman"/>
          <w:lang w:val="de-CH"/>
        </w:rPr>
        <w:t xml:space="preserve"> an</w:t>
      </w:r>
      <w:r w:rsidR="009F5188" w:rsidRPr="00091A98">
        <w:rPr>
          <w:rFonts w:cs="Times New Roman"/>
          <w:lang w:val="de-CH"/>
        </w:rPr>
        <w:t>, dass sich neue Interessengruppen bilden, bzw. der Mobilisierungsgrad bereits existierender Organisationen steigt, wenn potentielle Mitglieder ihre Interessen als gefährdet begreifen. Die Folge ist ein Konkurrenzkampf zwischen Organisationen mit unterschiedlichen Interessen, wobei die Durchsetzung und der Nutzen der Interessen der einen Seite auf Kosten der Mitglieder der Gegense</w:t>
      </w:r>
      <w:r w:rsidR="00F95C0D" w:rsidRPr="00091A98">
        <w:rPr>
          <w:rFonts w:cs="Times New Roman"/>
          <w:lang w:val="de-CH"/>
        </w:rPr>
        <w:t>ite gehen (Schelling 1960; Axelrod 1967; Holyoke</w:t>
      </w:r>
      <w:r w:rsidR="009F5188" w:rsidRPr="00091A98">
        <w:rPr>
          <w:rFonts w:cs="Times New Roman"/>
          <w:lang w:val="de-CH"/>
        </w:rPr>
        <w:t xml:space="preserve"> 2009). Es ist jedoch sogleich anzumerken, dass</w:t>
      </w:r>
      <w:r w:rsidR="00172178" w:rsidRPr="00091A98">
        <w:rPr>
          <w:rFonts w:cs="Times New Roman"/>
          <w:lang w:val="de-CH"/>
        </w:rPr>
        <w:t xml:space="preserve"> </w:t>
      </w:r>
      <w:r w:rsidR="009F5188" w:rsidRPr="00091A98">
        <w:rPr>
          <w:rFonts w:cs="Times New Roman"/>
          <w:lang w:val="de-CH"/>
        </w:rPr>
        <w:t xml:space="preserve">der Wettbewerb </w:t>
      </w:r>
      <w:r w:rsidR="00172178" w:rsidRPr="00091A98">
        <w:rPr>
          <w:rFonts w:cs="Times New Roman"/>
          <w:lang w:val="de-CH"/>
        </w:rPr>
        <w:t>unter</w:t>
      </w:r>
      <w:r w:rsidR="009F5188" w:rsidRPr="00091A98">
        <w:rPr>
          <w:rFonts w:cs="Times New Roman"/>
          <w:lang w:val="de-CH"/>
        </w:rPr>
        <w:t xml:space="preserve"> Interessengruppen nicht nur </w:t>
      </w:r>
      <w:r w:rsidR="00AD32A2" w:rsidRPr="00091A98">
        <w:rPr>
          <w:rFonts w:cs="Times New Roman"/>
          <w:lang w:val="de-CH"/>
        </w:rPr>
        <w:t>zwischen</w:t>
      </w:r>
      <w:r w:rsidR="009F5188" w:rsidRPr="00091A98">
        <w:rPr>
          <w:rFonts w:cs="Times New Roman"/>
          <w:lang w:val="de-CH"/>
        </w:rPr>
        <w:t xml:space="preserve"> </w:t>
      </w:r>
      <w:r w:rsidR="00AD32A2" w:rsidRPr="00091A98">
        <w:rPr>
          <w:rFonts w:cs="Times New Roman"/>
          <w:lang w:val="de-CH"/>
        </w:rPr>
        <w:t>Gruppen mit unterschiedlichen Zielen stattfindet</w:t>
      </w:r>
      <w:r w:rsidR="00172178" w:rsidRPr="00091A98">
        <w:rPr>
          <w:rFonts w:cs="Times New Roman"/>
          <w:lang w:val="de-CH"/>
        </w:rPr>
        <w:t>, sondern</w:t>
      </w:r>
      <w:r w:rsidR="009F5188" w:rsidRPr="00091A98">
        <w:rPr>
          <w:rFonts w:cs="Times New Roman"/>
          <w:lang w:val="de-CH"/>
        </w:rPr>
        <w:t xml:space="preserve"> auch zwischen Gruppen mit vorgeblich ähnlichen Zielen. Hojnacki (2006) etwa zeigt, dass Organisationen mit ähnlicher ideologischer Ausrichtung in einem Wettbewerb miteinander stehen, und daher der Konkurrenzkampf auch dadurch gesteigert wird, je mehr solcher ähnlicher </w:t>
      </w:r>
      <w:r w:rsidR="009F5188" w:rsidRPr="00091A98">
        <w:rPr>
          <w:rFonts w:cs="Times New Roman"/>
          <w:lang w:val="de-CH"/>
        </w:rPr>
        <w:lastRenderedPageBreak/>
        <w:t xml:space="preserve">Gruppen in einem Feld tätig sind. Politischer Wettbewerb von Interessengruppen wird </w:t>
      </w:r>
      <w:r w:rsidR="003E3360" w:rsidRPr="00091A98">
        <w:rPr>
          <w:rFonts w:cs="Times New Roman"/>
          <w:lang w:val="de-CH"/>
        </w:rPr>
        <w:t>folglich</w:t>
      </w:r>
      <w:r w:rsidR="009F5188" w:rsidRPr="00091A98">
        <w:rPr>
          <w:rFonts w:cs="Times New Roman"/>
          <w:lang w:val="de-CH"/>
        </w:rPr>
        <w:t xml:space="preserve"> nicht nur durch die Anzahl der gegnerischen Gruppen und deren Mobilisierungsgrad bestimmt, sondern auch durch die Konkurrenzsituation vermeintlich ähnlich orientierter Interessenorganisationen.</w:t>
      </w:r>
    </w:p>
    <w:p w14:paraId="7654EDE5" w14:textId="77777777" w:rsidR="009F5188" w:rsidRPr="00091A98" w:rsidRDefault="009F5188" w:rsidP="009F5188">
      <w:pPr>
        <w:spacing w:line="360" w:lineRule="auto"/>
        <w:rPr>
          <w:rFonts w:cs="Times New Roman"/>
          <w:lang w:val="de-CH"/>
        </w:rPr>
      </w:pPr>
    </w:p>
    <w:p w14:paraId="33376706" w14:textId="677784A4" w:rsidR="009F5188" w:rsidRPr="00091A98" w:rsidRDefault="00BF543A" w:rsidP="009F5188">
      <w:pPr>
        <w:spacing w:line="360" w:lineRule="auto"/>
        <w:rPr>
          <w:rFonts w:cs="Times New Roman"/>
          <w:lang w:val="de-CH"/>
        </w:rPr>
      </w:pPr>
      <w:r w:rsidRPr="00091A98">
        <w:rPr>
          <w:rFonts w:cs="Times New Roman"/>
          <w:lang w:val="de-CH"/>
        </w:rPr>
        <w:t xml:space="preserve">Der </w:t>
      </w:r>
      <w:r w:rsidR="009F5188" w:rsidRPr="00091A98">
        <w:rPr>
          <w:rFonts w:cs="Times New Roman"/>
          <w:lang w:val="de-CH"/>
        </w:rPr>
        <w:t>Mobilisierung</w:t>
      </w:r>
      <w:r w:rsidRPr="00091A98">
        <w:rPr>
          <w:rFonts w:cs="Times New Roman"/>
          <w:lang w:val="de-CH"/>
        </w:rPr>
        <w:t>sgrad ist allerdings</w:t>
      </w:r>
      <w:r w:rsidR="009F5188" w:rsidRPr="00091A98">
        <w:rPr>
          <w:rFonts w:cs="Times New Roman"/>
          <w:lang w:val="de-CH"/>
        </w:rPr>
        <w:t xml:space="preserve"> nicht in allen gesellschaftlichen Bereichen gleich ausgeprägt ist. So stellen etwa Leech et al. (2005) fest, dass in Politikfeldern, in denen die Regierung kaum aktiv ist oder auch keine Kompetenzen hat, die Ausbildung von komplexen Lobbysystemen nicht zu erwarten ist. Doch auch in politisch aktiven Feldern erwarten manche Interessengruppenforscher die Herausbildung von Interessengruppen-Nischen, innerhalb derer Interessenvertreter und deren Organisationen um die Vorherrschaft und gleichzeitig um ihr politisches Überleben kämpfen. Zum Beispiel entwickelten Lowery und Gray (1995) das ESA-Modell (Energy, Stability, Area), in dessen Rahmen das „competitive exclusion principle“ eine wichtige Rolle spielt. Dieses Prinzip, demzufolge Interessengruppen sich enge Themen-Nischen suchen, in denen der Wettbewerb relativ gering ist, </w:t>
      </w:r>
      <w:r w:rsidR="00F11174" w:rsidRPr="00091A98">
        <w:rPr>
          <w:rFonts w:cs="Times New Roman"/>
          <w:lang w:val="de-CH"/>
        </w:rPr>
        <w:t>wird von</w:t>
      </w:r>
      <w:r w:rsidR="009F5188" w:rsidRPr="00091A98">
        <w:rPr>
          <w:rFonts w:cs="Times New Roman"/>
          <w:lang w:val="de-CH"/>
        </w:rPr>
        <w:t xml:space="preserve"> eine</w:t>
      </w:r>
      <w:r w:rsidR="00F11174" w:rsidRPr="00091A98">
        <w:rPr>
          <w:rFonts w:cs="Times New Roman"/>
          <w:lang w:val="de-CH"/>
        </w:rPr>
        <w:t>m</w:t>
      </w:r>
      <w:r w:rsidR="009F5188" w:rsidRPr="00091A98">
        <w:rPr>
          <w:rFonts w:cs="Times New Roman"/>
          <w:lang w:val="de-CH"/>
        </w:rPr>
        <w:t xml:space="preserve"> nicht unbedeutenden Teil der empirischen Erkenntnisse </w:t>
      </w:r>
      <w:r w:rsidR="00F11174" w:rsidRPr="00091A98">
        <w:rPr>
          <w:rFonts w:cs="Times New Roman"/>
          <w:lang w:val="de-CH"/>
        </w:rPr>
        <w:t xml:space="preserve">gestützt </w:t>
      </w:r>
      <w:r w:rsidR="00F95C0D" w:rsidRPr="00091A98">
        <w:rPr>
          <w:rFonts w:cs="Times New Roman"/>
          <w:lang w:val="de-CH"/>
        </w:rPr>
        <w:t xml:space="preserve">(siehe z.B. </w:t>
      </w:r>
      <w:r w:rsidR="00341510" w:rsidRPr="00091A98">
        <w:rPr>
          <w:rFonts w:cs="Times New Roman"/>
          <w:lang w:val="de-CH"/>
        </w:rPr>
        <w:t>Gray und Lowery</w:t>
      </w:r>
      <w:r w:rsidR="00F95C0D" w:rsidRPr="00091A98">
        <w:rPr>
          <w:rFonts w:cs="Times New Roman"/>
          <w:lang w:val="de-CH"/>
        </w:rPr>
        <w:t xml:space="preserve"> 1997</w:t>
      </w:r>
      <w:r w:rsidR="009F5188" w:rsidRPr="00091A98">
        <w:rPr>
          <w:rFonts w:cs="Times New Roman"/>
          <w:lang w:val="de-CH"/>
        </w:rPr>
        <w:t xml:space="preserve">; </w:t>
      </w:r>
      <w:r w:rsidR="00341510" w:rsidRPr="00091A98">
        <w:rPr>
          <w:rFonts w:cs="Times New Roman"/>
          <w:lang w:val="de-CH"/>
        </w:rPr>
        <w:t>Browne 1990; Laumann und Knoke</w:t>
      </w:r>
      <w:r w:rsidR="009F5188" w:rsidRPr="00091A98">
        <w:rPr>
          <w:rFonts w:cs="Times New Roman"/>
          <w:lang w:val="de-CH"/>
        </w:rPr>
        <w:t xml:space="preserve"> 1987; </w:t>
      </w:r>
      <w:r w:rsidR="00F95C0D" w:rsidRPr="00091A98">
        <w:rPr>
          <w:rFonts w:cs="Times New Roman"/>
          <w:lang w:val="de-CH"/>
        </w:rPr>
        <w:t>Wilson 1973</w:t>
      </w:r>
      <w:r w:rsidR="009F5188" w:rsidRPr="00091A98">
        <w:rPr>
          <w:rFonts w:cs="Times New Roman"/>
          <w:lang w:val="de-CH"/>
        </w:rPr>
        <w:t>). Jedoch zeigen Gray und Lowery (1997) ebenfalls, dass es nur sehr wenigen Interessengruppen gelingt, ihre Nischen tatsächlich s</w:t>
      </w:r>
      <w:r w:rsidR="00BB1437" w:rsidRPr="00091A98">
        <w:rPr>
          <w:rFonts w:cs="Times New Roman"/>
          <w:lang w:val="de-CH"/>
        </w:rPr>
        <w:t>o eng zu definieren, dass keine</w:t>
      </w:r>
      <w:r w:rsidR="009F5188" w:rsidRPr="00091A98">
        <w:rPr>
          <w:rFonts w:cs="Times New Roman"/>
          <w:lang w:val="de-CH"/>
        </w:rPr>
        <w:t xml:space="preserve"> anderen Interessengruppen neben ihnen existieren können, aber dennoch genug Mitglieder für das Überleben der Organisation mobilisierbar sind. Baumgartner und Leech (2001) zeigen ihrerseits, dass es zwar nur eine sehr geringe Zahl an Themen mit sehr starkem Wettbewerb gibt, aber auch, dass sich in den allermeisten Themenfeldern mehrere Interessengruppen etablieren können, dass also der politische Wettbewerb doch für die meisten Organisationen gegeben ist. Dies entspricht auch den Ergebnissen von Studien zu Interessengruppen-Allianzen, die zeigen, dass die Interaktion von Gruppen zunehmend </w:t>
      </w:r>
      <w:r w:rsidR="00341510" w:rsidRPr="00091A98">
        <w:rPr>
          <w:rFonts w:cs="Times New Roman"/>
          <w:lang w:val="de-CH"/>
        </w:rPr>
        <w:t>zur Norm wird (Hojnacki</w:t>
      </w:r>
      <w:r w:rsidR="009F5188" w:rsidRPr="00091A98">
        <w:rPr>
          <w:rFonts w:cs="Times New Roman"/>
          <w:lang w:val="de-CH"/>
        </w:rPr>
        <w:t xml:space="preserve"> 1997; Hula 1999).</w:t>
      </w:r>
    </w:p>
    <w:p w14:paraId="6F781C55" w14:textId="77777777" w:rsidR="009F5188" w:rsidRPr="00091A98" w:rsidRDefault="009F5188" w:rsidP="009F5188">
      <w:pPr>
        <w:spacing w:line="360" w:lineRule="auto"/>
        <w:rPr>
          <w:rFonts w:cs="Times New Roman"/>
          <w:lang w:val="de-CH"/>
        </w:rPr>
      </w:pPr>
    </w:p>
    <w:p w14:paraId="6DE3C9D5" w14:textId="68FB9DC8" w:rsidR="009F5188" w:rsidRPr="00091A98" w:rsidRDefault="009F5188" w:rsidP="009F5188">
      <w:pPr>
        <w:spacing w:line="360" w:lineRule="auto"/>
        <w:rPr>
          <w:rFonts w:cs="Times New Roman"/>
          <w:lang w:val="de-CH"/>
        </w:rPr>
      </w:pPr>
      <w:r w:rsidRPr="00091A98">
        <w:rPr>
          <w:rFonts w:cs="Times New Roman"/>
          <w:lang w:val="de-CH"/>
        </w:rPr>
        <w:t>Zu einem ähnlichen Schluss kommt Heclo (1978), demzufolge Politik heute von „Themennetzwerken“ (issue networks) geprägt wird, innerhalb derer Experten miteinander in einem Wettstreit der Ideen stehen, wobei manche dieser Netzwerke sehr stark bevölkert sind, während andere von nur wenigen Experten geprägt werden.</w:t>
      </w:r>
      <w:r w:rsidR="00B456D0" w:rsidRPr="00091A98">
        <w:rPr>
          <w:rFonts w:cs="Times New Roman"/>
          <w:lang w:val="de-CH"/>
        </w:rPr>
        <w:t xml:space="preserve"> </w:t>
      </w:r>
      <w:r w:rsidRPr="00091A98">
        <w:rPr>
          <w:rFonts w:cs="Times New Roman"/>
          <w:lang w:val="de-CH"/>
        </w:rPr>
        <w:lastRenderedPageBreak/>
        <w:t>Interessengruppen, die in spärlich besiedelten Netzwerken tätig sind, sind der Theorie von Heclo (1978) zufolge auch einem wesentlich geringeren Wettbewerb ausgesetzt, um diese Informationen an der gewünschten Stelle zu deponieren, als es Interessengruppen in Netzwerken mit sehr vielen Teilnehmern sind. Die Intensität dieses Wettbewerbs ist daher für verschiedene Interessenorganisationen höchst unterschiedliche, abhängig davon</w:t>
      </w:r>
      <w:r w:rsidR="00A840A3" w:rsidRPr="00091A98">
        <w:rPr>
          <w:rFonts w:cs="Times New Roman"/>
          <w:lang w:val="de-CH"/>
        </w:rPr>
        <w:t>,</w:t>
      </w:r>
      <w:r w:rsidRPr="00091A98">
        <w:rPr>
          <w:rFonts w:cs="Times New Roman"/>
          <w:lang w:val="de-CH"/>
        </w:rPr>
        <w:t xml:space="preserve"> in welchem der verschiedenen Themenfelder sich eine Lobbygruppe bewegt. </w:t>
      </w:r>
    </w:p>
    <w:p w14:paraId="56C2F261" w14:textId="77777777" w:rsidR="009F5188" w:rsidRPr="00091A98" w:rsidRDefault="009F5188" w:rsidP="009F5188">
      <w:pPr>
        <w:spacing w:line="360" w:lineRule="auto"/>
        <w:rPr>
          <w:rFonts w:cs="Times New Roman"/>
          <w:lang w:val="de-CH"/>
        </w:rPr>
      </w:pPr>
    </w:p>
    <w:p w14:paraId="0FD952C6" w14:textId="3C98FB63" w:rsidR="009F5188" w:rsidRPr="00091A98" w:rsidRDefault="009F5188" w:rsidP="009F5188">
      <w:pPr>
        <w:spacing w:line="360" w:lineRule="auto"/>
        <w:rPr>
          <w:rFonts w:cs="Times New Roman"/>
          <w:lang w:val="de-CH"/>
        </w:rPr>
      </w:pPr>
      <w:r w:rsidRPr="00091A98">
        <w:rPr>
          <w:rFonts w:cs="Times New Roman"/>
          <w:lang w:val="de-CH"/>
        </w:rPr>
        <w:t>Konkurrenz zwischen Lobbygruppen hat Auswirkungen auf das strategische Verhalten dieser Gruppen, und zwar hinsichtlich dessen</w:t>
      </w:r>
      <w:r w:rsidR="00703E2E" w:rsidRPr="00091A98">
        <w:rPr>
          <w:rFonts w:cs="Times New Roman"/>
          <w:lang w:val="de-CH"/>
        </w:rPr>
        <w:t>,</w:t>
      </w:r>
      <w:r w:rsidRPr="00091A98">
        <w:rPr>
          <w:rFonts w:cs="Times New Roman"/>
          <w:lang w:val="de-CH"/>
        </w:rPr>
        <w:t xml:space="preserve"> ob und wie viele Information mit Entscheidungsträgern geteilt wird</w:t>
      </w:r>
      <w:r w:rsidR="00B67C88" w:rsidRPr="00091A98">
        <w:rPr>
          <w:rFonts w:cs="Times New Roman"/>
          <w:lang w:val="de-CH"/>
        </w:rPr>
        <w:t xml:space="preserve"> </w:t>
      </w:r>
      <w:r w:rsidR="00341510" w:rsidRPr="00091A98">
        <w:rPr>
          <w:rFonts w:cs="Times New Roman"/>
          <w:lang w:val="de-CH"/>
        </w:rPr>
        <w:t>(Austen-Smith und Wright</w:t>
      </w:r>
      <w:r w:rsidRPr="00091A98">
        <w:rPr>
          <w:rFonts w:cs="Times New Roman"/>
          <w:lang w:val="de-CH"/>
        </w:rPr>
        <w:t xml:space="preserve"> 1992). Die Frage, wie sich verstärkter Wettbewerb auf </w:t>
      </w:r>
      <w:r w:rsidR="00E63224" w:rsidRPr="00091A98">
        <w:rPr>
          <w:rFonts w:cs="Times New Roman"/>
          <w:lang w:val="de-CH"/>
        </w:rPr>
        <w:t>das Lobbyverhalten</w:t>
      </w:r>
      <w:r w:rsidRPr="00091A98">
        <w:rPr>
          <w:rFonts w:cs="Times New Roman"/>
          <w:lang w:val="de-CH"/>
        </w:rPr>
        <w:t xml:space="preserve"> von Interessengruppen auswirkt, wurde bisher allerdings noch nicht eingehend untersucht. Zwar haben Austen-Smith und Wright (1994) den Versuch unternommen, Lobbyverhalten als Antwort auf Handlungen anderer Organisationen zu modellieren, doch die Ergebnisse dieser Studie sind nur anwendbar für Situationen, in denen gegnerische Gruppen und deren Lobbytätigkeit direkt beobachtet werden können (etwa bei Konferenzen). Holyoke (2003) hingegen versucht empirisch zu eruieren, ob Mitgliedschaft in einer Koalition aus Lobbyorganisationen bzw. die Existenz gegnerischer Gruppen die Wahrscheinlichkeit erhöht, dass Interessenvertreter während ganz bestimmter Veranstaltungen (z.B. des Amerikanischen Senats oder des Repräsentantenhauses) ihre Themenfelder betreffend aktiv werden. Im Gegensatz zu diesen Studien soll hier untersucht werden, wie sich die </w:t>
      </w:r>
      <w:r w:rsidRPr="00091A98">
        <w:rPr>
          <w:rFonts w:cs="Times New Roman"/>
          <w:i/>
          <w:lang w:val="de-CH"/>
        </w:rPr>
        <w:t>Intensität</w:t>
      </w:r>
      <w:r w:rsidRPr="00091A98">
        <w:rPr>
          <w:rFonts w:cs="Times New Roman"/>
          <w:lang w:val="de-CH"/>
        </w:rPr>
        <w:t xml:space="preserve"> des Wettbewerbs zwischen Interessenorganisationen auf die </w:t>
      </w:r>
      <w:r w:rsidR="003A5653" w:rsidRPr="00091A98">
        <w:rPr>
          <w:rFonts w:cs="Times New Roman"/>
          <w:i/>
          <w:lang w:val="de-CH"/>
        </w:rPr>
        <w:t>Zielrichtung</w:t>
      </w:r>
      <w:r w:rsidRPr="00091A98">
        <w:rPr>
          <w:rFonts w:cs="Times New Roman"/>
          <w:lang w:val="de-CH"/>
        </w:rPr>
        <w:t xml:space="preserve"> der Lobbybemühungen ebendieser Gruppen auswirkt</w:t>
      </w:r>
      <w:r w:rsidR="00921A71" w:rsidRPr="00091A98">
        <w:rPr>
          <w:rFonts w:cs="Times New Roman"/>
          <w:lang w:val="de-CH"/>
        </w:rPr>
        <w:t>, d.h. welchen Ansprechpartners die Organisationen besondere Bedeutung zumessen</w:t>
      </w:r>
      <w:r w:rsidR="0046490B" w:rsidRPr="00091A98">
        <w:rPr>
          <w:rFonts w:cs="Times New Roman"/>
          <w:lang w:val="de-CH"/>
        </w:rPr>
        <w:t>.</w:t>
      </w:r>
    </w:p>
    <w:p w14:paraId="1F49401C" w14:textId="77777777" w:rsidR="009F5188" w:rsidRPr="00091A98" w:rsidRDefault="009F5188" w:rsidP="009F5188">
      <w:pPr>
        <w:spacing w:line="360" w:lineRule="auto"/>
        <w:rPr>
          <w:rFonts w:cs="Times New Roman"/>
          <w:lang w:val="de-CH"/>
        </w:rPr>
      </w:pPr>
    </w:p>
    <w:p w14:paraId="194AA4A2" w14:textId="3C1593D7" w:rsidR="00DD6687" w:rsidRPr="00091A98" w:rsidRDefault="009F5188" w:rsidP="009F5188">
      <w:pPr>
        <w:spacing w:line="360" w:lineRule="auto"/>
        <w:rPr>
          <w:rFonts w:cs="Times New Roman"/>
          <w:lang w:val="de-CH"/>
        </w:rPr>
      </w:pPr>
      <w:r w:rsidRPr="00091A98">
        <w:rPr>
          <w:rFonts w:cs="Times New Roman"/>
          <w:lang w:val="de-CH"/>
        </w:rPr>
        <w:t xml:space="preserve">Es stellt sich also nun die Frage, welcher Effekt von einem stärkeren Wettbewerb unter Lobbygruppen in einem Themenbereich zu erwarten ist, wie sich also diese Konkurrenzsituation auf das Lobbyverhalten auswirkt. In der politikwissenschaftlichen Literatur findet sich bislang relativ wenig zu diesem Thema, allerdings lassen sich in der ökonomischen Literatur einige Ansätze finden, wie diese Frage beantwortet werden kann. So </w:t>
      </w:r>
      <w:r w:rsidR="00C92F05" w:rsidRPr="00091A98">
        <w:rPr>
          <w:rFonts w:cs="Times New Roman"/>
          <w:lang w:val="de-CH"/>
        </w:rPr>
        <w:t xml:space="preserve">kamen </w:t>
      </w:r>
      <w:r w:rsidRPr="00091A98">
        <w:rPr>
          <w:rFonts w:cs="Times New Roman"/>
          <w:lang w:val="de-CH"/>
        </w:rPr>
        <w:t>etwa</w:t>
      </w:r>
      <w:r w:rsidR="00DD6687" w:rsidRPr="00091A98">
        <w:rPr>
          <w:rFonts w:cs="Times New Roman"/>
          <w:lang w:val="de-CH"/>
        </w:rPr>
        <w:t xml:space="preserve"> Stigler (1971) und Peltzman (1976), die den Organisationsgrad von Interessengruppen untersuchen,</w:t>
      </w:r>
      <w:r w:rsidR="00C92F05" w:rsidRPr="00091A98">
        <w:rPr>
          <w:rFonts w:cs="Times New Roman"/>
          <w:lang w:val="de-CH"/>
        </w:rPr>
        <w:t xml:space="preserve"> zu dem Ergebnis, </w:t>
      </w:r>
      <w:r w:rsidR="00691C35" w:rsidRPr="00091A98">
        <w:rPr>
          <w:rFonts w:cs="Times New Roman"/>
          <w:lang w:val="de-CH"/>
        </w:rPr>
        <w:t>dass insbesondere kleine</w:t>
      </w:r>
      <w:r w:rsidR="00DD6687" w:rsidRPr="00091A98">
        <w:rPr>
          <w:rFonts w:cs="Times New Roman"/>
          <w:lang w:val="de-CH"/>
        </w:rPr>
        <w:t xml:space="preserve"> </w:t>
      </w:r>
      <w:r w:rsidR="00691C35" w:rsidRPr="00091A98">
        <w:rPr>
          <w:rFonts w:cs="Times New Roman"/>
          <w:lang w:val="de-CH"/>
        </w:rPr>
        <w:t xml:space="preserve">, gut organisierte Gruppen, die </w:t>
      </w:r>
      <w:r w:rsidR="009A05E4" w:rsidRPr="00091A98">
        <w:rPr>
          <w:rFonts w:cs="Times New Roman"/>
          <w:lang w:val="de-CH"/>
        </w:rPr>
        <w:t>beinahe keinem</w:t>
      </w:r>
      <w:r w:rsidR="00691C35" w:rsidRPr="00091A98">
        <w:rPr>
          <w:rFonts w:cs="Times New Roman"/>
          <w:lang w:val="de-CH"/>
        </w:rPr>
        <w:t xml:space="preserve"> Wettbewerb ausgesetzt sind, in der Lage sind, </w:t>
      </w:r>
      <w:r w:rsidR="00DD321A" w:rsidRPr="00091A98">
        <w:rPr>
          <w:rFonts w:cs="Times New Roman"/>
          <w:lang w:val="de-CH"/>
        </w:rPr>
        <w:lastRenderedPageBreak/>
        <w:t>ihre Ziele trotz geringer Lobbyintensität zu erreichen</w:t>
      </w:r>
      <w:r w:rsidR="009252F8" w:rsidRPr="00091A98">
        <w:rPr>
          <w:rFonts w:cs="Times New Roman"/>
          <w:lang w:val="de-CH"/>
        </w:rPr>
        <w:t>. E</w:t>
      </w:r>
      <w:r w:rsidR="00712F50" w:rsidRPr="00091A98">
        <w:rPr>
          <w:rFonts w:cs="Times New Roman"/>
          <w:lang w:val="de-CH"/>
        </w:rPr>
        <w:t>rstens</w:t>
      </w:r>
      <w:r w:rsidR="009252F8" w:rsidRPr="00091A98">
        <w:rPr>
          <w:rFonts w:cs="Times New Roman"/>
          <w:lang w:val="de-CH"/>
        </w:rPr>
        <w:t>,</w:t>
      </w:r>
      <w:r w:rsidR="00712F50" w:rsidRPr="00091A98">
        <w:rPr>
          <w:rFonts w:cs="Times New Roman"/>
          <w:lang w:val="de-CH"/>
        </w:rPr>
        <w:t xml:space="preserve"> </w:t>
      </w:r>
      <w:r w:rsidR="009252F8" w:rsidRPr="00091A98">
        <w:rPr>
          <w:rFonts w:cs="Times New Roman"/>
          <w:lang w:val="de-CH"/>
        </w:rPr>
        <w:t xml:space="preserve">weil </w:t>
      </w:r>
      <w:r w:rsidR="00712F50" w:rsidRPr="00091A98">
        <w:rPr>
          <w:rFonts w:cs="Times New Roman"/>
          <w:lang w:val="de-CH"/>
        </w:rPr>
        <w:t>kaum Widerstand von der Gegenseite zu erwarten ist, und zweitens</w:t>
      </w:r>
      <w:r w:rsidR="009252F8" w:rsidRPr="00091A98">
        <w:rPr>
          <w:rFonts w:cs="Times New Roman"/>
          <w:lang w:val="de-CH"/>
        </w:rPr>
        <w:t>,</w:t>
      </w:r>
      <w:r w:rsidR="00712F50" w:rsidRPr="00091A98">
        <w:rPr>
          <w:rFonts w:cs="Times New Roman"/>
          <w:lang w:val="de-CH"/>
        </w:rPr>
        <w:t xml:space="preserve"> weil solche Gruppen auch wenig Interesse daran haben, zu viel Aufmerksamkeit, und dadurch Öffentlichkeit, zu erzeuge</w:t>
      </w:r>
      <w:r w:rsidR="00F928F6" w:rsidRPr="00091A98">
        <w:rPr>
          <w:rFonts w:cs="Times New Roman"/>
          <w:lang w:val="de-CH"/>
        </w:rPr>
        <w:t>n (siehe auch Grant</w:t>
      </w:r>
      <w:r w:rsidR="009252F8" w:rsidRPr="00091A98">
        <w:rPr>
          <w:rFonts w:cs="Times New Roman"/>
          <w:lang w:val="de-CH"/>
        </w:rPr>
        <w:t xml:space="preserve"> 1999).</w:t>
      </w:r>
      <w:r w:rsidR="00DD6687" w:rsidRPr="00091A98">
        <w:rPr>
          <w:rFonts w:cs="Times New Roman"/>
          <w:lang w:val="de-CH"/>
        </w:rPr>
        <w:t xml:space="preserve"> </w:t>
      </w:r>
      <w:r w:rsidR="00B653E9" w:rsidRPr="00091A98">
        <w:rPr>
          <w:rFonts w:cs="Times New Roman"/>
          <w:lang w:val="de-CH"/>
        </w:rPr>
        <w:t xml:space="preserve">Becker </w:t>
      </w:r>
      <w:r w:rsidRPr="00091A98">
        <w:rPr>
          <w:rFonts w:cs="Times New Roman"/>
          <w:lang w:val="de-CH"/>
        </w:rPr>
        <w:t>(</w:t>
      </w:r>
      <w:r w:rsidR="00B653E9" w:rsidRPr="00091A98">
        <w:rPr>
          <w:rFonts w:cs="Times New Roman"/>
          <w:lang w:val="de-CH"/>
        </w:rPr>
        <w:t>1983</w:t>
      </w:r>
      <w:r w:rsidRPr="00091A98">
        <w:rPr>
          <w:rFonts w:cs="Times New Roman"/>
          <w:lang w:val="de-CH"/>
        </w:rPr>
        <w:t>)</w:t>
      </w:r>
      <w:r w:rsidR="00E94AFF" w:rsidRPr="00091A98">
        <w:rPr>
          <w:rFonts w:cs="Times New Roman"/>
          <w:lang w:val="de-CH"/>
        </w:rPr>
        <w:t xml:space="preserve"> </w:t>
      </w:r>
      <w:r w:rsidR="00191494" w:rsidRPr="00091A98">
        <w:rPr>
          <w:rFonts w:cs="Times New Roman"/>
          <w:lang w:val="de-CH"/>
        </w:rPr>
        <w:t xml:space="preserve">modelliert </w:t>
      </w:r>
      <w:r w:rsidR="00B653E9" w:rsidRPr="00091A98">
        <w:rPr>
          <w:rFonts w:cs="Times New Roman"/>
          <w:lang w:val="de-CH"/>
        </w:rPr>
        <w:t xml:space="preserve">das optimale Verhalten </w:t>
      </w:r>
      <w:r w:rsidR="00E94AFF" w:rsidRPr="00091A98">
        <w:rPr>
          <w:rFonts w:cs="Times New Roman"/>
          <w:lang w:val="de-CH"/>
        </w:rPr>
        <w:t>gegnerischer</w:t>
      </w:r>
      <w:r w:rsidR="00B653E9" w:rsidRPr="00091A98">
        <w:rPr>
          <w:rFonts w:cs="Times New Roman"/>
          <w:lang w:val="de-CH"/>
        </w:rPr>
        <w:t xml:space="preserve"> Lobbygruppen, die</w:t>
      </w:r>
      <w:r w:rsidR="00E94AFF" w:rsidRPr="00091A98">
        <w:rPr>
          <w:rFonts w:cs="Times New Roman"/>
          <w:lang w:val="de-CH"/>
        </w:rPr>
        <w:t xml:space="preserve"> miteinander in einem Wettstreit um Subventionen liegen,</w:t>
      </w:r>
      <w:r w:rsidR="00191494" w:rsidRPr="00091A98">
        <w:rPr>
          <w:rFonts w:cs="Times New Roman"/>
          <w:lang w:val="de-CH"/>
        </w:rPr>
        <w:t xml:space="preserve"> mathematisch</w:t>
      </w:r>
      <w:r w:rsidR="00E94AFF" w:rsidRPr="00091A98">
        <w:rPr>
          <w:rFonts w:cs="Times New Roman"/>
          <w:lang w:val="de-CH"/>
        </w:rPr>
        <w:t xml:space="preserve"> und </w:t>
      </w:r>
      <w:r w:rsidR="00D70F2F" w:rsidRPr="00091A98">
        <w:rPr>
          <w:rFonts w:cs="Times New Roman"/>
          <w:lang w:val="de-CH"/>
        </w:rPr>
        <w:t xml:space="preserve">kommt zu dem </w:t>
      </w:r>
      <w:r w:rsidR="00096C07" w:rsidRPr="00091A98">
        <w:rPr>
          <w:rFonts w:cs="Times New Roman"/>
          <w:lang w:val="de-CH"/>
        </w:rPr>
        <w:t>Schluss</w:t>
      </w:r>
      <w:r w:rsidR="00E94AFF" w:rsidRPr="00091A98">
        <w:rPr>
          <w:rFonts w:cs="Times New Roman"/>
          <w:lang w:val="de-CH"/>
        </w:rPr>
        <w:t>, dass ein intensiverer Wettbewerb</w:t>
      </w:r>
      <w:r w:rsidR="00520464" w:rsidRPr="00091A98">
        <w:rPr>
          <w:rFonts w:cs="Times New Roman"/>
          <w:lang w:val="de-CH"/>
        </w:rPr>
        <w:t xml:space="preserve"> </w:t>
      </w:r>
      <w:r w:rsidR="009114D6" w:rsidRPr="00091A98">
        <w:rPr>
          <w:rFonts w:cs="Times New Roman"/>
          <w:lang w:val="de-CH"/>
        </w:rPr>
        <w:t>(mehr Ressource, höherer Mobilisierungsgrad)</w:t>
      </w:r>
      <w:r w:rsidR="00E94AFF" w:rsidRPr="00091A98">
        <w:rPr>
          <w:rFonts w:cs="Times New Roman"/>
          <w:lang w:val="de-CH"/>
        </w:rPr>
        <w:t xml:space="preserve"> </w:t>
      </w:r>
      <w:r w:rsidR="00935984" w:rsidRPr="00091A98">
        <w:rPr>
          <w:rFonts w:cs="Times New Roman"/>
          <w:lang w:val="de-CH"/>
        </w:rPr>
        <w:t xml:space="preserve">verstärkte Lobbybemühungen </w:t>
      </w:r>
      <w:r w:rsidR="00DF2DDE" w:rsidRPr="00091A98">
        <w:rPr>
          <w:rFonts w:cs="Times New Roman"/>
          <w:lang w:val="de-CH"/>
        </w:rPr>
        <w:t>bedingt</w:t>
      </w:r>
      <w:r w:rsidR="00E94AFF" w:rsidRPr="00091A98">
        <w:rPr>
          <w:rFonts w:cs="Times New Roman"/>
          <w:lang w:val="de-CH"/>
        </w:rPr>
        <w:t>.</w:t>
      </w:r>
      <w:r w:rsidRPr="00091A98">
        <w:rPr>
          <w:rFonts w:cs="Times New Roman"/>
          <w:lang w:val="de-CH"/>
        </w:rPr>
        <w:t xml:space="preserve"> </w:t>
      </w:r>
    </w:p>
    <w:p w14:paraId="1416DD6A" w14:textId="77777777" w:rsidR="009F5188" w:rsidRPr="00091A98" w:rsidRDefault="009F5188" w:rsidP="009F5188">
      <w:pPr>
        <w:spacing w:line="360" w:lineRule="auto"/>
        <w:rPr>
          <w:rFonts w:cs="Times New Roman"/>
          <w:lang w:val="de-CH"/>
        </w:rPr>
      </w:pPr>
    </w:p>
    <w:p w14:paraId="4C38DAF0" w14:textId="6F4A2CDC" w:rsidR="009F5188" w:rsidRPr="00091A98" w:rsidRDefault="00564598" w:rsidP="009F5188">
      <w:pPr>
        <w:spacing w:line="360" w:lineRule="auto"/>
        <w:rPr>
          <w:rFonts w:cs="Times New Roman"/>
          <w:lang w:val="de-CH"/>
        </w:rPr>
      </w:pPr>
      <w:r w:rsidRPr="00091A98">
        <w:rPr>
          <w:rFonts w:cs="Times New Roman"/>
          <w:lang w:val="de-CH"/>
        </w:rPr>
        <w:t>Das mathematische Modell von Becker (1983)</w:t>
      </w:r>
      <w:r w:rsidR="009F5188" w:rsidRPr="00091A98">
        <w:rPr>
          <w:rFonts w:cs="Times New Roman"/>
          <w:lang w:val="de-CH"/>
        </w:rPr>
        <w:t xml:space="preserve"> kann aus Sicht des Autors dieses Artikels in zweierlei Hinsicht verallgemeinert werden. Erstens erhöht sich die Intensität des Wettbewerbs</w:t>
      </w:r>
      <w:r w:rsidRPr="00091A98">
        <w:rPr>
          <w:rFonts w:cs="Times New Roman"/>
          <w:lang w:val="de-CH"/>
        </w:rPr>
        <w:t xml:space="preserve"> </w:t>
      </w:r>
      <w:r w:rsidR="009F5188" w:rsidRPr="00091A98">
        <w:rPr>
          <w:rFonts w:cs="Times New Roman"/>
          <w:lang w:val="de-CH"/>
        </w:rPr>
        <w:t xml:space="preserve">auch durch die Anzahl der Interessengruppen, die in einem bestimmten politischen </w:t>
      </w:r>
      <w:r w:rsidR="00B0243E" w:rsidRPr="00091A98">
        <w:rPr>
          <w:rFonts w:cs="Times New Roman"/>
          <w:lang w:val="de-CH"/>
        </w:rPr>
        <w:t xml:space="preserve">Themengebiet tätig sind (Heclo </w:t>
      </w:r>
      <w:r w:rsidR="009F5188" w:rsidRPr="00091A98">
        <w:rPr>
          <w:rFonts w:cs="Times New Roman"/>
          <w:lang w:val="de-CH"/>
        </w:rPr>
        <w:t xml:space="preserve">1978). Dadurch ist das Modell nicht mehr auf zwei Spieler beschränkt und wird folglich realistischer. Zweitens, auch in Situationen, </w:t>
      </w:r>
      <w:r w:rsidR="00432848" w:rsidRPr="00091A98">
        <w:rPr>
          <w:rFonts w:cs="Times New Roman"/>
          <w:lang w:val="de-CH"/>
        </w:rPr>
        <w:t>die kein</w:t>
      </w:r>
      <w:r w:rsidR="009F5188" w:rsidRPr="00091A98">
        <w:rPr>
          <w:rFonts w:cs="Times New Roman"/>
          <w:lang w:val="de-CH"/>
        </w:rPr>
        <w:t xml:space="preserve"> Nullsummenspiele </w:t>
      </w:r>
      <w:r w:rsidR="00432848" w:rsidRPr="00091A98">
        <w:rPr>
          <w:rFonts w:cs="Times New Roman"/>
          <w:lang w:val="de-CH"/>
        </w:rPr>
        <w:t>darstellen</w:t>
      </w:r>
      <w:r w:rsidR="00BC6056" w:rsidRPr="00091A98">
        <w:rPr>
          <w:rFonts w:cs="Times New Roman"/>
          <w:lang w:val="de-CH"/>
        </w:rPr>
        <w:t>,</w:t>
      </w:r>
      <w:r w:rsidR="00432848" w:rsidRPr="00091A98">
        <w:rPr>
          <w:rFonts w:cs="Times New Roman"/>
          <w:lang w:val="de-CH"/>
        </w:rPr>
        <w:t xml:space="preserve"> </w:t>
      </w:r>
      <w:r w:rsidR="009F5188" w:rsidRPr="00091A98">
        <w:rPr>
          <w:rFonts w:cs="Times New Roman"/>
          <w:lang w:val="de-CH"/>
        </w:rPr>
        <w:t>etwa im Umweltbereich, ist die Annahme sinnvoll, dass verstärkter Wettbewerb zwischen Interessengruppen zu intensiveren Lobbybemühungen führt</w:t>
      </w:r>
      <w:r w:rsidR="00BC6056" w:rsidRPr="00091A98">
        <w:rPr>
          <w:rFonts w:cs="Times New Roman"/>
          <w:lang w:val="de-CH"/>
        </w:rPr>
        <w:t>.</w:t>
      </w:r>
      <w:r w:rsidR="009F5188" w:rsidRPr="00091A98">
        <w:rPr>
          <w:rFonts w:cs="Times New Roman"/>
          <w:lang w:val="de-CH"/>
        </w:rPr>
        <w:t xml:space="preserve"> </w:t>
      </w:r>
      <w:r w:rsidR="00BC6056" w:rsidRPr="00091A98">
        <w:rPr>
          <w:rFonts w:cs="Times New Roman"/>
          <w:lang w:val="de-CH"/>
        </w:rPr>
        <w:t>D</w:t>
      </w:r>
      <w:r w:rsidR="009F5188" w:rsidRPr="00091A98">
        <w:rPr>
          <w:rFonts w:cs="Times New Roman"/>
          <w:lang w:val="de-CH"/>
        </w:rPr>
        <w:t>enn auch in solchen Bereichen stehen sich Gruppen mit unterschiedlichen Interessen gegenüber, die aufeinander reagieren, sich abstimmen oder bekämpfen.</w:t>
      </w:r>
      <w:r w:rsidR="000869A4" w:rsidRPr="00091A98">
        <w:rPr>
          <w:rStyle w:val="Funotenzeichen"/>
          <w:rFonts w:cs="Times New Roman"/>
          <w:lang w:val="de-CH"/>
        </w:rPr>
        <w:footnoteReference w:id="1"/>
      </w:r>
      <w:r w:rsidR="009F5188" w:rsidRPr="00091A98">
        <w:rPr>
          <w:rFonts w:cs="Times New Roman"/>
          <w:lang w:val="de-CH"/>
        </w:rPr>
        <w:t xml:space="preserve"> Diese Schlussfolgerung ist auch im Sinne Salisburys (1990)</w:t>
      </w:r>
      <w:r w:rsidR="00516368" w:rsidRPr="00091A98">
        <w:rPr>
          <w:rFonts w:cs="Times New Roman"/>
          <w:lang w:val="de-CH"/>
        </w:rPr>
        <w:t>,</w:t>
      </w:r>
      <w:r w:rsidR="009F5188" w:rsidRPr="00091A98">
        <w:rPr>
          <w:rFonts w:cs="Times New Roman"/>
          <w:lang w:val="de-CH"/>
        </w:rPr>
        <w:t xml:space="preserve"> </w:t>
      </w:r>
      <w:r w:rsidR="00516368" w:rsidRPr="00091A98">
        <w:rPr>
          <w:rFonts w:cs="Times New Roman"/>
          <w:lang w:val="de-CH"/>
        </w:rPr>
        <w:t>demzufolge</w:t>
      </w:r>
      <w:r w:rsidR="009F5188" w:rsidRPr="00091A98">
        <w:rPr>
          <w:rFonts w:cs="Times New Roman"/>
          <w:lang w:val="de-CH"/>
        </w:rPr>
        <w:t xml:space="preserve"> Interessengruppen die Positionen und Lobbytaktiken ihrer Gegner berücksichtigen müssen, wenn sie ihre eigenen Strategien festlegen. </w:t>
      </w:r>
    </w:p>
    <w:p w14:paraId="3C341935" w14:textId="77777777" w:rsidR="009F5188" w:rsidRPr="00091A98" w:rsidRDefault="009F5188" w:rsidP="009F5188">
      <w:pPr>
        <w:spacing w:line="360" w:lineRule="auto"/>
        <w:rPr>
          <w:rFonts w:cs="Times New Roman"/>
          <w:lang w:val="de-CH"/>
        </w:rPr>
      </w:pPr>
    </w:p>
    <w:p w14:paraId="35B7CEEF" w14:textId="2BC07F6E" w:rsidR="009F5188" w:rsidRPr="00091A98" w:rsidRDefault="00C4508E" w:rsidP="009F5188">
      <w:pPr>
        <w:spacing w:line="360" w:lineRule="auto"/>
        <w:rPr>
          <w:rFonts w:cs="Times New Roman"/>
          <w:lang w:val="de-CH"/>
        </w:rPr>
      </w:pPr>
      <w:r w:rsidRPr="00091A98">
        <w:rPr>
          <w:rFonts w:cs="Times New Roman"/>
          <w:lang w:val="de-CH"/>
        </w:rPr>
        <w:t>Diese</w:t>
      </w:r>
      <w:r w:rsidR="009F5188" w:rsidRPr="00091A98">
        <w:rPr>
          <w:rFonts w:cs="Times New Roman"/>
          <w:lang w:val="de-CH"/>
        </w:rPr>
        <w:t xml:space="preserve"> Logik des Einflusses eines erhöhten Wettbewerbs unter Interessenorganisationen auf deren Lobbyaktivität betrifft in erster Linie Insider Lobbying, wenngleich Becker (1983) klarstellt, dass in seinem Modell auch Öffentlichkeits- und Medienarbeit berücksichtigt werden. Es gibt jedoch Gründe dafür anzunehmen, dass eine verstärkte Konkurrenzsituation zwischen Gruppen auch zu erhöhtem Outsider Lobbying führt. So schreiben etwa Jordan und Richardson (1987), dass wichtige Themen, von denen viele Menschen und folglich eine gro</w:t>
      </w:r>
      <w:r w:rsidR="00326CFE" w:rsidRPr="00091A98">
        <w:rPr>
          <w:rFonts w:cs="Times New Roman"/>
          <w:lang w:val="de-CH"/>
        </w:rPr>
        <w:t>ss</w:t>
      </w:r>
      <w:r w:rsidR="009F5188" w:rsidRPr="00091A98">
        <w:rPr>
          <w:rFonts w:cs="Times New Roman"/>
          <w:lang w:val="de-CH"/>
        </w:rPr>
        <w:t xml:space="preserve">e Zahl an Interessengruppen betroffen sind, nur in Ausnahmefällen ohne eingehende Debatte und ohne breite Partizipation der Öffentlichkeit entschieden werden können. Zudem zeigt Mahoney (2008), dass es in solchen von starkem Wettbewerb gekennzeichneten Situationen von Vorteil für eine Seite sein kann, das Licht der Öffentlichkeit zu suchen, um Unterstützung durch diese zu </w:t>
      </w:r>
      <w:r w:rsidR="009F5188" w:rsidRPr="00091A98">
        <w:rPr>
          <w:rFonts w:cs="Times New Roman"/>
          <w:lang w:val="de-CH"/>
        </w:rPr>
        <w:lastRenderedPageBreak/>
        <w:t xml:space="preserve">bekommen, und dadurch Druck auf die Gegenseite und die Politik aufzubauen. Dies zwingt in der Folge andere Interessengruppen, die die Öffentlichkeit ansonsten eher scheuen, sich öffentlich zu erklären und ihre Positionen zu rechtfertigen. Sowohl Insider als auch Outsider Lobbying sind </w:t>
      </w:r>
      <w:r w:rsidR="0081006D" w:rsidRPr="00091A98">
        <w:rPr>
          <w:rFonts w:cs="Times New Roman"/>
          <w:lang w:val="de-CH"/>
        </w:rPr>
        <w:t>folglich</w:t>
      </w:r>
      <w:r w:rsidR="009F5188" w:rsidRPr="00091A98">
        <w:rPr>
          <w:rFonts w:cs="Times New Roman"/>
          <w:lang w:val="de-CH"/>
        </w:rPr>
        <w:t xml:space="preserve"> vom Wettbewerb unter den Interessengruppen betroffen.</w:t>
      </w:r>
    </w:p>
    <w:p w14:paraId="678A8801" w14:textId="77777777" w:rsidR="009F5188" w:rsidRPr="00091A98" w:rsidRDefault="009F5188" w:rsidP="009F5188">
      <w:pPr>
        <w:spacing w:line="360" w:lineRule="auto"/>
        <w:rPr>
          <w:rFonts w:cs="Times New Roman"/>
          <w:lang w:val="de-CH"/>
        </w:rPr>
      </w:pPr>
    </w:p>
    <w:p w14:paraId="48907EC1" w14:textId="0508284D" w:rsidR="009F5188" w:rsidRPr="00091A98" w:rsidRDefault="00167F32" w:rsidP="009F5188">
      <w:pPr>
        <w:spacing w:line="360" w:lineRule="auto"/>
        <w:rPr>
          <w:rFonts w:cs="Times New Roman"/>
          <w:lang w:val="de-CH"/>
        </w:rPr>
      </w:pPr>
      <w:r w:rsidRPr="00091A98">
        <w:rPr>
          <w:rFonts w:cs="Times New Roman"/>
          <w:lang w:val="de-CH"/>
        </w:rPr>
        <w:t>Wettbewerb als kontextuelle Variable beeinflusst daher</w:t>
      </w:r>
      <w:r w:rsidR="00E92E49" w:rsidRPr="00091A98">
        <w:rPr>
          <w:rFonts w:cs="Times New Roman"/>
          <w:lang w:val="de-CH"/>
        </w:rPr>
        <w:t>,</w:t>
      </w:r>
      <w:r w:rsidR="002E0824" w:rsidRPr="00091A98">
        <w:rPr>
          <w:rFonts w:cs="Times New Roman"/>
          <w:lang w:val="de-CH"/>
        </w:rPr>
        <w:t xml:space="preserve"> </w:t>
      </w:r>
      <w:r w:rsidR="0042765A" w:rsidRPr="00091A98">
        <w:rPr>
          <w:rFonts w:cs="Times New Roman"/>
          <w:lang w:val="de-CH"/>
        </w:rPr>
        <w:t>wie intensiv</w:t>
      </w:r>
      <w:r w:rsidR="007C54EF" w:rsidRPr="00091A98">
        <w:rPr>
          <w:rFonts w:cs="Times New Roman"/>
          <w:lang w:val="de-CH"/>
        </w:rPr>
        <w:t xml:space="preserve"> Interessengruppen</w:t>
      </w:r>
      <w:r w:rsidRPr="00091A98">
        <w:rPr>
          <w:rFonts w:cs="Times New Roman"/>
          <w:lang w:val="de-CH"/>
        </w:rPr>
        <w:t xml:space="preserve"> </w:t>
      </w:r>
      <w:r w:rsidR="007C54EF" w:rsidRPr="00091A98">
        <w:rPr>
          <w:rFonts w:cs="Times New Roman"/>
          <w:lang w:val="de-CH"/>
        </w:rPr>
        <w:t>verschiedene Lobbystrategien nützen</w:t>
      </w:r>
      <w:r w:rsidRPr="00091A98">
        <w:rPr>
          <w:rFonts w:cs="Times New Roman"/>
          <w:lang w:val="de-CH"/>
        </w:rPr>
        <w:t xml:space="preserve">. </w:t>
      </w:r>
      <w:r w:rsidR="009F5188" w:rsidRPr="00091A98">
        <w:rPr>
          <w:rFonts w:cs="Times New Roman"/>
          <w:lang w:val="de-CH"/>
        </w:rPr>
        <w:t>Ist der Wettbewerb gering, müssen</w:t>
      </w:r>
      <w:r w:rsidR="007C54EF" w:rsidRPr="00091A98">
        <w:rPr>
          <w:rFonts w:cs="Times New Roman"/>
          <w:lang w:val="de-CH"/>
        </w:rPr>
        <w:t xml:space="preserve"> </w:t>
      </w:r>
      <w:r w:rsidR="009F5188" w:rsidRPr="00091A98">
        <w:rPr>
          <w:rFonts w:cs="Times New Roman"/>
          <w:lang w:val="de-CH"/>
        </w:rPr>
        <w:t>weniger Zeit, Energie und Ressourcen aufgewendet werden, um die eigenen Ziele zu erreichen, da wenig Gegenwehr zu erwarten ist. Entscheidungsträger werden in solchen Fällen eher einseitig informiert bzw. nehmen Interessen einseitig wahr, was die Wahrscheinlichkeit erhöht, dass diese Interessen bedient werden.</w:t>
      </w:r>
      <w:r w:rsidR="009F5188" w:rsidRPr="00091A98">
        <w:rPr>
          <w:rStyle w:val="Funotenzeichen"/>
          <w:rFonts w:cs="Times New Roman"/>
          <w:lang w:val="de-CH"/>
        </w:rPr>
        <w:footnoteReference w:id="2"/>
      </w:r>
      <w:r w:rsidR="009F5188" w:rsidRPr="00091A98">
        <w:rPr>
          <w:rFonts w:cs="Times New Roman"/>
          <w:lang w:val="de-CH"/>
        </w:rPr>
        <w:t xml:space="preserve"> Sind die Ziele einer Lobbygruppe in einer solchen Situation einigerma</w:t>
      </w:r>
      <w:r w:rsidR="00326CFE" w:rsidRPr="00091A98">
        <w:rPr>
          <w:rFonts w:cs="Times New Roman"/>
          <w:lang w:val="de-CH"/>
        </w:rPr>
        <w:t>ss</w:t>
      </w:r>
      <w:r w:rsidR="009F5188" w:rsidRPr="00091A98">
        <w:rPr>
          <w:rFonts w:cs="Times New Roman"/>
          <w:lang w:val="de-CH"/>
        </w:rPr>
        <w:t xml:space="preserve">en erreicht, kann es sogar sinnvoll sein, die Lobbyaktivität </w:t>
      </w:r>
      <w:r w:rsidR="00656459" w:rsidRPr="00091A98">
        <w:rPr>
          <w:rFonts w:cs="Times New Roman"/>
          <w:lang w:val="de-CH"/>
        </w:rPr>
        <w:t>weiter zu verringern</w:t>
      </w:r>
      <w:r w:rsidR="009F5188" w:rsidRPr="00091A98">
        <w:rPr>
          <w:rFonts w:cs="Times New Roman"/>
          <w:lang w:val="de-CH"/>
        </w:rPr>
        <w:t xml:space="preserve">, um unter dem öffentlichen Radar zu bleiben </w:t>
      </w:r>
      <w:r w:rsidR="00752994" w:rsidRPr="00091A98">
        <w:rPr>
          <w:rFonts w:cs="Times New Roman"/>
          <w:lang w:val="de-CH"/>
        </w:rPr>
        <w:t xml:space="preserve">und </w:t>
      </w:r>
      <w:r w:rsidR="009F5188" w:rsidRPr="00091A98">
        <w:rPr>
          <w:rFonts w:cs="Times New Roman"/>
          <w:lang w:val="de-CH"/>
        </w:rPr>
        <w:t xml:space="preserve">das Aufkommen gegnerischer Interessen nicht zu fördern. Je intensiver der Konkurrenzkampf allerdings wird, umso mehr werden Interessengruppen gezwungen, </w:t>
      </w:r>
      <w:r w:rsidR="00D56EEF" w:rsidRPr="00091A98">
        <w:rPr>
          <w:rFonts w:cs="Times New Roman"/>
          <w:lang w:val="de-CH"/>
        </w:rPr>
        <w:t>den verschiedenen Lobbystrategien erhöhte Bedeutung beizumessen</w:t>
      </w:r>
      <w:r w:rsidR="009F5188" w:rsidRPr="00091A98">
        <w:rPr>
          <w:rFonts w:cs="Times New Roman"/>
          <w:lang w:val="de-CH"/>
        </w:rPr>
        <w:t xml:space="preserve">, um dem Einfluss gegnerischer Gruppen entgegenzuwirken. </w:t>
      </w:r>
    </w:p>
    <w:p w14:paraId="6A5B9DA2" w14:textId="77777777" w:rsidR="009F5188" w:rsidRPr="00091A98" w:rsidRDefault="009F5188" w:rsidP="009F5188">
      <w:pPr>
        <w:spacing w:line="360" w:lineRule="auto"/>
        <w:rPr>
          <w:rFonts w:cs="Times New Roman"/>
          <w:lang w:val="de-CH"/>
        </w:rPr>
      </w:pPr>
    </w:p>
    <w:p w14:paraId="57BB42CA" w14:textId="326FF7B1" w:rsidR="009F5188" w:rsidRPr="00091A98" w:rsidRDefault="009F5188" w:rsidP="009F5188">
      <w:pPr>
        <w:spacing w:line="360" w:lineRule="auto"/>
        <w:rPr>
          <w:rFonts w:cs="Times New Roman"/>
          <w:i/>
          <w:lang w:val="de-CH"/>
        </w:rPr>
      </w:pPr>
      <w:r w:rsidRPr="00091A98">
        <w:rPr>
          <w:rFonts w:cs="Times New Roman"/>
          <w:i/>
          <w:lang w:val="de-CH"/>
        </w:rPr>
        <w:t xml:space="preserve">Hypothese 1: Je intensiver der Konkurrenzkampf zwischen Interessengruppen in einem politischen Themenfeld, desto </w:t>
      </w:r>
      <w:r w:rsidR="00BE22B3" w:rsidRPr="00091A98">
        <w:rPr>
          <w:rFonts w:cs="Times New Roman"/>
          <w:i/>
          <w:lang w:val="de-CH"/>
        </w:rPr>
        <w:t>stärke</w:t>
      </w:r>
      <w:r w:rsidR="009D20E3" w:rsidRPr="00091A98">
        <w:rPr>
          <w:rFonts w:cs="Times New Roman"/>
          <w:i/>
          <w:lang w:val="de-CH"/>
        </w:rPr>
        <w:t>r die Bedeutung die Organisationen</w:t>
      </w:r>
      <w:r w:rsidR="00BE22B3" w:rsidRPr="00091A98">
        <w:rPr>
          <w:rFonts w:cs="Times New Roman"/>
          <w:i/>
          <w:lang w:val="de-CH"/>
        </w:rPr>
        <w:t xml:space="preserve"> sowohl dem</w:t>
      </w:r>
      <w:r w:rsidRPr="00091A98">
        <w:rPr>
          <w:rFonts w:cs="Times New Roman"/>
          <w:i/>
          <w:lang w:val="de-CH"/>
        </w:rPr>
        <w:t xml:space="preserve"> Insider </w:t>
      </w:r>
      <w:r w:rsidR="00BE22B3" w:rsidRPr="00091A98">
        <w:rPr>
          <w:rFonts w:cs="Times New Roman"/>
          <w:i/>
          <w:lang w:val="de-CH"/>
        </w:rPr>
        <w:t xml:space="preserve">als auch </w:t>
      </w:r>
      <w:r w:rsidR="009D20E3" w:rsidRPr="00091A98">
        <w:rPr>
          <w:rFonts w:cs="Times New Roman"/>
          <w:i/>
          <w:lang w:val="de-CH"/>
        </w:rPr>
        <w:t>dem</w:t>
      </w:r>
      <w:r w:rsidRPr="00091A98">
        <w:rPr>
          <w:rFonts w:cs="Times New Roman"/>
          <w:i/>
          <w:lang w:val="de-CH"/>
        </w:rPr>
        <w:t xml:space="preserve"> Outsider Lobbyings </w:t>
      </w:r>
      <w:r w:rsidR="00BE22B3" w:rsidRPr="00091A98">
        <w:rPr>
          <w:rFonts w:cs="Times New Roman"/>
          <w:i/>
          <w:lang w:val="de-CH"/>
        </w:rPr>
        <w:t>beimessen</w:t>
      </w:r>
      <w:r w:rsidRPr="00091A98">
        <w:rPr>
          <w:rFonts w:cs="Times New Roman"/>
          <w:i/>
          <w:lang w:val="de-CH"/>
        </w:rPr>
        <w:t>.</w:t>
      </w:r>
    </w:p>
    <w:p w14:paraId="45FE31A6" w14:textId="77777777" w:rsidR="009F5188" w:rsidRPr="00091A98" w:rsidRDefault="009F5188" w:rsidP="009F5188">
      <w:pPr>
        <w:spacing w:line="360" w:lineRule="auto"/>
        <w:rPr>
          <w:rFonts w:cs="Times New Roman"/>
          <w:lang w:val="de-CH"/>
        </w:rPr>
      </w:pPr>
    </w:p>
    <w:p w14:paraId="43C38738" w14:textId="5B0F53C9" w:rsidR="009F5188" w:rsidRPr="00091A98" w:rsidRDefault="009F5188" w:rsidP="009F5188">
      <w:pPr>
        <w:spacing w:line="360" w:lineRule="auto"/>
        <w:rPr>
          <w:rFonts w:cs="Times New Roman"/>
          <w:lang w:val="de-CH"/>
        </w:rPr>
      </w:pPr>
      <w:r w:rsidRPr="00091A98">
        <w:rPr>
          <w:rFonts w:cs="Times New Roman"/>
          <w:lang w:val="de-CH"/>
        </w:rPr>
        <w:t xml:space="preserve">Es stellt sich </w:t>
      </w:r>
      <w:r w:rsidR="003A1FD0" w:rsidRPr="00091A98">
        <w:rPr>
          <w:rFonts w:cs="Times New Roman"/>
          <w:lang w:val="de-CH"/>
        </w:rPr>
        <w:t xml:space="preserve">darüber hinaus </w:t>
      </w:r>
      <w:r w:rsidRPr="00091A98">
        <w:rPr>
          <w:rFonts w:cs="Times New Roman"/>
          <w:lang w:val="de-CH"/>
        </w:rPr>
        <w:t>die Frage, ob Insider und Outsider Lobbying in gleichem Ma</w:t>
      </w:r>
      <w:r w:rsidR="00326CFE" w:rsidRPr="00091A98">
        <w:rPr>
          <w:rFonts w:cs="Times New Roman"/>
          <w:lang w:val="de-CH"/>
        </w:rPr>
        <w:t>ss</w:t>
      </w:r>
      <w:r w:rsidRPr="00091A98">
        <w:rPr>
          <w:rFonts w:cs="Times New Roman"/>
          <w:lang w:val="de-CH"/>
        </w:rPr>
        <w:t xml:space="preserve">e vom Wettstreit zwischen Interessengruppen betroffen sind, oder ob der erwartete Effekt für eine der beiden Strategien stärker ist. Mit anderen Worten, wenn sowohl Insider als auch Outsider Lobbying verstärkt genutzt werden, wenn die Intensität des Wettbewerbs unter Lobbygruppen zunimmt, wie verändert sich dann das Verhältnis in der Nutzung der beiden Taktiken zueinander? </w:t>
      </w:r>
    </w:p>
    <w:p w14:paraId="3F2747FC" w14:textId="77777777" w:rsidR="009F5188" w:rsidRPr="00091A98" w:rsidRDefault="009F5188" w:rsidP="009F5188">
      <w:pPr>
        <w:spacing w:line="360" w:lineRule="auto"/>
        <w:rPr>
          <w:rFonts w:cs="Times New Roman"/>
          <w:lang w:val="de-CH"/>
        </w:rPr>
      </w:pPr>
    </w:p>
    <w:p w14:paraId="3FF90549" w14:textId="1B023D64" w:rsidR="00F018CA" w:rsidRPr="00091A98" w:rsidRDefault="009F5188" w:rsidP="009F5188">
      <w:pPr>
        <w:spacing w:line="360" w:lineRule="auto"/>
        <w:rPr>
          <w:rFonts w:cs="Times New Roman"/>
          <w:lang w:val="de-CH"/>
        </w:rPr>
      </w:pPr>
      <w:r w:rsidRPr="00091A98">
        <w:rPr>
          <w:rFonts w:cs="Times New Roman"/>
          <w:lang w:val="de-CH"/>
        </w:rPr>
        <w:lastRenderedPageBreak/>
        <w:t>Hierzu finden sich in der Literatur noch weniger Hinweise als zur generellen Auswirkung des Lobbying-Wettbewerbs, weshalb überprüfbare Aussagen nur schwer ableitbar sind. So schreibt etwa Grant (1999), dass Outsider Lobbying in erster Linie von solchen Interessengruppen betrieben wird, die Schwierigkeiten haben, direkten Zugang zu Entscheidungsträgern zu bekommen. Daher sei dieser Weg über die Öffentlichkeit und die Medien auch eine Strategie der Schwäche. Olson (1965) merkt allerdings an, dass die Wahrscheinlichkeit einer Gruppe, sich erstens zu organisieren</w:t>
      </w:r>
      <w:r w:rsidR="00A93868" w:rsidRPr="00091A98">
        <w:rPr>
          <w:rFonts w:cs="Times New Roman"/>
          <w:lang w:val="de-CH"/>
        </w:rPr>
        <w:t>,</w:t>
      </w:r>
      <w:r w:rsidRPr="00091A98">
        <w:rPr>
          <w:rFonts w:cs="Times New Roman"/>
          <w:lang w:val="de-CH"/>
        </w:rPr>
        <w:t xml:space="preserve"> und zweitens zu überleben, mit der Stärke des Wettbewerbs abnimmt. Wenn diese Annahme korrekt ist, sollten in Politikfeldern mit starkem Konkurrenzkampf der Interessenvertreter in erster Linie mächtige Organisationen überleben. Tatsächlich gibt es substantielle Hinweise darauf, dass das Überleben von Organisationen stark vom Wettbewerb </w:t>
      </w:r>
      <w:r w:rsidR="00E72118" w:rsidRPr="00091A98">
        <w:rPr>
          <w:rFonts w:cs="Times New Roman"/>
          <w:lang w:val="de-CH"/>
        </w:rPr>
        <w:t xml:space="preserve">unter Interessengruppen </w:t>
      </w:r>
      <w:r w:rsidRPr="00091A98">
        <w:rPr>
          <w:rFonts w:cs="Times New Roman"/>
          <w:lang w:val="de-CH"/>
        </w:rPr>
        <w:t>abhängt</w:t>
      </w:r>
      <w:r w:rsidR="00E72118" w:rsidRPr="00091A98">
        <w:rPr>
          <w:rFonts w:cs="Times New Roman"/>
          <w:lang w:val="de-CH"/>
        </w:rPr>
        <w:t>, die ein und derselben Interessennische zuzurechnen sind</w:t>
      </w:r>
      <w:r w:rsidR="00AE74CA" w:rsidRPr="00091A98">
        <w:rPr>
          <w:rFonts w:cs="Times New Roman"/>
          <w:lang w:val="de-CH"/>
        </w:rPr>
        <w:t xml:space="preserve"> (Gray und Lowery</w:t>
      </w:r>
      <w:r w:rsidR="005C107E" w:rsidRPr="00091A98">
        <w:rPr>
          <w:rFonts w:cs="Times New Roman"/>
          <w:lang w:val="de-CH"/>
        </w:rPr>
        <w:t xml:space="preserve"> </w:t>
      </w:r>
      <w:r w:rsidR="00E57EA8" w:rsidRPr="00091A98">
        <w:rPr>
          <w:rFonts w:cs="Times New Roman"/>
          <w:lang w:val="de-CH"/>
        </w:rPr>
        <w:t>1995, 1996)</w:t>
      </w:r>
      <w:r w:rsidR="006A367A" w:rsidRPr="00091A98">
        <w:rPr>
          <w:rFonts w:cs="Times New Roman"/>
          <w:lang w:val="de-CH"/>
        </w:rPr>
        <w:t>.</w:t>
      </w:r>
      <w:r w:rsidR="00180199" w:rsidRPr="00091A98">
        <w:rPr>
          <w:rFonts w:cs="Times New Roman"/>
          <w:lang w:val="de-CH"/>
        </w:rPr>
        <w:t xml:space="preserve"> Je intensiver der Wettkampf, umso eher bleiben kleine und schwächere Organisationen auf der Strecke</w:t>
      </w:r>
      <w:r w:rsidR="00354792" w:rsidRPr="00091A98">
        <w:rPr>
          <w:rFonts w:cs="Times New Roman"/>
          <w:lang w:val="de-CH"/>
        </w:rPr>
        <w:t xml:space="preserve">, die der angeführten Theorie der Schwäche zufolge </w:t>
      </w:r>
      <w:r w:rsidR="006331A6" w:rsidRPr="00091A98">
        <w:rPr>
          <w:rFonts w:cs="Times New Roman"/>
          <w:lang w:val="de-CH"/>
        </w:rPr>
        <w:t>eher auf Outsider Lobbying setzen (solange sie überleben)</w:t>
      </w:r>
      <w:r w:rsidR="00180199" w:rsidRPr="00091A98">
        <w:rPr>
          <w:rFonts w:cs="Times New Roman"/>
          <w:lang w:val="de-CH"/>
        </w:rPr>
        <w:t>. Die mächtigen „Überlebenden“</w:t>
      </w:r>
      <w:r w:rsidR="00127531" w:rsidRPr="00091A98">
        <w:rPr>
          <w:rFonts w:cs="Times New Roman"/>
          <w:lang w:val="de-CH"/>
        </w:rPr>
        <w:t xml:space="preserve"> in solchen hochkompetitiven Politikfeldern</w:t>
      </w:r>
      <w:r w:rsidR="0005024F" w:rsidRPr="00091A98">
        <w:rPr>
          <w:rFonts w:cs="Times New Roman"/>
          <w:lang w:val="de-CH"/>
        </w:rPr>
        <w:t xml:space="preserve"> </w:t>
      </w:r>
      <w:r w:rsidR="00CD07C9" w:rsidRPr="00091A98">
        <w:rPr>
          <w:rFonts w:cs="Times New Roman"/>
          <w:lang w:val="de-CH"/>
        </w:rPr>
        <w:t>verfolgen</w:t>
      </w:r>
      <w:r w:rsidR="00AD3709" w:rsidRPr="00091A98">
        <w:rPr>
          <w:rFonts w:cs="Times New Roman"/>
          <w:lang w:val="de-CH"/>
        </w:rPr>
        <w:t xml:space="preserve"> hingegen</w:t>
      </w:r>
      <w:r w:rsidR="00CD07C9" w:rsidRPr="00091A98">
        <w:rPr>
          <w:rFonts w:cs="Times New Roman"/>
          <w:lang w:val="de-CH"/>
        </w:rPr>
        <w:t xml:space="preserve"> in erster Linie </w:t>
      </w:r>
      <w:r w:rsidRPr="00091A98">
        <w:rPr>
          <w:rFonts w:cs="Times New Roman"/>
          <w:lang w:val="de-CH"/>
        </w:rPr>
        <w:t xml:space="preserve">Insider </w:t>
      </w:r>
      <w:r w:rsidR="00CD07C9" w:rsidRPr="00091A98">
        <w:rPr>
          <w:rFonts w:cs="Times New Roman"/>
          <w:lang w:val="de-CH"/>
        </w:rPr>
        <w:t>Strategien</w:t>
      </w:r>
      <w:r w:rsidR="00127531" w:rsidRPr="00091A98">
        <w:rPr>
          <w:rFonts w:cs="Times New Roman"/>
          <w:lang w:val="de-CH"/>
        </w:rPr>
        <w:t xml:space="preserve">. </w:t>
      </w:r>
      <w:r w:rsidRPr="00091A98">
        <w:rPr>
          <w:rFonts w:cs="Times New Roman"/>
          <w:lang w:val="de-CH"/>
        </w:rPr>
        <w:t xml:space="preserve"> </w:t>
      </w:r>
      <w:r w:rsidR="008E24D5" w:rsidRPr="00091A98">
        <w:rPr>
          <w:rFonts w:cs="Times New Roman"/>
          <w:lang w:val="de-CH"/>
        </w:rPr>
        <w:t>In</w:t>
      </w:r>
      <w:r w:rsidRPr="00091A98">
        <w:rPr>
          <w:rFonts w:cs="Times New Roman"/>
          <w:lang w:val="de-CH"/>
        </w:rPr>
        <w:t xml:space="preserve"> von weniger Wettbewerb geprägten Politikfeldern</w:t>
      </w:r>
      <w:r w:rsidR="008E24D5" w:rsidRPr="00091A98">
        <w:rPr>
          <w:rFonts w:cs="Times New Roman"/>
          <w:lang w:val="de-CH"/>
        </w:rPr>
        <w:t xml:space="preserve"> überleben allerdings</w:t>
      </w:r>
      <w:r w:rsidRPr="00091A98">
        <w:rPr>
          <w:rFonts w:cs="Times New Roman"/>
          <w:lang w:val="de-CH"/>
        </w:rPr>
        <w:t xml:space="preserve"> auch schwächere Organisationen, für die Outsider Lobbying relativ gesehen eine grö</w:t>
      </w:r>
      <w:r w:rsidR="00326CFE" w:rsidRPr="00091A98">
        <w:rPr>
          <w:rFonts w:cs="Times New Roman"/>
          <w:lang w:val="de-CH"/>
        </w:rPr>
        <w:t>ss</w:t>
      </w:r>
      <w:r w:rsidRPr="00091A98">
        <w:rPr>
          <w:rFonts w:cs="Times New Roman"/>
          <w:lang w:val="de-CH"/>
        </w:rPr>
        <w:t>ere Rolle spielt.</w:t>
      </w:r>
      <w:r w:rsidR="008E24D5" w:rsidRPr="00091A98">
        <w:rPr>
          <w:rFonts w:cs="Times New Roman"/>
          <w:lang w:val="de-CH"/>
        </w:rPr>
        <w:t xml:space="preserve"> Ein stärkerer Wettbewerb </w:t>
      </w:r>
      <w:r w:rsidR="00384D79" w:rsidRPr="00091A98">
        <w:rPr>
          <w:rFonts w:cs="Times New Roman"/>
          <w:lang w:val="de-CH"/>
        </w:rPr>
        <w:t>geht demzufolge mit einer intensiveren Nutzung von Insider Strategien relativ zu Outsider Taktiken einher</w:t>
      </w:r>
      <w:r w:rsidR="00063620" w:rsidRPr="00091A98">
        <w:rPr>
          <w:rFonts w:cs="Times New Roman"/>
          <w:lang w:val="de-CH"/>
        </w:rPr>
        <w:t>, da die</w:t>
      </w:r>
      <w:r w:rsidR="008B7E37" w:rsidRPr="00091A98">
        <w:rPr>
          <w:rFonts w:cs="Times New Roman"/>
          <w:lang w:val="de-CH"/>
        </w:rPr>
        <w:t xml:space="preserve"> (weniger mächtigen)</w:t>
      </w:r>
      <w:r w:rsidR="00063620" w:rsidRPr="00091A98">
        <w:rPr>
          <w:rFonts w:cs="Times New Roman"/>
          <w:lang w:val="de-CH"/>
        </w:rPr>
        <w:t xml:space="preserve"> Organisationen, die vermehrt Outsider Taktiken einsetzen, mit der Zeit</w:t>
      </w:r>
      <w:r w:rsidR="008B7E37" w:rsidRPr="00091A98">
        <w:rPr>
          <w:rFonts w:cs="Times New Roman"/>
          <w:lang w:val="de-CH"/>
        </w:rPr>
        <w:t xml:space="preserve"> eher</w:t>
      </w:r>
      <w:r w:rsidR="00063620" w:rsidRPr="00091A98">
        <w:rPr>
          <w:rFonts w:cs="Times New Roman"/>
          <w:lang w:val="de-CH"/>
        </w:rPr>
        <w:t xml:space="preserve"> </w:t>
      </w:r>
      <w:r w:rsidR="008B7E37" w:rsidRPr="00091A98">
        <w:rPr>
          <w:rFonts w:cs="Times New Roman"/>
          <w:lang w:val="de-CH"/>
        </w:rPr>
        <w:t>verschwinden</w:t>
      </w:r>
      <w:r w:rsidR="00384D79" w:rsidRPr="00091A98">
        <w:rPr>
          <w:rFonts w:cs="Times New Roman"/>
          <w:lang w:val="de-CH"/>
        </w:rPr>
        <w:t>.</w:t>
      </w:r>
      <w:r w:rsidRPr="00091A98">
        <w:rPr>
          <w:rFonts w:cs="Times New Roman"/>
          <w:lang w:val="de-CH"/>
        </w:rPr>
        <w:t xml:space="preserve"> </w:t>
      </w:r>
      <w:r w:rsidR="008C595A" w:rsidRPr="00091A98">
        <w:rPr>
          <w:rFonts w:cs="Times New Roman"/>
          <w:lang w:val="de-CH"/>
        </w:rPr>
        <w:t>Auch aus diesem Argument geht hervor</w:t>
      </w:r>
      <w:r w:rsidR="002B5C48" w:rsidRPr="00091A98">
        <w:rPr>
          <w:rFonts w:cs="Times New Roman"/>
          <w:lang w:val="de-CH"/>
        </w:rPr>
        <w:t xml:space="preserve">, dass die Wahl der Lobbystrategie nicht </w:t>
      </w:r>
      <w:r w:rsidR="009561E6" w:rsidRPr="00091A98">
        <w:rPr>
          <w:rFonts w:cs="Times New Roman"/>
          <w:lang w:val="de-CH"/>
        </w:rPr>
        <w:t>(</w:t>
      </w:r>
      <w:r w:rsidR="002B5C48" w:rsidRPr="00091A98">
        <w:rPr>
          <w:rFonts w:cs="Times New Roman"/>
          <w:lang w:val="de-CH"/>
        </w:rPr>
        <w:t>nur</w:t>
      </w:r>
      <w:r w:rsidR="009561E6" w:rsidRPr="00091A98">
        <w:rPr>
          <w:rFonts w:cs="Times New Roman"/>
          <w:lang w:val="de-CH"/>
        </w:rPr>
        <w:t>)</w:t>
      </w:r>
      <w:r w:rsidR="002B5C48" w:rsidRPr="00091A98">
        <w:rPr>
          <w:rFonts w:cs="Times New Roman"/>
          <w:lang w:val="de-CH"/>
        </w:rPr>
        <w:t xml:space="preserve"> eine</w:t>
      </w:r>
      <w:r w:rsidR="009561E6" w:rsidRPr="00091A98">
        <w:rPr>
          <w:rFonts w:cs="Times New Roman"/>
          <w:lang w:val="de-CH"/>
        </w:rPr>
        <w:t>m rationalen Entscheidungs</w:t>
      </w:r>
      <w:r w:rsidR="008C595A" w:rsidRPr="00091A98">
        <w:rPr>
          <w:rFonts w:cs="Times New Roman"/>
          <w:lang w:val="de-CH"/>
        </w:rPr>
        <w:t xml:space="preserve">prozess folgt, sondern </w:t>
      </w:r>
      <w:r w:rsidR="00E15406" w:rsidRPr="00091A98">
        <w:rPr>
          <w:rFonts w:cs="Times New Roman"/>
          <w:lang w:val="de-CH"/>
        </w:rPr>
        <w:t xml:space="preserve">abhängig von kontextuellen Faktoren ist, </w:t>
      </w:r>
      <w:r w:rsidR="00571EC9" w:rsidRPr="00091A98">
        <w:rPr>
          <w:rFonts w:cs="Times New Roman"/>
          <w:lang w:val="de-CH"/>
        </w:rPr>
        <w:t>darunter</w:t>
      </w:r>
      <w:r w:rsidR="00966329" w:rsidRPr="00091A98">
        <w:rPr>
          <w:rFonts w:cs="Times New Roman"/>
          <w:lang w:val="de-CH"/>
        </w:rPr>
        <w:t xml:space="preserve"> </w:t>
      </w:r>
      <w:r w:rsidR="009857C8" w:rsidRPr="00091A98">
        <w:rPr>
          <w:rFonts w:cs="Times New Roman"/>
          <w:lang w:val="de-CH"/>
        </w:rPr>
        <w:t>der</w:t>
      </w:r>
      <w:r w:rsidR="00966329" w:rsidRPr="00091A98">
        <w:rPr>
          <w:rFonts w:cs="Times New Roman"/>
          <w:lang w:val="de-CH"/>
        </w:rPr>
        <w:t xml:space="preserve"> Intensität des Wettbewerbs</w:t>
      </w:r>
      <w:r w:rsidR="00E15406" w:rsidRPr="00091A98">
        <w:rPr>
          <w:rFonts w:cs="Times New Roman"/>
          <w:lang w:val="de-CH"/>
        </w:rPr>
        <w:t>.</w:t>
      </w:r>
    </w:p>
    <w:p w14:paraId="0D5F1787" w14:textId="77777777" w:rsidR="009F5188" w:rsidRPr="00091A98" w:rsidRDefault="009F5188" w:rsidP="009F5188">
      <w:pPr>
        <w:spacing w:line="360" w:lineRule="auto"/>
        <w:rPr>
          <w:rFonts w:cs="Times New Roman"/>
          <w:lang w:val="de-CH"/>
        </w:rPr>
      </w:pPr>
    </w:p>
    <w:p w14:paraId="14165E47" w14:textId="77777777" w:rsidR="009F5188" w:rsidRPr="00091A98" w:rsidRDefault="009F5188" w:rsidP="009F5188">
      <w:pPr>
        <w:spacing w:line="360" w:lineRule="auto"/>
        <w:rPr>
          <w:rFonts w:cs="Times New Roman"/>
          <w:i/>
          <w:lang w:val="de-CH"/>
        </w:rPr>
      </w:pPr>
      <w:r w:rsidRPr="00091A98">
        <w:rPr>
          <w:rFonts w:cs="Times New Roman"/>
          <w:i/>
          <w:lang w:val="de-CH"/>
        </w:rPr>
        <w:t xml:space="preserve">Hypothese 2: Je intensiver der Konkurrenzkampf zwischen Interessengruppen in einem politischen Themenfeld, desto stärker der Einsatz von Insider Strategien relativ zu Outsider Strategien. </w:t>
      </w:r>
      <w:r w:rsidRPr="00091A98">
        <w:rPr>
          <w:rFonts w:cs="Times New Roman"/>
          <w:i/>
          <w:lang w:val="de-CH"/>
        </w:rPr>
        <w:tab/>
      </w:r>
    </w:p>
    <w:p w14:paraId="392B812A" w14:textId="77777777" w:rsidR="009F5188" w:rsidRPr="00091A98" w:rsidRDefault="009F5188" w:rsidP="009F5188">
      <w:pPr>
        <w:spacing w:line="360" w:lineRule="auto"/>
        <w:rPr>
          <w:rFonts w:cs="Times New Roman"/>
          <w:lang w:val="de-CH"/>
        </w:rPr>
      </w:pPr>
    </w:p>
    <w:p w14:paraId="0A8D3BF5" w14:textId="77777777" w:rsidR="00DA7F2D" w:rsidRPr="00091A98" w:rsidRDefault="00DA7F2D" w:rsidP="009F5188">
      <w:pPr>
        <w:spacing w:line="360" w:lineRule="auto"/>
        <w:rPr>
          <w:rFonts w:cs="Times New Roman"/>
          <w:lang w:val="de-CH"/>
        </w:rPr>
      </w:pPr>
    </w:p>
    <w:p w14:paraId="15127C79" w14:textId="77777777" w:rsidR="00C179DD" w:rsidRPr="00091A98" w:rsidRDefault="00C179DD" w:rsidP="009F5188">
      <w:pPr>
        <w:spacing w:line="360" w:lineRule="auto"/>
        <w:rPr>
          <w:rFonts w:cs="Times New Roman"/>
          <w:lang w:val="de-CH"/>
        </w:rPr>
      </w:pPr>
    </w:p>
    <w:p w14:paraId="013DE0EA" w14:textId="77777777" w:rsidR="00C179DD" w:rsidRPr="00091A98" w:rsidRDefault="00C179DD" w:rsidP="009F5188">
      <w:pPr>
        <w:spacing w:line="360" w:lineRule="auto"/>
        <w:rPr>
          <w:rFonts w:cs="Times New Roman"/>
          <w:lang w:val="de-CH"/>
        </w:rPr>
      </w:pPr>
    </w:p>
    <w:p w14:paraId="0A3E5B5E" w14:textId="5B7CA848" w:rsidR="009F5188" w:rsidRPr="00091A98" w:rsidRDefault="009F5188" w:rsidP="009F5188">
      <w:pPr>
        <w:spacing w:line="360" w:lineRule="auto"/>
        <w:rPr>
          <w:rFonts w:cs="Times New Roman"/>
          <w:b/>
          <w:lang w:val="de-CH"/>
        </w:rPr>
      </w:pPr>
      <w:r w:rsidRPr="00091A98">
        <w:rPr>
          <w:rFonts w:cs="Times New Roman"/>
          <w:b/>
          <w:lang w:val="de-CH"/>
        </w:rPr>
        <w:lastRenderedPageBreak/>
        <w:t>3. Forschungsdesign</w:t>
      </w:r>
    </w:p>
    <w:p w14:paraId="1543E07F" w14:textId="77777777" w:rsidR="009F5188" w:rsidRPr="00091A98" w:rsidRDefault="009F5188" w:rsidP="009F5188">
      <w:pPr>
        <w:spacing w:line="360" w:lineRule="auto"/>
        <w:rPr>
          <w:rFonts w:cs="Times New Roman"/>
          <w:lang w:val="de-CH"/>
        </w:rPr>
      </w:pPr>
    </w:p>
    <w:p w14:paraId="68081637" w14:textId="78844B33" w:rsidR="009F5188" w:rsidRPr="00091A98" w:rsidRDefault="009F5188" w:rsidP="009F5188">
      <w:pPr>
        <w:spacing w:line="360" w:lineRule="auto"/>
        <w:rPr>
          <w:rFonts w:cs="Times New Roman"/>
          <w:lang w:val="de-CH"/>
        </w:rPr>
      </w:pPr>
      <w:r w:rsidRPr="00091A98">
        <w:rPr>
          <w:rFonts w:cs="Times New Roman"/>
          <w:lang w:val="de-CH"/>
        </w:rPr>
        <w:t xml:space="preserve">In diesem Abschnitt wird dargelegt, wie die Daten zur Überprüfung der angeführten Hypothesen erhoben wurden. Zuerst wird die Messung der abhängigen Variablen, also die </w:t>
      </w:r>
      <w:r w:rsidR="007E5CA9" w:rsidRPr="00091A98">
        <w:rPr>
          <w:rFonts w:cs="Times New Roman"/>
          <w:lang w:val="de-CH"/>
        </w:rPr>
        <w:t>Bedeutung</w:t>
      </w:r>
      <w:r w:rsidRPr="00091A98">
        <w:rPr>
          <w:rFonts w:cs="Times New Roman"/>
          <w:lang w:val="de-CH"/>
        </w:rPr>
        <w:t xml:space="preserve"> von Insider und Outsider Lobbying</w:t>
      </w:r>
      <w:r w:rsidR="007E5CA9" w:rsidRPr="00091A98">
        <w:rPr>
          <w:rFonts w:cs="Times New Roman"/>
          <w:lang w:val="de-CH"/>
        </w:rPr>
        <w:t xml:space="preserve"> für Interessengruppen</w:t>
      </w:r>
      <w:r w:rsidRPr="00091A98">
        <w:rPr>
          <w:rFonts w:cs="Times New Roman"/>
          <w:lang w:val="de-CH"/>
        </w:rPr>
        <w:t>, diskutiert, gefolgt von einer Erläuterung der unabhängigen Variablen, insbesondere der Intensität des Wettstreits unter Lobbyorganisationen.</w:t>
      </w:r>
    </w:p>
    <w:p w14:paraId="19493105" w14:textId="77777777" w:rsidR="009F5188" w:rsidRPr="00091A98" w:rsidRDefault="009F5188" w:rsidP="009F5188">
      <w:pPr>
        <w:spacing w:line="360" w:lineRule="auto"/>
        <w:rPr>
          <w:rFonts w:cs="Times New Roman"/>
          <w:lang w:val="de-CH"/>
        </w:rPr>
      </w:pPr>
    </w:p>
    <w:p w14:paraId="7AEB9E73" w14:textId="5C40A432" w:rsidR="00C735F7" w:rsidRPr="00091A98" w:rsidRDefault="009F5188" w:rsidP="00105FFA">
      <w:pPr>
        <w:spacing w:line="360" w:lineRule="auto"/>
        <w:rPr>
          <w:rFonts w:cs="Times New Roman"/>
          <w:lang w:val="de-CH"/>
        </w:rPr>
      </w:pPr>
      <w:r w:rsidRPr="00091A98">
        <w:rPr>
          <w:rFonts w:cs="Times New Roman"/>
          <w:lang w:val="de-CH"/>
        </w:rPr>
        <w:t>Um Daten zum Lobbyverhalten zu erhalten, wurde eine Online-Umfrage unter allen in der Schweiz und in Deutschland registrierten Lobbygruppen durchgeführt. In einem ersten Schritt wurde eine Liste von Interessengruppen zusammengestellt, wie von Wonka et al. (2010) empfohlen, wobei zu diesem Zweck die existierenden Datenbanken in den beiden Ländern systematisch sondiert wurden.</w:t>
      </w:r>
      <w:r w:rsidR="00027C0D" w:rsidRPr="00091A98">
        <w:rPr>
          <w:rStyle w:val="Funotenzeichen"/>
          <w:rFonts w:cs="Times New Roman"/>
          <w:lang w:val="de-CH"/>
        </w:rPr>
        <w:footnoteReference w:id="3"/>
      </w:r>
      <w:r w:rsidRPr="00091A98">
        <w:rPr>
          <w:rFonts w:cs="Times New Roman"/>
          <w:lang w:val="de-CH"/>
        </w:rPr>
        <w:t xml:space="preserve"> Die verschiedenen Datenbanken wurden dann zusammengefügt und doppelte Einträge wurden entfernt, wobei in diesem Prozess auch das Feld der politischen Tätigkeit, der Standort des Hauptsitzes der Organisation, sowie die Internet- und E-Mail-Adresse in den Datensatz aufgenommen wurden. Basierend auf dieser E-Mail-Adresse wurden dann Einladungen zur Teilnahme an der Online-Befragung versandt, die im Frühjahr 2011 in den beiden Ländern startete. Jede Organisation erhielt in regelmä</w:t>
      </w:r>
      <w:r w:rsidR="00326CFE" w:rsidRPr="00091A98">
        <w:rPr>
          <w:rFonts w:cs="Times New Roman"/>
          <w:lang w:val="de-CH"/>
        </w:rPr>
        <w:t>ss</w:t>
      </w:r>
      <w:r w:rsidRPr="00091A98">
        <w:rPr>
          <w:rFonts w:cs="Times New Roman"/>
          <w:lang w:val="de-CH"/>
        </w:rPr>
        <w:t>igen Abständen jeweils zwei Erinnerungen zur Teilnahme an der Befragung. Am Ende der Umfrage lag die Antwortquote in Deutschland bei 23 Prozent (1</w:t>
      </w:r>
      <w:r w:rsidR="00C6276A">
        <w:rPr>
          <w:rFonts w:cs="Times New Roman"/>
          <w:lang w:val="de-CH"/>
        </w:rPr>
        <w:t>’</w:t>
      </w:r>
      <w:r w:rsidRPr="00091A98">
        <w:rPr>
          <w:rFonts w:cs="Times New Roman"/>
          <w:lang w:val="de-CH"/>
        </w:rPr>
        <w:t>246 von 5</w:t>
      </w:r>
      <w:r w:rsidR="00C6276A">
        <w:rPr>
          <w:rFonts w:cs="Times New Roman"/>
          <w:lang w:val="de-CH"/>
        </w:rPr>
        <w:t>’</w:t>
      </w:r>
      <w:r w:rsidRPr="00091A98">
        <w:rPr>
          <w:rFonts w:cs="Times New Roman"/>
          <w:lang w:val="de-CH"/>
        </w:rPr>
        <w:t>422 Organisationen), während in der Schweiz 40 Prozent an der Umfrage teilgenommen hatten (985 von 2</w:t>
      </w:r>
      <w:r w:rsidR="00C6276A">
        <w:rPr>
          <w:rFonts w:cs="Times New Roman"/>
          <w:lang w:val="de-CH"/>
        </w:rPr>
        <w:t>’</w:t>
      </w:r>
      <w:r w:rsidRPr="00091A98">
        <w:rPr>
          <w:rFonts w:cs="Times New Roman"/>
          <w:lang w:val="de-CH"/>
        </w:rPr>
        <w:t>475 Organisationen).</w:t>
      </w:r>
      <w:r w:rsidR="00027C0D" w:rsidRPr="00091A98">
        <w:rPr>
          <w:lang w:val="de-CH"/>
        </w:rPr>
        <w:t xml:space="preserve"> Die globale Antwortquote beträgt folglich 28,3 Prozent und liegt damit im Rahmen ähnlicher Studien wie zum Beispiel von Dür und Mateo (2013) oder Binderkrantz und </w:t>
      </w:r>
      <w:r w:rsidR="00027C0D" w:rsidRPr="00091A98">
        <w:rPr>
          <w:noProof/>
          <w:lang w:val="de-CH"/>
        </w:rPr>
        <w:t>Krøyer</w:t>
      </w:r>
      <w:r w:rsidR="00027C0D" w:rsidRPr="00091A98">
        <w:rPr>
          <w:lang w:val="de-CH"/>
        </w:rPr>
        <w:t xml:space="preserve"> </w:t>
      </w:r>
      <w:r w:rsidR="00027C0D" w:rsidRPr="00091A98">
        <w:rPr>
          <w:lang w:val="de-CH"/>
        </w:rPr>
        <w:fldChar w:fldCharType="begin"/>
      </w:r>
      <w:r w:rsidR="00027C0D" w:rsidRPr="00091A98">
        <w:rPr>
          <w:lang w:val="de-CH"/>
        </w:rPr>
        <w:instrText xml:space="preserve"> ADDIN EN.CITE &lt;EndNote&gt;&lt;Cite ExcludeAuth="1"&gt;&lt;Author&gt;Binderkrantz&lt;/Author&gt;&lt;Year&gt;2012&lt;/Year&gt;&lt;RecNum&gt;414&lt;/RecNum&gt;&lt;DisplayText&gt;(2012)&lt;/DisplayText&gt;&lt;record&gt;&lt;rec-number&gt;414&lt;/rec-number&gt;&lt;foreign-keys&gt;&lt;key app="EN" db-id="asx2wap2hptpv9eztp7vr5vlz0xv0fxdd9dw" timestamp="1399983991"&gt;414&lt;/key&gt;&lt;/foreign-keys&gt;&lt;ref-type name="Journal Article"&gt;17&lt;/ref-type&gt;&lt;contributors&gt;&lt;authors&gt;&lt;author&gt;Binderkrantz, Anne Skorkj\aer&lt;/author&gt;&lt;author&gt;Krøyer, Simon&lt;/author&gt;&lt;/authors&gt;&lt;/contributors&gt;&lt;titles&gt;&lt;title&gt;Customizing strategy: Policy goals and interest group strategies&lt;/title&gt;&lt;secondary-title&gt;Interest Groups &amp;amp; Advocacy&lt;/secondary-title&gt;&lt;/titles&gt;&lt;periodical&gt;&lt;full-title&gt;Interest Groups &amp;amp; Advocacy&lt;/full-title&gt;&lt;/periodical&gt;&lt;pages&gt;115-138&lt;/pages&gt;&lt;volume&gt;1&lt;/volume&gt;&lt;number&gt;1&lt;/number&gt;&lt;dates&gt;&lt;year&gt;2012&lt;/year&gt;&lt;/dates&gt;&lt;publisher&gt;Nature Publishing Group&lt;/publisher&gt;&lt;label&gt;binderkrantz2012customizing&lt;/label&gt;&lt;urls&gt;&lt;/urls&gt;&lt;/record&gt;&lt;/Cite&gt;&lt;/EndNote&gt;</w:instrText>
      </w:r>
      <w:r w:rsidR="00027C0D" w:rsidRPr="00091A98">
        <w:rPr>
          <w:lang w:val="de-CH"/>
        </w:rPr>
        <w:fldChar w:fldCharType="separate"/>
      </w:r>
      <w:r w:rsidR="00027C0D" w:rsidRPr="00091A98">
        <w:rPr>
          <w:noProof/>
          <w:lang w:val="de-CH"/>
        </w:rPr>
        <w:t>(2012)</w:t>
      </w:r>
      <w:r w:rsidR="00027C0D" w:rsidRPr="00091A98">
        <w:rPr>
          <w:lang w:val="de-CH"/>
        </w:rPr>
        <w:fldChar w:fldCharType="end"/>
      </w:r>
      <w:r w:rsidR="00027C0D" w:rsidRPr="00091A98">
        <w:rPr>
          <w:lang w:val="de-CH"/>
        </w:rPr>
        <w:t>.</w:t>
      </w:r>
      <w:r w:rsidRPr="00091A98">
        <w:rPr>
          <w:rFonts w:cs="Times New Roman"/>
          <w:lang w:val="de-CH"/>
        </w:rPr>
        <w:t xml:space="preserve"> </w:t>
      </w:r>
      <w:r w:rsidR="001565DD" w:rsidRPr="00091A98">
        <w:rPr>
          <w:rFonts w:cs="Times New Roman"/>
          <w:lang w:val="de-CH"/>
        </w:rPr>
        <w:t>Allerdings hat ein erheblicher Teil der Umfrage-Teilnehmer zumindest eine der für diese Studie relevanten Fragen nicht beantwortet. Dies gilt insbesondere für die Frage zum Budget der Organisationen, die von 870 Teilnehmern nicht beantwortet wurde. Daher bleiben für im schlussendlich für die Studie verwendeten Datensatz 58</w:t>
      </w:r>
      <w:r w:rsidR="002F1D7E" w:rsidRPr="00091A98">
        <w:rPr>
          <w:rFonts w:cs="Times New Roman"/>
          <w:lang w:val="de-CH"/>
        </w:rPr>
        <w:t>5</w:t>
      </w:r>
      <w:r w:rsidR="001565DD" w:rsidRPr="00091A98">
        <w:rPr>
          <w:rFonts w:cs="Times New Roman"/>
          <w:lang w:val="de-CH"/>
        </w:rPr>
        <w:t xml:space="preserve"> Schweizer und  5</w:t>
      </w:r>
      <w:r w:rsidR="002F1D7E" w:rsidRPr="00091A98">
        <w:rPr>
          <w:rFonts w:cs="Times New Roman"/>
          <w:lang w:val="de-CH"/>
        </w:rPr>
        <w:t>43</w:t>
      </w:r>
      <w:r w:rsidR="001565DD" w:rsidRPr="00091A98">
        <w:rPr>
          <w:rFonts w:cs="Times New Roman"/>
          <w:lang w:val="de-CH"/>
        </w:rPr>
        <w:t xml:space="preserve"> Deutsche Interessengruppen übrig. </w:t>
      </w:r>
      <w:r w:rsidR="00105FFA" w:rsidRPr="00091A98">
        <w:rPr>
          <w:rFonts w:cs="Times New Roman"/>
          <w:lang w:val="de-CH"/>
        </w:rPr>
        <w:t>Alle verwendeten Daten, mit Ausnahme der Variable ‚Gruppentyp‘, sind Teil des so gewonnen Datensatzes.</w:t>
      </w:r>
      <w:r w:rsidR="00A56328" w:rsidRPr="00091A98">
        <w:rPr>
          <w:rFonts w:cs="Times New Roman"/>
          <w:lang w:val="de-CH"/>
        </w:rPr>
        <w:t xml:space="preserve"> Appendix </w:t>
      </w:r>
      <w:r w:rsidR="00A56328" w:rsidRPr="00091A98">
        <w:rPr>
          <w:rFonts w:cs="Times New Roman"/>
          <w:lang w:val="de-CH"/>
        </w:rPr>
        <w:lastRenderedPageBreak/>
        <w:t>1</w:t>
      </w:r>
      <w:r w:rsidR="00105FFA" w:rsidRPr="00091A98">
        <w:rPr>
          <w:rFonts w:cs="Times New Roman"/>
          <w:lang w:val="de-CH"/>
        </w:rPr>
        <w:t xml:space="preserve"> listet die Fragen der Online-Befragung auf, die den in dieser Studie verwen</w:t>
      </w:r>
      <w:r w:rsidR="00F7459D" w:rsidRPr="00091A98">
        <w:rPr>
          <w:rFonts w:cs="Times New Roman"/>
          <w:lang w:val="de-CH"/>
        </w:rPr>
        <w:t xml:space="preserve">deten Variablen zugrunde liegen; </w:t>
      </w:r>
      <w:r w:rsidR="00A56328" w:rsidRPr="00091A98">
        <w:rPr>
          <w:rFonts w:cs="Times New Roman"/>
          <w:lang w:val="de-CH"/>
        </w:rPr>
        <w:t>Appendix 2</w:t>
      </w:r>
      <w:r w:rsidR="00F7459D" w:rsidRPr="00091A98">
        <w:rPr>
          <w:rFonts w:cs="Times New Roman"/>
          <w:lang w:val="de-CH"/>
        </w:rPr>
        <w:t xml:space="preserve"> geht der Frage nach, ob </w:t>
      </w:r>
      <w:r w:rsidR="00661C32" w:rsidRPr="00091A98">
        <w:rPr>
          <w:rFonts w:cs="Times New Roman"/>
          <w:lang w:val="de-CH"/>
        </w:rPr>
        <w:t>dieses</w:t>
      </w:r>
      <w:r w:rsidR="00C6276A">
        <w:rPr>
          <w:rFonts w:cs="Times New Roman"/>
          <w:lang w:val="de-CH"/>
        </w:rPr>
        <w:t xml:space="preserve"> Sample der 1’</w:t>
      </w:r>
      <w:r w:rsidR="00F7459D" w:rsidRPr="00091A98">
        <w:rPr>
          <w:rFonts w:cs="Times New Roman"/>
          <w:lang w:val="de-CH"/>
        </w:rPr>
        <w:t>128</w:t>
      </w:r>
      <w:r w:rsidR="00AB4DF5" w:rsidRPr="00091A98">
        <w:rPr>
          <w:rFonts w:cs="Times New Roman"/>
          <w:lang w:val="de-CH"/>
        </w:rPr>
        <w:t xml:space="preserve"> verwendeten Interessengruppen repräsentativ für die Interessengruppenpopulation in der Schweiz und Deutschland ist.</w:t>
      </w:r>
      <w:r w:rsidR="00F7459D" w:rsidRPr="00091A98">
        <w:rPr>
          <w:rFonts w:cs="Times New Roman"/>
          <w:lang w:val="de-CH"/>
        </w:rPr>
        <w:t xml:space="preserve"> </w:t>
      </w:r>
    </w:p>
    <w:p w14:paraId="7E8C62C0" w14:textId="77777777" w:rsidR="00C42501" w:rsidRPr="00091A98" w:rsidRDefault="00C42501" w:rsidP="00105FFA">
      <w:pPr>
        <w:spacing w:line="360" w:lineRule="auto"/>
        <w:rPr>
          <w:rFonts w:cs="Times New Roman"/>
          <w:lang w:val="de-CH"/>
        </w:rPr>
      </w:pPr>
    </w:p>
    <w:p w14:paraId="4704C1A3" w14:textId="6BC2D3C9" w:rsidR="00C42501" w:rsidRPr="00091A98" w:rsidRDefault="00C42501" w:rsidP="00105FFA">
      <w:pPr>
        <w:spacing w:line="360" w:lineRule="auto"/>
        <w:rPr>
          <w:rFonts w:cs="Times New Roman"/>
          <w:lang w:val="de-CH"/>
        </w:rPr>
      </w:pPr>
      <w:r w:rsidRPr="00091A98">
        <w:rPr>
          <w:rFonts w:cs="Times New Roman"/>
          <w:lang w:val="de-CH"/>
        </w:rPr>
        <w:t>Hinsichtlich der Fallauswahl ist anzumerken, dass die beiden ausgewählten Länder sich in vielerlei Hinsicht ähnlich sind. Beide haben korporative Strukturen, Interessengruppen werden also direkt in staatliche Entscheidungsprozesse mit einbezogen. Darüber hinaus sind beide Länder föderalistisch organisiert und sind vergleichsweise konservativ. Auch ökonomisch betrachtet sind sich die beiden Länder ähnlich, mit eine</w:t>
      </w:r>
      <w:r w:rsidR="00F426DD" w:rsidRPr="00091A98">
        <w:rPr>
          <w:rFonts w:cs="Times New Roman"/>
          <w:lang w:val="de-CH"/>
        </w:rPr>
        <w:t>m</w:t>
      </w:r>
      <w:r w:rsidRPr="00091A98">
        <w:rPr>
          <w:rFonts w:cs="Times New Roman"/>
          <w:lang w:val="de-CH"/>
        </w:rPr>
        <w:t xml:space="preserve"> starken, exportorientierten Mittelstand, der gro</w:t>
      </w:r>
      <w:r w:rsidR="00326CFE" w:rsidRPr="00091A98">
        <w:rPr>
          <w:rFonts w:cs="Times New Roman"/>
          <w:lang w:val="de-CH"/>
        </w:rPr>
        <w:t>ss</w:t>
      </w:r>
      <w:r w:rsidRPr="00091A98">
        <w:rPr>
          <w:rFonts w:cs="Times New Roman"/>
          <w:lang w:val="de-CH"/>
        </w:rPr>
        <w:t>en Einfluss auf die Entwicklung der Länder hat und damit auch aus Sicht der Interessengruppenforschung sehr relevant ist. Darüber hinaus sind die beiden Länder historische und kulturell eng miteinander verwoben. Folglich kommt in diese Arbeit das Most-Similar Systems Design zur Anwendung. Die</w:t>
      </w:r>
      <w:r w:rsidR="00B44BA7" w:rsidRPr="00091A98">
        <w:rPr>
          <w:rFonts w:cs="Times New Roman"/>
          <w:lang w:val="de-CH"/>
        </w:rPr>
        <w:t>s</w:t>
      </w:r>
      <w:r w:rsidRPr="00091A98">
        <w:rPr>
          <w:rFonts w:cs="Times New Roman"/>
          <w:lang w:val="de-CH"/>
        </w:rPr>
        <w:t xml:space="preserve"> schränkt die Generalisierbarkeit der Ergebnisse in den weiter unten dargestellten Modelle ein, da diese nur auf Länder mit ähnlichen politischen Systemen übertragen werden können.</w:t>
      </w:r>
    </w:p>
    <w:p w14:paraId="3B8879CF" w14:textId="77777777" w:rsidR="00747948" w:rsidRPr="00091A98" w:rsidRDefault="00747948" w:rsidP="009F5188">
      <w:pPr>
        <w:spacing w:line="360" w:lineRule="auto"/>
        <w:rPr>
          <w:rFonts w:cs="Times New Roman"/>
          <w:lang w:val="de-CH"/>
        </w:rPr>
      </w:pPr>
    </w:p>
    <w:p w14:paraId="79D3D50D" w14:textId="78378B0D" w:rsidR="00C519AE" w:rsidRPr="00091A98" w:rsidRDefault="00B44BA7" w:rsidP="009F5188">
      <w:pPr>
        <w:spacing w:line="360" w:lineRule="auto"/>
        <w:rPr>
          <w:rFonts w:cs="Times New Roman"/>
          <w:lang w:val="de-CH"/>
        </w:rPr>
      </w:pPr>
      <w:r w:rsidRPr="00091A98">
        <w:rPr>
          <w:rFonts w:cs="Times New Roman"/>
          <w:lang w:val="de-CH"/>
        </w:rPr>
        <w:t>Schlie</w:t>
      </w:r>
      <w:r w:rsidR="00326CFE" w:rsidRPr="00091A98">
        <w:rPr>
          <w:rFonts w:cs="Times New Roman"/>
          <w:lang w:val="de-CH"/>
        </w:rPr>
        <w:t>ss</w:t>
      </w:r>
      <w:r w:rsidR="002F6BE6" w:rsidRPr="00091A98">
        <w:rPr>
          <w:rFonts w:cs="Times New Roman"/>
          <w:lang w:val="de-CH"/>
        </w:rPr>
        <w:t>lich müssen an dieser Stelle noch kurz</w:t>
      </w:r>
      <w:r w:rsidR="00433F0F" w:rsidRPr="00091A98">
        <w:rPr>
          <w:rFonts w:cs="Times New Roman"/>
          <w:lang w:val="de-CH"/>
        </w:rPr>
        <w:t xml:space="preserve"> die</w:t>
      </w:r>
      <w:r w:rsidR="002F6BE6" w:rsidRPr="00091A98">
        <w:rPr>
          <w:rFonts w:cs="Times New Roman"/>
          <w:lang w:val="de-CH"/>
        </w:rPr>
        <w:t xml:space="preserve"> notwendigen Kontrollvariablen angesprochen werden.</w:t>
      </w:r>
      <w:r w:rsidRPr="00091A98">
        <w:rPr>
          <w:rFonts w:cs="Times New Roman"/>
          <w:lang w:val="de-CH"/>
        </w:rPr>
        <w:t xml:space="preserve"> </w:t>
      </w:r>
      <w:r w:rsidR="00747948" w:rsidRPr="00091A98">
        <w:rPr>
          <w:rFonts w:cs="Times New Roman"/>
          <w:lang w:val="de-CH"/>
        </w:rPr>
        <w:t>Olsons</w:t>
      </w:r>
      <w:r w:rsidR="00325E1F" w:rsidRPr="00091A98">
        <w:rPr>
          <w:rFonts w:cs="Times New Roman"/>
          <w:lang w:val="de-CH"/>
        </w:rPr>
        <w:t xml:space="preserve"> (1965) </w:t>
      </w:r>
      <w:r w:rsidR="00661C32" w:rsidRPr="00091A98">
        <w:rPr>
          <w:rFonts w:cs="Times New Roman"/>
          <w:lang w:val="de-CH"/>
        </w:rPr>
        <w:t xml:space="preserve">oben </w:t>
      </w:r>
      <w:r w:rsidR="00325E1F" w:rsidRPr="00091A98">
        <w:rPr>
          <w:rFonts w:cs="Times New Roman"/>
          <w:lang w:val="de-CH"/>
        </w:rPr>
        <w:t>genannter</w:t>
      </w:r>
      <w:r w:rsidR="00747948" w:rsidRPr="00091A98">
        <w:rPr>
          <w:rFonts w:cs="Times New Roman"/>
          <w:lang w:val="de-CH"/>
        </w:rPr>
        <w:t xml:space="preserve"> Theorie</w:t>
      </w:r>
      <w:r w:rsidR="00325E1F" w:rsidRPr="00091A98">
        <w:rPr>
          <w:rFonts w:cs="Times New Roman"/>
          <w:lang w:val="de-CH"/>
        </w:rPr>
        <w:t xml:space="preserve"> zufolge setzen schwächere Organisationen </w:t>
      </w:r>
      <w:r w:rsidR="00EE2D4A" w:rsidRPr="00091A98">
        <w:rPr>
          <w:rFonts w:cs="Times New Roman"/>
          <w:lang w:val="de-CH"/>
        </w:rPr>
        <w:t xml:space="preserve">im Wetteifer um ihr Überleben </w:t>
      </w:r>
      <w:r w:rsidR="00325E1F" w:rsidRPr="00091A98">
        <w:rPr>
          <w:rFonts w:cs="Times New Roman"/>
          <w:lang w:val="de-CH"/>
        </w:rPr>
        <w:t>eher auf Outsider Lobbying.</w:t>
      </w:r>
      <w:r w:rsidR="00747948" w:rsidRPr="00091A98">
        <w:rPr>
          <w:rFonts w:cs="Times New Roman"/>
          <w:lang w:val="de-CH"/>
        </w:rPr>
        <w:t xml:space="preserve"> Doch woran lässt sich Schwäche von Organisationen festmachen? Einerseits wird in der Literatur vorgeschlagen, Schwäche direkt durch den Ressourcenreichtum von Organisationen zu messen (Dür und Mateo 2013; Grant 1999). Darüber hinaus weist Thrall (2006) darauf hin, dass auch die Art (Individuen oder Organisationen) und Anzahl der Mitglieder Stärk bzw. Schwäche einer Organisation anzeigen können und Einfluss auf das Lobbyverhalten haben. Eine hohe Mitgliederzahl stärkt eine Interessengruppe und erleichtert ihr den Zugang zu Entscheidungsträgern, speziell, wenn es sich bei diesen Mitgliedern um andere Organisationen handelt (siehe Weiler und Brändli 2015).  </w:t>
      </w:r>
      <w:r w:rsidR="001C5A10" w:rsidRPr="00091A98">
        <w:rPr>
          <w:rFonts w:cs="Times New Roman"/>
          <w:lang w:val="de-CH"/>
        </w:rPr>
        <w:t>Eine weitere Möglichkeit für Organisationen</w:t>
      </w:r>
      <w:r w:rsidR="00723027" w:rsidRPr="00091A98">
        <w:rPr>
          <w:rFonts w:cs="Times New Roman"/>
          <w:lang w:val="de-CH"/>
        </w:rPr>
        <w:t>,</w:t>
      </w:r>
      <w:r w:rsidR="001C5A10" w:rsidRPr="00091A98">
        <w:rPr>
          <w:rFonts w:cs="Times New Roman"/>
          <w:lang w:val="de-CH"/>
        </w:rPr>
        <w:t xml:space="preserve"> an Stärke und damit ein Einfluss zu gewinnen, ist </w:t>
      </w:r>
      <w:r w:rsidR="00A95FBA" w:rsidRPr="00091A98">
        <w:rPr>
          <w:rFonts w:cs="Times New Roman"/>
          <w:lang w:val="de-CH"/>
        </w:rPr>
        <w:t xml:space="preserve">die Bildung von Lobbykoalitionen </w:t>
      </w:r>
      <w:r w:rsidR="00046172" w:rsidRPr="00091A98">
        <w:rPr>
          <w:rFonts w:cs="Times New Roman"/>
          <w:lang w:val="de-CH"/>
        </w:rPr>
        <w:t>(Holyoke 2009).</w:t>
      </w:r>
      <w:r w:rsidR="001C5A10" w:rsidRPr="00091A98">
        <w:rPr>
          <w:rFonts w:cs="Times New Roman"/>
          <w:lang w:val="de-CH"/>
        </w:rPr>
        <w:t xml:space="preserve"> </w:t>
      </w:r>
      <w:r w:rsidR="00747948" w:rsidRPr="00091A98">
        <w:rPr>
          <w:rFonts w:cs="Times New Roman"/>
          <w:lang w:val="de-CH"/>
        </w:rPr>
        <w:t xml:space="preserve">Darüber hinaus ist das Lobbyverhalten einerseits stark vom Themenfeld abhängig, auf dem eine Interessengruppe tätig ist (Klüver 2011; Mahoney 2007; Baumgartner und Leech 2001), </w:t>
      </w:r>
      <w:r w:rsidR="00747948" w:rsidRPr="00091A98">
        <w:rPr>
          <w:rFonts w:cs="Times New Roman"/>
          <w:lang w:val="de-CH"/>
        </w:rPr>
        <w:lastRenderedPageBreak/>
        <w:t>andererseits spielt der Gruppentyp eine entscheidende Rolle für die Wahl der Strategien von Organisationen, also ob es sich etwa um gemeinnützige Vereine, oder um Berufsverbände handelt (Weiler und Brändli 2015; Dür und Mateo,2013; Klüver 2011). Es ist daher notwendig, diese Faktoren als Kontrollvariablen in die empirische Analyse aufzunehmen.</w:t>
      </w:r>
    </w:p>
    <w:p w14:paraId="2E4DD152" w14:textId="77777777" w:rsidR="00FF149B" w:rsidRPr="00091A98" w:rsidRDefault="00FF149B" w:rsidP="009F5188">
      <w:pPr>
        <w:spacing w:line="360" w:lineRule="auto"/>
        <w:rPr>
          <w:rFonts w:cs="Times New Roman"/>
          <w:lang w:val="de-CH"/>
        </w:rPr>
      </w:pPr>
    </w:p>
    <w:p w14:paraId="6EF2724E" w14:textId="2D2C5845" w:rsidR="009F5188" w:rsidRPr="00091A98" w:rsidRDefault="00027C0D" w:rsidP="003B0D5D">
      <w:pPr>
        <w:tabs>
          <w:tab w:val="left" w:pos="6161"/>
        </w:tabs>
        <w:spacing w:line="360" w:lineRule="auto"/>
        <w:rPr>
          <w:rFonts w:cs="Times New Roman"/>
          <w:lang w:val="de-CH"/>
        </w:rPr>
      </w:pPr>
      <w:r w:rsidRPr="00091A98">
        <w:rPr>
          <w:rFonts w:cs="Times New Roman"/>
          <w:lang w:val="de-CH"/>
        </w:rPr>
        <w:tab/>
      </w:r>
    </w:p>
    <w:p w14:paraId="66180016" w14:textId="77777777" w:rsidR="009F5188" w:rsidRPr="00091A98" w:rsidRDefault="009F5188" w:rsidP="009F5188">
      <w:pPr>
        <w:spacing w:line="360" w:lineRule="auto"/>
        <w:rPr>
          <w:rFonts w:cs="Times New Roman"/>
          <w:lang w:val="de-CH"/>
        </w:rPr>
      </w:pPr>
      <w:r w:rsidRPr="00091A98">
        <w:rPr>
          <w:rFonts w:cs="Times New Roman"/>
          <w:lang w:val="de-CH"/>
        </w:rPr>
        <w:t>3.1 Insider und Outsider Lobbying</w:t>
      </w:r>
    </w:p>
    <w:p w14:paraId="41C83F9B" w14:textId="77777777" w:rsidR="009F5188" w:rsidRPr="00091A98" w:rsidRDefault="009F5188" w:rsidP="009F5188">
      <w:pPr>
        <w:spacing w:line="360" w:lineRule="auto"/>
        <w:rPr>
          <w:rFonts w:cs="Times New Roman"/>
          <w:lang w:val="de-CH"/>
        </w:rPr>
      </w:pPr>
    </w:p>
    <w:p w14:paraId="3A3D0190" w14:textId="0FB5BF95" w:rsidR="009F5188" w:rsidRPr="00091A98" w:rsidRDefault="009F5188" w:rsidP="009F5188">
      <w:pPr>
        <w:spacing w:line="360" w:lineRule="auto"/>
        <w:rPr>
          <w:rFonts w:cs="Times New Roman"/>
          <w:lang w:val="de-CH"/>
        </w:rPr>
      </w:pPr>
      <w:r w:rsidRPr="00091A98">
        <w:rPr>
          <w:rFonts w:cs="Times New Roman"/>
          <w:lang w:val="de-CH"/>
        </w:rPr>
        <w:t>Als ein wichtiger Bestandteil der Umfrage wurden die Lobb</w:t>
      </w:r>
      <w:r w:rsidR="00D56BBE" w:rsidRPr="00091A98">
        <w:rPr>
          <w:rFonts w:cs="Times New Roman"/>
          <w:lang w:val="de-CH"/>
        </w:rPr>
        <w:t>y</w:t>
      </w:r>
      <w:r w:rsidRPr="00091A98">
        <w:rPr>
          <w:rFonts w:cs="Times New Roman"/>
          <w:lang w:val="de-CH"/>
        </w:rPr>
        <w:t xml:space="preserve">strategien der Schweizer und Deutschen Interessengruppen abgefragt, wobei die </w:t>
      </w:r>
      <w:r w:rsidR="00797B6F" w:rsidRPr="00091A98">
        <w:rPr>
          <w:rFonts w:cs="Times New Roman"/>
          <w:lang w:val="de-CH"/>
        </w:rPr>
        <w:t>Teilnehmer</w:t>
      </w:r>
      <w:r w:rsidRPr="00091A98">
        <w:rPr>
          <w:rFonts w:cs="Times New Roman"/>
          <w:lang w:val="de-CH"/>
        </w:rPr>
        <w:t xml:space="preserve"> die Wichtigkeit unterschiedlicher Zielgruppen für die eigene Lobby- und Kommunikationstätigkeiten einschätzen mussten. Abgefragt wurde dabei die Rolle folgender sieben Zielgruppen: Regierung/Verwaltung, politische Parteien, Medien, Bürger/Öffentlichkeit, eigene Mitglieder, andere Interessengruppen,</w:t>
      </w:r>
      <w:r w:rsidR="002844E1" w:rsidRPr="00091A98">
        <w:rPr>
          <w:rFonts w:cs="Times New Roman"/>
          <w:lang w:val="de-CH"/>
        </w:rPr>
        <w:t xml:space="preserve"> sowie</w:t>
      </w:r>
      <w:r w:rsidRPr="00091A98">
        <w:rPr>
          <w:rFonts w:cs="Times New Roman"/>
          <w:lang w:val="de-CH"/>
        </w:rPr>
        <w:t xml:space="preserve"> wissenschaftliche Organisationen. Jeder dieser Zielgruppen des Lobbyings konnten dabei Werte von 1 (Unwichtig) bis 5 (Äu</w:t>
      </w:r>
      <w:r w:rsidR="001F6774" w:rsidRPr="00091A98">
        <w:rPr>
          <w:rFonts w:cs="Times New Roman"/>
          <w:lang w:val="de-CH"/>
        </w:rPr>
        <w:t>ss</w:t>
      </w:r>
      <w:r w:rsidRPr="00091A98">
        <w:rPr>
          <w:rFonts w:cs="Times New Roman"/>
          <w:lang w:val="de-CH"/>
        </w:rPr>
        <w:t xml:space="preserve">erst wichtig) zugeordnet werden. </w:t>
      </w:r>
      <w:r w:rsidR="0045436E" w:rsidRPr="00091A98">
        <w:rPr>
          <w:rFonts w:cs="Times New Roman"/>
          <w:lang w:val="de-CH"/>
        </w:rPr>
        <w:t>Diese Grundvariablen messen also direkt die Bedeutung verschiedener Lobbying-Zie</w:t>
      </w:r>
      <w:r w:rsidR="00E444A6" w:rsidRPr="00091A98">
        <w:rPr>
          <w:rFonts w:cs="Times New Roman"/>
          <w:lang w:val="de-CH"/>
        </w:rPr>
        <w:t xml:space="preserve">lgruppen für Interessengruppen, </w:t>
      </w:r>
      <w:r w:rsidR="0045436E" w:rsidRPr="00091A98">
        <w:rPr>
          <w:rFonts w:cs="Times New Roman"/>
          <w:lang w:val="de-CH"/>
        </w:rPr>
        <w:t xml:space="preserve">was </w:t>
      </w:r>
      <w:r w:rsidR="00BC36C3" w:rsidRPr="00091A98">
        <w:rPr>
          <w:rFonts w:cs="Times New Roman"/>
          <w:lang w:val="de-CH"/>
        </w:rPr>
        <w:t>im Wesentlichen</w:t>
      </w:r>
      <w:r w:rsidR="00E444A6" w:rsidRPr="00091A98">
        <w:rPr>
          <w:rFonts w:cs="Times New Roman"/>
          <w:lang w:val="de-CH"/>
        </w:rPr>
        <w:t xml:space="preserve"> der abhängigen Variable der ersten Hypothese entspricht.</w:t>
      </w:r>
    </w:p>
    <w:p w14:paraId="5171CC80" w14:textId="77777777" w:rsidR="009F5188" w:rsidRPr="00091A98" w:rsidRDefault="009F5188" w:rsidP="009F5188">
      <w:pPr>
        <w:spacing w:line="360" w:lineRule="auto"/>
        <w:rPr>
          <w:rFonts w:cs="Times New Roman"/>
          <w:lang w:val="de-CH"/>
        </w:rPr>
      </w:pPr>
    </w:p>
    <w:p w14:paraId="15BF2684" w14:textId="7BAA949E" w:rsidR="009F5188" w:rsidRPr="00091A98" w:rsidRDefault="009F5188" w:rsidP="009F5188">
      <w:pPr>
        <w:spacing w:line="360" w:lineRule="auto"/>
        <w:rPr>
          <w:rFonts w:cs="Times New Roman"/>
          <w:lang w:val="de-CH"/>
        </w:rPr>
      </w:pPr>
      <w:r w:rsidRPr="00091A98">
        <w:rPr>
          <w:rFonts w:cs="Times New Roman"/>
          <w:lang w:val="de-CH"/>
        </w:rPr>
        <w:t xml:space="preserve">Eine Faktorenanalyse macht </w:t>
      </w:r>
      <w:r w:rsidR="00A46491" w:rsidRPr="00091A98">
        <w:rPr>
          <w:rFonts w:cs="Times New Roman"/>
          <w:lang w:val="de-CH"/>
        </w:rPr>
        <w:t>deutlich</w:t>
      </w:r>
      <w:r w:rsidRPr="00091A98">
        <w:rPr>
          <w:rFonts w:cs="Times New Roman"/>
          <w:lang w:val="de-CH"/>
        </w:rPr>
        <w:t xml:space="preserve">, dass </w:t>
      </w:r>
      <w:r w:rsidR="00A46491" w:rsidRPr="00091A98">
        <w:rPr>
          <w:rFonts w:cs="Times New Roman"/>
          <w:lang w:val="de-CH"/>
        </w:rPr>
        <w:t xml:space="preserve">den </w:t>
      </w:r>
      <w:r w:rsidRPr="00091A98">
        <w:rPr>
          <w:rFonts w:cs="Times New Roman"/>
          <w:lang w:val="de-CH"/>
        </w:rPr>
        <w:t>sieben Grundvariablen eine geringere Anzahl an</w:t>
      </w:r>
      <w:r w:rsidR="00A37364" w:rsidRPr="00091A98">
        <w:rPr>
          <w:rFonts w:cs="Times New Roman"/>
          <w:lang w:val="de-CH"/>
        </w:rPr>
        <w:t xml:space="preserve"> Dimensionen zugrunde liegen.</w:t>
      </w:r>
      <w:r w:rsidRPr="00091A98">
        <w:rPr>
          <w:rFonts w:cs="Times New Roman"/>
          <w:lang w:val="de-CH"/>
        </w:rPr>
        <w:t xml:space="preserve"> </w:t>
      </w:r>
      <w:r w:rsidR="00A37364" w:rsidRPr="00091A98">
        <w:rPr>
          <w:rFonts w:cs="Times New Roman"/>
          <w:lang w:val="de-CH"/>
        </w:rPr>
        <w:t>Das</w:t>
      </w:r>
      <w:r w:rsidRPr="00091A98">
        <w:rPr>
          <w:rFonts w:cs="Times New Roman"/>
          <w:lang w:val="de-CH"/>
        </w:rPr>
        <w:t xml:space="preserve"> Kriterium nach Kaiser und der Scree-Test </w:t>
      </w:r>
      <w:r w:rsidR="00A37364" w:rsidRPr="00091A98">
        <w:rPr>
          <w:rFonts w:cs="Times New Roman"/>
          <w:lang w:val="de-CH"/>
        </w:rPr>
        <w:t>deuten darauf hin</w:t>
      </w:r>
      <w:r w:rsidRPr="00091A98">
        <w:rPr>
          <w:rFonts w:cs="Times New Roman"/>
          <w:lang w:val="de-CH"/>
        </w:rPr>
        <w:t>, dass drei Faktoren aus den Daten gewonnen werden können.</w:t>
      </w:r>
      <w:r w:rsidRPr="00091A98">
        <w:rPr>
          <w:rStyle w:val="Funotenzeichen"/>
          <w:rFonts w:cs="Times New Roman"/>
          <w:lang w:val="de-CH"/>
        </w:rPr>
        <w:footnoteReference w:id="4"/>
      </w:r>
      <w:r w:rsidRPr="00091A98">
        <w:rPr>
          <w:rFonts w:cs="Times New Roman"/>
          <w:lang w:val="de-CH"/>
        </w:rPr>
        <w:t xml:space="preserve"> Die Faktorenanalyse ist in Tabelle 1 dargestellt. Politische Parteien und die Regierung/Verwaltung laden sehr stark auf den ersten Faktor (Insider Lobbying), während die beiden Variablen Medien und Bürger insbesondere für den zweiten Faktor (Outsider Lobbying) von Bedeutung sind. Es gibt also eine klare, theoriegeleitete </w:t>
      </w:r>
      <w:r w:rsidRPr="00091A98">
        <w:rPr>
          <w:rFonts w:cs="Times New Roman"/>
          <w:lang w:val="de-CH"/>
        </w:rPr>
        <w:lastRenderedPageBreak/>
        <w:t>Unterscheidung zwischen diesen beiden Arten des Lobbying</w:t>
      </w:r>
      <w:r w:rsidR="00802ECF" w:rsidRPr="00091A98">
        <w:rPr>
          <w:rFonts w:cs="Times New Roman"/>
          <w:lang w:val="de-CH"/>
        </w:rPr>
        <w:t>s</w:t>
      </w:r>
      <w:r w:rsidRPr="00091A98">
        <w:rPr>
          <w:rFonts w:cs="Times New Roman"/>
          <w:lang w:val="de-CH"/>
        </w:rPr>
        <w:t>, die sich in d</w:t>
      </w:r>
      <w:r w:rsidR="00B609F1" w:rsidRPr="00091A98">
        <w:rPr>
          <w:rFonts w:cs="Times New Roman"/>
          <w:lang w:val="de-CH"/>
        </w:rPr>
        <w:t>en erhobenen Daten widerspiegeln</w:t>
      </w:r>
      <w:r w:rsidRPr="00091A98">
        <w:rPr>
          <w:rFonts w:cs="Times New Roman"/>
          <w:lang w:val="de-CH"/>
        </w:rPr>
        <w:t xml:space="preserve"> und empirisch untermauern </w:t>
      </w:r>
      <w:r w:rsidR="00B609F1" w:rsidRPr="00091A98">
        <w:rPr>
          <w:rFonts w:cs="Times New Roman"/>
          <w:lang w:val="de-CH"/>
        </w:rPr>
        <w:t>lassen</w:t>
      </w:r>
      <w:r w:rsidRPr="00091A98">
        <w:rPr>
          <w:rFonts w:cs="Times New Roman"/>
          <w:lang w:val="de-CH"/>
        </w:rPr>
        <w:t>. Bei der Beurteilung der Wichtigkeit der einzelnen Zielgruppen durch die Interessengruppen spielt diese Unterscheidung eine deutliche Rolle. Der dritte</w:t>
      </w:r>
      <w:r w:rsidR="00B270E4" w:rsidRPr="00091A98">
        <w:rPr>
          <w:rFonts w:cs="Times New Roman"/>
          <w:lang w:val="de-CH"/>
        </w:rPr>
        <w:t xml:space="preserve"> Faktor </w:t>
      </w:r>
      <w:r w:rsidRPr="00091A98">
        <w:rPr>
          <w:rFonts w:cs="Times New Roman"/>
          <w:lang w:val="de-CH"/>
        </w:rPr>
        <w:t>betrifft im Gegensatz zu den ersten beiden</w:t>
      </w:r>
      <w:r w:rsidR="00B609F1" w:rsidRPr="00091A98">
        <w:rPr>
          <w:rFonts w:cs="Times New Roman"/>
          <w:lang w:val="de-CH"/>
        </w:rPr>
        <w:t xml:space="preserve"> Faktoren keine direkte Lobby</w:t>
      </w:r>
      <w:r w:rsidRPr="00091A98">
        <w:rPr>
          <w:rFonts w:cs="Times New Roman"/>
          <w:lang w:val="de-CH"/>
        </w:rPr>
        <w:t xml:space="preserve">strategie, sondern besteht aus </w:t>
      </w:r>
      <w:r w:rsidR="006973AC" w:rsidRPr="00091A98">
        <w:rPr>
          <w:rFonts w:cs="Times New Roman"/>
          <w:lang w:val="de-CH"/>
        </w:rPr>
        <w:t>Variablen</w:t>
      </w:r>
      <w:r w:rsidR="00DE41FB" w:rsidRPr="00091A98">
        <w:rPr>
          <w:rFonts w:cs="Times New Roman"/>
          <w:lang w:val="de-CH"/>
        </w:rPr>
        <w:t>,</w:t>
      </w:r>
      <w:r w:rsidR="006973AC" w:rsidRPr="00091A98">
        <w:rPr>
          <w:rFonts w:cs="Times New Roman"/>
          <w:lang w:val="de-CH"/>
        </w:rPr>
        <w:t xml:space="preserve"> die </w:t>
      </w:r>
      <w:r w:rsidR="00B270E4" w:rsidRPr="00091A98">
        <w:rPr>
          <w:rFonts w:cs="Times New Roman"/>
          <w:lang w:val="de-CH"/>
        </w:rPr>
        <w:t>Kommunikation</w:t>
      </w:r>
      <w:r w:rsidR="006973AC" w:rsidRPr="00091A98">
        <w:rPr>
          <w:rFonts w:cs="Times New Roman"/>
          <w:lang w:val="de-CH"/>
        </w:rPr>
        <w:t xml:space="preserve"> erfassen</w:t>
      </w:r>
      <w:r w:rsidR="00B270E4" w:rsidRPr="00091A98">
        <w:rPr>
          <w:rFonts w:cs="Times New Roman"/>
          <w:lang w:val="de-CH"/>
        </w:rPr>
        <w:t xml:space="preserve">, insbesondere mit anderen Organisationen, aber auch den eigenen Mitglieder. </w:t>
      </w:r>
      <w:r w:rsidR="00CC1BEC" w:rsidRPr="00091A98">
        <w:rPr>
          <w:rFonts w:cs="Times New Roman"/>
          <w:lang w:val="de-CH"/>
        </w:rPr>
        <w:t xml:space="preserve">Dieser dritte Faktor kann daher als Netzwerk- und Koalitionsbildung interpretiert werden und wird in der Folge </w:t>
      </w:r>
      <w:r w:rsidR="008F7FA1" w:rsidRPr="00091A98">
        <w:rPr>
          <w:rFonts w:cs="Times New Roman"/>
          <w:lang w:val="de-CH"/>
        </w:rPr>
        <w:t>auch in dieser Hinsicht verwendet, um in den statistischen Modellen für ebendiese Koalitionsbildung zu kontrollieren.</w:t>
      </w:r>
      <w:r w:rsidR="00CC1BEC" w:rsidRPr="00091A98">
        <w:rPr>
          <w:rFonts w:cs="Times New Roman"/>
          <w:lang w:val="de-CH"/>
        </w:rPr>
        <w:t xml:space="preserve"> </w:t>
      </w:r>
    </w:p>
    <w:p w14:paraId="61354B86" w14:textId="77777777" w:rsidR="009F5188" w:rsidRPr="00091A98" w:rsidRDefault="009F5188" w:rsidP="009F5188">
      <w:pPr>
        <w:spacing w:line="360" w:lineRule="auto"/>
        <w:rPr>
          <w:rFonts w:cs="Times New Roman"/>
          <w:lang w:val="de-CH"/>
        </w:rPr>
      </w:pPr>
    </w:p>
    <w:p w14:paraId="549F4F03" w14:textId="7535B633" w:rsidR="009F5188" w:rsidRPr="00091A98" w:rsidRDefault="00AD4DA7" w:rsidP="009F5188">
      <w:pPr>
        <w:spacing w:line="360" w:lineRule="auto"/>
        <w:jc w:val="center"/>
        <w:rPr>
          <w:rFonts w:ascii="Cambria" w:hAnsi="Cambria"/>
          <w:lang w:val="de-CH"/>
        </w:rPr>
      </w:pPr>
      <w:r w:rsidRPr="00091A98">
        <w:rPr>
          <w:rFonts w:ascii="Cambria" w:hAnsi="Cambria"/>
          <w:lang w:val="de-CH"/>
        </w:rPr>
        <w:t xml:space="preserve">*** </w:t>
      </w:r>
      <w:r w:rsidR="009F5188" w:rsidRPr="00091A98">
        <w:rPr>
          <w:rFonts w:ascii="Cambria" w:hAnsi="Cambria"/>
          <w:lang w:val="de-CH"/>
        </w:rPr>
        <w:t>TABELLE 1 HIER EINFÜGEN</w:t>
      </w:r>
      <w:r w:rsidRPr="00091A98">
        <w:rPr>
          <w:rFonts w:ascii="Cambria" w:hAnsi="Cambria"/>
          <w:lang w:val="de-CH"/>
        </w:rPr>
        <w:t xml:space="preserve"> ***</w:t>
      </w:r>
    </w:p>
    <w:p w14:paraId="7EA6FF2D" w14:textId="77777777" w:rsidR="009F5188" w:rsidRPr="00091A98" w:rsidRDefault="009F5188" w:rsidP="009F5188">
      <w:pPr>
        <w:spacing w:line="360" w:lineRule="auto"/>
        <w:rPr>
          <w:rFonts w:cs="Times New Roman"/>
          <w:lang w:val="de-CH"/>
        </w:rPr>
      </w:pPr>
    </w:p>
    <w:p w14:paraId="6798606D" w14:textId="153C2D62" w:rsidR="009F5188" w:rsidRPr="00091A98" w:rsidRDefault="009F5188" w:rsidP="009F5188">
      <w:pPr>
        <w:spacing w:line="360" w:lineRule="auto"/>
        <w:rPr>
          <w:rFonts w:cs="Times New Roman"/>
          <w:lang w:val="de-CH"/>
        </w:rPr>
      </w:pPr>
      <w:r w:rsidRPr="00091A98">
        <w:rPr>
          <w:rFonts w:cs="Times New Roman"/>
          <w:lang w:val="de-CH"/>
        </w:rPr>
        <w:t>Aus der Faktorenanalyse ergibt sich ein klares Bild, wodurch die Grundannahme dieser Studie</w:t>
      </w:r>
      <w:r w:rsidR="00B61CF1" w:rsidRPr="00091A98">
        <w:rPr>
          <w:rFonts w:cs="Times New Roman"/>
          <w:lang w:val="de-CH"/>
        </w:rPr>
        <w:t xml:space="preserve"> gestützt wird</w:t>
      </w:r>
      <w:r w:rsidRPr="00091A98">
        <w:rPr>
          <w:rFonts w:cs="Times New Roman"/>
          <w:lang w:val="de-CH"/>
        </w:rPr>
        <w:t>, dass es sich bei Insider und Outsider Lobbying um unterschiedliche Strategien des Lobbyings handelt, die zu unterschiedl</w:t>
      </w:r>
      <w:r w:rsidR="00B61CF1" w:rsidRPr="00091A98">
        <w:rPr>
          <w:rFonts w:cs="Times New Roman"/>
          <w:lang w:val="de-CH"/>
        </w:rPr>
        <w:t>ichen Zwecken eingesetzt werden</w:t>
      </w:r>
      <w:r w:rsidRPr="00091A98">
        <w:rPr>
          <w:rFonts w:cs="Times New Roman"/>
          <w:lang w:val="de-CH"/>
        </w:rPr>
        <w:t>. Die vier zentralen abhängigen Variablen, die in der Folge für die Untersuchung der ersten Hypothese herangezogen werden, sind daher die Bedeutung</w:t>
      </w:r>
      <w:r w:rsidR="00942FB7" w:rsidRPr="00091A98">
        <w:rPr>
          <w:rFonts w:cs="Times New Roman"/>
          <w:lang w:val="de-CH"/>
        </w:rPr>
        <w:t xml:space="preserve"> der</w:t>
      </w:r>
      <w:r w:rsidRPr="00091A98">
        <w:rPr>
          <w:rFonts w:cs="Times New Roman"/>
          <w:lang w:val="de-CH"/>
        </w:rPr>
        <w:t xml:space="preserve"> Regierung sowie </w:t>
      </w:r>
      <w:r w:rsidR="00942FB7" w:rsidRPr="00091A98">
        <w:rPr>
          <w:rFonts w:cs="Times New Roman"/>
          <w:lang w:val="de-CH"/>
        </w:rPr>
        <w:t xml:space="preserve">der </w:t>
      </w:r>
      <w:r w:rsidRPr="00091A98">
        <w:rPr>
          <w:rFonts w:cs="Times New Roman"/>
          <w:lang w:val="de-CH"/>
        </w:rPr>
        <w:t>politische</w:t>
      </w:r>
      <w:r w:rsidR="00942FB7" w:rsidRPr="00091A98">
        <w:rPr>
          <w:rFonts w:cs="Times New Roman"/>
          <w:lang w:val="de-CH"/>
        </w:rPr>
        <w:t>n</w:t>
      </w:r>
      <w:r w:rsidRPr="00091A98">
        <w:rPr>
          <w:rFonts w:cs="Times New Roman"/>
          <w:lang w:val="de-CH"/>
        </w:rPr>
        <w:t xml:space="preserve"> Parteien als direkte Ansprechpartner </w:t>
      </w:r>
      <w:r w:rsidR="00942FB7" w:rsidRPr="00091A98">
        <w:rPr>
          <w:rFonts w:cs="Times New Roman"/>
          <w:lang w:val="de-CH"/>
        </w:rPr>
        <w:t xml:space="preserve">des Lobbyings einerseits </w:t>
      </w:r>
      <w:r w:rsidRPr="00091A98">
        <w:rPr>
          <w:rFonts w:cs="Times New Roman"/>
          <w:lang w:val="de-CH"/>
        </w:rPr>
        <w:t xml:space="preserve">(Insider Lobbying), </w:t>
      </w:r>
      <w:r w:rsidR="00942FB7" w:rsidRPr="00091A98">
        <w:rPr>
          <w:rFonts w:cs="Times New Roman"/>
          <w:lang w:val="de-CH"/>
        </w:rPr>
        <w:t xml:space="preserve">und </w:t>
      </w:r>
      <w:r w:rsidRPr="00091A98">
        <w:rPr>
          <w:rFonts w:cs="Times New Roman"/>
          <w:lang w:val="de-CH"/>
        </w:rPr>
        <w:t>die Wichtigkeit von Medien sowie der Bürger um indirekt Druck auszuüben</w:t>
      </w:r>
      <w:r w:rsidR="00942FB7" w:rsidRPr="00091A98">
        <w:rPr>
          <w:rFonts w:cs="Times New Roman"/>
          <w:lang w:val="de-CH"/>
        </w:rPr>
        <w:t xml:space="preserve"> andererseits</w:t>
      </w:r>
      <w:r w:rsidRPr="00091A98">
        <w:rPr>
          <w:rFonts w:cs="Times New Roman"/>
          <w:lang w:val="de-CH"/>
        </w:rPr>
        <w:t xml:space="preserve"> (Outsider Lobbying). In Abbildung 1 werden diese vier abhängigen Variablen graphisch als Balkendiagramme dargestellt, wobei der niedrigste Wert (1) einen Ansprechpartner als unwichtig kennzeichnet, während der höchste Wert (5) für die höchste Wichtigkeit eines Zielobjekts für die Lobbygruppe steht. Dabei zeigt sich, dass der Regierung bzw. der Verwaltung von den in dieser Studie analysierten Interessengruppen in Deutschland und der Schweiz die höchste Bedeutung </w:t>
      </w:r>
      <w:r w:rsidR="00942FB7" w:rsidRPr="00091A98">
        <w:rPr>
          <w:rFonts w:cs="Times New Roman"/>
          <w:lang w:val="de-CH"/>
        </w:rPr>
        <w:t>bei</w:t>
      </w:r>
      <w:r w:rsidR="00044ED7" w:rsidRPr="00091A98">
        <w:rPr>
          <w:rFonts w:cs="Times New Roman"/>
          <w:lang w:val="de-CH"/>
        </w:rPr>
        <w:t>gemessen wird. 63%</w:t>
      </w:r>
      <w:r w:rsidRPr="00091A98">
        <w:rPr>
          <w:rFonts w:cs="Times New Roman"/>
          <w:lang w:val="de-CH"/>
        </w:rPr>
        <w:t xml:space="preserve"> aller Organisationen gaben in der Befragung an, dass die Regierung als Ziel der eigenen Lobbybemühungen sehr wichtig oder von äu</w:t>
      </w:r>
      <w:r w:rsidR="00326CFE" w:rsidRPr="00091A98">
        <w:rPr>
          <w:rFonts w:cs="Times New Roman"/>
          <w:lang w:val="de-CH"/>
        </w:rPr>
        <w:t>ss</w:t>
      </w:r>
      <w:r w:rsidRPr="00091A98">
        <w:rPr>
          <w:rFonts w:cs="Times New Roman"/>
          <w:lang w:val="de-CH"/>
        </w:rPr>
        <w:t xml:space="preserve">erster Wichtigkeit </w:t>
      </w:r>
      <w:r w:rsidR="00942FB7" w:rsidRPr="00091A98">
        <w:rPr>
          <w:rFonts w:cs="Times New Roman"/>
          <w:lang w:val="de-CH"/>
        </w:rPr>
        <w:t>ist</w:t>
      </w:r>
      <w:r w:rsidR="00044ED7" w:rsidRPr="00091A98">
        <w:rPr>
          <w:rFonts w:cs="Times New Roman"/>
          <w:lang w:val="de-CH"/>
        </w:rPr>
        <w:t xml:space="preserve">, während nur 23% </w:t>
      </w:r>
      <w:r w:rsidRPr="00091A98">
        <w:rPr>
          <w:rFonts w:cs="Times New Roman"/>
          <w:lang w:val="de-CH"/>
        </w:rPr>
        <w:t>den Bürgern eine ähnliche Bedeutung beimessen. Zwischen diesen beiden Zielgruppen</w:t>
      </w:r>
      <w:r w:rsidR="009439FF" w:rsidRPr="00091A98">
        <w:rPr>
          <w:rFonts w:cs="Times New Roman"/>
          <w:lang w:val="de-CH"/>
        </w:rPr>
        <w:t xml:space="preserve"> stehen die Medien, die für 51%</w:t>
      </w:r>
      <w:r w:rsidRPr="00091A98">
        <w:rPr>
          <w:rFonts w:cs="Times New Roman"/>
          <w:lang w:val="de-CH"/>
        </w:rPr>
        <w:t xml:space="preserve"> der Interessengruppen sehr oder äu</w:t>
      </w:r>
      <w:r w:rsidR="00326CFE" w:rsidRPr="00091A98">
        <w:rPr>
          <w:rFonts w:cs="Times New Roman"/>
          <w:lang w:val="de-CH"/>
        </w:rPr>
        <w:t>ss</w:t>
      </w:r>
      <w:r w:rsidRPr="00091A98">
        <w:rPr>
          <w:rFonts w:cs="Times New Roman"/>
          <w:lang w:val="de-CH"/>
        </w:rPr>
        <w:t xml:space="preserve">erst wichtig als Ansprechpartner sind, sowie die politischen </w:t>
      </w:r>
      <w:r w:rsidR="00B141A2" w:rsidRPr="00091A98">
        <w:rPr>
          <w:rFonts w:cs="Times New Roman"/>
          <w:lang w:val="de-CH"/>
        </w:rPr>
        <w:t>Parteien, denen 45%</w:t>
      </w:r>
      <w:r w:rsidRPr="00091A98">
        <w:rPr>
          <w:rFonts w:cs="Times New Roman"/>
          <w:lang w:val="de-CH"/>
        </w:rPr>
        <w:t xml:space="preserve"> eine </w:t>
      </w:r>
      <w:r w:rsidR="00942FB7" w:rsidRPr="00091A98">
        <w:rPr>
          <w:rFonts w:cs="Times New Roman"/>
          <w:lang w:val="de-CH"/>
        </w:rPr>
        <w:t xml:space="preserve">hohe </w:t>
      </w:r>
      <w:r w:rsidRPr="00091A98">
        <w:rPr>
          <w:rFonts w:cs="Times New Roman"/>
          <w:lang w:val="de-CH"/>
        </w:rPr>
        <w:t xml:space="preserve">Bedeutung beimessen. Es ist </w:t>
      </w:r>
      <w:r w:rsidR="00942FB7" w:rsidRPr="00091A98">
        <w:rPr>
          <w:rFonts w:cs="Times New Roman"/>
          <w:lang w:val="de-CH"/>
        </w:rPr>
        <w:t>folglich</w:t>
      </w:r>
      <w:r w:rsidRPr="00091A98">
        <w:rPr>
          <w:rFonts w:cs="Times New Roman"/>
          <w:lang w:val="de-CH"/>
        </w:rPr>
        <w:t xml:space="preserve"> in der Tendenz erkenn</w:t>
      </w:r>
      <w:r w:rsidR="00942FB7" w:rsidRPr="00091A98">
        <w:rPr>
          <w:rFonts w:cs="Times New Roman"/>
          <w:lang w:val="de-CH"/>
        </w:rPr>
        <w:t>bar</w:t>
      </w:r>
      <w:r w:rsidRPr="00091A98">
        <w:rPr>
          <w:rFonts w:cs="Times New Roman"/>
          <w:lang w:val="de-CH"/>
        </w:rPr>
        <w:t>, dass Insider Lobbying für die durchschnittliche Organisation im hier analysierten Datensatz eine etwas höhere Bedeutung hat als Outsider Lobbying.</w:t>
      </w:r>
    </w:p>
    <w:p w14:paraId="5BB811D5" w14:textId="77777777" w:rsidR="009F5188" w:rsidRPr="00091A98" w:rsidRDefault="009F5188" w:rsidP="009F5188">
      <w:pPr>
        <w:tabs>
          <w:tab w:val="left" w:pos="3560"/>
        </w:tabs>
        <w:spacing w:line="360" w:lineRule="auto"/>
        <w:rPr>
          <w:rFonts w:cs="Times New Roman"/>
          <w:lang w:val="de-CH"/>
        </w:rPr>
      </w:pPr>
      <w:r w:rsidRPr="00091A98">
        <w:rPr>
          <w:rFonts w:cs="Times New Roman"/>
          <w:lang w:val="de-CH"/>
        </w:rPr>
        <w:lastRenderedPageBreak/>
        <w:tab/>
      </w:r>
    </w:p>
    <w:p w14:paraId="3F910939" w14:textId="6D65BB53" w:rsidR="009F5188" w:rsidRPr="00091A98" w:rsidRDefault="00B35805" w:rsidP="009F5188">
      <w:pPr>
        <w:spacing w:line="360" w:lineRule="auto"/>
        <w:jc w:val="center"/>
        <w:rPr>
          <w:rFonts w:ascii="Cambria" w:hAnsi="Cambria"/>
          <w:lang w:val="de-CH"/>
        </w:rPr>
      </w:pPr>
      <w:r w:rsidRPr="00091A98">
        <w:rPr>
          <w:rFonts w:ascii="Cambria" w:hAnsi="Cambria"/>
          <w:lang w:val="de-CH"/>
        </w:rPr>
        <w:t xml:space="preserve">*** </w:t>
      </w:r>
      <w:r w:rsidR="009F5188" w:rsidRPr="00091A98">
        <w:rPr>
          <w:rFonts w:ascii="Cambria" w:hAnsi="Cambria"/>
          <w:lang w:val="de-CH"/>
        </w:rPr>
        <w:t>ABBILDUNG 1 HIER EINFÜGEN</w:t>
      </w:r>
      <w:r w:rsidRPr="00091A98">
        <w:rPr>
          <w:rFonts w:ascii="Cambria" w:hAnsi="Cambria"/>
          <w:lang w:val="de-CH"/>
        </w:rPr>
        <w:t xml:space="preserve"> ***</w:t>
      </w:r>
    </w:p>
    <w:p w14:paraId="3A1B9850" w14:textId="77777777" w:rsidR="009F5188" w:rsidRPr="00091A98" w:rsidRDefault="009F5188" w:rsidP="009F5188">
      <w:pPr>
        <w:spacing w:line="360" w:lineRule="auto"/>
        <w:rPr>
          <w:rFonts w:cs="Times New Roman"/>
          <w:lang w:val="de-CH"/>
        </w:rPr>
      </w:pPr>
    </w:p>
    <w:p w14:paraId="4FAF0F47" w14:textId="4F4A8740" w:rsidR="009F5188" w:rsidRPr="00091A98" w:rsidRDefault="009F5188" w:rsidP="009F5188">
      <w:pPr>
        <w:spacing w:line="360" w:lineRule="auto"/>
        <w:rPr>
          <w:rFonts w:cs="Times New Roman"/>
          <w:lang w:val="de-CH"/>
        </w:rPr>
      </w:pPr>
      <w:r w:rsidRPr="00091A98">
        <w:rPr>
          <w:rFonts w:cs="Times New Roman"/>
          <w:lang w:val="de-CH"/>
        </w:rPr>
        <w:t xml:space="preserve">Die </w:t>
      </w:r>
      <w:r w:rsidR="00A2280D" w:rsidRPr="00091A98">
        <w:rPr>
          <w:rFonts w:cs="Times New Roman"/>
          <w:lang w:val="de-CH"/>
        </w:rPr>
        <w:t xml:space="preserve">vier abhängigen Variablen sind </w:t>
      </w:r>
      <w:r w:rsidRPr="00091A98">
        <w:rPr>
          <w:rFonts w:cs="Times New Roman"/>
          <w:lang w:val="de-CH"/>
        </w:rPr>
        <w:t>von kategorialer Natur mit einer klaren Ordnung, weshalb zum Test der ersten Hypothese, wie sich ein stärkerer Wettstreit unter Lobbygruppen auf diese</w:t>
      </w:r>
      <w:r w:rsidR="00A2280D" w:rsidRPr="00091A98">
        <w:rPr>
          <w:rFonts w:cs="Times New Roman"/>
          <w:lang w:val="de-CH"/>
        </w:rPr>
        <w:t xml:space="preserve"> vier</w:t>
      </w:r>
      <w:r w:rsidRPr="00091A98">
        <w:rPr>
          <w:rFonts w:cs="Times New Roman"/>
          <w:lang w:val="de-CH"/>
        </w:rPr>
        <w:t xml:space="preserve"> Lobbystrategien auswirkt, ordinale logistische Regressionsmodelle herangezogen werden. Schwieriger ist der Test der zweiten Hypothese, dass ein verstärkter Wettbewerb stärkere Auswirkungen auf Insider als auf Outsider Lobbying hat. Zu diesem Zweck wird eine Variable generiert, die Insider und Outsider Taktiken in ein Verhältnis zueinander setzt. Zunächst werden für jede Interessengruppe die Faktorenwerte der beiden relevanten Dimensionen aus der oben beschriebenen Faktorenanalyse erfasst. Im zweiten Schritt wird der Werte des zweiten Faktors einer Gruppe (Outsider Lobbying) vom Wert des ersten Faktors (Inside Lobbying) abgezogen. Die so gewonnene Variable gibt an, wie wichtig Insider Lobbying relativ zu Outsider Lobbying für eine Organisation ist</w:t>
      </w:r>
      <w:r w:rsidR="004D7F41" w:rsidRPr="00091A98">
        <w:rPr>
          <w:rFonts w:cs="Times New Roman"/>
          <w:lang w:val="de-CH"/>
        </w:rPr>
        <w:t xml:space="preserve">. </w:t>
      </w:r>
      <w:r w:rsidRPr="00091A98">
        <w:rPr>
          <w:rFonts w:cs="Times New Roman"/>
          <w:lang w:val="de-CH"/>
        </w:rPr>
        <w:t>Werte grö</w:t>
      </w:r>
      <w:r w:rsidR="00326CFE" w:rsidRPr="00091A98">
        <w:rPr>
          <w:rFonts w:cs="Times New Roman"/>
          <w:lang w:val="de-CH"/>
        </w:rPr>
        <w:t>ss</w:t>
      </w:r>
      <w:r w:rsidRPr="00091A98">
        <w:rPr>
          <w:rFonts w:cs="Times New Roman"/>
          <w:lang w:val="de-CH"/>
        </w:rPr>
        <w:t xml:space="preserve">er als null </w:t>
      </w:r>
      <w:r w:rsidR="004D7F41" w:rsidRPr="00091A98">
        <w:rPr>
          <w:rFonts w:cs="Times New Roman"/>
          <w:lang w:val="de-CH"/>
        </w:rPr>
        <w:t>zeigen an</w:t>
      </w:r>
      <w:r w:rsidRPr="00091A98">
        <w:rPr>
          <w:rFonts w:cs="Times New Roman"/>
          <w:lang w:val="de-CH"/>
        </w:rPr>
        <w:t xml:space="preserve">, dass direkter Kontakt </w:t>
      </w:r>
      <w:r w:rsidR="00A12920" w:rsidRPr="00091A98">
        <w:rPr>
          <w:rFonts w:cs="Times New Roman"/>
          <w:lang w:val="de-CH"/>
        </w:rPr>
        <w:t>zu</w:t>
      </w:r>
      <w:r w:rsidRPr="00091A98">
        <w:rPr>
          <w:rFonts w:cs="Times New Roman"/>
          <w:lang w:val="de-CH"/>
        </w:rPr>
        <w:t xml:space="preserve"> Entscheidungsträgern wichtiger ist, als der indirekte Weg über Medien und die Bürger, während für negative Werte das Gegenteil der Fall ist. Diese Variable kann </w:t>
      </w:r>
      <w:r w:rsidR="004D7F41" w:rsidRPr="00091A98">
        <w:rPr>
          <w:rFonts w:cs="Times New Roman"/>
          <w:lang w:val="de-CH"/>
        </w:rPr>
        <w:t>folglich für die Untersuchung der zweiten Hypothese</w:t>
      </w:r>
      <w:r w:rsidRPr="00091A98">
        <w:rPr>
          <w:rFonts w:cs="Times New Roman"/>
          <w:lang w:val="de-CH"/>
        </w:rPr>
        <w:t xml:space="preserve"> herangezogen werden, </w:t>
      </w:r>
      <w:r w:rsidR="004D7F41" w:rsidRPr="00091A98">
        <w:rPr>
          <w:rFonts w:cs="Times New Roman"/>
          <w:lang w:val="de-CH"/>
        </w:rPr>
        <w:t xml:space="preserve">d.h. </w:t>
      </w:r>
      <w:r w:rsidRPr="00091A98">
        <w:rPr>
          <w:rFonts w:cs="Times New Roman"/>
          <w:lang w:val="de-CH"/>
        </w:rPr>
        <w:t>wie sich ein erhöhter Wettbewerb unter Lobbygruppen auf die Bedeutung von Insider Lobbying relativ zu Outsider Lobbying auswirkt</w:t>
      </w:r>
      <w:r w:rsidR="004D7F41" w:rsidRPr="00091A98">
        <w:rPr>
          <w:rFonts w:cs="Times New Roman"/>
          <w:lang w:val="de-CH"/>
        </w:rPr>
        <w:t>.</w:t>
      </w:r>
      <w:r w:rsidRPr="00091A98">
        <w:rPr>
          <w:rFonts w:cs="Times New Roman"/>
          <w:lang w:val="de-CH"/>
        </w:rPr>
        <w:t xml:space="preserve"> In der Abbildung 2 ist diese abhängige Variable für Hypothese 2 graphisch dargestellt. Der Mi</w:t>
      </w:r>
      <w:r w:rsidR="00604A8C">
        <w:rPr>
          <w:rFonts w:cs="Times New Roman"/>
          <w:lang w:val="de-CH"/>
        </w:rPr>
        <w:t>ttelwert der Variable beträgt 0.</w:t>
      </w:r>
      <w:r w:rsidRPr="00091A98">
        <w:rPr>
          <w:rFonts w:cs="Times New Roman"/>
          <w:lang w:val="de-CH"/>
        </w:rPr>
        <w:t>0</w:t>
      </w:r>
      <w:r w:rsidR="00C22917" w:rsidRPr="00091A98">
        <w:rPr>
          <w:rFonts w:cs="Times New Roman"/>
          <w:lang w:val="de-CH"/>
        </w:rPr>
        <w:t xml:space="preserve">7 und </w:t>
      </w:r>
      <w:r w:rsidR="00604A8C">
        <w:rPr>
          <w:rFonts w:cs="Times New Roman"/>
          <w:lang w:val="de-CH"/>
        </w:rPr>
        <w:t>der Median 0.</w:t>
      </w:r>
      <w:r w:rsidRPr="00091A98">
        <w:rPr>
          <w:rFonts w:cs="Times New Roman"/>
          <w:lang w:val="de-CH"/>
        </w:rPr>
        <w:t>1</w:t>
      </w:r>
      <w:r w:rsidR="00C22917" w:rsidRPr="00091A98">
        <w:rPr>
          <w:rFonts w:cs="Times New Roman"/>
          <w:lang w:val="de-CH"/>
        </w:rPr>
        <w:t>7</w:t>
      </w:r>
      <w:r w:rsidRPr="00091A98">
        <w:rPr>
          <w:rFonts w:cs="Times New Roman"/>
          <w:lang w:val="de-CH"/>
        </w:rPr>
        <w:t xml:space="preserve">, woraus </w:t>
      </w:r>
      <w:r w:rsidR="00C22917" w:rsidRPr="00091A98">
        <w:rPr>
          <w:rFonts w:cs="Times New Roman"/>
          <w:lang w:val="de-CH"/>
        </w:rPr>
        <w:t xml:space="preserve">sich </w:t>
      </w:r>
      <w:r w:rsidRPr="00091A98">
        <w:rPr>
          <w:rFonts w:cs="Times New Roman"/>
          <w:lang w:val="de-CH"/>
        </w:rPr>
        <w:t xml:space="preserve">eine leichte Tendenz zugunsten von Insider Strategien ablesbar </w:t>
      </w:r>
      <w:r w:rsidR="00C22917" w:rsidRPr="00091A98">
        <w:rPr>
          <w:rFonts w:cs="Times New Roman"/>
          <w:lang w:val="de-CH"/>
        </w:rPr>
        <w:t>lässt</w:t>
      </w:r>
      <w:r w:rsidRPr="00091A98">
        <w:rPr>
          <w:rFonts w:cs="Times New Roman"/>
          <w:lang w:val="de-CH"/>
        </w:rPr>
        <w:t>. Von allen in dieser Studie analysierten Organisationen ordnen 53 Prozent Insider Lobbying eine höhere Wichtigkeit zu, während immerhin 47 Prozent tendenziell Outsider Strategien bevorzugen.</w:t>
      </w:r>
      <w:r w:rsidR="006E64A6" w:rsidRPr="00091A98">
        <w:rPr>
          <w:rStyle w:val="Funotenzeichen"/>
          <w:rFonts w:cs="Times New Roman"/>
          <w:lang w:val="de-CH"/>
        </w:rPr>
        <w:footnoteReference w:id="5"/>
      </w:r>
      <w:r w:rsidRPr="00091A98">
        <w:rPr>
          <w:rFonts w:cs="Times New Roman"/>
          <w:lang w:val="de-CH"/>
        </w:rPr>
        <w:t xml:space="preserve"> </w:t>
      </w:r>
    </w:p>
    <w:p w14:paraId="09E9E4F2" w14:textId="77777777" w:rsidR="009F5188" w:rsidRPr="00091A98" w:rsidRDefault="009F5188" w:rsidP="009F5188">
      <w:pPr>
        <w:spacing w:line="360" w:lineRule="auto"/>
        <w:rPr>
          <w:rFonts w:cs="Times New Roman"/>
          <w:lang w:val="de-CH"/>
        </w:rPr>
      </w:pPr>
    </w:p>
    <w:p w14:paraId="6D00DCB2" w14:textId="086AD41C" w:rsidR="009F5188" w:rsidRPr="00091A98" w:rsidRDefault="00B35805" w:rsidP="009F5188">
      <w:pPr>
        <w:spacing w:line="360" w:lineRule="auto"/>
        <w:jc w:val="center"/>
        <w:rPr>
          <w:rFonts w:ascii="Cambria" w:hAnsi="Cambria"/>
          <w:lang w:val="de-CH"/>
        </w:rPr>
      </w:pPr>
      <w:r w:rsidRPr="00091A98">
        <w:rPr>
          <w:rFonts w:ascii="Cambria" w:hAnsi="Cambria"/>
          <w:lang w:val="de-CH"/>
        </w:rPr>
        <w:t xml:space="preserve">*** </w:t>
      </w:r>
      <w:r w:rsidR="009F5188" w:rsidRPr="00091A98">
        <w:rPr>
          <w:rFonts w:ascii="Cambria" w:hAnsi="Cambria"/>
          <w:lang w:val="de-CH"/>
        </w:rPr>
        <w:t>ABBILDUNG 2 HIER EINFÜGEN</w:t>
      </w:r>
      <w:r w:rsidRPr="00091A98">
        <w:rPr>
          <w:rFonts w:ascii="Cambria" w:hAnsi="Cambria"/>
          <w:lang w:val="de-CH"/>
        </w:rPr>
        <w:t xml:space="preserve"> ***</w:t>
      </w:r>
    </w:p>
    <w:p w14:paraId="551F8F20" w14:textId="77777777" w:rsidR="009F5188" w:rsidRPr="00091A98" w:rsidRDefault="009F5188" w:rsidP="009F5188">
      <w:pPr>
        <w:spacing w:line="360" w:lineRule="auto"/>
        <w:rPr>
          <w:rFonts w:cs="Times New Roman"/>
          <w:lang w:val="de-CH"/>
        </w:rPr>
      </w:pPr>
    </w:p>
    <w:p w14:paraId="36C29F35" w14:textId="77777777" w:rsidR="009F5188" w:rsidRPr="00091A98" w:rsidRDefault="009F5188" w:rsidP="009F5188">
      <w:pPr>
        <w:spacing w:line="360" w:lineRule="auto"/>
        <w:rPr>
          <w:rFonts w:cs="Times New Roman"/>
          <w:lang w:val="de-CH"/>
        </w:rPr>
      </w:pPr>
    </w:p>
    <w:p w14:paraId="0074DD54" w14:textId="77777777" w:rsidR="00AA1B43" w:rsidRPr="00091A98" w:rsidRDefault="00AA1B43" w:rsidP="009F5188">
      <w:pPr>
        <w:spacing w:line="360" w:lineRule="auto"/>
        <w:rPr>
          <w:rFonts w:cs="Times New Roman"/>
          <w:lang w:val="de-CH"/>
        </w:rPr>
      </w:pPr>
    </w:p>
    <w:p w14:paraId="1E5B9F48" w14:textId="77777777" w:rsidR="00AA1B43" w:rsidRPr="00091A98" w:rsidRDefault="00AA1B43" w:rsidP="009F5188">
      <w:pPr>
        <w:spacing w:line="360" w:lineRule="auto"/>
        <w:rPr>
          <w:rFonts w:cs="Times New Roman"/>
          <w:lang w:val="de-CH"/>
        </w:rPr>
      </w:pPr>
    </w:p>
    <w:p w14:paraId="3BFA56BD" w14:textId="77777777" w:rsidR="00AA1B43" w:rsidRPr="00091A98" w:rsidRDefault="00AA1B43" w:rsidP="009F5188">
      <w:pPr>
        <w:spacing w:line="360" w:lineRule="auto"/>
        <w:rPr>
          <w:rFonts w:cs="Times New Roman"/>
          <w:lang w:val="de-CH"/>
        </w:rPr>
      </w:pPr>
    </w:p>
    <w:p w14:paraId="63629343" w14:textId="77777777" w:rsidR="009F5188" w:rsidRPr="00091A98" w:rsidRDefault="009F5188" w:rsidP="009F5188">
      <w:pPr>
        <w:spacing w:line="360" w:lineRule="auto"/>
        <w:rPr>
          <w:rFonts w:cs="Times New Roman"/>
          <w:lang w:val="de-CH"/>
        </w:rPr>
      </w:pPr>
      <w:r w:rsidRPr="00091A98">
        <w:rPr>
          <w:rFonts w:cs="Times New Roman"/>
          <w:lang w:val="de-CH"/>
        </w:rPr>
        <w:lastRenderedPageBreak/>
        <w:t>3.2 Unabhängige Variablen</w:t>
      </w:r>
    </w:p>
    <w:p w14:paraId="57B85777" w14:textId="77777777" w:rsidR="009F5188" w:rsidRPr="00091A98" w:rsidRDefault="009F5188" w:rsidP="009F5188">
      <w:pPr>
        <w:spacing w:line="360" w:lineRule="auto"/>
        <w:rPr>
          <w:rFonts w:cs="Times New Roman"/>
          <w:lang w:val="de-CH"/>
        </w:rPr>
      </w:pPr>
    </w:p>
    <w:p w14:paraId="5600602C" w14:textId="13727EAC" w:rsidR="009F5188" w:rsidRPr="00091A98" w:rsidRDefault="00B35805" w:rsidP="009F5188">
      <w:pPr>
        <w:spacing w:line="360" w:lineRule="auto"/>
        <w:rPr>
          <w:rFonts w:cs="Times New Roman"/>
          <w:lang w:val="de-CH"/>
        </w:rPr>
      </w:pPr>
      <w:r w:rsidRPr="00091A98">
        <w:rPr>
          <w:rFonts w:cs="Times New Roman"/>
          <w:u w:val="single"/>
          <w:lang w:val="de-CH"/>
        </w:rPr>
        <w:t>Politischer Wettbewerb:</w:t>
      </w:r>
      <w:r w:rsidRPr="00091A98">
        <w:rPr>
          <w:rFonts w:cs="Times New Roman"/>
          <w:lang w:val="de-CH"/>
        </w:rPr>
        <w:t xml:space="preserve"> </w:t>
      </w:r>
      <w:r w:rsidR="009F5188" w:rsidRPr="00091A98">
        <w:rPr>
          <w:rFonts w:cs="Times New Roman"/>
          <w:lang w:val="de-CH"/>
        </w:rPr>
        <w:t xml:space="preserve">Die zentrale unabhängige Variable dieser Studie ist die Stärke des Wettbewerbs, dem eine Interessengruppe in ihrem </w:t>
      </w:r>
      <w:r w:rsidRPr="00091A98">
        <w:rPr>
          <w:rFonts w:cs="Times New Roman"/>
          <w:lang w:val="de-CH"/>
        </w:rPr>
        <w:t xml:space="preserve">Politikfeld </w:t>
      </w:r>
      <w:r w:rsidR="009F5188" w:rsidRPr="00091A98">
        <w:rPr>
          <w:rFonts w:cs="Times New Roman"/>
          <w:lang w:val="de-CH"/>
        </w:rPr>
        <w:t xml:space="preserve">ausgesetzt ist. Um diesen Konkurrenzkampf unter Lobbyorganisationen zu messen, wurden die Teilnehmer an der Umfrage gebeten, die Intensität des politischen Wettbewerbs mit konkurrierenden Interessengruppen einzuschätzen. Dabei konnten Organisationen unter fünf Antwortmöglichkeiten wählen, von einer sehr geringen bis zu einer sehr starken Wettbewerbssituation. </w:t>
      </w:r>
      <w:r w:rsidR="00206800" w:rsidRPr="00091A98">
        <w:rPr>
          <w:rFonts w:cs="Times New Roman"/>
          <w:lang w:val="de-CH"/>
        </w:rPr>
        <w:t>11%</w:t>
      </w:r>
      <w:r w:rsidR="009F5188" w:rsidRPr="00091A98">
        <w:rPr>
          <w:rFonts w:cs="Times New Roman"/>
          <w:lang w:val="de-CH"/>
        </w:rPr>
        <w:t xml:space="preserve"> der teilnehmenden Interessengruppen gaben an, der Wettbewerb in ihrem Tätigk</w:t>
      </w:r>
      <w:r w:rsidR="00206800" w:rsidRPr="00091A98">
        <w:rPr>
          <w:rFonts w:cs="Times New Roman"/>
          <w:lang w:val="de-CH"/>
        </w:rPr>
        <w:t xml:space="preserve">eitsbereich sei sehr gering, 34% </w:t>
      </w:r>
      <w:r w:rsidR="009F5188" w:rsidRPr="00091A98">
        <w:rPr>
          <w:rFonts w:cs="Times New Roman"/>
          <w:lang w:val="de-CH"/>
        </w:rPr>
        <w:t xml:space="preserve">schätzen die Konkurrenzsituation als gering ein, </w:t>
      </w:r>
      <w:r w:rsidR="00206800" w:rsidRPr="00091A98">
        <w:rPr>
          <w:rFonts w:cs="Times New Roman"/>
          <w:lang w:val="de-CH"/>
        </w:rPr>
        <w:t xml:space="preserve">37% </w:t>
      </w:r>
      <w:r w:rsidR="009F5188" w:rsidRPr="00091A98">
        <w:rPr>
          <w:rFonts w:cs="Times New Roman"/>
          <w:lang w:val="de-CH"/>
        </w:rPr>
        <w:t>gaben eine mit</w:t>
      </w:r>
      <w:r w:rsidR="00206800" w:rsidRPr="00091A98">
        <w:rPr>
          <w:rFonts w:cs="Times New Roman"/>
          <w:lang w:val="de-CH"/>
        </w:rPr>
        <w:t xml:space="preserve">telstarke Konkurrenz an, und 14% </w:t>
      </w:r>
      <w:r w:rsidR="009F5188" w:rsidRPr="00091A98">
        <w:rPr>
          <w:rFonts w:cs="Times New Roman"/>
          <w:lang w:val="de-CH"/>
        </w:rPr>
        <w:t xml:space="preserve">sahen sich einem starken Wettbewerb ausgesetzt. Damit bleiben nur </w:t>
      </w:r>
      <w:r w:rsidR="00206800" w:rsidRPr="00091A98">
        <w:rPr>
          <w:rFonts w:cs="Times New Roman"/>
          <w:lang w:val="de-CH"/>
        </w:rPr>
        <w:t>sehr weniger Organisationen übrig (3%)</w:t>
      </w:r>
      <w:r w:rsidR="009F5188" w:rsidRPr="00091A98">
        <w:rPr>
          <w:rFonts w:cs="Times New Roman"/>
          <w:lang w:val="de-CH"/>
        </w:rPr>
        <w:t xml:space="preserve">, die in einem sehr starken Konkurrenzverhältnis </w:t>
      </w:r>
      <w:r w:rsidR="00206800" w:rsidRPr="00091A98">
        <w:rPr>
          <w:rFonts w:cs="Times New Roman"/>
          <w:lang w:val="de-CH"/>
        </w:rPr>
        <w:t>ausgesetzt sind</w:t>
      </w:r>
      <w:r w:rsidR="00CF4280" w:rsidRPr="00091A98">
        <w:rPr>
          <w:rFonts w:cs="Times New Roman"/>
          <w:lang w:val="de-CH"/>
        </w:rPr>
        <w:t>, was den Ergebnissen früherer empirischer Studien entspricht</w:t>
      </w:r>
      <w:r w:rsidR="00206800" w:rsidRPr="00091A98">
        <w:rPr>
          <w:rFonts w:cs="Times New Roman"/>
          <w:lang w:val="de-CH"/>
        </w:rPr>
        <w:t xml:space="preserve"> (Baumgartner und Leech 2001)</w:t>
      </w:r>
      <w:r w:rsidR="009F5188" w:rsidRPr="00091A98">
        <w:rPr>
          <w:rFonts w:cs="Times New Roman"/>
          <w:lang w:val="de-CH"/>
        </w:rPr>
        <w:t xml:space="preserve">. Diese Einschätzung des Wettbewerbs ist sowohl in Deutschland als auch in der Schweiz sehr ähnlich, der Anteil der Gruppen in den einzelnen Kategorien unterscheidet sich zwischen den beiden Ländern kaum. </w:t>
      </w:r>
    </w:p>
    <w:p w14:paraId="6776600F" w14:textId="77777777" w:rsidR="009F5188" w:rsidRPr="00091A98" w:rsidRDefault="009F5188" w:rsidP="009F5188">
      <w:pPr>
        <w:spacing w:line="360" w:lineRule="auto"/>
        <w:rPr>
          <w:rFonts w:cs="Times New Roman"/>
          <w:lang w:val="de-CH"/>
        </w:rPr>
      </w:pPr>
    </w:p>
    <w:p w14:paraId="2F0D99A9" w14:textId="1FC11A28" w:rsidR="007030E2" w:rsidRPr="00091A98" w:rsidRDefault="00244C80" w:rsidP="009F5188">
      <w:pPr>
        <w:spacing w:line="360" w:lineRule="auto"/>
        <w:rPr>
          <w:rFonts w:cs="Times New Roman"/>
          <w:lang w:val="de-CH"/>
        </w:rPr>
      </w:pPr>
      <w:r w:rsidRPr="00091A98">
        <w:rPr>
          <w:rFonts w:cs="Times New Roman"/>
          <w:u w:val="single"/>
          <w:lang w:val="de-CH"/>
        </w:rPr>
        <w:t>Budget:</w:t>
      </w:r>
      <w:r w:rsidRPr="00091A98">
        <w:rPr>
          <w:rFonts w:cs="Times New Roman"/>
          <w:lang w:val="de-CH"/>
        </w:rPr>
        <w:t xml:space="preserve"> </w:t>
      </w:r>
      <w:r w:rsidR="009F5188" w:rsidRPr="00091A98">
        <w:rPr>
          <w:rFonts w:cs="Times New Roman"/>
          <w:lang w:val="de-CH"/>
        </w:rPr>
        <w:t xml:space="preserve">Als </w:t>
      </w:r>
      <w:r w:rsidRPr="00091A98">
        <w:rPr>
          <w:rFonts w:cs="Times New Roman"/>
          <w:lang w:val="de-CH"/>
        </w:rPr>
        <w:t xml:space="preserve">erste </w:t>
      </w:r>
      <w:r w:rsidR="009F5188" w:rsidRPr="00091A98">
        <w:rPr>
          <w:rFonts w:cs="Times New Roman"/>
          <w:lang w:val="de-CH"/>
        </w:rPr>
        <w:t>Kontroll</w:t>
      </w:r>
      <w:r w:rsidR="00586252" w:rsidRPr="00091A98">
        <w:rPr>
          <w:rFonts w:cs="Times New Roman"/>
          <w:lang w:val="de-CH"/>
        </w:rPr>
        <w:t>variable</w:t>
      </w:r>
      <w:r w:rsidR="009F5188" w:rsidRPr="00091A98">
        <w:rPr>
          <w:rFonts w:cs="Times New Roman"/>
          <w:lang w:val="de-CH"/>
        </w:rPr>
        <w:t xml:space="preserve"> </w:t>
      </w:r>
      <w:r w:rsidR="00717B56" w:rsidRPr="00091A98">
        <w:rPr>
          <w:rFonts w:cs="Times New Roman"/>
          <w:lang w:val="de-CH"/>
        </w:rPr>
        <w:t>dient</w:t>
      </w:r>
      <w:r w:rsidR="009F5188" w:rsidRPr="00091A98">
        <w:rPr>
          <w:rFonts w:cs="Times New Roman"/>
          <w:lang w:val="de-CH"/>
        </w:rPr>
        <w:t xml:space="preserve"> das Budget</w:t>
      </w:r>
      <w:r w:rsidR="007030E2" w:rsidRPr="00091A98">
        <w:rPr>
          <w:rFonts w:cs="Times New Roman"/>
          <w:lang w:val="de-CH"/>
        </w:rPr>
        <w:t xml:space="preserve"> der Organisationen</w:t>
      </w:r>
      <w:r w:rsidR="009F5188" w:rsidRPr="00091A98">
        <w:rPr>
          <w:rFonts w:cs="Times New Roman"/>
          <w:lang w:val="de-CH"/>
        </w:rPr>
        <w:t xml:space="preserve">. Kollman (1998), Grant (1999) und Thrall (2006) haben festgestellt, dass eine stärkere Finanzkraft </w:t>
      </w:r>
      <w:r w:rsidRPr="00091A98">
        <w:rPr>
          <w:rFonts w:cs="Times New Roman"/>
          <w:lang w:val="de-CH"/>
        </w:rPr>
        <w:t>die</w:t>
      </w:r>
      <w:r w:rsidR="009F5188" w:rsidRPr="00091A98">
        <w:rPr>
          <w:rFonts w:cs="Times New Roman"/>
          <w:lang w:val="de-CH"/>
        </w:rPr>
        <w:t xml:space="preserve"> Lobbytätigkeit </w:t>
      </w:r>
      <w:r w:rsidRPr="00091A98">
        <w:rPr>
          <w:rFonts w:cs="Times New Roman"/>
          <w:lang w:val="de-CH"/>
        </w:rPr>
        <w:t>von Interessengruppen erhöht</w:t>
      </w:r>
      <w:r w:rsidR="009F5188" w:rsidRPr="00091A98">
        <w:rPr>
          <w:rFonts w:cs="Times New Roman"/>
          <w:lang w:val="de-CH"/>
        </w:rPr>
        <w:t xml:space="preserve">, sowohl was Insider als auch Outsider Lobbying betrifft. Eising (2004) zeigt zudem, dass eine höhere Finanzkraft den </w:t>
      </w:r>
      <w:r w:rsidRPr="00091A98">
        <w:rPr>
          <w:rFonts w:cs="Times New Roman"/>
          <w:lang w:val="de-CH"/>
        </w:rPr>
        <w:t xml:space="preserve">direkten </w:t>
      </w:r>
      <w:r w:rsidR="009F5188" w:rsidRPr="00091A98">
        <w:rPr>
          <w:rFonts w:cs="Times New Roman"/>
          <w:lang w:val="de-CH"/>
        </w:rPr>
        <w:t xml:space="preserve">Zugang zu Entscheidungsträgern erleichtert. Da höhere Finanzkraft auch den Wettbewerb befeuert – Interessengruppen, die einem reichen Gegner gegenüberstehen, </w:t>
      </w:r>
      <w:r w:rsidRPr="00091A98">
        <w:rPr>
          <w:rFonts w:cs="Times New Roman"/>
          <w:lang w:val="de-CH"/>
        </w:rPr>
        <w:t>sind einem stärkeren</w:t>
      </w:r>
      <w:r w:rsidR="009F5188" w:rsidRPr="00091A98">
        <w:rPr>
          <w:rFonts w:cs="Times New Roman"/>
          <w:lang w:val="de-CH"/>
        </w:rPr>
        <w:t xml:space="preserve"> Wettbewerb </w:t>
      </w:r>
      <w:r w:rsidRPr="00091A98">
        <w:rPr>
          <w:rFonts w:cs="Times New Roman"/>
          <w:lang w:val="de-CH"/>
        </w:rPr>
        <w:t>ausgesetzt</w:t>
      </w:r>
      <w:r w:rsidR="009F5188" w:rsidRPr="00091A98">
        <w:rPr>
          <w:rFonts w:cs="Times New Roman"/>
          <w:lang w:val="de-CH"/>
        </w:rPr>
        <w:t>, als solche, deren Konkurrenz über nur geringe finanzielle Mittel verfügt – ist die Inkludierung des Budgets als Kontrollvariable eine statistische Notwendigkeit.</w:t>
      </w:r>
      <w:r w:rsidR="007030E2" w:rsidRPr="00091A98">
        <w:rPr>
          <w:rFonts w:cs="Times New Roman"/>
          <w:lang w:val="de-CH"/>
        </w:rPr>
        <w:t xml:space="preserve"> Das geringst</w:t>
      </w:r>
      <w:r w:rsidR="00324A14">
        <w:rPr>
          <w:rFonts w:cs="Times New Roman"/>
          <w:lang w:val="de-CH"/>
        </w:rPr>
        <w:t>e Budget im Datensatz beträgt 1’</w:t>
      </w:r>
      <w:r w:rsidR="007030E2" w:rsidRPr="00091A98">
        <w:rPr>
          <w:rFonts w:cs="Times New Roman"/>
          <w:lang w:val="de-CH"/>
        </w:rPr>
        <w:t xml:space="preserve">000 Euro pro Jahr. Der Höchstwert liegt bei 800 </w:t>
      </w:r>
      <w:r w:rsidR="00324A14">
        <w:rPr>
          <w:rFonts w:cs="Times New Roman"/>
          <w:lang w:val="de-CH"/>
        </w:rPr>
        <w:t>Millionen, wobei der Median 280’000 und der Mittelwert 2'798’</w:t>
      </w:r>
      <w:r w:rsidR="007030E2" w:rsidRPr="00091A98">
        <w:rPr>
          <w:rFonts w:cs="Times New Roman"/>
          <w:lang w:val="de-CH"/>
        </w:rPr>
        <w:t>000 Euro beträgt. Daraus ist ersichtlich, dass die Variable höchst asymmetrisch ist, weshalb in den Modellen die logarithmierte Form verwendet wird.</w:t>
      </w:r>
    </w:p>
    <w:p w14:paraId="43CE9A48" w14:textId="77777777" w:rsidR="007030E2" w:rsidRPr="00091A98" w:rsidRDefault="007030E2" w:rsidP="009F5188">
      <w:pPr>
        <w:spacing w:line="360" w:lineRule="auto"/>
        <w:rPr>
          <w:rFonts w:cs="Times New Roman"/>
          <w:lang w:val="de-CH"/>
        </w:rPr>
      </w:pPr>
    </w:p>
    <w:p w14:paraId="4A17E4F5" w14:textId="7A63FB7F" w:rsidR="00F25664" w:rsidRPr="00091A98" w:rsidRDefault="00244C80" w:rsidP="009F5188">
      <w:pPr>
        <w:spacing w:line="360" w:lineRule="auto"/>
        <w:rPr>
          <w:rFonts w:cs="Times New Roman"/>
          <w:lang w:val="de-CH"/>
        </w:rPr>
      </w:pPr>
      <w:r w:rsidRPr="00091A98">
        <w:rPr>
          <w:rFonts w:cs="Times New Roman"/>
          <w:u w:val="single"/>
          <w:lang w:val="de-CH"/>
        </w:rPr>
        <w:t>Mitglieder:</w:t>
      </w:r>
      <w:r w:rsidRPr="00091A98">
        <w:rPr>
          <w:rFonts w:cs="Times New Roman"/>
          <w:lang w:val="de-CH"/>
        </w:rPr>
        <w:t xml:space="preserve"> Auch eine höhere Mitgliederzahl heizt den Wettbewerb an</w:t>
      </w:r>
      <w:r w:rsidR="009F5188" w:rsidRPr="00091A98">
        <w:rPr>
          <w:rFonts w:cs="Times New Roman"/>
          <w:lang w:val="de-CH"/>
        </w:rPr>
        <w:t xml:space="preserve">. Erstens stehen Organisationen in einem Konkurrenzkampf um Mitglieder miteinander, zweitens </w:t>
      </w:r>
      <w:r w:rsidR="009F5188" w:rsidRPr="00091A98">
        <w:rPr>
          <w:rFonts w:cs="Times New Roman"/>
          <w:lang w:val="de-CH"/>
        </w:rPr>
        <w:lastRenderedPageBreak/>
        <w:t>werden gro</w:t>
      </w:r>
      <w:r w:rsidR="00326CFE" w:rsidRPr="00091A98">
        <w:rPr>
          <w:rFonts w:cs="Times New Roman"/>
          <w:lang w:val="de-CH"/>
        </w:rPr>
        <w:t>ss</w:t>
      </w:r>
      <w:r w:rsidR="009F5188" w:rsidRPr="00091A98">
        <w:rPr>
          <w:rFonts w:cs="Times New Roman"/>
          <w:lang w:val="de-CH"/>
        </w:rPr>
        <w:t>e Organisationen mit vielen Mitgliedern als stärkere Konkurrenten im Lobbybetrieb wahrgenommen, da diese eher die Aufmerksamkeit der Politik und der Medien auf sich lenken können. Schlozman und Tierney (1986) haben gezeigt, dass die Grö</w:t>
      </w:r>
      <w:r w:rsidR="00326CFE" w:rsidRPr="00091A98">
        <w:rPr>
          <w:rFonts w:cs="Times New Roman"/>
          <w:lang w:val="de-CH"/>
        </w:rPr>
        <w:t>ss</w:t>
      </w:r>
      <w:r w:rsidR="009F5188" w:rsidRPr="00091A98">
        <w:rPr>
          <w:rFonts w:cs="Times New Roman"/>
          <w:lang w:val="de-CH"/>
        </w:rPr>
        <w:t>e einer Organisation Einfluss auf die gewählten Lobbystrategien hat. Auch für die Anzahl der Mitglieder muss deshalb kontrolliert werden</w:t>
      </w:r>
      <w:r w:rsidRPr="00091A98">
        <w:rPr>
          <w:rFonts w:cs="Times New Roman"/>
          <w:lang w:val="de-CH"/>
        </w:rPr>
        <w:t>. Dabei wird in dieser Arbeit zwischen der Mitgliedschaft von Einzelpersonen und der Mitgliedschaft anderer Organisati</w:t>
      </w:r>
      <w:r w:rsidR="00F25664" w:rsidRPr="00091A98">
        <w:rPr>
          <w:rFonts w:cs="Times New Roman"/>
          <w:lang w:val="de-CH"/>
        </w:rPr>
        <w:t xml:space="preserve">onen und Verbände differenziert. </w:t>
      </w:r>
      <w:r w:rsidR="007030E2" w:rsidRPr="00091A98">
        <w:rPr>
          <w:rFonts w:cs="Times New Roman"/>
          <w:lang w:val="de-CH"/>
        </w:rPr>
        <w:t>Beide Variablen sind ebenfalls stark asymmetrisch und werden deshalb logarithmiert.</w:t>
      </w:r>
    </w:p>
    <w:p w14:paraId="426292A0" w14:textId="77777777" w:rsidR="00F25664" w:rsidRPr="00091A98" w:rsidRDefault="00F25664" w:rsidP="009F5188">
      <w:pPr>
        <w:spacing w:line="360" w:lineRule="auto"/>
        <w:rPr>
          <w:rFonts w:cs="Times New Roman"/>
          <w:lang w:val="de-CH"/>
        </w:rPr>
      </w:pPr>
    </w:p>
    <w:p w14:paraId="591AFC4D" w14:textId="48AD2A82" w:rsidR="007030E2" w:rsidRPr="00091A98" w:rsidRDefault="007030E2" w:rsidP="009F5188">
      <w:pPr>
        <w:spacing w:line="360" w:lineRule="auto"/>
        <w:rPr>
          <w:rFonts w:cs="Times New Roman"/>
          <w:lang w:val="de-CH"/>
        </w:rPr>
      </w:pPr>
      <w:r w:rsidRPr="00091A98">
        <w:rPr>
          <w:rFonts w:cs="Times New Roman"/>
          <w:u w:val="single"/>
          <w:lang w:val="de-CH"/>
        </w:rPr>
        <w:t>Themenfeld:</w:t>
      </w:r>
      <w:r w:rsidRPr="00091A98">
        <w:rPr>
          <w:rFonts w:cs="Times New Roman"/>
          <w:lang w:val="de-CH"/>
        </w:rPr>
        <w:t xml:space="preserve"> </w:t>
      </w:r>
      <w:r w:rsidR="00F902F3" w:rsidRPr="00091A98">
        <w:rPr>
          <w:rFonts w:cs="Times New Roman"/>
          <w:lang w:val="de-CH"/>
        </w:rPr>
        <w:t>Das</w:t>
      </w:r>
      <w:r w:rsidRPr="00091A98">
        <w:rPr>
          <w:rFonts w:cs="Times New Roman"/>
          <w:lang w:val="de-CH"/>
        </w:rPr>
        <w:t xml:space="preserve"> Themenfeld, auf dem Interessengruppen tätig sind, </w:t>
      </w:r>
      <w:r w:rsidR="00F902F3" w:rsidRPr="00091A98">
        <w:rPr>
          <w:rFonts w:cs="Times New Roman"/>
          <w:lang w:val="de-CH"/>
        </w:rPr>
        <w:t xml:space="preserve">hat </w:t>
      </w:r>
      <w:r w:rsidRPr="00091A98">
        <w:rPr>
          <w:rFonts w:cs="Times New Roman"/>
          <w:lang w:val="de-CH"/>
        </w:rPr>
        <w:t>Einfl</w:t>
      </w:r>
      <w:r w:rsidR="00F902F3" w:rsidRPr="00091A98">
        <w:rPr>
          <w:rFonts w:cs="Times New Roman"/>
          <w:lang w:val="de-CH"/>
        </w:rPr>
        <w:t>uss auf deren Lobbyverhalten</w:t>
      </w:r>
      <w:r w:rsidRPr="00091A98">
        <w:rPr>
          <w:rFonts w:cs="Times New Roman"/>
          <w:lang w:val="de-CH"/>
        </w:rPr>
        <w:t xml:space="preserve"> (Klüver, 2011; Mahoney, 2007; Baumgartner und Leech, 2001)</w:t>
      </w:r>
      <w:r w:rsidR="00F902F3" w:rsidRPr="00091A98">
        <w:rPr>
          <w:rFonts w:cs="Times New Roman"/>
          <w:lang w:val="de-CH"/>
        </w:rPr>
        <w:t>. Auch ist zu erwarten, dass der Wettbewerb in unterschiedlichen Politikfeldern unterschiedlich stark ausgeprägt ist. Deshalb ist das Themenfeld eine weitere wichtige Kontrollvariable. Umfrageteilnehmer konnten aus einer Liste aus elf Themen dasjenige aussuchen, das am besten zu ihrer Organisation passt (siehe Appen</w:t>
      </w:r>
      <w:r w:rsidR="001F5634" w:rsidRPr="00091A98">
        <w:rPr>
          <w:rFonts w:cs="Times New Roman"/>
          <w:lang w:val="de-CH"/>
        </w:rPr>
        <w:t>dix 1</w:t>
      </w:r>
      <w:r w:rsidR="00F902F3" w:rsidRPr="00091A98">
        <w:rPr>
          <w:rFonts w:cs="Times New Roman"/>
          <w:lang w:val="de-CH"/>
        </w:rPr>
        <w:t>). Am häufigsten wurde die Antwort ‚Wirtschaft und Arbeit‘ gewählt (355), gefolgt von Gesun</w:t>
      </w:r>
      <w:r w:rsidR="0089365D" w:rsidRPr="00091A98">
        <w:rPr>
          <w:rFonts w:cs="Times New Roman"/>
          <w:lang w:val="de-CH"/>
        </w:rPr>
        <w:t>d</w:t>
      </w:r>
      <w:r w:rsidR="00F902F3" w:rsidRPr="00091A98">
        <w:rPr>
          <w:rFonts w:cs="Times New Roman"/>
          <w:lang w:val="de-CH"/>
        </w:rPr>
        <w:t>heit (153) und Politik (117). Nur drei Teilnehmer konnten keine passende Kategorie finden und wählten daher die Antwort ‚Anderer Bereich‘.</w:t>
      </w:r>
      <w:r w:rsidR="00C036A6" w:rsidRPr="00091A98">
        <w:rPr>
          <w:rStyle w:val="Funotenzeichen"/>
          <w:rFonts w:cs="Times New Roman"/>
          <w:lang w:val="de-CH"/>
        </w:rPr>
        <w:footnoteReference w:id="6"/>
      </w:r>
      <w:r w:rsidR="00A857A8" w:rsidRPr="00091A98">
        <w:rPr>
          <w:rFonts w:cs="Times New Roman"/>
          <w:lang w:val="de-CH"/>
        </w:rPr>
        <w:t xml:space="preserve"> </w:t>
      </w:r>
      <w:r w:rsidR="00A10368" w:rsidRPr="00091A98">
        <w:rPr>
          <w:rFonts w:cs="Times New Roman"/>
          <w:lang w:val="de-CH"/>
        </w:rPr>
        <w:t xml:space="preserve">Dass Themenfeld und Wettbewerb tatsächlich </w:t>
      </w:r>
      <w:r w:rsidR="00B77C36" w:rsidRPr="00091A98">
        <w:rPr>
          <w:rFonts w:cs="Times New Roman"/>
          <w:lang w:val="de-CH"/>
        </w:rPr>
        <w:t>nicht unabhängig voneinand</w:t>
      </w:r>
      <w:r w:rsidR="008A497B" w:rsidRPr="00091A98">
        <w:rPr>
          <w:rFonts w:cs="Times New Roman"/>
          <w:lang w:val="de-CH"/>
        </w:rPr>
        <w:t>er sind (weshalb Themenfeld als</w:t>
      </w:r>
      <w:r w:rsidR="00B77C36" w:rsidRPr="00091A98">
        <w:rPr>
          <w:rFonts w:cs="Times New Roman"/>
          <w:lang w:val="de-CH"/>
        </w:rPr>
        <w:t xml:space="preserve"> Kontrollvariable notwendig ist), zeigt sich in Tabelle 2. </w:t>
      </w:r>
      <w:r w:rsidR="00377264" w:rsidRPr="00091A98">
        <w:rPr>
          <w:rFonts w:cs="Times New Roman"/>
          <w:lang w:val="de-CH"/>
        </w:rPr>
        <w:t>Besonders in den Themenbereichen Politik, Gesundheit und Umwelt ist der Wettbewerb</w:t>
      </w:r>
      <w:r w:rsidR="004663F5" w:rsidRPr="00091A98">
        <w:rPr>
          <w:rFonts w:cs="Times New Roman"/>
          <w:lang w:val="de-CH"/>
        </w:rPr>
        <w:t>sdruck hoch. Ü</w:t>
      </w:r>
      <w:r w:rsidR="00377264" w:rsidRPr="00091A98">
        <w:rPr>
          <w:rFonts w:cs="Times New Roman"/>
          <w:lang w:val="de-CH"/>
        </w:rPr>
        <w:t xml:space="preserve">ber 20% der Organisationen </w:t>
      </w:r>
      <w:r w:rsidR="00F62F17" w:rsidRPr="00091A98">
        <w:rPr>
          <w:rFonts w:cs="Times New Roman"/>
          <w:lang w:val="de-CH"/>
        </w:rPr>
        <w:t>in dies</w:t>
      </w:r>
      <w:r w:rsidR="004663F5" w:rsidRPr="00091A98">
        <w:rPr>
          <w:rFonts w:cs="Times New Roman"/>
          <w:lang w:val="de-CH"/>
        </w:rPr>
        <w:t xml:space="preserve">en Bereichen </w:t>
      </w:r>
      <w:r w:rsidR="00377264" w:rsidRPr="00091A98">
        <w:rPr>
          <w:rFonts w:cs="Times New Roman"/>
          <w:lang w:val="de-CH"/>
        </w:rPr>
        <w:t>geben an, einem hohen oder sehr hohen</w:t>
      </w:r>
      <w:r w:rsidR="004663F5" w:rsidRPr="00091A98">
        <w:rPr>
          <w:rFonts w:cs="Times New Roman"/>
          <w:lang w:val="de-CH"/>
        </w:rPr>
        <w:t xml:space="preserve"> Wettbewerb ausgesetzt zu sein, während die</w:t>
      </w:r>
      <w:r w:rsidR="00F62F17" w:rsidRPr="00091A98">
        <w:rPr>
          <w:rFonts w:cs="Times New Roman"/>
          <w:lang w:val="de-CH"/>
        </w:rPr>
        <w:t>s</w:t>
      </w:r>
      <w:r w:rsidR="004663F5" w:rsidRPr="00091A98">
        <w:rPr>
          <w:rFonts w:cs="Times New Roman"/>
          <w:lang w:val="de-CH"/>
        </w:rPr>
        <w:t xml:space="preserve"> für weniger als 10% der Organisationen in den Themenbereichen Religion und </w:t>
      </w:r>
      <w:r w:rsidR="002D02C2" w:rsidRPr="00091A98">
        <w:rPr>
          <w:rFonts w:cs="Times New Roman"/>
          <w:lang w:val="de-CH"/>
        </w:rPr>
        <w:t xml:space="preserve">Freizeit der Fall ist. </w:t>
      </w:r>
    </w:p>
    <w:p w14:paraId="7906D253" w14:textId="77777777" w:rsidR="003F0C6D" w:rsidRPr="00091A98" w:rsidRDefault="003F0C6D" w:rsidP="009F5188">
      <w:pPr>
        <w:spacing w:line="360" w:lineRule="auto"/>
        <w:rPr>
          <w:rFonts w:cs="Times New Roman"/>
          <w:lang w:val="de-CH"/>
        </w:rPr>
      </w:pPr>
    </w:p>
    <w:p w14:paraId="0E44AD24" w14:textId="253BC8E8" w:rsidR="003F0C6D" w:rsidRPr="00091A98" w:rsidRDefault="003F0C6D" w:rsidP="003F0C6D">
      <w:pPr>
        <w:spacing w:line="360" w:lineRule="auto"/>
        <w:jc w:val="center"/>
        <w:rPr>
          <w:rFonts w:cs="Times New Roman"/>
          <w:lang w:val="de-CH"/>
        </w:rPr>
      </w:pPr>
      <w:r w:rsidRPr="00091A98">
        <w:rPr>
          <w:rFonts w:ascii="Cambria" w:hAnsi="Cambria"/>
          <w:lang w:val="de-CH"/>
        </w:rPr>
        <w:t>*** TABELLE 2 HIER EINFÜGEN ***</w:t>
      </w:r>
    </w:p>
    <w:p w14:paraId="2FE57E9E" w14:textId="77777777" w:rsidR="0053778A" w:rsidRPr="00091A98" w:rsidRDefault="0053778A" w:rsidP="009F5188">
      <w:pPr>
        <w:spacing w:line="360" w:lineRule="auto"/>
        <w:rPr>
          <w:rFonts w:cs="Times New Roman"/>
          <w:lang w:val="de-CH"/>
        </w:rPr>
      </w:pPr>
    </w:p>
    <w:p w14:paraId="12373F27" w14:textId="05AE90F6" w:rsidR="0053778A" w:rsidRPr="00091A98" w:rsidRDefault="0053778A" w:rsidP="009F5188">
      <w:pPr>
        <w:spacing w:line="360" w:lineRule="auto"/>
        <w:rPr>
          <w:rFonts w:cs="Times New Roman"/>
          <w:lang w:val="de-CH"/>
        </w:rPr>
      </w:pPr>
      <w:r w:rsidRPr="00091A98">
        <w:rPr>
          <w:rFonts w:cs="Times New Roman"/>
          <w:u w:val="single"/>
          <w:lang w:val="de-CH"/>
        </w:rPr>
        <w:lastRenderedPageBreak/>
        <w:t>Lobbykoalition:</w:t>
      </w:r>
      <w:r w:rsidRPr="00091A98">
        <w:rPr>
          <w:rFonts w:cs="Times New Roman"/>
          <w:lang w:val="de-CH"/>
        </w:rPr>
        <w:t xml:space="preserve"> </w:t>
      </w:r>
      <w:r w:rsidR="00787FA8" w:rsidRPr="00091A98">
        <w:rPr>
          <w:rFonts w:cs="Times New Roman"/>
          <w:lang w:val="de-CH"/>
        </w:rPr>
        <w:t xml:space="preserve">Tabelle 2 zeigt </w:t>
      </w:r>
      <w:r w:rsidR="00301C72" w:rsidRPr="00091A98">
        <w:rPr>
          <w:rFonts w:cs="Times New Roman"/>
          <w:lang w:val="de-CH"/>
        </w:rPr>
        <w:t>jedoch</w:t>
      </w:r>
      <w:r w:rsidR="00787FA8" w:rsidRPr="00091A98">
        <w:rPr>
          <w:rFonts w:cs="Times New Roman"/>
          <w:lang w:val="de-CH"/>
        </w:rPr>
        <w:t xml:space="preserve"> auch, dass in den Themengebieten mit besonders vielen Organisationen nicht automatisch der höchste Wettbewerb</w:t>
      </w:r>
      <w:r w:rsidR="0044010A" w:rsidRPr="00091A98">
        <w:rPr>
          <w:rFonts w:cs="Times New Roman"/>
          <w:lang w:val="de-CH"/>
        </w:rPr>
        <w:t>sdruck</w:t>
      </w:r>
      <w:r w:rsidR="00787FA8" w:rsidRPr="00091A98">
        <w:rPr>
          <w:rFonts w:cs="Times New Roman"/>
          <w:lang w:val="de-CH"/>
        </w:rPr>
        <w:t xml:space="preserve"> herrscht. So ist etwa der Wettbewerb im Bereich Bildung trotz</w:t>
      </w:r>
      <w:r w:rsidR="00301C72" w:rsidRPr="00091A98">
        <w:rPr>
          <w:rFonts w:cs="Times New Roman"/>
          <w:lang w:val="de-CH"/>
        </w:rPr>
        <w:t xml:space="preserve"> einer hohen Interessengruppend</w:t>
      </w:r>
      <w:r w:rsidR="00787FA8" w:rsidRPr="00091A98">
        <w:rPr>
          <w:rFonts w:cs="Times New Roman"/>
          <w:lang w:val="de-CH"/>
        </w:rPr>
        <w:t>ichte relativ gering. Dies deutet darauf hin, dass nicht alle Gruppen innerhalb eines Themenfelds miteinander konkurrieren, sonder</w:t>
      </w:r>
      <w:r w:rsidR="00833036" w:rsidRPr="00091A98">
        <w:rPr>
          <w:rFonts w:cs="Times New Roman"/>
          <w:lang w:val="de-CH"/>
        </w:rPr>
        <w:t xml:space="preserve">n </w:t>
      </w:r>
      <w:r w:rsidR="00443F3B" w:rsidRPr="00091A98">
        <w:rPr>
          <w:rFonts w:cs="Times New Roman"/>
          <w:lang w:val="de-CH"/>
        </w:rPr>
        <w:t>im Gegenteil kooperieren</w:t>
      </w:r>
      <w:r w:rsidR="00D8498B" w:rsidRPr="00091A98">
        <w:rPr>
          <w:rFonts w:cs="Times New Roman"/>
          <w:lang w:val="de-CH"/>
        </w:rPr>
        <w:t xml:space="preserve"> um gemeinsam</w:t>
      </w:r>
      <w:r w:rsidR="00443F3B" w:rsidRPr="00091A98">
        <w:rPr>
          <w:rFonts w:cs="Times New Roman"/>
          <w:lang w:val="de-CH"/>
        </w:rPr>
        <w:t>e Ziele zu erreichen</w:t>
      </w:r>
      <w:r w:rsidR="00EE6341" w:rsidRPr="00091A98">
        <w:rPr>
          <w:rFonts w:cs="Times New Roman"/>
          <w:lang w:val="de-CH"/>
        </w:rPr>
        <w:t xml:space="preserve"> (Holyoke 2009)</w:t>
      </w:r>
      <w:r w:rsidR="00D8498B" w:rsidRPr="00091A98">
        <w:rPr>
          <w:rFonts w:cs="Times New Roman"/>
          <w:lang w:val="de-CH"/>
        </w:rPr>
        <w:t>, was den Wettkampf in dicht besiedelten Themengebieten re</w:t>
      </w:r>
      <w:r w:rsidR="0044010A" w:rsidRPr="00091A98">
        <w:rPr>
          <w:rFonts w:cs="Times New Roman"/>
          <w:lang w:val="de-CH"/>
        </w:rPr>
        <w:t xml:space="preserve">duziert (Lowery und Gray </w:t>
      </w:r>
      <w:r w:rsidR="00D8498B" w:rsidRPr="00091A98">
        <w:rPr>
          <w:rFonts w:cs="Times New Roman"/>
          <w:lang w:val="de-CH"/>
        </w:rPr>
        <w:t>1995)</w:t>
      </w:r>
      <w:r w:rsidR="00443F3B" w:rsidRPr="00091A98">
        <w:rPr>
          <w:rFonts w:cs="Times New Roman"/>
          <w:lang w:val="de-CH"/>
        </w:rPr>
        <w:t>.</w:t>
      </w:r>
      <w:r w:rsidR="00D8498B" w:rsidRPr="00091A98">
        <w:rPr>
          <w:rFonts w:cs="Times New Roman"/>
          <w:lang w:val="de-CH"/>
        </w:rPr>
        <w:t xml:space="preserve"> </w:t>
      </w:r>
      <w:r w:rsidR="00443F3B" w:rsidRPr="00091A98">
        <w:rPr>
          <w:rFonts w:cs="Times New Roman"/>
          <w:lang w:val="de-CH"/>
        </w:rPr>
        <w:t xml:space="preserve">Daher sollten solche Lobbykoalitionen </w:t>
      </w:r>
      <w:r w:rsidR="00D8498B" w:rsidRPr="00091A98">
        <w:rPr>
          <w:rFonts w:cs="Times New Roman"/>
          <w:lang w:val="de-CH"/>
        </w:rPr>
        <w:t>in den statistischen Modelle</w:t>
      </w:r>
      <w:r w:rsidR="00EE6341" w:rsidRPr="00091A98">
        <w:rPr>
          <w:rFonts w:cs="Times New Roman"/>
          <w:lang w:val="de-CH"/>
        </w:rPr>
        <w:t>n nicht ignoriert werden.</w:t>
      </w:r>
      <w:r w:rsidR="00D8498B" w:rsidRPr="00091A98">
        <w:rPr>
          <w:rFonts w:cs="Times New Roman"/>
          <w:lang w:val="de-CH"/>
        </w:rPr>
        <w:t xml:space="preserve"> </w:t>
      </w:r>
      <w:r w:rsidR="00342F70" w:rsidRPr="00091A98">
        <w:rPr>
          <w:rFonts w:cs="Times New Roman"/>
          <w:lang w:val="de-CH"/>
        </w:rPr>
        <w:t xml:space="preserve">In der Umfrage wurde den Interessengruppen allerdings keine Frage dahingehend gestellt, ob und mit wem sie Koalitionen zur Durchsetzung ihrer Interessen eingehen. </w:t>
      </w:r>
      <w:r w:rsidR="00BD5FB9" w:rsidRPr="00091A98">
        <w:rPr>
          <w:rFonts w:cs="Times New Roman"/>
          <w:lang w:val="de-CH"/>
        </w:rPr>
        <w:t xml:space="preserve">Wie bereits angesprochen, </w:t>
      </w:r>
      <w:r w:rsidR="005E1019" w:rsidRPr="00091A98">
        <w:rPr>
          <w:rFonts w:cs="Times New Roman"/>
          <w:lang w:val="de-CH"/>
        </w:rPr>
        <w:t xml:space="preserve">erfasst der dritte Faktor der für diese Studie durchgeführten Faktorenanalyse allerdings das Netzwerk- und </w:t>
      </w:r>
      <w:r w:rsidR="00407D83" w:rsidRPr="00091A98">
        <w:rPr>
          <w:rFonts w:cs="Times New Roman"/>
          <w:lang w:val="de-CH"/>
        </w:rPr>
        <w:t>Koalitions</w:t>
      </w:r>
      <w:r w:rsidR="005E1019" w:rsidRPr="00091A98">
        <w:rPr>
          <w:rFonts w:cs="Times New Roman"/>
          <w:lang w:val="de-CH"/>
        </w:rPr>
        <w:t>verhalten</w:t>
      </w:r>
      <w:r w:rsidR="00407D83" w:rsidRPr="00091A98">
        <w:rPr>
          <w:rFonts w:cs="Times New Roman"/>
          <w:lang w:val="de-CH"/>
        </w:rPr>
        <w:t xml:space="preserve"> von Interessengruppen mit anderen Organisationen sowie den eigenen Mitgliedern. Dieser dritte Faktor dient daher in der Folge als </w:t>
      </w:r>
      <w:r w:rsidR="00A857A8" w:rsidRPr="00091A98">
        <w:rPr>
          <w:rFonts w:cs="Times New Roman"/>
          <w:lang w:val="de-CH"/>
        </w:rPr>
        <w:t xml:space="preserve">Proxy für </w:t>
      </w:r>
      <w:r w:rsidR="0009037E" w:rsidRPr="00091A98">
        <w:rPr>
          <w:rFonts w:cs="Times New Roman"/>
          <w:lang w:val="de-CH"/>
        </w:rPr>
        <w:t>die Koalitionsbildung</w:t>
      </w:r>
      <w:r w:rsidR="00A857A8" w:rsidRPr="00091A98">
        <w:rPr>
          <w:rFonts w:cs="Times New Roman"/>
          <w:lang w:val="de-CH"/>
        </w:rPr>
        <w:t>.</w:t>
      </w:r>
    </w:p>
    <w:p w14:paraId="5F1D2BCE" w14:textId="77777777" w:rsidR="007030E2" w:rsidRPr="00091A98" w:rsidRDefault="007030E2" w:rsidP="009F5188">
      <w:pPr>
        <w:spacing w:line="360" w:lineRule="auto"/>
        <w:rPr>
          <w:rFonts w:cs="Times New Roman"/>
          <w:lang w:val="de-CH"/>
        </w:rPr>
      </w:pPr>
    </w:p>
    <w:p w14:paraId="5A9FDEB6" w14:textId="08104EBF" w:rsidR="00F25664" w:rsidRPr="00091A98" w:rsidRDefault="007030E2" w:rsidP="009F5188">
      <w:pPr>
        <w:spacing w:line="360" w:lineRule="auto"/>
        <w:rPr>
          <w:rFonts w:cs="Times New Roman"/>
          <w:lang w:val="de-CH"/>
        </w:rPr>
      </w:pPr>
      <w:r w:rsidRPr="00091A98">
        <w:rPr>
          <w:rFonts w:cs="Times New Roman"/>
          <w:u w:val="single"/>
          <w:lang w:val="de-CH"/>
        </w:rPr>
        <w:t>Gruppentyp:</w:t>
      </w:r>
      <w:r w:rsidRPr="00091A98">
        <w:rPr>
          <w:rFonts w:cs="Times New Roman"/>
          <w:lang w:val="de-CH"/>
        </w:rPr>
        <w:t xml:space="preserve"> </w:t>
      </w:r>
      <w:r w:rsidR="003E33FD" w:rsidRPr="00091A98">
        <w:rPr>
          <w:rFonts w:cs="Times New Roman"/>
          <w:lang w:val="de-CH"/>
        </w:rPr>
        <w:t>Als einzige Variable dieser Arbeit geht der Gruppentyp nicht direkt aus den Umfragedaten hervor. Die Organisationform ist jedoch eine wichtige Determinante der Lobbystrategie von Interes</w:t>
      </w:r>
      <w:r w:rsidR="004E5A7C" w:rsidRPr="00091A98">
        <w:rPr>
          <w:rFonts w:cs="Times New Roman"/>
          <w:lang w:val="de-CH"/>
        </w:rPr>
        <w:t>sengruppen (z.B. Dür und Mateo 2013; Binderkrantz</w:t>
      </w:r>
      <w:r w:rsidR="003E33FD" w:rsidRPr="00091A98">
        <w:rPr>
          <w:rFonts w:cs="Times New Roman"/>
          <w:lang w:val="de-CH"/>
        </w:rPr>
        <w:t xml:space="preserve"> 2008), weshalb für diese Arbeit alle relevanten Organisationen handkodiert wurden. In der Literatur werden allerdings eine Reihe unterschiedlicher Klassifizierungsschemen vor</w:t>
      </w:r>
      <w:r w:rsidR="00C57FF0" w:rsidRPr="00091A98">
        <w:rPr>
          <w:rFonts w:cs="Times New Roman"/>
          <w:lang w:val="de-CH"/>
        </w:rPr>
        <w:t xml:space="preserve">geschlagen, etwa </w:t>
      </w:r>
      <w:r w:rsidR="005D7B70" w:rsidRPr="00091A98">
        <w:rPr>
          <w:rFonts w:cs="Times New Roman"/>
          <w:lang w:val="de-CH"/>
        </w:rPr>
        <w:t>‚specific vs. diffuse interests’</w:t>
      </w:r>
      <w:r w:rsidR="00C57FF0" w:rsidRPr="00091A98">
        <w:rPr>
          <w:rFonts w:cs="Times New Roman"/>
          <w:lang w:val="de-CH"/>
        </w:rPr>
        <w:t xml:space="preserve"> (Kollman</w:t>
      </w:r>
      <w:r w:rsidR="003E33FD" w:rsidRPr="00091A98">
        <w:rPr>
          <w:rFonts w:cs="Times New Roman"/>
          <w:lang w:val="de-CH"/>
        </w:rPr>
        <w:t xml:space="preserve"> 1998), oder ‚groups with corporate resources vs. public </w:t>
      </w:r>
      <w:r w:rsidR="00C57FF0" w:rsidRPr="00091A98">
        <w:rPr>
          <w:rFonts w:cs="Times New Roman"/>
          <w:lang w:val="de-CH"/>
        </w:rPr>
        <w:t>interest groups</w:t>
      </w:r>
      <w:r w:rsidR="005D7B70" w:rsidRPr="00091A98">
        <w:rPr>
          <w:rFonts w:cs="Times New Roman"/>
          <w:lang w:val="de-CH"/>
        </w:rPr>
        <w:t>’</w:t>
      </w:r>
      <w:r w:rsidR="00C57FF0" w:rsidRPr="00091A98">
        <w:rPr>
          <w:rFonts w:cs="Times New Roman"/>
          <w:lang w:val="de-CH"/>
        </w:rPr>
        <w:t xml:space="preserve"> (Binderkrantz</w:t>
      </w:r>
      <w:r w:rsidR="003E33FD" w:rsidRPr="00091A98">
        <w:rPr>
          <w:rFonts w:cs="Times New Roman"/>
          <w:lang w:val="de-CH"/>
        </w:rPr>
        <w:t xml:space="preserve"> 2005, 2008). </w:t>
      </w:r>
      <w:r w:rsidR="007E6661" w:rsidRPr="00091A98">
        <w:rPr>
          <w:rFonts w:cs="Times New Roman"/>
          <w:lang w:val="de-CH"/>
        </w:rPr>
        <w:t>Für diese Arbeit wurde die in der Literatur häufig verw</w:t>
      </w:r>
      <w:r w:rsidR="00C57FF0" w:rsidRPr="00091A98">
        <w:rPr>
          <w:rFonts w:cs="Times New Roman"/>
          <w:lang w:val="de-CH"/>
        </w:rPr>
        <w:t>endete Unterscheidung zwischen gemeinnützigen Organisationen</w:t>
      </w:r>
      <w:r w:rsidR="007E6661" w:rsidRPr="00091A98">
        <w:rPr>
          <w:rFonts w:cs="Times New Roman"/>
          <w:lang w:val="de-CH"/>
        </w:rPr>
        <w:t xml:space="preserve"> (cause groups), </w:t>
      </w:r>
      <w:r w:rsidR="00C57FF0" w:rsidRPr="00091A98">
        <w:rPr>
          <w:rFonts w:cs="Times New Roman"/>
          <w:lang w:val="de-CH"/>
        </w:rPr>
        <w:t>spezifische Interessengruppen</w:t>
      </w:r>
      <w:r w:rsidR="007E6661" w:rsidRPr="00091A98">
        <w:rPr>
          <w:rFonts w:cs="Times New Roman"/>
          <w:lang w:val="de-CH"/>
        </w:rPr>
        <w:t xml:space="preserve"> </w:t>
      </w:r>
      <w:r w:rsidR="00C57FF0" w:rsidRPr="00091A98">
        <w:rPr>
          <w:rFonts w:cs="Times New Roman"/>
          <w:lang w:val="de-CH"/>
        </w:rPr>
        <w:t xml:space="preserve">(specific interest groups) und </w:t>
      </w:r>
      <w:r w:rsidR="007E6661" w:rsidRPr="00091A98">
        <w:rPr>
          <w:rFonts w:cs="Times New Roman"/>
          <w:lang w:val="de-CH"/>
        </w:rPr>
        <w:t>andere Interes</w:t>
      </w:r>
      <w:r w:rsidR="00C57FF0" w:rsidRPr="00091A98">
        <w:rPr>
          <w:rFonts w:cs="Times New Roman"/>
          <w:lang w:val="de-CH"/>
        </w:rPr>
        <w:t>sengruppen</w:t>
      </w:r>
      <w:r w:rsidR="00FC53D2" w:rsidRPr="00091A98">
        <w:rPr>
          <w:rFonts w:cs="Times New Roman"/>
          <w:lang w:val="de-CH"/>
        </w:rPr>
        <w:t xml:space="preserve"> verwendet (Weiler und Brändli 2015; Klüver 2012, Stewart</w:t>
      </w:r>
      <w:r w:rsidR="007E6661" w:rsidRPr="00091A98">
        <w:rPr>
          <w:rFonts w:cs="Times New Roman"/>
          <w:lang w:val="de-CH"/>
        </w:rPr>
        <w:t xml:space="preserve"> 1979). Gemeinnützige Organisationen verfolgen Ziele, die, zumindest aus Sicht der Gruppe, der Allgemeinheit zugute</w:t>
      </w:r>
      <w:r w:rsidR="00FC53D2" w:rsidRPr="00091A98">
        <w:rPr>
          <w:rFonts w:cs="Times New Roman"/>
          <w:lang w:val="de-CH"/>
        </w:rPr>
        <w:t xml:space="preserve"> </w:t>
      </w:r>
      <w:r w:rsidR="007E6661" w:rsidRPr="00091A98">
        <w:rPr>
          <w:rFonts w:cs="Times New Roman"/>
          <w:lang w:val="de-CH"/>
        </w:rPr>
        <w:t>kommen. Demgegenüber kämpfen spezifische Interessengruppen für (finanzielle) Vorteile der eigenen Mitglieder. In der Kategorie ‚andere Interessengruppen‘ befinden sich beispielsweise Pat</w:t>
      </w:r>
      <w:r w:rsidR="005957DE" w:rsidRPr="00091A98">
        <w:rPr>
          <w:rFonts w:cs="Times New Roman"/>
          <w:lang w:val="de-CH"/>
        </w:rPr>
        <w:t>i</w:t>
      </w:r>
      <w:r w:rsidR="007E6661" w:rsidRPr="00091A98">
        <w:rPr>
          <w:rFonts w:cs="Times New Roman"/>
          <w:lang w:val="de-CH"/>
        </w:rPr>
        <w:t>entenorganisationen, wissenschaftliche Gesellschaften, aber auch Hobbygruppen,</w:t>
      </w:r>
      <w:r w:rsidR="00C866CF" w:rsidRPr="00091A98">
        <w:rPr>
          <w:rFonts w:cs="Times New Roman"/>
          <w:lang w:val="de-CH"/>
        </w:rPr>
        <w:t xml:space="preserve"> da</w:t>
      </w:r>
      <w:r w:rsidR="007E6661" w:rsidRPr="00091A98">
        <w:rPr>
          <w:rFonts w:cs="Times New Roman"/>
          <w:lang w:val="de-CH"/>
        </w:rPr>
        <w:t xml:space="preserve"> </w:t>
      </w:r>
      <w:r w:rsidR="00C866CF" w:rsidRPr="00091A98">
        <w:rPr>
          <w:rFonts w:cs="Times New Roman"/>
          <w:lang w:val="de-CH"/>
        </w:rPr>
        <w:t xml:space="preserve">bei all diesen Gruppen unklar ist, in welche der anderen beiden Kategorien sie einzuordnen sind. 338 Organisationen im Datensatz sind gemeinnützig, 632 sind </w:t>
      </w:r>
      <w:r w:rsidR="00C866CF" w:rsidRPr="00091A98">
        <w:rPr>
          <w:rFonts w:cs="Times New Roman"/>
          <w:lang w:val="de-CH"/>
        </w:rPr>
        <w:lastRenderedPageBreak/>
        <w:t>spezifische Interessengruppen,</w:t>
      </w:r>
      <w:r w:rsidR="00734F55" w:rsidRPr="00091A98">
        <w:rPr>
          <w:rFonts w:cs="Times New Roman"/>
          <w:lang w:val="de-CH"/>
        </w:rPr>
        <w:t xml:space="preserve"> und 158 wurden der Kategorie ‚</w:t>
      </w:r>
      <w:r w:rsidR="00CD229D" w:rsidRPr="00091A98">
        <w:rPr>
          <w:rFonts w:cs="Times New Roman"/>
          <w:lang w:val="de-CH"/>
        </w:rPr>
        <w:t>a</w:t>
      </w:r>
      <w:r w:rsidR="00C866CF" w:rsidRPr="00091A98">
        <w:rPr>
          <w:rFonts w:cs="Times New Roman"/>
          <w:lang w:val="de-CH"/>
        </w:rPr>
        <w:t>ndere</w:t>
      </w:r>
      <w:r w:rsidR="00CD229D" w:rsidRPr="00091A98">
        <w:rPr>
          <w:rFonts w:cs="Times New Roman"/>
          <w:lang w:val="de-CH"/>
        </w:rPr>
        <w:t xml:space="preserve"> Interessengruppen</w:t>
      </w:r>
      <w:r w:rsidR="00734F55" w:rsidRPr="00091A98">
        <w:rPr>
          <w:rFonts w:cs="Times New Roman"/>
          <w:lang w:val="de-CH"/>
        </w:rPr>
        <w:t>’</w:t>
      </w:r>
      <w:r w:rsidR="00C866CF" w:rsidRPr="00091A98">
        <w:rPr>
          <w:rFonts w:cs="Times New Roman"/>
          <w:lang w:val="de-CH"/>
        </w:rPr>
        <w:t xml:space="preserve"> zugeordnet.</w:t>
      </w:r>
    </w:p>
    <w:p w14:paraId="6D2D26B7" w14:textId="694E5611" w:rsidR="007030E2" w:rsidRPr="00091A98" w:rsidRDefault="00C866CF" w:rsidP="003B0D5D">
      <w:pPr>
        <w:tabs>
          <w:tab w:val="left" w:pos="5334"/>
        </w:tabs>
        <w:spacing w:line="360" w:lineRule="auto"/>
        <w:rPr>
          <w:rFonts w:cs="Times New Roman"/>
          <w:lang w:val="de-CH"/>
        </w:rPr>
      </w:pPr>
      <w:r w:rsidRPr="00091A98">
        <w:rPr>
          <w:rFonts w:cs="Times New Roman"/>
          <w:lang w:val="de-CH"/>
        </w:rPr>
        <w:tab/>
      </w:r>
    </w:p>
    <w:p w14:paraId="12F63340" w14:textId="20D78B0E" w:rsidR="009F5188" w:rsidRPr="00091A98" w:rsidRDefault="009F5188" w:rsidP="009F5188">
      <w:pPr>
        <w:spacing w:line="360" w:lineRule="auto"/>
        <w:rPr>
          <w:rFonts w:cs="Times New Roman"/>
          <w:lang w:val="de-CH"/>
        </w:rPr>
      </w:pPr>
      <w:r w:rsidRPr="00091A98">
        <w:rPr>
          <w:rFonts w:cs="Times New Roman"/>
          <w:lang w:val="de-CH"/>
        </w:rPr>
        <w:t xml:space="preserve"> </w:t>
      </w:r>
      <w:r w:rsidR="00C866CF" w:rsidRPr="00091A98">
        <w:rPr>
          <w:rFonts w:cs="Times New Roman"/>
          <w:lang w:val="de-CH"/>
        </w:rPr>
        <w:t xml:space="preserve">Länderdummy: </w:t>
      </w:r>
      <w:r w:rsidRPr="00091A98">
        <w:rPr>
          <w:rFonts w:cs="Times New Roman"/>
          <w:lang w:val="de-CH"/>
        </w:rPr>
        <w:t>Schlie</w:t>
      </w:r>
      <w:r w:rsidR="00326CFE" w:rsidRPr="00091A98">
        <w:rPr>
          <w:rFonts w:cs="Times New Roman"/>
          <w:lang w:val="de-CH"/>
        </w:rPr>
        <w:t>ss</w:t>
      </w:r>
      <w:r w:rsidRPr="00091A98">
        <w:rPr>
          <w:rFonts w:cs="Times New Roman"/>
          <w:lang w:val="de-CH"/>
        </w:rPr>
        <w:t>lich ist in den statistischen Modellen noch ein Länder-Dummy inkludiert, um systematische Unterschiede zwischen Deutschland</w:t>
      </w:r>
      <w:r w:rsidR="00C866CF" w:rsidRPr="00091A98">
        <w:rPr>
          <w:rFonts w:cs="Times New Roman"/>
          <w:lang w:val="de-CH"/>
        </w:rPr>
        <w:t xml:space="preserve"> (543 Organisationen)</w:t>
      </w:r>
      <w:r w:rsidRPr="00091A98">
        <w:rPr>
          <w:rFonts w:cs="Times New Roman"/>
          <w:lang w:val="de-CH"/>
        </w:rPr>
        <w:t xml:space="preserve"> und der Schweiz</w:t>
      </w:r>
      <w:r w:rsidR="00C866CF" w:rsidRPr="00091A98">
        <w:rPr>
          <w:rFonts w:cs="Times New Roman"/>
          <w:lang w:val="de-CH"/>
        </w:rPr>
        <w:t xml:space="preserve"> (585)</w:t>
      </w:r>
      <w:r w:rsidRPr="00091A98">
        <w:rPr>
          <w:rFonts w:cs="Times New Roman"/>
          <w:lang w:val="de-CH"/>
        </w:rPr>
        <w:t xml:space="preserve"> zu erfassen.</w:t>
      </w:r>
      <w:r w:rsidR="00C866CF" w:rsidRPr="00091A98">
        <w:rPr>
          <w:rFonts w:cs="Times New Roman"/>
          <w:lang w:val="de-CH"/>
        </w:rPr>
        <w:t xml:space="preserve"> </w:t>
      </w:r>
      <w:r w:rsidR="004A4EE7" w:rsidRPr="00091A98">
        <w:rPr>
          <w:rFonts w:cs="Times New Roman"/>
          <w:lang w:val="de-CH"/>
        </w:rPr>
        <w:t>In Tabelle 3</w:t>
      </w:r>
      <w:r w:rsidRPr="00091A98">
        <w:rPr>
          <w:rFonts w:cs="Times New Roman"/>
          <w:lang w:val="de-CH"/>
        </w:rPr>
        <w:t xml:space="preserve"> </w:t>
      </w:r>
      <w:r w:rsidR="00505F90" w:rsidRPr="00091A98">
        <w:rPr>
          <w:rFonts w:cs="Times New Roman"/>
          <w:lang w:val="de-CH"/>
        </w:rPr>
        <w:t>sind</w:t>
      </w:r>
      <w:r w:rsidRPr="00091A98">
        <w:rPr>
          <w:rFonts w:cs="Times New Roman"/>
          <w:lang w:val="de-CH"/>
        </w:rPr>
        <w:t xml:space="preserve"> die Übersichtsstatistiken aller abhängigen und unabhängigen Variablen, die dieser Studie zugrunde liegen, </w:t>
      </w:r>
      <w:r w:rsidR="00505F90" w:rsidRPr="00091A98">
        <w:rPr>
          <w:rFonts w:cs="Times New Roman"/>
          <w:lang w:val="de-CH"/>
        </w:rPr>
        <w:t>abgebildet</w:t>
      </w:r>
      <w:r w:rsidRPr="00091A98">
        <w:rPr>
          <w:rFonts w:cs="Times New Roman"/>
          <w:lang w:val="de-CH"/>
        </w:rPr>
        <w:t>.</w:t>
      </w:r>
    </w:p>
    <w:p w14:paraId="0A18D939" w14:textId="77777777" w:rsidR="009F5188" w:rsidRPr="00091A98" w:rsidRDefault="009F5188" w:rsidP="009F5188">
      <w:pPr>
        <w:spacing w:line="360" w:lineRule="auto"/>
        <w:rPr>
          <w:rFonts w:cs="Times New Roman"/>
          <w:lang w:val="de-CH"/>
        </w:rPr>
      </w:pPr>
    </w:p>
    <w:p w14:paraId="4A9FF896" w14:textId="1248C23A" w:rsidR="009F5188" w:rsidRPr="00091A98" w:rsidRDefault="00AD4DA7" w:rsidP="003B0D5D">
      <w:pPr>
        <w:spacing w:line="360" w:lineRule="auto"/>
        <w:jc w:val="center"/>
        <w:rPr>
          <w:rFonts w:cs="Times New Roman"/>
          <w:lang w:val="de-CH"/>
        </w:rPr>
      </w:pPr>
      <w:r w:rsidRPr="00091A98">
        <w:rPr>
          <w:rFonts w:ascii="Cambria" w:hAnsi="Cambria"/>
          <w:lang w:val="de-CH"/>
        </w:rPr>
        <w:t xml:space="preserve">*** </w:t>
      </w:r>
      <w:r w:rsidR="009F5188" w:rsidRPr="00091A98">
        <w:rPr>
          <w:rFonts w:ascii="Cambria" w:hAnsi="Cambria"/>
          <w:lang w:val="de-CH"/>
        </w:rPr>
        <w:t>T</w:t>
      </w:r>
      <w:r w:rsidR="004A4EE7" w:rsidRPr="00091A98">
        <w:rPr>
          <w:rFonts w:ascii="Cambria" w:hAnsi="Cambria"/>
          <w:lang w:val="de-CH"/>
        </w:rPr>
        <w:t>ABELLE 3</w:t>
      </w:r>
      <w:r w:rsidR="009F5188" w:rsidRPr="00091A98">
        <w:rPr>
          <w:rFonts w:ascii="Cambria" w:hAnsi="Cambria"/>
          <w:lang w:val="de-CH"/>
        </w:rPr>
        <w:t xml:space="preserve"> HIER EINFÜGEN</w:t>
      </w:r>
      <w:r w:rsidRPr="00091A98">
        <w:rPr>
          <w:rFonts w:ascii="Cambria" w:hAnsi="Cambria"/>
          <w:lang w:val="de-CH"/>
        </w:rPr>
        <w:t xml:space="preserve"> ***</w:t>
      </w:r>
    </w:p>
    <w:p w14:paraId="76105E51" w14:textId="77777777" w:rsidR="009F5188" w:rsidRPr="00091A98" w:rsidRDefault="009F5188" w:rsidP="009F5188">
      <w:pPr>
        <w:spacing w:line="360" w:lineRule="auto"/>
        <w:rPr>
          <w:rFonts w:cs="Times New Roman"/>
          <w:lang w:val="de-CH"/>
        </w:rPr>
      </w:pPr>
    </w:p>
    <w:p w14:paraId="15989042" w14:textId="77777777" w:rsidR="00E72A3E" w:rsidRPr="00091A98" w:rsidRDefault="00E72A3E" w:rsidP="009F5188">
      <w:pPr>
        <w:spacing w:line="360" w:lineRule="auto"/>
        <w:rPr>
          <w:rFonts w:cs="Times New Roman"/>
          <w:b/>
          <w:lang w:val="de-CH"/>
        </w:rPr>
      </w:pPr>
    </w:p>
    <w:p w14:paraId="6CFF42BB" w14:textId="77777777" w:rsidR="009F5188" w:rsidRPr="00091A98" w:rsidRDefault="009F5188" w:rsidP="009F5188">
      <w:pPr>
        <w:spacing w:line="360" w:lineRule="auto"/>
        <w:rPr>
          <w:rFonts w:cs="Times New Roman"/>
          <w:b/>
          <w:lang w:val="de-CH"/>
        </w:rPr>
      </w:pPr>
      <w:r w:rsidRPr="00091A98">
        <w:rPr>
          <w:rFonts w:cs="Times New Roman"/>
          <w:b/>
          <w:lang w:val="de-CH"/>
        </w:rPr>
        <w:t>4. Datenanalyse und Diskussion</w:t>
      </w:r>
    </w:p>
    <w:p w14:paraId="49265F69" w14:textId="77777777" w:rsidR="003B310E" w:rsidRPr="00091A98" w:rsidRDefault="003B310E" w:rsidP="009F5188">
      <w:pPr>
        <w:spacing w:line="360" w:lineRule="auto"/>
        <w:rPr>
          <w:rFonts w:cs="Times New Roman"/>
          <w:b/>
          <w:lang w:val="de-CH"/>
        </w:rPr>
      </w:pPr>
    </w:p>
    <w:p w14:paraId="57B55235" w14:textId="278B2AA2" w:rsidR="009C3AC3" w:rsidRPr="00091A98" w:rsidRDefault="009C3AC3" w:rsidP="009C3AC3">
      <w:pPr>
        <w:spacing w:line="360" w:lineRule="auto"/>
        <w:rPr>
          <w:rFonts w:cs="Times New Roman"/>
          <w:lang w:val="de-CH"/>
        </w:rPr>
      </w:pPr>
      <w:r w:rsidRPr="00091A98">
        <w:rPr>
          <w:rFonts w:cs="Times New Roman"/>
          <w:lang w:val="de-CH"/>
        </w:rPr>
        <w:t xml:space="preserve">Um den Einfluss des Wettbewerbs auf das Lobbyverhalten empirisch festzustellen, wird in dieser Studie zunächst eine einfache, bivariate Analyse durchgeführt, in der die Mittelwerte der </w:t>
      </w:r>
      <w:r w:rsidR="006652E5" w:rsidRPr="00091A98">
        <w:rPr>
          <w:rFonts w:cs="Times New Roman"/>
          <w:lang w:val="de-CH"/>
        </w:rPr>
        <w:t>Wichtigkeit der</w:t>
      </w:r>
      <w:r w:rsidR="008E5FBF" w:rsidRPr="00091A98">
        <w:rPr>
          <w:rFonts w:cs="Times New Roman"/>
          <w:lang w:val="de-CH"/>
        </w:rPr>
        <w:t xml:space="preserve"> </w:t>
      </w:r>
      <w:r w:rsidR="006652E5" w:rsidRPr="00091A98">
        <w:rPr>
          <w:rFonts w:cs="Times New Roman"/>
          <w:lang w:val="de-CH"/>
        </w:rPr>
        <w:t xml:space="preserve">vier Zielgruppen der Lobbybemühungen (Regierung, Parteien, Medien und die Öffentlichkeit) </w:t>
      </w:r>
      <w:r w:rsidRPr="00091A98">
        <w:rPr>
          <w:rFonts w:cs="Times New Roman"/>
          <w:lang w:val="de-CH"/>
        </w:rPr>
        <w:t>bei unterschiedlicher Stärke des Wettbewerbs berechnet werden. Auch in den Modellen der Regressionsanalyse wird nicht ein einzelner Koeffizient für den Wettbewerb</w:t>
      </w:r>
      <w:r w:rsidR="003A125C" w:rsidRPr="00091A98">
        <w:rPr>
          <w:rFonts w:cs="Times New Roman"/>
          <w:lang w:val="de-CH"/>
        </w:rPr>
        <w:t xml:space="preserve"> berechnet, da dies voraussetzen würde</w:t>
      </w:r>
      <w:r w:rsidRPr="00091A98">
        <w:rPr>
          <w:rFonts w:cs="Times New Roman"/>
          <w:lang w:val="de-CH"/>
        </w:rPr>
        <w:t>, dass Unterschied</w:t>
      </w:r>
      <w:r w:rsidR="00BC5608" w:rsidRPr="00091A98">
        <w:rPr>
          <w:rFonts w:cs="Times New Roman"/>
          <w:lang w:val="de-CH"/>
        </w:rPr>
        <w:t>e</w:t>
      </w:r>
      <w:r w:rsidRPr="00091A98">
        <w:rPr>
          <w:rFonts w:cs="Times New Roman"/>
          <w:lang w:val="de-CH"/>
        </w:rPr>
        <w:t xml:space="preserve"> zwischen </w:t>
      </w:r>
      <w:r w:rsidR="00BC5608" w:rsidRPr="00091A98">
        <w:rPr>
          <w:rFonts w:cs="Times New Roman"/>
          <w:lang w:val="de-CH"/>
        </w:rPr>
        <w:t>benachbarten Kategorien je gleich stark ausgeprägt sind</w:t>
      </w:r>
      <w:r w:rsidRPr="00091A98">
        <w:rPr>
          <w:rFonts w:cs="Times New Roman"/>
          <w:lang w:val="de-CH"/>
        </w:rPr>
        <w:t>. Stattdessen wird für jeden Level der Wettbewerbsintensität ein eigener Koeffizient geschätzt, wobei als Referenzkategorie die Stufe mit dem geringsten Wettbewerb gewählt wurde. Auf diese Weise können unterschiedlich starke Effekte zwischen den einzelnen Konkurrenzn</w:t>
      </w:r>
      <w:r w:rsidR="00F0085E" w:rsidRPr="00091A98">
        <w:rPr>
          <w:rFonts w:cs="Times New Roman"/>
          <w:lang w:val="de-CH"/>
        </w:rPr>
        <w:t>iveaus empirisch erfasst werden</w:t>
      </w:r>
      <w:r w:rsidRPr="00091A98">
        <w:rPr>
          <w:rFonts w:cs="Times New Roman"/>
          <w:lang w:val="de-CH"/>
        </w:rPr>
        <w:t>.</w:t>
      </w:r>
    </w:p>
    <w:p w14:paraId="17B00323" w14:textId="77777777" w:rsidR="009F5188" w:rsidRPr="00091A98" w:rsidRDefault="009F5188" w:rsidP="009F5188">
      <w:pPr>
        <w:spacing w:line="360" w:lineRule="auto"/>
        <w:rPr>
          <w:rFonts w:cs="Times New Roman"/>
          <w:lang w:val="de-CH"/>
        </w:rPr>
      </w:pPr>
    </w:p>
    <w:p w14:paraId="1B9C56A9" w14:textId="68072E0B" w:rsidR="009C3AC3" w:rsidRPr="00091A98" w:rsidRDefault="001E7156" w:rsidP="003B310E">
      <w:pPr>
        <w:spacing w:line="360" w:lineRule="auto"/>
        <w:rPr>
          <w:rFonts w:cs="Times New Roman"/>
          <w:lang w:val="de-CH"/>
        </w:rPr>
      </w:pPr>
      <w:r w:rsidRPr="00091A98">
        <w:rPr>
          <w:rFonts w:cs="Times New Roman"/>
          <w:lang w:val="de-CH"/>
        </w:rPr>
        <w:t>4.1. Bivariate Analyse</w:t>
      </w:r>
    </w:p>
    <w:p w14:paraId="60272D10" w14:textId="77777777" w:rsidR="003B310E" w:rsidRPr="00091A98" w:rsidRDefault="003B310E" w:rsidP="003B310E">
      <w:pPr>
        <w:spacing w:line="360" w:lineRule="auto"/>
        <w:rPr>
          <w:rFonts w:cs="Times New Roman"/>
          <w:lang w:val="de-CH"/>
        </w:rPr>
      </w:pPr>
    </w:p>
    <w:p w14:paraId="56750B4A" w14:textId="79C7E94D" w:rsidR="009F5188" w:rsidRPr="00091A98" w:rsidRDefault="003B310E" w:rsidP="009F5188">
      <w:pPr>
        <w:spacing w:line="360" w:lineRule="auto"/>
        <w:rPr>
          <w:rFonts w:cs="Times New Roman"/>
          <w:lang w:val="de-CH"/>
        </w:rPr>
      </w:pPr>
      <w:r w:rsidRPr="00091A98">
        <w:rPr>
          <w:rFonts w:cs="Times New Roman"/>
          <w:lang w:val="de-CH"/>
        </w:rPr>
        <w:t xml:space="preserve">Wie wirkt sich also der Wettbewerb auf die </w:t>
      </w:r>
      <w:r w:rsidR="00EF1956" w:rsidRPr="00091A98">
        <w:rPr>
          <w:rFonts w:cs="Times New Roman"/>
          <w:lang w:val="de-CH"/>
        </w:rPr>
        <w:t>Bedeutung der verschiedenen Lobbyziele</w:t>
      </w:r>
      <w:r w:rsidRPr="00091A98">
        <w:rPr>
          <w:rFonts w:cs="Times New Roman"/>
          <w:lang w:val="de-CH"/>
        </w:rPr>
        <w:t xml:space="preserve"> aus?</w:t>
      </w:r>
      <w:r w:rsidR="009F5188" w:rsidRPr="00091A98">
        <w:rPr>
          <w:rFonts w:cs="Times New Roman"/>
          <w:lang w:val="de-CH"/>
        </w:rPr>
        <w:t xml:space="preserve"> In Abbildung 3 sind die Ergebnisse einer einfachen, bivariaten Analyse zur Erörterung dieser Frage graphisch dargestellt. Auf der x-Achse der vier Teilabbildungen (eine für jede der vier Zielgruppen des Lobbying</w:t>
      </w:r>
      <w:r w:rsidR="0074688C" w:rsidRPr="00091A98">
        <w:rPr>
          <w:rFonts w:cs="Times New Roman"/>
          <w:lang w:val="de-CH"/>
        </w:rPr>
        <w:t>s</w:t>
      </w:r>
      <w:r w:rsidR="009F5188" w:rsidRPr="00091A98">
        <w:rPr>
          <w:rFonts w:cs="Times New Roman"/>
          <w:lang w:val="de-CH"/>
        </w:rPr>
        <w:t xml:space="preserve">) sind die fünf Stufen der Wettbewerbsintensität abgebildet, von sehr </w:t>
      </w:r>
      <w:r w:rsidRPr="00091A98">
        <w:rPr>
          <w:rFonts w:cs="Times New Roman"/>
          <w:lang w:val="de-CH"/>
        </w:rPr>
        <w:t xml:space="preserve">gering </w:t>
      </w:r>
      <w:r w:rsidR="009F5188" w:rsidRPr="00091A98">
        <w:rPr>
          <w:rFonts w:cs="Times New Roman"/>
          <w:lang w:val="de-CH"/>
        </w:rPr>
        <w:t xml:space="preserve">(1) bis sehr </w:t>
      </w:r>
      <w:r w:rsidRPr="00091A98">
        <w:rPr>
          <w:rFonts w:cs="Times New Roman"/>
          <w:lang w:val="de-CH"/>
        </w:rPr>
        <w:t xml:space="preserve">stark </w:t>
      </w:r>
      <w:r w:rsidR="009F5188" w:rsidRPr="00091A98">
        <w:rPr>
          <w:rFonts w:cs="Times New Roman"/>
          <w:lang w:val="de-CH"/>
        </w:rPr>
        <w:t xml:space="preserve">(5). Die y-Achse zeigt den korrespondierenden Mittelwert der Wichtigkeit des jeweiligen Lobbyzieles für </w:t>
      </w:r>
      <w:r w:rsidR="009F5188" w:rsidRPr="00091A98">
        <w:rPr>
          <w:rFonts w:cs="Times New Roman"/>
          <w:lang w:val="de-CH"/>
        </w:rPr>
        <w:lastRenderedPageBreak/>
        <w:t>alle Gruppen, die der jeweiligen Wettbewerbskategorie zugeordnet sind. Neben dem Mittelwert über alle Gruppen hinweg werden in der Abbildung noch die Mittelwerte für die Interessengruppen in Deutschland und der Schweiz gesondert gezeigt, um ein differenzierteres Bild zu ermöglichen.</w:t>
      </w:r>
    </w:p>
    <w:p w14:paraId="633EEADA" w14:textId="77777777" w:rsidR="009F5188" w:rsidRPr="00091A98" w:rsidRDefault="009F5188" w:rsidP="009F5188">
      <w:pPr>
        <w:spacing w:line="360" w:lineRule="auto"/>
        <w:rPr>
          <w:rFonts w:cs="Times New Roman"/>
          <w:lang w:val="de-CH"/>
        </w:rPr>
      </w:pPr>
    </w:p>
    <w:p w14:paraId="7FC48648" w14:textId="09766280" w:rsidR="009F5188" w:rsidRPr="00091A98" w:rsidRDefault="00270558" w:rsidP="009F5188">
      <w:pPr>
        <w:spacing w:line="360" w:lineRule="auto"/>
        <w:jc w:val="center"/>
        <w:rPr>
          <w:rFonts w:ascii="Cambria" w:hAnsi="Cambria"/>
          <w:lang w:val="de-CH"/>
        </w:rPr>
      </w:pPr>
      <w:r w:rsidRPr="00091A98">
        <w:rPr>
          <w:rFonts w:ascii="Cambria" w:hAnsi="Cambria"/>
          <w:lang w:val="de-CH"/>
        </w:rPr>
        <w:t xml:space="preserve">*** </w:t>
      </w:r>
      <w:r w:rsidR="009F5188" w:rsidRPr="00091A98">
        <w:rPr>
          <w:rFonts w:ascii="Cambria" w:hAnsi="Cambria"/>
          <w:lang w:val="de-CH"/>
        </w:rPr>
        <w:t>ABBILDUNG 3 HIER EINFÜGEN</w:t>
      </w:r>
      <w:r w:rsidRPr="00091A98">
        <w:rPr>
          <w:rFonts w:ascii="Cambria" w:hAnsi="Cambria"/>
          <w:lang w:val="de-CH"/>
        </w:rPr>
        <w:t xml:space="preserve"> ***</w:t>
      </w:r>
    </w:p>
    <w:p w14:paraId="3160773C" w14:textId="77777777" w:rsidR="009F5188" w:rsidRPr="00091A98" w:rsidRDefault="009F5188" w:rsidP="009F5188">
      <w:pPr>
        <w:spacing w:line="360" w:lineRule="auto"/>
        <w:rPr>
          <w:rFonts w:cs="Times New Roman"/>
          <w:lang w:val="de-CH"/>
        </w:rPr>
      </w:pPr>
    </w:p>
    <w:p w14:paraId="254C759C" w14:textId="66E94290" w:rsidR="00D3058D" w:rsidRPr="00091A98" w:rsidRDefault="009F5188" w:rsidP="009F5188">
      <w:pPr>
        <w:spacing w:line="360" w:lineRule="auto"/>
        <w:rPr>
          <w:rFonts w:cs="Times New Roman"/>
          <w:lang w:val="de-CH"/>
        </w:rPr>
      </w:pPr>
      <w:r w:rsidRPr="00091A98">
        <w:rPr>
          <w:rFonts w:cs="Times New Roman"/>
          <w:lang w:val="de-CH"/>
        </w:rPr>
        <w:t xml:space="preserve">In der Abbildung ist zu sehen, dass der globale Mittelwert </w:t>
      </w:r>
      <w:r w:rsidR="003B310E" w:rsidRPr="00091A98">
        <w:rPr>
          <w:rFonts w:cs="Times New Roman"/>
          <w:lang w:val="de-CH"/>
        </w:rPr>
        <w:t xml:space="preserve">bei einer höheren </w:t>
      </w:r>
      <w:r w:rsidRPr="00091A98">
        <w:rPr>
          <w:rFonts w:cs="Times New Roman"/>
          <w:lang w:val="de-CH"/>
        </w:rPr>
        <w:t xml:space="preserve">Intensität des Wettbewerbs zunimmt. </w:t>
      </w:r>
      <w:r w:rsidR="003B310E" w:rsidRPr="00091A98">
        <w:rPr>
          <w:rFonts w:cs="Times New Roman"/>
          <w:lang w:val="de-CH"/>
        </w:rPr>
        <w:t>In</w:t>
      </w:r>
      <w:r w:rsidRPr="00091A98">
        <w:rPr>
          <w:rFonts w:cs="Times New Roman"/>
          <w:lang w:val="de-CH"/>
        </w:rPr>
        <w:t xml:space="preserve"> allen vier Fällen steigt die Wichtigkeit eines Ansprechpartners mit jeder einzelnen Stufe des Konkurrenzkampfes. Besonders stark ausgeprägt ist dieser Effekt für politische Parteien, für die die mittlere Wichtigkeit bei </w:t>
      </w:r>
      <w:r w:rsidR="00324A14">
        <w:rPr>
          <w:rFonts w:cs="Times New Roman"/>
          <w:lang w:val="de-CH"/>
        </w:rPr>
        <w:t>sehr schwachem Wettbewerb bei 2.</w:t>
      </w:r>
      <w:r w:rsidRPr="00091A98">
        <w:rPr>
          <w:rFonts w:cs="Times New Roman"/>
          <w:lang w:val="de-CH"/>
        </w:rPr>
        <w:t>39 liegt, um dann bis zur stär</w:t>
      </w:r>
      <w:r w:rsidR="00324A14">
        <w:rPr>
          <w:rFonts w:cs="Times New Roman"/>
          <w:lang w:val="de-CH"/>
        </w:rPr>
        <w:t>ksten Konkurrenzsituation auf 3.</w:t>
      </w:r>
      <w:r w:rsidRPr="00091A98">
        <w:rPr>
          <w:rFonts w:cs="Times New Roman"/>
          <w:lang w:val="de-CH"/>
        </w:rPr>
        <w:t>94 anzuwachsen. Doc</w:t>
      </w:r>
      <w:r w:rsidR="00324A14">
        <w:rPr>
          <w:rFonts w:cs="Times New Roman"/>
          <w:lang w:val="de-CH"/>
        </w:rPr>
        <w:t>h auch für die Regierung (von 3.17 bis 4.22) und die Medien (von 3.</w:t>
      </w:r>
      <w:r w:rsidRPr="00091A98">
        <w:rPr>
          <w:rFonts w:cs="Times New Roman"/>
          <w:lang w:val="de-CH"/>
        </w:rPr>
        <w:t>18 b</w:t>
      </w:r>
      <w:r w:rsidR="00324A14">
        <w:rPr>
          <w:rFonts w:cs="Times New Roman"/>
          <w:lang w:val="de-CH"/>
        </w:rPr>
        <w:t>is 3.</w:t>
      </w:r>
      <w:r w:rsidRPr="00091A98">
        <w:rPr>
          <w:rFonts w:cs="Times New Roman"/>
          <w:lang w:val="de-CH"/>
        </w:rPr>
        <w:t>81) gibt es eine deutliche Verschiebung hin zu einer höheren Wichtigkeit, wenn der Wettbewerb unter Interessengruppen zunimmt. Auch bei den Bürgern ist diese Zunahme der</w:t>
      </w:r>
      <w:r w:rsidR="00324A14">
        <w:rPr>
          <w:rFonts w:cs="Times New Roman"/>
          <w:lang w:val="de-CH"/>
        </w:rPr>
        <w:t xml:space="preserve"> Bedeutung festzustellen (von 2.53 auf 3.</w:t>
      </w:r>
      <w:r w:rsidRPr="00091A98">
        <w:rPr>
          <w:rFonts w:cs="Times New Roman"/>
          <w:lang w:val="de-CH"/>
        </w:rPr>
        <w:t>25), jedoch ist dieser Zuwachs bei niedrigen Wettbewerbsstufen nur relativ gering (und generell auf moderatem Niveau)</w:t>
      </w:r>
      <w:r w:rsidR="00AD2667" w:rsidRPr="00091A98">
        <w:rPr>
          <w:rFonts w:cs="Times New Roman"/>
          <w:lang w:val="de-CH"/>
        </w:rPr>
        <w:t>. E</w:t>
      </w:r>
      <w:r w:rsidRPr="00091A98">
        <w:rPr>
          <w:rFonts w:cs="Times New Roman"/>
          <w:lang w:val="de-CH"/>
        </w:rPr>
        <w:t xml:space="preserve">rst bei sehr hoher Wettbewerbsintensität </w:t>
      </w:r>
      <w:r w:rsidR="004E2393" w:rsidRPr="00091A98">
        <w:rPr>
          <w:rFonts w:cs="Times New Roman"/>
          <w:lang w:val="de-CH"/>
        </w:rPr>
        <w:t>messen</w:t>
      </w:r>
      <w:r w:rsidRPr="00091A98">
        <w:rPr>
          <w:rFonts w:cs="Times New Roman"/>
          <w:lang w:val="de-CH"/>
        </w:rPr>
        <w:t xml:space="preserve"> Interessengruppen auch den Bürgern </w:t>
      </w:r>
      <w:r w:rsidR="004E2393" w:rsidRPr="00091A98">
        <w:rPr>
          <w:rFonts w:cs="Times New Roman"/>
          <w:lang w:val="de-CH"/>
        </w:rPr>
        <w:t>erhöhte Bedeutung bei</w:t>
      </w:r>
      <w:r w:rsidRPr="00091A98">
        <w:rPr>
          <w:rFonts w:cs="Times New Roman"/>
          <w:lang w:val="de-CH"/>
        </w:rPr>
        <w:t>.</w:t>
      </w:r>
      <w:r w:rsidR="00D3058D" w:rsidRPr="00091A98">
        <w:rPr>
          <w:rFonts w:cs="Times New Roman"/>
          <w:lang w:val="de-CH"/>
        </w:rPr>
        <w:t xml:space="preserve"> Die bivariate Analyse ist daher ein erster Anhaltspunkt zugunsten der Validität von Hypothese 1. </w:t>
      </w:r>
      <w:r w:rsidRPr="00091A98">
        <w:rPr>
          <w:rFonts w:cs="Times New Roman"/>
          <w:lang w:val="de-CH"/>
        </w:rPr>
        <w:t xml:space="preserve"> Deutlich zeigt sich</w:t>
      </w:r>
      <w:r w:rsidR="00D3058D" w:rsidRPr="00091A98">
        <w:rPr>
          <w:rFonts w:cs="Times New Roman"/>
          <w:lang w:val="de-CH"/>
        </w:rPr>
        <w:t xml:space="preserve"> auch</w:t>
      </w:r>
      <w:r w:rsidRPr="00091A98">
        <w:rPr>
          <w:rFonts w:cs="Times New Roman"/>
          <w:lang w:val="de-CH"/>
        </w:rPr>
        <w:t>, dass diese</w:t>
      </w:r>
      <w:r w:rsidR="00682F60" w:rsidRPr="00091A98">
        <w:rPr>
          <w:rFonts w:cs="Times New Roman"/>
          <w:lang w:val="de-CH"/>
        </w:rPr>
        <w:t xml:space="preserve">r Befund </w:t>
      </w:r>
      <w:r w:rsidR="003B310E" w:rsidRPr="00091A98">
        <w:rPr>
          <w:rFonts w:cs="Times New Roman"/>
          <w:lang w:val="de-CH"/>
        </w:rPr>
        <w:t>sowohl  für</w:t>
      </w:r>
      <w:r w:rsidRPr="00091A98">
        <w:rPr>
          <w:rFonts w:cs="Times New Roman"/>
          <w:lang w:val="de-CH"/>
        </w:rPr>
        <w:t xml:space="preserve"> Deutschland </w:t>
      </w:r>
      <w:r w:rsidR="003B310E" w:rsidRPr="00091A98">
        <w:rPr>
          <w:rFonts w:cs="Times New Roman"/>
          <w:lang w:val="de-CH"/>
        </w:rPr>
        <w:t>als</w:t>
      </w:r>
      <w:r w:rsidR="00682F60" w:rsidRPr="00091A98">
        <w:rPr>
          <w:rFonts w:cs="Times New Roman"/>
          <w:lang w:val="de-CH"/>
        </w:rPr>
        <w:t xml:space="preserve"> </w:t>
      </w:r>
      <w:r w:rsidRPr="00091A98">
        <w:rPr>
          <w:rFonts w:cs="Times New Roman"/>
          <w:lang w:val="de-CH"/>
        </w:rPr>
        <w:t>auch</w:t>
      </w:r>
      <w:r w:rsidR="003B310E" w:rsidRPr="00091A98">
        <w:rPr>
          <w:rFonts w:cs="Times New Roman"/>
          <w:lang w:val="de-CH"/>
        </w:rPr>
        <w:t xml:space="preserve"> für</w:t>
      </w:r>
      <w:r w:rsidRPr="00091A98">
        <w:rPr>
          <w:rFonts w:cs="Times New Roman"/>
          <w:lang w:val="de-CH"/>
        </w:rPr>
        <w:t xml:space="preserve"> die Schweiz gilt, da in beiden Ländern eine deutliche Zunahme der Wertigkeit aller vier Zielgruppen bei höherem Wettbewerb festzustellen ist. Besonders bemerkenswert ist der deutliche Unterschied zwischen den Interessengruppen in den beiden Ländern, der sich insbesondere darin äu</w:t>
      </w:r>
      <w:r w:rsidR="00326CFE" w:rsidRPr="00091A98">
        <w:rPr>
          <w:rFonts w:cs="Times New Roman"/>
          <w:lang w:val="de-CH"/>
        </w:rPr>
        <w:t>ss</w:t>
      </w:r>
      <w:r w:rsidRPr="00091A98">
        <w:rPr>
          <w:rFonts w:cs="Times New Roman"/>
          <w:lang w:val="de-CH"/>
        </w:rPr>
        <w:t xml:space="preserve">ert, dass Schweizerische Interessengruppen allen vier Ansprechpartnern beinahe durchgehend eine geringere Bedeutung </w:t>
      </w:r>
      <w:r w:rsidR="00D3058D" w:rsidRPr="00091A98">
        <w:rPr>
          <w:rFonts w:cs="Times New Roman"/>
          <w:lang w:val="de-CH"/>
        </w:rPr>
        <w:t>beimessen</w:t>
      </w:r>
      <w:r w:rsidRPr="00091A98">
        <w:rPr>
          <w:rFonts w:cs="Times New Roman"/>
          <w:lang w:val="de-CH"/>
        </w:rPr>
        <w:t>. Wie dies zu erklären ist</w:t>
      </w:r>
      <w:r w:rsidR="00752BC0" w:rsidRPr="00091A98">
        <w:rPr>
          <w:rFonts w:cs="Times New Roman"/>
          <w:lang w:val="de-CH"/>
        </w:rPr>
        <w:t>,</w:t>
      </w:r>
      <w:r w:rsidRPr="00091A98">
        <w:rPr>
          <w:rFonts w:cs="Times New Roman"/>
          <w:lang w:val="de-CH"/>
        </w:rPr>
        <w:t xml:space="preserve"> wäre ein interessantes Thema zukünftiger Forschung. </w:t>
      </w:r>
    </w:p>
    <w:p w14:paraId="5BAAB2A5" w14:textId="77777777" w:rsidR="00D3058D" w:rsidRPr="00091A98" w:rsidRDefault="00D3058D" w:rsidP="009F5188">
      <w:pPr>
        <w:spacing w:line="360" w:lineRule="auto"/>
        <w:rPr>
          <w:rFonts w:cs="Times New Roman"/>
          <w:lang w:val="de-CH"/>
        </w:rPr>
      </w:pPr>
    </w:p>
    <w:p w14:paraId="5CCB1508" w14:textId="79857062" w:rsidR="009F5188" w:rsidRPr="00091A98" w:rsidRDefault="00D3058D" w:rsidP="009F5188">
      <w:pPr>
        <w:spacing w:line="360" w:lineRule="auto"/>
        <w:rPr>
          <w:rFonts w:cs="Times New Roman"/>
          <w:lang w:val="de-CH"/>
        </w:rPr>
      </w:pPr>
      <w:r w:rsidRPr="00091A98">
        <w:rPr>
          <w:rFonts w:cs="Times New Roman"/>
          <w:lang w:val="de-CH"/>
        </w:rPr>
        <w:t>Deutlich schwieriger ist es</w:t>
      </w:r>
      <w:r w:rsidR="009F5188" w:rsidRPr="00091A98">
        <w:rPr>
          <w:rFonts w:cs="Times New Roman"/>
          <w:lang w:val="de-CH"/>
        </w:rPr>
        <w:t xml:space="preserve">, Schlussfolgerungen aus der bivariaten Analyse </w:t>
      </w:r>
      <w:r w:rsidRPr="00091A98">
        <w:rPr>
          <w:rFonts w:cs="Times New Roman"/>
          <w:lang w:val="de-CH"/>
        </w:rPr>
        <w:t xml:space="preserve">bezüglich der zweiten Hypothese </w:t>
      </w:r>
      <w:r w:rsidR="009F5188" w:rsidRPr="00091A98">
        <w:rPr>
          <w:rFonts w:cs="Times New Roman"/>
          <w:lang w:val="de-CH"/>
        </w:rPr>
        <w:t>zu ziehen</w:t>
      </w:r>
      <w:r w:rsidRPr="00091A98">
        <w:rPr>
          <w:rFonts w:cs="Times New Roman"/>
          <w:lang w:val="de-CH"/>
        </w:rPr>
        <w:t xml:space="preserve">. Es </w:t>
      </w:r>
      <w:r w:rsidR="009F5188" w:rsidRPr="00091A98">
        <w:rPr>
          <w:rFonts w:cs="Times New Roman"/>
          <w:lang w:val="de-CH"/>
        </w:rPr>
        <w:t>kann</w:t>
      </w:r>
      <w:r w:rsidRPr="00091A98">
        <w:rPr>
          <w:rFonts w:cs="Times New Roman"/>
          <w:lang w:val="de-CH"/>
        </w:rPr>
        <w:t xml:space="preserve"> jedoch</w:t>
      </w:r>
      <w:r w:rsidR="009F5188" w:rsidRPr="00091A98">
        <w:rPr>
          <w:rFonts w:cs="Times New Roman"/>
          <w:lang w:val="de-CH"/>
        </w:rPr>
        <w:t xml:space="preserve"> festgestellt werden, dass der Zuwachs der Bedeutung eines Ansprechpartners bei den Insider Strategien insgesamt deutlicher ausfällt, als bei den Outsider Strategien (dieser Zuwachs vom schwächsten zum stärksten Wettbew</w:t>
      </w:r>
      <w:r w:rsidR="00324A14">
        <w:rPr>
          <w:rFonts w:cs="Times New Roman"/>
          <w:lang w:val="de-CH"/>
        </w:rPr>
        <w:t>erb beträgt für die Regierung 1.06; für politische Parteien 1.</w:t>
      </w:r>
      <w:r w:rsidR="009F5188" w:rsidRPr="00091A98">
        <w:rPr>
          <w:rFonts w:cs="Times New Roman"/>
          <w:lang w:val="de-CH"/>
        </w:rPr>
        <w:t xml:space="preserve">55; für </w:t>
      </w:r>
      <w:r w:rsidR="009F5188" w:rsidRPr="00091A98">
        <w:rPr>
          <w:rFonts w:cs="Times New Roman"/>
          <w:lang w:val="de-CH"/>
        </w:rPr>
        <w:lastRenderedPageBreak/>
        <w:t>die M</w:t>
      </w:r>
      <w:r w:rsidR="00EA1C64">
        <w:rPr>
          <w:rFonts w:cs="Times New Roman"/>
          <w:lang w:val="de-CH"/>
        </w:rPr>
        <w:t>edien 0.</w:t>
      </w:r>
      <w:r w:rsidR="009F5188" w:rsidRPr="00091A98">
        <w:rPr>
          <w:rFonts w:cs="Times New Roman"/>
          <w:lang w:val="de-CH"/>
        </w:rPr>
        <w:t>63; und schlie</w:t>
      </w:r>
      <w:r w:rsidR="00326CFE" w:rsidRPr="00091A98">
        <w:rPr>
          <w:rFonts w:cs="Times New Roman"/>
          <w:lang w:val="de-CH"/>
        </w:rPr>
        <w:t>ss</w:t>
      </w:r>
      <w:r w:rsidR="00EA1C64">
        <w:rPr>
          <w:rFonts w:cs="Times New Roman"/>
          <w:lang w:val="de-CH"/>
        </w:rPr>
        <w:t>lich für die Bürger 0.</w:t>
      </w:r>
      <w:r w:rsidR="009F5188" w:rsidRPr="00091A98">
        <w:rPr>
          <w:rFonts w:cs="Times New Roman"/>
          <w:lang w:val="de-CH"/>
        </w:rPr>
        <w:t>72). Dies ist zumindest ein erstes Indiz für die Gültigkeit von Hypothese 2.</w:t>
      </w:r>
    </w:p>
    <w:p w14:paraId="75F2C4BF" w14:textId="297D0044" w:rsidR="009F5188" w:rsidRPr="00091A98" w:rsidRDefault="009F5188" w:rsidP="009F5188">
      <w:pPr>
        <w:spacing w:line="360" w:lineRule="auto"/>
        <w:rPr>
          <w:rFonts w:cs="Times New Roman"/>
          <w:lang w:val="de-CH"/>
        </w:rPr>
      </w:pPr>
    </w:p>
    <w:p w14:paraId="76F1EC10" w14:textId="39FA28AF" w:rsidR="007D643F" w:rsidRPr="00091A98" w:rsidRDefault="007D643F" w:rsidP="009F5188">
      <w:pPr>
        <w:spacing w:line="360" w:lineRule="auto"/>
        <w:rPr>
          <w:rFonts w:cs="Times New Roman"/>
          <w:lang w:val="de-CH"/>
        </w:rPr>
      </w:pPr>
      <w:r w:rsidRPr="00091A98">
        <w:rPr>
          <w:rFonts w:cs="Times New Roman"/>
          <w:lang w:val="de-CH"/>
        </w:rPr>
        <w:t>4.2. Multivariate Analyse</w:t>
      </w:r>
    </w:p>
    <w:p w14:paraId="4DA3DA3F" w14:textId="77777777" w:rsidR="00D3058D" w:rsidRPr="00091A98" w:rsidRDefault="00D3058D" w:rsidP="009F5188">
      <w:pPr>
        <w:spacing w:line="360" w:lineRule="auto"/>
        <w:rPr>
          <w:rFonts w:cs="Times New Roman"/>
          <w:b/>
          <w:lang w:val="de-CH"/>
        </w:rPr>
      </w:pPr>
    </w:p>
    <w:p w14:paraId="7D72C25A" w14:textId="31D3D52F" w:rsidR="009F5188" w:rsidRPr="00091A98" w:rsidRDefault="009F5188" w:rsidP="009F5188">
      <w:pPr>
        <w:spacing w:line="360" w:lineRule="auto"/>
        <w:rPr>
          <w:rFonts w:cs="Times New Roman"/>
          <w:lang w:val="de-CH"/>
        </w:rPr>
      </w:pPr>
      <w:r w:rsidRPr="00091A98">
        <w:rPr>
          <w:rFonts w:cs="Times New Roman"/>
          <w:lang w:val="de-CH"/>
        </w:rPr>
        <w:t>Für eine weitere Erörterung der Hypothesen wenden wir uns nun den Regressi</w:t>
      </w:r>
      <w:r w:rsidR="00341CCB" w:rsidRPr="00091A98">
        <w:rPr>
          <w:rFonts w:cs="Times New Roman"/>
          <w:lang w:val="de-CH"/>
        </w:rPr>
        <w:t>onsmodellen zu, die in Tabelle 4</w:t>
      </w:r>
      <w:r w:rsidRPr="00091A98">
        <w:rPr>
          <w:rFonts w:cs="Times New Roman"/>
          <w:lang w:val="de-CH"/>
        </w:rPr>
        <w:t xml:space="preserve"> dargestellt sind. </w:t>
      </w:r>
      <w:r w:rsidR="00EB7148" w:rsidRPr="00091A98">
        <w:rPr>
          <w:rFonts w:cs="Times New Roman"/>
          <w:lang w:val="de-CH"/>
        </w:rPr>
        <w:t>Zum</w:t>
      </w:r>
      <w:r w:rsidRPr="00091A98">
        <w:rPr>
          <w:rFonts w:cs="Times New Roman"/>
          <w:lang w:val="de-CH"/>
        </w:rPr>
        <w:t xml:space="preserve"> Test der ersten Hypothese dienen</w:t>
      </w:r>
      <w:r w:rsidR="00EB7148" w:rsidRPr="00091A98">
        <w:rPr>
          <w:rFonts w:cs="Times New Roman"/>
          <w:lang w:val="de-CH"/>
        </w:rPr>
        <w:t xml:space="preserve">, </w:t>
      </w:r>
      <w:r w:rsidRPr="00091A98">
        <w:rPr>
          <w:rFonts w:cs="Times New Roman"/>
          <w:lang w:val="de-CH"/>
        </w:rPr>
        <w:t xml:space="preserve">wie bereits angesprochen, </w:t>
      </w:r>
      <w:r w:rsidR="00EB7148" w:rsidRPr="00091A98">
        <w:rPr>
          <w:rFonts w:cs="Times New Roman"/>
          <w:lang w:val="de-CH"/>
        </w:rPr>
        <w:t xml:space="preserve">vier </w:t>
      </w:r>
      <w:r w:rsidRPr="00091A98">
        <w:rPr>
          <w:rFonts w:cs="Times New Roman"/>
          <w:lang w:val="de-CH"/>
        </w:rPr>
        <w:t xml:space="preserve">ordinale logistische Regressionsmodelle, </w:t>
      </w:r>
      <w:r w:rsidR="004C755B" w:rsidRPr="00091A98">
        <w:rPr>
          <w:rFonts w:cs="Times New Roman"/>
          <w:lang w:val="de-CH"/>
        </w:rPr>
        <w:t>da diese</w:t>
      </w:r>
      <w:r w:rsidR="00984895" w:rsidRPr="00091A98">
        <w:rPr>
          <w:rFonts w:cs="Times New Roman"/>
          <w:lang w:val="de-CH"/>
        </w:rPr>
        <w:t xml:space="preserve"> </w:t>
      </w:r>
      <w:r w:rsidRPr="00091A98">
        <w:rPr>
          <w:rFonts w:cs="Times New Roman"/>
          <w:lang w:val="de-CH"/>
        </w:rPr>
        <w:t xml:space="preserve">der (kategorialen und geordneten) Struktur der abhängigen Variablen gerecht werden. Im letzten Modell, dessen abhängige Variable aus den beiden Hauptdimensionen der Faktorenanalyse gebildete wurde, um Hypothese 2 zu testen, kommt die Methode der kleinsten Quadrate zum Einsatz. </w:t>
      </w:r>
    </w:p>
    <w:p w14:paraId="3696F759" w14:textId="77777777" w:rsidR="009F5188" w:rsidRPr="00091A98" w:rsidRDefault="009F5188" w:rsidP="009F5188">
      <w:pPr>
        <w:spacing w:line="360" w:lineRule="auto"/>
        <w:rPr>
          <w:rFonts w:cs="Times New Roman"/>
          <w:lang w:val="de-CH"/>
        </w:rPr>
      </w:pPr>
    </w:p>
    <w:p w14:paraId="589BE686" w14:textId="4F76C5FD" w:rsidR="009F5188" w:rsidRPr="00091A98" w:rsidDel="001E7156" w:rsidRDefault="007D643F" w:rsidP="009F5188">
      <w:pPr>
        <w:spacing w:line="360" w:lineRule="auto"/>
        <w:jc w:val="center"/>
        <w:rPr>
          <w:rFonts w:ascii="Cambria" w:hAnsi="Cambria"/>
          <w:lang w:val="de-CH"/>
        </w:rPr>
      </w:pPr>
      <w:r w:rsidRPr="00091A98">
        <w:rPr>
          <w:rFonts w:ascii="Cambria" w:hAnsi="Cambria"/>
          <w:lang w:val="de-CH"/>
        </w:rPr>
        <w:t xml:space="preserve">*** </w:t>
      </w:r>
      <w:r w:rsidR="009F5188" w:rsidRPr="00091A98" w:rsidDel="001E7156">
        <w:rPr>
          <w:rFonts w:ascii="Cambria" w:hAnsi="Cambria"/>
          <w:lang w:val="de-CH"/>
        </w:rPr>
        <w:t>T</w:t>
      </w:r>
      <w:r w:rsidR="00341CCB" w:rsidRPr="00091A98">
        <w:rPr>
          <w:rFonts w:ascii="Cambria" w:hAnsi="Cambria"/>
          <w:lang w:val="de-CH"/>
        </w:rPr>
        <w:t>ABELLE 4</w:t>
      </w:r>
      <w:r w:rsidR="009F5188" w:rsidRPr="00091A98" w:rsidDel="001E7156">
        <w:rPr>
          <w:rFonts w:ascii="Cambria" w:hAnsi="Cambria"/>
          <w:lang w:val="de-CH"/>
        </w:rPr>
        <w:t xml:space="preserve"> HIER EINFÜGEN</w:t>
      </w:r>
      <w:r w:rsidRPr="00091A98">
        <w:rPr>
          <w:rFonts w:ascii="Cambria" w:hAnsi="Cambria"/>
          <w:lang w:val="de-CH"/>
        </w:rPr>
        <w:t xml:space="preserve"> ***</w:t>
      </w:r>
    </w:p>
    <w:p w14:paraId="6FE790AC" w14:textId="77777777" w:rsidR="009F5188" w:rsidRPr="00091A98" w:rsidRDefault="009F5188" w:rsidP="009F5188">
      <w:pPr>
        <w:spacing w:line="360" w:lineRule="auto"/>
        <w:rPr>
          <w:rFonts w:cs="Times New Roman"/>
          <w:lang w:val="de-CH"/>
        </w:rPr>
      </w:pPr>
    </w:p>
    <w:p w14:paraId="6A268CA0" w14:textId="0A451AA5" w:rsidR="000259A2" w:rsidRPr="00091A98" w:rsidRDefault="000259A2" w:rsidP="009F5188">
      <w:pPr>
        <w:spacing w:line="360" w:lineRule="auto"/>
        <w:rPr>
          <w:rFonts w:cs="Times New Roman"/>
          <w:lang w:val="de-CH"/>
        </w:rPr>
      </w:pPr>
      <w:r w:rsidRPr="00091A98">
        <w:rPr>
          <w:rFonts w:cs="Times New Roman"/>
          <w:lang w:val="de-CH"/>
        </w:rPr>
        <w:t>Be</w:t>
      </w:r>
      <w:r w:rsidR="00E064BD" w:rsidRPr="00091A98">
        <w:rPr>
          <w:rFonts w:cs="Times New Roman"/>
          <w:lang w:val="de-CH"/>
        </w:rPr>
        <w:t>tr</w:t>
      </w:r>
      <w:r w:rsidRPr="00091A98">
        <w:rPr>
          <w:rFonts w:cs="Times New Roman"/>
          <w:lang w:val="de-CH"/>
        </w:rPr>
        <w:t xml:space="preserve">achten wir zunächst die Kontrollvariablen, so fällt auf, dass die Modelle die </w:t>
      </w:r>
      <w:r w:rsidR="00A85500" w:rsidRPr="00091A98">
        <w:rPr>
          <w:rFonts w:cs="Times New Roman"/>
          <w:lang w:val="de-CH"/>
        </w:rPr>
        <w:t xml:space="preserve">in der Literatur beschriebenen </w:t>
      </w:r>
      <w:r w:rsidRPr="00091A98">
        <w:rPr>
          <w:rFonts w:cs="Times New Roman"/>
          <w:lang w:val="de-CH"/>
        </w:rPr>
        <w:t xml:space="preserve">Ergebnisse </w:t>
      </w:r>
      <w:r w:rsidR="00E064BD" w:rsidRPr="00091A98">
        <w:rPr>
          <w:rFonts w:cs="Times New Roman"/>
          <w:lang w:val="de-CH"/>
        </w:rPr>
        <w:t>früherer Forschung</w:t>
      </w:r>
      <w:r w:rsidRPr="00091A98">
        <w:rPr>
          <w:rFonts w:cs="Times New Roman"/>
          <w:lang w:val="de-CH"/>
        </w:rPr>
        <w:t xml:space="preserve"> sehr gut widerspiegeln.</w:t>
      </w:r>
      <w:r w:rsidR="001A3C87" w:rsidRPr="00091A98">
        <w:rPr>
          <w:rFonts w:cs="Times New Roman"/>
          <w:lang w:val="de-CH"/>
        </w:rPr>
        <w:t xml:space="preserve"> Organisation</w:t>
      </w:r>
      <w:r w:rsidR="000D25EF" w:rsidRPr="00091A98">
        <w:rPr>
          <w:rFonts w:cs="Times New Roman"/>
          <w:lang w:val="de-CH"/>
        </w:rPr>
        <w:t>en</w:t>
      </w:r>
      <w:r w:rsidR="001A3C87" w:rsidRPr="00091A98">
        <w:rPr>
          <w:rFonts w:cs="Times New Roman"/>
          <w:lang w:val="de-CH"/>
        </w:rPr>
        <w:t xml:space="preserve"> mit höherem Budget sind </w:t>
      </w:r>
      <w:r w:rsidR="00F361EA" w:rsidRPr="00091A98">
        <w:rPr>
          <w:rFonts w:cs="Times New Roman"/>
          <w:lang w:val="de-CH"/>
        </w:rPr>
        <w:t>generell aktiver, sowohl was Insider als auch Outsider Lobbying betrifft (</w:t>
      </w:r>
      <w:r w:rsidR="0007372D" w:rsidRPr="00091A98">
        <w:rPr>
          <w:rFonts w:cs="Times New Roman"/>
          <w:lang w:val="de-CH"/>
        </w:rPr>
        <w:t>das Bürgermodell bildet die</w:t>
      </w:r>
      <w:r w:rsidR="00F361EA" w:rsidRPr="00091A98">
        <w:rPr>
          <w:rFonts w:cs="Times New Roman"/>
          <w:lang w:val="de-CH"/>
        </w:rPr>
        <w:t xml:space="preserve"> Ausnahme</w:t>
      </w:r>
      <w:r w:rsidR="0007372D" w:rsidRPr="00091A98">
        <w:rPr>
          <w:rFonts w:cs="Times New Roman"/>
          <w:lang w:val="de-CH"/>
        </w:rPr>
        <w:t>)</w:t>
      </w:r>
      <w:r w:rsidR="00855375" w:rsidRPr="00091A98">
        <w:rPr>
          <w:rFonts w:cs="Times New Roman"/>
          <w:lang w:val="de-CH"/>
        </w:rPr>
        <w:t>. Allerdings</w:t>
      </w:r>
      <w:r w:rsidR="00176B3A" w:rsidRPr="00091A98">
        <w:rPr>
          <w:rFonts w:cs="Times New Roman"/>
          <w:lang w:val="de-CH"/>
        </w:rPr>
        <w:t xml:space="preserve"> nimmt die </w:t>
      </w:r>
      <w:r w:rsidR="004E2393" w:rsidRPr="00091A98">
        <w:rPr>
          <w:rFonts w:cs="Times New Roman"/>
          <w:lang w:val="de-CH"/>
        </w:rPr>
        <w:t>Bedeutung</w:t>
      </w:r>
      <w:r w:rsidR="00176B3A" w:rsidRPr="00091A98">
        <w:rPr>
          <w:rFonts w:cs="Times New Roman"/>
          <w:lang w:val="de-CH"/>
        </w:rPr>
        <w:t xml:space="preserve"> des Insider Lobbyings mit einem höheren Budget stärker zu</w:t>
      </w:r>
      <w:r w:rsidR="00855375" w:rsidRPr="00091A98">
        <w:rPr>
          <w:rFonts w:cs="Times New Roman"/>
          <w:lang w:val="de-CH"/>
        </w:rPr>
        <w:t xml:space="preserve">, wie </w:t>
      </w:r>
      <w:r w:rsidR="00176B3A" w:rsidRPr="00091A98">
        <w:rPr>
          <w:rFonts w:cs="Times New Roman"/>
          <w:lang w:val="de-CH"/>
        </w:rPr>
        <w:t xml:space="preserve">der positive </w:t>
      </w:r>
      <w:r w:rsidR="00C76150" w:rsidRPr="00091A98">
        <w:rPr>
          <w:rFonts w:cs="Times New Roman"/>
          <w:lang w:val="de-CH"/>
        </w:rPr>
        <w:t>Budget-</w:t>
      </w:r>
      <w:r w:rsidR="00176B3A" w:rsidRPr="00091A98">
        <w:rPr>
          <w:rFonts w:cs="Times New Roman"/>
          <w:lang w:val="de-CH"/>
        </w:rPr>
        <w:t>Effe</w:t>
      </w:r>
      <w:r w:rsidR="00C76150" w:rsidRPr="00091A98">
        <w:rPr>
          <w:rFonts w:cs="Times New Roman"/>
          <w:lang w:val="de-CH"/>
        </w:rPr>
        <w:t>kt des</w:t>
      </w:r>
      <w:r w:rsidR="00D8117D" w:rsidRPr="00091A98">
        <w:rPr>
          <w:rFonts w:cs="Times New Roman"/>
          <w:lang w:val="de-CH"/>
        </w:rPr>
        <w:t xml:space="preserve"> </w:t>
      </w:r>
      <w:r w:rsidR="007954D4" w:rsidRPr="00091A98">
        <w:rPr>
          <w:rFonts w:cs="Times New Roman"/>
          <w:lang w:val="de-CH"/>
        </w:rPr>
        <w:t>letzten Modells</w:t>
      </w:r>
      <w:r w:rsidR="00176B3A" w:rsidRPr="00091A98">
        <w:rPr>
          <w:rFonts w:cs="Times New Roman"/>
          <w:lang w:val="de-CH"/>
        </w:rPr>
        <w:t xml:space="preserve"> zeigt.</w:t>
      </w:r>
      <w:r w:rsidR="00C76150" w:rsidRPr="00091A98">
        <w:rPr>
          <w:rFonts w:cs="Times New Roman"/>
          <w:lang w:val="de-CH"/>
        </w:rPr>
        <w:t xml:space="preserve"> Reichere Interessengruppen </w:t>
      </w:r>
      <w:r w:rsidR="00FD2EC3" w:rsidRPr="00091A98">
        <w:rPr>
          <w:rFonts w:cs="Times New Roman"/>
          <w:lang w:val="de-CH"/>
        </w:rPr>
        <w:t>nützen Insider Lobbying</w:t>
      </w:r>
      <w:r w:rsidR="00DF563F" w:rsidRPr="00091A98">
        <w:rPr>
          <w:rFonts w:cs="Times New Roman"/>
          <w:lang w:val="de-CH"/>
        </w:rPr>
        <w:t xml:space="preserve"> </w:t>
      </w:r>
      <w:r w:rsidR="00507F3B" w:rsidRPr="00091A98">
        <w:rPr>
          <w:rFonts w:cs="Times New Roman"/>
          <w:lang w:val="de-CH"/>
        </w:rPr>
        <w:t xml:space="preserve">relative zu Outsider Taktiken stärker als Gruppen mit kleineren Budgets, was auch den Befunden von Dür und Mateo (2013) entspricht. </w:t>
      </w:r>
      <w:r w:rsidR="00E007E9" w:rsidRPr="00091A98">
        <w:rPr>
          <w:rFonts w:cs="Times New Roman"/>
          <w:lang w:val="de-CH"/>
        </w:rPr>
        <w:t xml:space="preserve">Organisationen mit einer höheren </w:t>
      </w:r>
      <w:r w:rsidR="00D831CD" w:rsidRPr="00091A98">
        <w:rPr>
          <w:rFonts w:cs="Times New Roman"/>
          <w:lang w:val="de-CH"/>
        </w:rPr>
        <w:t xml:space="preserve">Anzahl an individuellen Mitgliedern hingegen engagieren sich eher stärker im Bereich Outsider Lobbying, </w:t>
      </w:r>
      <w:r w:rsidR="004D2858" w:rsidRPr="00091A98">
        <w:rPr>
          <w:rFonts w:cs="Times New Roman"/>
          <w:lang w:val="de-CH"/>
        </w:rPr>
        <w:t xml:space="preserve">wobei </w:t>
      </w:r>
      <w:r w:rsidR="00D831CD" w:rsidRPr="00091A98">
        <w:rPr>
          <w:rFonts w:cs="Times New Roman"/>
          <w:lang w:val="de-CH"/>
        </w:rPr>
        <w:t xml:space="preserve">insbesondere </w:t>
      </w:r>
      <w:r w:rsidR="004D2858" w:rsidRPr="00091A98">
        <w:rPr>
          <w:rFonts w:cs="Times New Roman"/>
          <w:lang w:val="de-CH"/>
        </w:rPr>
        <w:t>die Bürger als Ansprechpartner wichtiger werden. Bei Organisationen mit einer hohen Mitgliedschaft anderer Organisationen ist es genau umgekehrt, und Insider Taktiken gewinnen an Gewicht. Auch dies bestätigt die Ergebnisse</w:t>
      </w:r>
      <w:r w:rsidR="00A36451" w:rsidRPr="00091A98">
        <w:rPr>
          <w:rFonts w:cs="Times New Roman"/>
          <w:lang w:val="de-CH"/>
        </w:rPr>
        <w:t xml:space="preserve"> früherer Studien (Thrall</w:t>
      </w:r>
      <w:r w:rsidR="00437E3A" w:rsidRPr="00091A98">
        <w:rPr>
          <w:rFonts w:cs="Times New Roman"/>
          <w:lang w:val="de-CH"/>
        </w:rPr>
        <w:t xml:space="preserve"> 2006;</w:t>
      </w:r>
      <w:r w:rsidR="004D2858" w:rsidRPr="00091A98">
        <w:rPr>
          <w:rFonts w:cs="Times New Roman"/>
          <w:lang w:val="de-CH"/>
        </w:rPr>
        <w:t xml:space="preserve"> </w:t>
      </w:r>
      <w:r w:rsidR="00437E3A" w:rsidRPr="00091A98">
        <w:rPr>
          <w:rFonts w:cs="Times New Roman"/>
          <w:lang w:val="de-CH"/>
        </w:rPr>
        <w:t>Schlozman und Tierney 1986).</w:t>
      </w:r>
      <w:r w:rsidR="00237D30" w:rsidRPr="00091A98">
        <w:rPr>
          <w:rFonts w:cs="Times New Roman"/>
          <w:lang w:val="de-CH"/>
        </w:rPr>
        <w:t xml:space="preserve"> Spezifische Interessengruppen setzen </w:t>
      </w:r>
      <w:r w:rsidR="007949C9" w:rsidRPr="00091A98">
        <w:rPr>
          <w:rFonts w:cs="Times New Roman"/>
          <w:lang w:val="de-CH"/>
        </w:rPr>
        <w:t>relativ gesehen</w:t>
      </w:r>
      <w:r w:rsidR="00237D30" w:rsidRPr="00091A98">
        <w:rPr>
          <w:rFonts w:cs="Times New Roman"/>
          <w:lang w:val="de-CH"/>
        </w:rPr>
        <w:t xml:space="preserve"> stärker auf Insider</w:t>
      </w:r>
      <w:r w:rsidR="007949C9" w:rsidRPr="00091A98">
        <w:rPr>
          <w:rFonts w:cs="Times New Roman"/>
          <w:lang w:val="de-CH"/>
        </w:rPr>
        <w:t xml:space="preserve"> Taktiken</w:t>
      </w:r>
      <w:r w:rsidR="00237D30" w:rsidRPr="00091A98">
        <w:rPr>
          <w:rFonts w:cs="Times New Roman"/>
          <w:lang w:val="de-CH"/>
        </w:rPr>
        <w:t xml:space="preserve"> </w:t>
      </w:r>
      <w:r w:rsidR="003626C2" w:rsidRPr="00091A98">
        <w:rPr>
          <w:rFonts w:cs="Times New Roman"/>
          <w:lang w:val="de-CH"/>
        </w:rPr>
        <w:t>als gemeinnützige Organisationen, wie der positive und signifikante Effe</w:t>
      </w:r>
      <w:r w:rsidR="0042551E" w:rsidRPr="00091A98">
        <w:rPr>
          <w:rFonts w:cs="Times New Roman"/>
          <w:lang w:val="de-CH"/>
        </w:rPr>
        <w:t xml:space="preserve">kt in Modell 5 zeigt, was ebenfalls dem Stand der Forschung entspricht </w:t>
      </w:r>
      <w:r w:rsidR="00517611" w:rsidRPr="00091A98">
        <w:rPr>
          <w:rFonts w:cs="Times New Roman"/>
          <w:lang w:val="de-CH"/>
        </w:rPr>
        <w:t>(Dür und Mateo</w:t>
      </w:r>
      <w:r w:rsidR="00741909" w:rsidRPr="00091A98">
        <w:rPr>
          <w:rFonts w:cs="Times New Roman"/>
          <w:lang w:val="de-CH"/>
        </w:rPr>
        <w:t xml:space="preserve"> 2013</w:t>
      </w:r>
      <w:r w:rsidR="00517611" w:rsidRPr="00091A98">
        <w:rPr>
          <w:rFonts w:cs="Times New Roman"/>
          <w:lang w:val="de-CH"/>
        </w:rPr>
        <w:t>; Kriesi et al.</w:t>
      </w:r>
      <w:r w:rsidR="00741909" w:rsidRPr="00091A98">
        <w:rPr>
          <w:rFonts w:cs="Times New Roman"/>
          <w:lang w:val="de-CH"/>
        </w:rPr>
        <w:t xml:space="preserve"> </w:t>
      </w:r>
      <w:r w:rsidR="00350966" w:rsidRPr="00091A98">
        <w:rPr>
          <w:rFonts w:cs="Times New Roman"/>
          <w:lang w:val="de-CH"/>
        </w:rPr>
        <w:t xml:space="preserve">2007). </w:t>
      </w:r>
      <w:r w:rsidR="00E73653" w:rsidRPr="00091A98">
        <w:rPr>
          <w:rFonts w:cs="Times New Roman"/>
          <w:lang w:val="de-CH"/>
        </w:rPr>
        <w:t>Schlie</w:t>
      </w:r>
      <w:r w:rsidR="00326CFE" w:rsidRPr="00091A98">
        <w:rPr>
          <w:rFonts w:cs="Times New Roman"/>
          <w:lang w:val="de-CH"/>
        </w:rPr>
        <w:t>ss</w:t>
      </w:r>
      <w:r w:rsidR="00E73653" w:rsidRPr="00091A98">
        <w:rPr>
          <w:rFonts w:cs="Times New Roman"/>
          <w:lang w:val="de-CH"/>
        </w:rPr>
        <w:t>lich</w:t>
      </w:r>
      <w:r w:rsidR="0056052F" w:rsidRPr="00091A98">
        <w:rPr>
          <w:rFonts w:cs="Times New Roman"/>
          <w:lang w:val="de-CH"/>
        </w:rPr>
        <w:t xml:space="preserve"> bestätigen</w:t>
      </w:r>
      <w:r w:rsidR="00E73653" w:rsidRPr="00091A98">
        <w:rPr>
          <w:rFonts w:cs="Times New Roman"/>
          <w:lang w:val="de-CH"/>
        </w:rPr>
        <w:t xml:space="preserve"> die Ergebnisse</w:t>
      </w:r>
      <w:r w:rsidR="00882E5B" w:rsidRPr="00091A98">
        <w:rPr>
          <w:rFonts w:cs="Times New Roman"/>
          <w:lang w:val="de-CH"/>
        </w:rPr>
        <w:t xml:space="preserve"> auch</w:t>
      </w:r>
      <w:r w:rsidR="00350966" w:rsidRPr="00091A98">
        <w:rPr>
          <w:rFonts w:cs="Times New Roman"/>
          <w:lang w:val="de-CH"/>
        </w:rPr>
        <w:t xml:space="preserve">, dass das Themenfeld, auf dem eine Organisation tätig ist, die Lobbytätigkeit von </w:t>
      </w:r>
      <w:r w:rsidR="00350966" w:rsidRPr="00091A98">
        <w:rPr>
          <w:rFonts w:cs="Times New Roman"/>
          <w:lang w:val="de-CH"/>
        </w:rPr>
        <w:lastRenderedPageBreak/>
        <w:t>Interessengruppen entscheidend beeinflusst (</w:t>
      </w:r>
      <w:r w:rsidR="00370269" w:rsidRPr="00091A98">
        <w:rPr>
          <w:rFonts w:cs="Times New Roman"/>
          <w:lang w:val="de-CH"/>
        </w:rPr>
        <w:t xml:space="preserve">Klüver 2011; Mahoney 2007; Baumgartner und Leech </w:t>
      </w:r>
      <w:r w:rsidR="0089365D" w:rsidRPr="00091A98">
        <w:rPr>
          <w:rFonts w:cs="Times New Roman"/>
          <w:lang w:val="de-CH"/>
        </w:rPr>
        <w:t>2001).</w:t>
      </w:r>
      <w:r w:rsidR="00A90E32" w:rsidRPr="00091A98">
        <w:rPr>
          <w:rFonts w:cs="Times New Roman"/>
          <w:lang w:val="de-CH"/>
        </w:rPr>
        <w:t xml:space="preserve"> </w:t>
      </w:r>
      <w:r w:rsidR="00370C8F" w:rsidRPr="00091A98">
        <w:rPr>
          <w:rFonts w:cs="Times New Roman"/>
          <w:lang w:val="de-CH"/>
        </w:rPr>
        <w:t>Besonders auffällig dabei ist, dass die Organisation, die sich i</w:t>
      </w:r>
      <w:r w:rsidR="00284BB8" w:rsidRPr="00091A98">
        <w:rPr>
          <w:rFonts w:cs="Times New Roman"/>
          <w:lang w:val="de-CH"/>
        </w:rPr>
        <w:t>n der Umfrage dem Themengebiet Politik</w:t>
      </w:r>
      <w:r w:rsidR="00370C8F" w:rsidRPr="00091A98">
        <w:rPr>
          <w:rFonts w:cs="Times New Roman"/>
          <w:lang w:val="de-CH"/>
        </w:rPr>
        <w:t xml:space="preserve"> zugeordnet haben, </w:t>
      </w:r>
      <w:r w:rsidR="00E3759F" w:rsidRPr="00091A98">
        <w:rPr>
          <w:rFonts w:cs="Times New Roman"/>
          <w:lang w:val="de-CH"/>
        </w:rPr>
        <w:t xml:space="preserve">allen Lobbyzielen besonders hohe Bedeutung beimessen. </w:t>
      </w:r>
      <w:r w:rsidR="00525C14" w:rsidRPr="00091A98">
        <w:rPr>
          <w:rFonts w:cs="Times New Roman"/>
          <w:lang w:val="de-CH"/>
        </w:rPr>
        <w:t>Dies ist an den beinahe durchgängig negativen und häufig signifikanten Koeffizienten der anderen Themenfelder erkennbar</w:t>
      </w:r>
      <w:r w:rsidR="00CA7248" w:rsidRPr="00091A98">
        <w:rPr>
          <w:rFonts w:cs="Times New Roman"/>
          <w:lang w:val="de-CH"/>
        </w:rPr>
        <w:t xml:space="preserve">. Beispielsweise bedeutet der </w:t>
      </w:r>
      <w:r w:rsidR="00942DB4" w:rsidRPr="00091A98">
        <w:rPr>
          <w:rFonts w:cs="Times New Roman"/>
          <w:lang w:val="de-CH"/>
        </w:rPr>
        <w:t>negati</w:t>
      </w:r>
      <w:r w:rsidR="00284BB8" w:rsidRPr="00091A98">
        <w:rPr>
          <w:rFonts w:cs="Times New Roman"/>
          <w:lang w:val="de-CH"/>
        </w:rPr>
        <w:t>ve und signifikante Schätzer des</w:t>
      </w:r>
      <w:r w:rsidR="00942DB4" w:rsidRPr="00091A98">
        <w:rPr>
          <w:rFonts w:cs="Times New Roman"/>
          <w:lang w:val="de-CH"/>
        </w:rPr>
        <w:t xml:space="preserve"> Themenbereichs G</w:t>
      </w:r>
      <w:r w:rsidR="00EA1C64">
        <w:rPr>
          <w:rFonts w:cs="Times New Roman"/>
          <w:lang w:val="de-CH"/>
        </w:rPr>
        <w:t>esundheit im Parteienmodell (-1.</w:t>
      </w:r>
      <w:r w:rsidR="00942DB4" w:rsidRPr="00091A98">
        <w:rPr>
          <w:rFonts w:cs="Times New Roman"/>
          <w:lang w:val="de-CH"/>
        </w:rPr>
        <w:t>34), dass</w:t>
      </w:r>
      <w:r w:rsidR="00B50A41" w:rsidRPr="00091A98">
        <w:rPr>
          <w:rFonts w:cs="Times New Roman"/>
          <w:lang w:val="de-CH"/>
        </w:rPr>
        <w:t xml:space="preserve"> eine zufällig ausgewählte Organisation</w:t>
      </w:r>
      <w:r w:rsidR="00942DB4" w:rsidRPr="00091A98">
        <w:rPr>
          <w:rFonts w:cs="Times New Roman"/>
          <w:lang w:val="de-CH"/>
        </w:rPr>
        <w:t xml:space="preserve"> </w:t>
      </w:r>
      <w:r w:rsidR="00B575FC" w:rsidRPr="00091A98">
        <w:rPr>
          <w:rFonts w:cs="Times New Roman"/>
          <w:lang w:val="de-CH"/>
        </w:rPr>
        <w:t>d</w:t>
      </w:r>
      <w:r w:rsidR="00284BB8" w:rsidRPr="00091A98">
        <w:rPr>
          <w:rFonts w:cs="Times New Roman"/>
          <w:lang w:val="de-CH"/>
        </w:rPr>
        <w:t xml:space="preserve">es Themenfelds Politik eine etwa </w:t>
      </w:r>
      <w:r w:rsidR="00332486" w:rsidRPr="00091A98">
        <w:rPr>
          <w:rFonts w:cs="Times New Roman"/>
          <w:lang w:val="de-CH"/>
        </w:rPr>
        <w:t>80-</w:t>
      </w:r>
      <w:r w:rsidR="00B575FC" w:rsidRPr="00091A98">
        <w:rPr>
          <w:rFonts w:cs="Times New Roman"/>
          <w:lang w:val="de-CH"/>
        </w:rPr>
        <w:t xml:space="preserve">prozentige Wahrscheinlichkeit hat, Parteien als Lobbyziel </w:t>
      </w:r>
      <w:r w:rsidR="00013588" w:rsidRPr="00091A98">
        <w:rPr>
          <w:rFonts w:cs="Times New Roman"/>
          <w:lang w:val="de-CH"/>
        </w:rPr>
        <w:t>eine höhere Bedeutung zuzumessen, als die</w:t>
      </w:r>
      <w:r w:rsidR="00332486" w:rsidRPr="00091A98">
        <w:rPr>
          <w:rFonts w:cs="Times New Roman"/>
          <w:lang w:val="de-CH"/>
        </w:rPr>
        <w:t>s</w:t>
      </w:r>
      <w:r w:rsidR="00013588" w:rsidRPr="00091A98">
        <w:rPr>
          <w:rFonts w:cs="Times New Roman"/>
          <w:lang w:val="de-CH"/>
        </w:rPr>
        <w:t xml:space="preserve"> für eine zufällig ausgewählte Gesundheitsorganisation der Fall ist</w:t>
      </w:r>
      <w:r w:rsidR="00525C14" w:rsidRPr="00091A98">
        <w:rPr>
          <w:rFonts w:cs="Times New Roman"/>
          <w:lang w:val="de-CH"/>
        </w:rPr>
        <w:t>.</w:t>
      </w:r>
      <w:r w:rsidR="001E6F9E" w:rsidRPr="00091A98">
        <w:rPr>
          <w:rFonts w:cs="Times New Roman"/>
          <w:lang w:val="de-CH"/>
        </w:rPr>
        <w:t xml:space="preserve"> </w:t>
      </w:r>
      <w:r w:rsidR="002E3CC5" w:rsidRPr="00091A98">
        <w:rPr>
          <w:rFonts w:cs="Times New Roman"/>
          <w:lang w:val="de-CH"/>
        </w:rPr>
        <w:t xml:space="preserve">Ebenfalls hohe Bedeutung messen die </w:t>
      </w:r>
      <w:r w:rsidR="001E6F9E" w:rsidRPr="00091A98">
        <w:rPr>
          <w:rFonts w:cs="Times New Roman"/>
          <w:lang w:val="de-CH"/>
        </w:rPr>
        <w:t>Umweltverbände den</w:t>
      </w:r>
      <w:r w:rsidR="002E3CC5" w:rsidRPr="00091A98">
        <w:rPr>
          <w:rFonts w:cs="Times New Roman"/>
          <w:lang w:val="de-CH"/>
        </w:rPr>
        <w:t xml:space="preserve"> verschiedenen</w:t>
      </w:r>
      <w:r w:rsidR="001E6F9E" w:rsidRPr="00091A98">
        <w:rPr>
          <w:rFonts w:cs="Times New Roman"/>
          <w:lang w:val="de-CH"/>
        </w:rPr>
        <w:t xml:space="preserve"> Lobbyzielen</w:t>
      </w:r>
      <w:r w:rsidR="002E3CC5" w:rsidRPr="00091A98">
        <w:rPr>
          <w:rFonts w:cs="Times New Roman"/>
          <w:lang w:val="de-CH"/>
        </w:rPr>
        <w:t xml:space="preserve"> (eine Ausnahme bilden die Parteien) </w:t>
      </w:r>
      <w:r w:rsidR="00BC5215" w:rsidRPr="00091A98">
        <w:rPr>
          <w:rFonts w:cs="Times New Roman"/>
          <w:lang w:val="de-CH"/>
        </w:rPr>
        <w:t>bei</w:t>
      </w:r>
      <w:r w:rsidR="002E3CC5" w:rsidRPr="00091A98">
        <w:rPr>
          <w:rFonts w:cs="Times New Roman"/>
          <w:lang w:val="de-CH"/>
        </w:rPr>
        <w:t>, während</w:t>
      </w:r>
      <w:r w:rsidR="007B623C" w:rsidRPr="00091A98">
        <w:rPr>
          <w:rFonts w:cs="Times New Roman"/>
          <w:lang w:val="de-CH"/>
        </w:rPr>
        <w:t xml:space="preserve"> Organisationen der Bereiche Freizeit und Wissenschaft</w:t>
      </w:r>
      <w:r w:rsidR="008F1C1D" w:rsidRPr="00091A98">
        <w:rPr>
          <w:rFonts w:cs="Times New Roman"/>
          <w:lang w:val="de-CH"/>
        </w:rPr>
        <w:t xml:space="preserve"> den Lobbyzielen eher geringeres Gewicht beimessen.</w:t>
      </w:r>
      <w:r w:rsidR="00F51062" w:rsidRPr="00091A98">
        <w:rPr>
          <w:rFonts w:cs="Times New Roman"/>
          <w:lang w:val="de-CH"/>
        </w:rPr>
        <w:t xml:space="preserve"> </w:t>
      </w:r>
      <w:r w:rsidR="00FB1EDB" w:rsidRPr="00091A98">
        <w:rPr>
          <w:rFonts w:cs="Times New Roman"/>
          <w:lang w:val="de-CH"/>
        </w:rPr>
        <w:t>Die Resultate der Tabelle 4 zeigen ausserdem</w:t>
      </w:r>
      <w:r w:rsidR="00E73653" w:rsidRPr="00091A98">
        <w:rPr>
          <w:rFonts w:cs="Times New Roman"/>
          <w:lang w:val="de-CH"/>
        </w:rPr>
        <w:t xml:space="preserve">, dass </w:t>
      </w:r>
      <w:r w:rsidR="008C2759" w:rsidRPr="00091A98">
        <w:rPr>
          <w:rFonts w:cs="Times New Roman"/>
          <w:lang w:val="de-CH"/>
        </w:rPr>
        <w:t xml:space="preserve">auch </w:t>
      </w:r>
      <w:r w:rsidR="00E73653" w:rsidRPr="00091A98">
        <w:rPr>
          <w:rFonts w:cs="Times New Roman"/>
          <w:lang w:val="de-CH"/>
        </w:rPr>
        <w:t>Lobbykoalitionen eine Rolle für das Lobbyverhalten spielen. Organisationen</w:t>
      </w:r>
      <w:r w:rsidR="008C2759" w:rsidRPr="00091A98">
        <w:rPr>
          <w:rFonts w:cs="Times New Roman"/>
          <w:lang w:val="de-CH"/>
        </w:rPr>
        <w:t>,</w:t>
      </w:r>
      <w:r w:rsidR="00E73653" w:rsidRPr="00091A98">
        <w:rPr>
          <w:rFonts w:cs="Times New Roman"/>
          <w:lang w:val="de-CH"/>
        </w:rPr>
        <w:t xml:space="preserve"> </w:t>
      </w:r>
      <w:r w:rsidR="00C431C8" w:rsidRPr="00091A98">
        <w:rPr>
          <w:rFonts w:cs="Times New Roman"/>
          <w:lang w:val="de-CH"/>
        </w:rPr>
        <w:t>die</w:t>
      </w:r>
      <w:r w:rsidR="00E73653" w:rsidRPr="00091A98">
        <w:rPr>
          <w:rFonts w:cs="Times New Roman"/>
          <w:lang w:val="de-CH"/>
        </w:rPr>
        <w:t xml:space="preserve"> stärker in solche Koalitionen eingebunden sind</w:t>
      </w:r>
      <w:r w:rsidR="008C2759" w:rsidRPr="00091A98">
        <w:rPr>
          <w:rFonts w:cs="Times New Roman"/>
          <w:lang w:val="de-CH"/>
        </w:rPr>
        <w:t>,</w:t>
      </w:r>
      <w:r w:rsidR="00E73653" w:rsidRPr="00091A98">
        <w:rPr>
          <w:rFonts w:cs="Times New Roman"/>
          <w:lang w:val="de-CH"/>
        </w:rPr>
        <w:t xml:space="preserve"> weisen dabei den Zielen des Insider Lobbying, also der Regierung und den Parteien, ein</w:t>
      </w:r>
      <w:r w:rsidR="00C431C8" w:rsidRPr="00091A98">
        <w:rPr>
          <w:rFonts w:cs="Times New Roman"/>
          <w:lang w:val="de-CH"/>
        </w:rPr>
        <w:t>e deutlich höherer Bedeutung zu</w:t>
      </w:r>
      <w:r w:rsidR="00E73653" w:rsidRPr="00091A98">
        <w:rPr>
          <w:rFonts w:cs="Times New Roman"/>
          <w:lang w:val="de-CH"/>
        </w:rPr>
        <w:t xml:space="preserve">. Gleichzeitig verringert sich für solche Gruppen allerdings die Wichtigkeit der Bürger und der Medien. </w:t>
      </w:r>
      <w:r w:rsidR="00830A34" w:rsidRPr="00091A98">
        <w:rPr>
          <w:rFonts w:cs="Times New Roman"/>
          <w:lang w:val="de-CH"/>
        </w:rPr>
        <w:t xml:space="preserve">Eine mögliche Deutung dieser Ergebnisse wäre, dass </w:t>
      </w:r>
      <w:r w:rsidR="00577BA3" w:rsidRPr="00091A98">
        <w:rPr>
          <w:rFonts w:cs="Times New Roman"/>
          <w:lang w:val="de-CH"/>
        </w:rPr>
        <w:t>eine verstärkte</w:t>
      </w:r>
      <w:r w:rsidR="00830A34" w:rsidRPr="00091A98">
        <w:rPr>
          <w:rFonts w:cs="Times New Roman"/>
          <w:lang w:val="de-CH"/>
        </w:rPr>
        <w:t xml:space="preserve"> Vernetzung mit anderen Organisationen </w:t>
      </w:r>
      <w:r w:rsidR="00577BA3" w:rsidRPr="00091A98">
        <w:rPr>
          <w:rFonts w:cs="Times New Roman"/>
          <w:lang w:val="de-CH"/>
        </w:rPr>
        <w:t xml:space="preserve">als Ersatz für </w:t>
      </w:r>
      <w:r w:rsidR="00830A34" w:rsidRPr="00091A98">
        <w:rPr>
          <w:rFonts w:cs="Times New Roman"/>
          <w:lang w:val="de-CH"/>
        </w:rPr>
        <w:t xml:space="preserve">den </w:t>
      </w:r>
      <w:r w:rsidR="00BA266D" w:rsidRPr="00091A98">
        <w:rPr>
          <w:rFonts w:cs="Times New Roman"/>
          <w:lang w:val="de-CH"/>
        </w:rPr>
        <w:t xml:space="preserve">direkten </w:t>
      </w:r>
      <w:r w:rsidR="00830A34" w:rsidRPr="00091A98">
        <w:rPr>
          <w:rFonts w:cs="Times New Roman"/>
          <w:lang w:val="de-CH"/>
        </w:rPr>
        <w:t xml:space="preserve">Kontakt zum Bürger </w:t>
      </w:r>
      <w:r w:rsidR="00577BA3" w:rsidRPr="00091A98">
        <w:rPr>
          <w:rFonts w:cs="Times New Roman"/>
          <w:lang w:val="de-CH"/>
        </w:rPr>
        <w:t xml:space="preserve">dient. Dieser interessante Befund </w:t>
      </w:r>
      <w:r w:rsidR="00EF6251" w:rsidRPr="00091A98">
        <w:rPr>
          <w:rFonts w:cs="Times New Roman"/>
          <w:lang w:val="de-CH"/>
        </w:rPr>
        <w:t xml:space="preserve">kann hier jedoch nicht weiter untersucht werden, weitere Forschung in diese Richtung wäre </w:t>
      </w:r>
      <w:r w:rsidR="0010004A" w:rsidRPr="00091A98">
        <w:rPr>
          <w:rFonts w:cs="Times New Roman"/>
          <w:lang w:val="de-CH"/>
        </w:rPr>
        <w:t>jedoch</w:t>
      </w:r>
      <w:r w:rsidR="00EF6251" w:rsidRPr="00091A98">
        <w:rPr>
          <w:rFonts w:cs="Times New Roman"/>
          <w:lang w:val="de-CH"/>
        </w:rPr>
        <w:t xml:space="preserve"> wünschenswert.</w:t>
      </w:r>
      <w:r w:rsidR="00CF5362" w:rsidRPr="00091A98">
        <w:rPr>
          <w:rFonts w:cs="Times New Roman"/>
          <w:lang w:val="de-CH"/>
        </w:rPr>
        <w:t xml:space="preserve"> Die Güte der Daten und der Modelle kann durch all diese Resultate als bestätigt betrachtet werden, und wir können uns der Interpretation der Wettbewerbskoeffizienten zuwenden.</w:t>
      </w:r>
    </w:p>
    <w:p w14:paraId="63EDC8EA" w14:textId="77777777" w:rsidR="000259A2" w:rsidRPr="00091A98" w:rsidRDefault="000259A2" w:rsidP="009F5188">
      <w:pPr>
        <w:spacing w:line="360" w:lineRule="auto"/>
        <w:rPr>
          <w:rFonts w:cs="Times New Roman"/>
          <w:lang w:val="de-CH"/>
        </w:rPr>
      </w:pPr>
    </w:p>
    <w:p w14:paraId="21A60934" w14:textId="2459952B" w:rsidR="009F5188" w:rsidRPr="00091A98" w:rsidRDefault="009F5188" w:rsidP="009F5188">
      <w:pPr>
        <w:spacing w:line="360" w:lineRule="auto"/>
        <w:rPr>
          <w:rFonts w:cs="Times New Roman"/>
          <w:lang w:val="de-CH"/>
        </w:rPr>
      </w:pPr>
      <w:r w:rsidRPr="00091A98">
        <w:rPr>
          <w:rFonts w:cs="Times New Roman"/>
          <w:lang w:val="de-CH"/>
        </w:rPr>
        <w:t>Aus den Modelle 1 bis 4, in denen der Einfluss der Wettbewerbsintensität direkt auf eine der beiden Lobbystrategien getestet wird, wird deutlich, dass die Bedeutung sowohl des Insider als auch des Outsider Lobbyings mit der Stärke des Wettbewerbs zunimmt. Tatsächlich zeigt sich für jedes einzelne der vier Modelle, dass die Wichtigkeit des jeweiligen Ansprechpartners mit jeder Stufe der Wettbewerbsintensität zunimmt, was sich in einem stetig grö</w:t>
      </w:r>
      <w:r w:rsidR="00326CFE" w:rsidRPr="00091A98">
        <w:rPr>
          <w:rFonts w:cs="Times New Roman"/>
          <w:lang w:val="de-CH"/>
        </w:rPr>
        <w:t>ss</w:t>
      </w:r>
      <w:r w:rsidRPr="00091A98">
        <w:rPr>
          <w:rFonts w:cs="Times New Roman"/>
          <w:lang w:val="de-CH"/>
        </w:rPr>
        <w:t>er werdenden Koeffizienten äu</w:t>
      </w:r>
      <w:r w:rsidR="00326CFE" w:rsidRPr="00091A98">
        <w:rPr>
          <w:rFonts w:cs="Times New Roman"/>
          <w:lang w:val="de-CH"/>
        </w:rPr>
        <w:t>ss</w:t>
      </w:r>
      <w:r w:rsidRPr="00091A98">
        <w:rPr>
          <w:rFonts w:cs="Times New Roman"/>
          <w:lang w:val="de-CH"/>
        </w:rPr>
        <w:t>ert</w:t>
      </w:r>
      <w:r w:rsidR="00F501F1" w:rsidRPr="00091A98">
        <w:rPr>
          <w:rFonts w:cs="Times New Roman"/>
          <w:lang w:val="de-CH"/>
        </w:rPr>
        <w:t xml:space="preserve">. </w:t>
      </w:r>
      <w:r w:rsidRPr="00091A98">
        <w:rPr>
          <w:rFonts w:cs="Times New Roman"/>
          <w:lang w:val="de-CH"/>
        </w:rPr>
        <w:t>Besonders stark ist diese Zunahme der Bedeutung bei den beiden Insider Strategien (</w:t>
      </w:r>
      <w:r w:rsidR="00005B57" w:rsidRPr="00091A98">
        <w:rPr>
          <w:rFonts w:cs="Times New Roman"/>
          <w:lang w:val="de-CH"/>
        </w:rPr>
        <w:t>und dabei</w:t>
      </w:r>
      <w:r w:rsidRPr="00091A98">
        <w:rPr>
          <w:rFonts w:cs="Times New Roman"/>
          <w:lang w:val="de-CH"/>
        </w:rPr>
        <w:t xml:space="preserve"> insbesondere bei den politischen Parteien), während die Koeffizienten bei den Outsider Strategien im Schnitt etwas kleiner sind. Als Basiskategorie, mit der die anderen Stufen des </w:t>
      </w:r>
      <w:r w:rsidRPr="00091A98">
        <w:rPr>
          <w:rFonts w:cs="Times New Roman"/>
          <w:lang w:val="de-CH"/>
        </w:rPr>
        <w:lastRenderedPageBreak/>
        <w:t xml:space="preserve">Konkurrenzkampfs direkt verglichen werden, dient </w:t>
      </w:r>
      <w:r w:rsidR="00F501F1" w:rsidRPr="00091A98">
        <w:rPr>
          <w:rFonts w:cs="Times New Roman"/>
          <w:lang w:val="de-CH"/>
        </w:rPr>
        <w:t xml:space="preserve">in allen Modellen die Kategorie, </w:t>
      </w:r>
      <w:r w:rsidRPr="00091A98">
        <w:rPr>
          <w:rFonts w:cs="Times New Roman"/>
          <w:lang w:val="de-CH"/>
        </w:rPr>
        <w:t xml:space="preserve">sehr </w:t>
      </w:r>
      <w:r w:rsidR="00E67656" w:rsidRPr="00091A98">
        <w:rPr>
          <w:rFonts w:cs="Times New Roman"/>
          <w:lang w:val="de-CH"/>
        </w:rPr>
        <w:t>schwacher</w:t>
      </w:r>
      <w:r w:rsidRPr="00091A98">
        <w:rPr>
          <w:rFonts w:cs="Times New Roman"/>
          <w:lang w:val="de-CH"/>
        </w:rPr>
        <w:t xml:space="preserve"> Wettbewerb</w:t>
      </w:r>
      <w:r w:rsidR="00734F55" w:rsidRPr="00091A98">
        <w:rPr>
          <w:rFonts w:cs="Times New Roman"/>
          <w:lang w:val="de-CH"/>
        </w:rPr>
        <w:t>’</w:t>
      </w:r>
      <w:r w:rsidRPr="00091A98">
        <w:rPr>
          <w:rFonts w:cs="Times New Roman"/>
          <w:lang w:val="de-CH"/>
        </w:rPr>
        <w:t>. Wie in den Modellen zu sehen ist, unterscheiden sich die Kategorien drei bis fünf (mittelstarker, starker und sehr starker Wettbewerb) deutlich von dieser Basiskategorie in allen vier Modellen. Die zweite Kategorie (</w:t>
      </w:r>
      <w:r w:rsidR="0085100B" w:rsidRPr="00091A98">
        <w:rPr>
          <w:rFonts w:cs="Times New Roman"/>
          <w:lang w:val="de-CH"/>
        </w:rPr>
        <w:t>schwacher</w:t>
      </w:r>
      <w:r w:rsidRPr="00091A98">
        <w:rPr>
          <w:rFonts w:cs="Times New Roman"/>
          <w:lang w:val="de-CH"/>
        </w:rPr>
        <w:t xml:space="preserve"> Wettbewerb) ist allerdings nur in Modell 2 (politische Parteien) signifikant unterschiedlich in ihrer Auswirkung auf das Lobbyverhalten, hier jedoch sehr deutlich.</w:t>
      </w:r>
      <w:r w:rsidR="004072C0" w:rsidRPr="00091A98">
        <w:rPr>
          <w:rFonts w:cs="Times New Roman"/>
          <w:lang w:val="de-CH"/>
        </w:rPr>
        <w:t xml:space="preserve"> </w:t>
      </w:r>
      <w:r w:rsidR="00422E37" w:rsidRPr="00091A98">
        <w:rPr>
          <w:rFonts w:cs="Times New Roman"/>
          <w:lang w:val="de-CH"/>
        </w:rPr>
        <w:t>I</w:t>
      </w:r>
      <w:r w:rsidR="004072C0" w:rsidRPr="00091A98">
        <w:rPr>
          <w:rFonts w:cs="Times New Roman"/>
          <w:lang w:val="de-CH"/>
        </w:rPr>
        <w:t xml:space="preserve">n einem direkten Vergleich </w:t>
      </w:r>
      <w:r w:rsidR="00422E37" w:rsidRPr="00091A98">
        <w:rPr>
          <w:rFonts w:cs="Times New Roman"/>
          <w:lang w:val="de-CH"/>
        </w:rPr>
        <w:t>der einzelnen Kategorien untereinander zeigt sich, dass</w:t>
      </w:r>
      <w:r w:rsidR="002E5C3D" w:rsidRPr="00091A98">
        <w:rPr>
          <w:rFonts w:cs="Times New Roman"/>
          <w:lang w:val="de-CH"/>
        </w:rPr>
        <w:t xml:space="preserve"> sich</w:t>
      </w:r>
      <w:r w:rsidR="00422E37" w:rsidRPr="00091A98">
        <w:rPr>
          <w:rFonts w:cs="Times New Roman"/>
          <w:lang w:val="de-CH"/>
        </w:rPr>
        <w:t xml:space="preserve"> </w:t>
      </w:r>
      <w:r w:rsidR="003F046F" w:rsidRPr="00091A98">
        <w:rPr>
          <w:rFonts w:cs="Times New Roman"/>
          <w:lang w:val="de-CH"/>
        </w:rPr>
        <w:t>ein Gro</w:t>
      </w:r>
      <w:r w:rsidR="00326CFE" w:rsidRPr="00091A98">
        <w:rPr>
          <w:rFonts w:cs="Times New Roman"/>
          <w:lang w:val="de-CH"/>
        </w:rPr>
        <w:t>ss</w:t>
      </w:r>
      <w:r w:rsidR="003F046F" w:rsidRPr="00091A98">
        <w:rPr>
          <w:rFonts w:cs="Times New Roman"/>
          <w:lang w:val="de-CH"/>
        </w:rPr>
        <w:t>teil der Kategorienpaare</w:t>
      </w:r>
      <w:r w:rsidR="001F7025" w:rsidRPr="00091A98">
        <w:rPr>
          <w:rFonts w:cs="Times New Roman"/>
          <w:lang w:val="de-CH"/>
        </w:rPr>
        <w:t xml:space="preserve"> (32 von 40)</w:t>
      </w:r>
      <w:r w:rsidR="002E5C3D" w:rsidRPr="00091A98">
        <w:rPr>
          <w:rFonts w:cs="Times New Roman"/>
          <w:lang w:val="de-CH"/>
        </w:rPr>
        <w:t xml:space="preserve"> </w:t>
      </w:r>
      <w:r w:rsidR="003F046F" w:rsidRPr="00091A98">
        <w:rPr>
          <w:rFonts w:cs="Times New Roman"/>
          <w:lang w:val="de-CH"/>
        </w:rPr>
        <w:t xml:space="preserve">signifikant </w:t>
      </w:r>
      <w:r w:rsidR="002E5C3D" w:rsidRPr="00091A98">
        <w:rPr>
          <w:rFonts w:cs="Times New Roman"/>
          <w:lang w:val="de-CH"/>
        </w:rPr>
        <w:t>voneinander unterscheiden</w:t>
      </w:r>
      <w:r w:rsidR="004072C0" w:rsidRPr="00091A98">
        <w:rPr>
          <w:rFonts w:cs="Times New Roman"/>
          <w:lang w:val="de-CH"/>
        </w:rPr>
        <w:t>.</w:t>
      </w:r>
      <w:r w:rsidRPr="00091A98">
        <w:rPr>
          <w:rFonts w:cs="Times New Roman"/>
          <w:lang w:val="de-CH"/>
        </w:rPr>
        <w:t xml:space="preserve"> </w:t>
      </w:r>
      <w:r w:rsidR="001F7025" w:rsidRPr="00091A98">
        <w:rPr>
          <w:rFonts w:cs="Times New Roman"/>
          <w:lang w:val="de-CH"/>
        </w:rPr>
        <w:t>Welche Kategorienpaar</w:t>
      </w:r>
      <w:r w:rsidR="0085100B" w:rsidRPr="00091A98">
        <w:rPr>
          <w:rFonts w:cs="Times New Roman"/>
          <w:lang w:val="de-CH"/>
        </w:rPr>
        <w:t>e</w:t>
      </w:r>
      <w:r w:rsidR="001F7025" w:rsidRPr="00091A98">
        <w:rPr>
          <w:rFonts w:cs="Times New Roman"/>
          <w:lang w:val="de-CH"/>
        </w:rPr>
        <w:t xml:space="preserve"> signifikante Unterschiede aufweisen und </w:t>
      </w:r>
      <w:r w:rsidR="001F5634" w:rsidRPr="00091A98">
        <w:rPr>
          <w:rFonts w:cs="Times New Roman"/>
          <w:lang w:val="de-CH"/>
        </w:rPr>
        <w:t>welche nicht, wird in Appendix 3</w:t>
      </w:r>
      <w:r w:rsidR="001F7025" w:rsidRPr="00091A98">
        <w:rPr>
          <w:rFonts w:cs="Times New Roman"/>
          <w:lang w:val="de-CH"/>
        </w:rPr>
        <w:t xml:space="preserve"> ausführlich dargestellt.</w:t>
      </w:r>
    </w:p>
    <w:p w14:paraId="1023CA53" w14:textId="77777777" w:rsidR="00401D1F" w:rsidRPr="00091A98" w:rsidRDefault="00401D1F" w:rsidP="009F5188">
      <w:pPr>
        <w:spacing w:line="360" w:lineRule="auto"/>
        <w:rPr>
          <w:rFonts w:cs="Times New Roman"/>
          <w:lang w:val="de-CH"/>
        </w:rPr>
      </w:pPr>
    </w:p>
    <w:p w14:paraId="48157F69" w14:textId="138881C7" w:rsidR="00401D1F" w:rsidRPr="00091A98" w:rsidRDefault="006A6929" w:rsidP="009F5188">
      <w:pPr>
        <w:spacing w:line="360" w:lineRule="auto"/>
        <w:rPr>
          <w:rFonts w:cs="Times New Roman"/>
          <w:lang w:val="de-CH"/>
        </w:rPr>
      </w:pPr>
      <w:r w:rsidRPr="00091A98">
        <w:rPr>
          <w:rFonts w:cs="Times New Roman"/>
          <w:lang w:val="de-CH"/>
        </w:rPr>
        <w:t>Abbildung 4 stellt die Erge</w:t>
      </w:r>
      <w:r w:rsidR="00560E36" w:rsidRPr="00091A98">
        <w:rPr>
          <w:rFonts w:cs="Times New Roman"/>
          <w:lang w:val="de-CH"/>
        </w:rPr>
        <w:t>b</w:t>
      </w:r>
      <w:r w:rsidRPr="00091A98">
        <w:rPr>
          <w:rFonts w:cs="Times New Roman"/>
          <w:lang w:val="de-CH"/>
        </w:rPr>
        <w:t xml:space="preserve">nisse </w:t>
      </w:r>
      <w:r w:rsidR="00582487" w:rsidRPr="00091A98">
        <w:rPr>
          <w:rFonts w:cs="Times New Roman"/>
          <w:lang w:val="de-CH"/>
        </w:rPr>
        <w:t>der Wettbewerbsvariablen</w:t>
      </w:r>
      <w:r w:rsidR="00560E36" w:rsidRPr="00091A98">
        <w:rPr>
          <w:rFonts w:cs="Times New Roman"/>
          <w:lang w:val="de-CH"/>
        </w:rPr>
        <w:t xml:space="preserve"> für</w:t>
      </w:r>
      <w:r w:rsidR="00582487" w:rsidRPr="00091A98">
        <w:rPr>
          <w:rFonts w:cs="Times New Roman"/>
          <w:lang w:val="de-CH"/>
        </w:rPr>
        <w:t xml:space="preserve"> die</w:t>
      </w:r>
      <w:r w:rsidRPr="00091A98">
        <w:rPr>
          <w:rFonts w:cs="Times New Roman"/>
          <w:lang w:val="de-CH"/>
        </w:rPr>
        <w:t xml:space="preserve"> ersten</w:t>
      </w:r>
      <w:r w:rsidR="00341CCB" w:rsidRPr="00091A98">
        <w:rPr>
          <w:rFonts w:cs="Times New Roman"/>
          <w:lang w:val="de-CH"/>
        </w:rPr>
        <w:t xml:space="preserve"> vier Modelle der Tabelle 4</w:t>
      </w:r>
      <w:r w:rsidR="00560E36" w:rsidRPr="00091A98">
        <w:rPr>
          <w:rFonts w:cs="Times New Roman"/>
          <w:lang w:val="de-CH"/>
        </w:rPr>
        <w:t xml:space="preserve"> graphisch dar. </w:t>
      </w:r>
      <w:r w:rsidR="00343859" w:rsidRPr="00091A98">
        <w:rPr>
          <w:rFonts w:cs="Times New Roman"/>
          <w:lang w:val="de-CH"/>
        </w:rPr>
        <w:t>In jeder Teilabbildung wird die Wahrscheinlichkeit darg</w:t>
      </w:r>
      <w:r w:rsidR="00F022BF" w:rsidRPr="00091A98">
        <w:rPr>
          <w:rFonts w:cs="Times New Roman"/>
          <w:lang w:val="de-CH"/>
        </w:rPr>
        <w:t>estellt, dass eine Organisation</w:t>
      </w:r>
      <w:r w:rsidR="005F0CC0" w:rsidRPr="00091A98">
        <w:rPr>
          <w:rFonts w:cs="Times New Roman"/>
          <w:lang w:val="de-CH"/>
        </w:rPr>
        <w:t xml:space="preserve"> </w:t>
      </w:r>
      <w:r w:rsidR="000C537B" w:rsidRPr="00091A98">
        <w:rPr>
          <w:rFonts w:cs="Times New Roman"/>
          <w:lang w:val="de-CH"/>
        </w:rPr>
        <w:t xml:space="preserve">der </w:t>
      </w:r>
      <w:r w:rsidR="00F022BF" w:rsidRPr="00091A98">
        <w:rPr>
          <w:rFonts w:cs="Times New Roman"/>
          <w:lang w:val="de-CH"/>
        </w:rPr>
        <w:t>fraglichen</w:t>
      </w:r>
      <w:r w:rsidR="000C537B" w:rsidRPr="00091A98">
        <w:rPr>
          <w:rFonts w:cs="Times New Roman"/>
          <w:lang w:val="de-CH"/>
        </w:rPr>
        <w:t xml:space="preserve"> Zielgruppe des Lobbyings</w:t>
      </w:r>
      <w:r w:rsidR="005F0CC0" w:rsidRPr="00091A98">
        <w:rPr>
          <w:rFonts w:cs="Times New Roman"/>
          <w:lang w:val="de-CH"/>
        </w:rPr>
        <w:t xml:space="preserve"> die entsprechende Wichtigkeit beimisst</w:t>
      </w:r>
      <w:r w:rsidR="005A3316" w:rsidRPr="00091A98">
        <w:rPr>
          <w:rFonts w:cs="Times New Roman"/>
          <w:lang w:val="de-CH"/>
        </w:rPr>
        <w:t xml:space="preserve">, jeweils für die fünf unterschiedlichen Kategorien des Wettbewerbs. </w:t>
      </w:r>
      <w:r w:rsidR="000C537B" w:rsidRPr="00091A98">
        <w:rPr>
          <w:rFonts w:cs="Times New Roman"/>
          <w:lang w:val="de-CH"/>
        </w:rPr>
        <w:t xml:space="preserve">Als Beispiel: In der </w:t>
      </w:r>
      <w:r w:rsidR="00410BAB" w:rsidRPr="00091A98">
        <w:rPr>
          <w:rFonts w:cs="Times New Roman"/>
          <w:lang w:val="de-CH"/>
        </w:rPr>
        <w:t>Box</w:t>
      </w:r>
      <w:r w:rsidR="0073407E" w:rsidRPr="00091A98">
        <w:rPr>
          <w:rFonts w:cs="Times New Roman"/>
          <w:lang w:val="de-CH"/>
        </w:rPr>
        <w:t xml:space="preserve"> ganz </w:t>
      </w:r>
      <w:r w:rsidR="00410BAB" w:rsidRPr="00091A98">
        <w:rPr>
          <w:rFonts w:cs="Times New Roman"/>
          <w:lang w:val="de-CH"/>
        </w:rPr>
        <w:t>oben</w:t>
      </w:r>
      <w:r w:rsidR="00F022BF" w:rsidRPr="00091A98">
        <w:rPr>
          <w:rFonts w:cs="Times New Roman"/>
          <w:lang w:val="de-CH"/>
        </w:rPr>
        <w:t xml:space="preserve"> links</w:t>
      </w:r>
      <w:r w:rsidR="00410BAB" w:rsidRPr="00091A98">
        <w:rPr>
          <w:rFonts w:cs="Times New Roman"/>
          <w:lang w:val="de-CH"/>
        </w:rPr>
        <w:t xml:space="preserve"> wird die Wahrscheinlichkeit abgebildet, dass </w:t>
      </w:r>
      <w:r w:rsidR="00316DC4" w:rsidRPr="00091A98">
        <w:rPr>
          <w:rFonts w:cs="Times New Roman"/>
          <w:lang w:val="de-CH"/>
        </w:rPr>
        <w:t>Organisationen der Regierung eine äu</w:t>
      </w:r>
      <w:r w:rsidR="00326CFE" w:rsidRPr="00091A98">
        <w:rPr>
          <w:rFonts w:cs="Times New Roman"/>
          <w:lang w:val="de-CH"/>
        </w:rPr>
        <w:t>ss</w:t>
      </w:r>
      <w:r w:rsidR="00316DC4" w:rsidRPr="00091A98">
        <w:rPr>
          <w:rFonts w:cs="Times New Roman"/>
          <w:lang w:val="de-CH"/>
        </w:rPr>
        <w:t xml:space="preserve">erste Wichtigkeit als Ansprechpartner für ihr Lobbying beimessen. Gibt es kaum Wettbewerb, ist diese Wahrscheinlichkeit </w:t>
      </w:r>
      <w:r w:rsidR="00EA1C64">
        <w:rPr>
          <w:rFonts w:cs="Times New Roman"/>
          <w:lang w:val="de-CH"/>
        </w:rPr>
        <w:t>ca. 16.5%, bei geringem Wettbewerb 20.</w:t>
      </w:r>
      <w:r w:rsidR="006A2151" w:rsidRPr="00091A98">
        <w:rPr>
          <w:rFonts w:cs="Times New Roman"/>
          <w:lang w:val="de-CH"/>
        </w:rPr>
        <w:t>3</w:t>
      </w:r>
      <w:r w:rsidR="0007433B" w:rsidRPr="00091A98">
        <w:rPr>
          <w:rFonts w:cs="Times New Roman"/>
          <w:lang w:val="de-CH"/>
        </w:rPr>
        <w:t>%, bei mittler</w:t>
      </w:r>
      <w:r w:rsidR="006A2151" w:rsidRPr="00091A98">
        <w:rPr>
          <w:rFonts w:cs="Times New Roman"/>
          <w:lang w:val="de-CH"/>
        </w:rPr>
        <w:t>em Wettbewerb 34</w:t>
      </w:r>
      <w:r w:rsidR="00EA1C64">
        <w:rPr>
          <w:rFonts w:cs="Times New Roman"/>
          <w:lang w:val="de-CH"/>
        </w:rPr>
        <w:t>.</w:t>
      </w:r>
      <w:r w:rsidR="0007433B" w:rsidRPr="00091A98">
        <w:rPr>
          <w:rFonts w:cs="Times New Roman"/>
          <w:lang w:val="de-CH"/>
        </w:rPr>
        <w:t>5%</w:t>
      </w:r>
      <w:r w:rsidR="00EA1C64">
        <w:rPr>
          <w:rFonts w:cs="Times New Roman"/>
          <w:lang w:val="de-CH"/>
        </w:rPr>
        <w:t>, bei starkem Wettbewerb 43.</w:t>
      </w:r>
      <w:r w:rsidR="006A2151" w:rsidRPr="00091A98">
        <w:rPr>
          <w:rFonts w:cs="Times New Roman"/>
          <w:lang w:val="de-CH"/>
        </w:rPr>
        <w:t>6</w:t>
      </w:r>
      <w:r w:rsidR="00CC5B7A" w:rsidRPr="00091A98">
        <w:rPr>
          <w:rFonts w:cs="Times New Roman"/>
          <w:lang w:val="de-CH"/>
        </w:rPr>
        <w:t>%, und b</w:t>
      </w:r>
      <w:r w:rsidR="00EA1C64">
        <w:rPr>
          <w:rFonts w:cs="Times New Roman"/>
          <w:lang w:val="de-CH"/>
        </w:rPr>
        <w:t>ei sehr starkem Wettbewerb 41,.</w:t>
      </w:r>
      <w:r w:rsidR="00414A33" w:rsidRPr="00091A98">
        <w:rPr>
          <w:rFonts w:cs="Times New Roman"/>
          <w:lang w:val="de-CH"/>
        </w:rPr>
        <w:t>8</w:t>
      </w:r>
      <w:r w:rsidR="00CC5B7A" w:rsidRPr="00091A98">
        <w:rPr>
          <w:rFonts w:cs="Times New Roman"/>
          <w:lang w:val="de-CH"/>
        </w:rPr>
        <w:t xml:space="preserve">%. </w:t>
      </w:r>
      <w:r w:rsidR="00405925" w:rsidRPr="00091A98">
        <w:rPr>
          <w:rFonts w:cs="Times New Roman"/>
          <w:lang w:val="de-CH"/>
        </w:rPr>
        <w:t xml:space="preserve">Für die Errechnung der in der Abbildung dargestellten Werte wurden alle Kovariate </w:t>
      </w:r>
      <w:r w:rsidR="006F0607" w:rsidRPr="00091A98">
        <w:rPr>
          <w:rFonts w:cs="Times New Roman"/>
          <w:lang w:val="de-CH"/>
        </w:rPr>
        <w:t xml:space="preserve">auf den Mittelwert gesetzt. </w:t>
      </w:r>
      <w:r w:rsidR="00E05920" w:rsidRPr="00091A98">
        <w:rPr>
          <w:rFonts w:cs="Times New Roman"/>
          <w:lang w:val="de-CH"/>
        </w:rPr>
        <w:t>Wie sich diese Wahrscheinlichkeiten errechnen und in welchem Zusammenhang sie zu den Koeffizienten der Modelle ste</w:t>
      </w:r>
      <w:r w:rsidR="001F5634" w:rsidRPr="00091A98">
        <w:rPr>
          <w:rFonts w:cs="Times New Roman"/>
          <w:lang w:val="de-CH"/>
        </w:rPr>
        <w:t>hen, wird in Appendix 3</w:t>
      </w:r>
      <w:r w:rsidR="00E05920" w:rsidRPr="00091A98">
        <w:rPr>
          <w:rFonts w:cs="Times New Roman"/>
          <w:lang w:val="de-CH"/>
        </w:rPr>
        <w:t xml:space="preserve"> erläutert.</w:t>
      </w:r>
    </w:p>
    <w:p w14:paraId="0AEB56B7" w14:textId="77777777" w:rsidR="00DB52D7" w:rsidRPr="00091A98" w:rsidRDefault="00DB52D7" w:rsidP="009F5188">
      <w:pPr>
        <w:spacing w:line="360" w:lineRule="auto"/>
        <w:rPr>
          <w:rFonts w:cs="Times New Roman"/>
          <w:lang w:val="de-CH"/>
        </w:rPr>
      </w:pPr>
    </w:p>
    <w:p w14:paraId="7BC5ADE4" w14:textId="192A1A42" w:rsidR="00401D1F" w:rsidRPr="00091A98" w:rsidRDefault="00401D1F" w:rsidP="003B0D5D">
      <w:pPr>
        <w:spacing w:line="360" w:lineRule="auto"/>
        <w:jc w:val="center"/>
        <w:rPr>
          <w:rFonts w:cs="Times New Roman"/>
          <w:lang w:val="de-CH"/>
        </w:rPr>
      </w:pPr>
      <w:r w:rsidRPr="00091A98">
        <w:rPr>
          <w:rFonts w:ascii="Cambria" w:hAnsi="Cambria"/>
          <w:lang w:val="de-CH"/>
        </w:rPr>
        <w:t>*** ABBILDUNG 4 HIER EINFÜGEN ***</w:t>
      </w:r>
    </w:p>
    <w:p w14:paraId="2EB3D04A" w14:textId="77777777" w:rsidR="00E05920" w:rsidRPr="00091A98" w:rsidRDefault="00E05920" w:rsidP="009F5188">
      <w:pPr>
        <w:spacing w:line="360" w:lineRule="auto"/>
        <w:rPr>
          <w:rFonts w:cs="Times New Roman"/>
          <w:lang w:val="de-CH"/>
        </w:rPr>
      </w:pPr>
    </w:p>
    <w:p w14:paraId="40A8693E" w14:textId="59C25333" w:rsidR="00491C55" w:rsidRPr="00091A98" w:rsidRDefault="00491C55" w:rsidP="009F5188">
      <w:pPr>
        <w:spacing w:line="360" w:lineRule="auto"/>
        <w:rPr>
          <w:rFonts w:cs="Times New Roman"/>
          <w:lang w:val="de-CH"/>
        </w:rPr>
      </w:pPr>
      <w:r w:rsidRPr="00091A98">
        <w:rPr>
          <w:rFonts w:cs="Times New Roman"/>
          <w:lang w:val="de-CH"/>
        </w:rPr>
        <w:t xml:space="preserve">Auch wenn </w:t>
      </w:r>
      <w:r w:rsidR="005560C0" w:rsidRPr="00091A98">
        <w:rPr>
          <w:rFonts w:cs="Times New Roman"/>
          <w:lang w:val="de-CH"/>
        </w:rPr>
        <w:t>für</w:t>
      </w:r>
      <w:r w:rsidRPr="00091A98">
        <w:rPr>
          <w:rFonts w:cs="Times New Roman"/>
          <w:lang w:val="de-CH"/>
        </w:rPr>
        <w:t xml:space="preserve"> manchen Wichtigkeitskategorien die Wahrscheinlichkeiten der</w:t>
      </w:r>
      <w:r w:rsidR="0099619B" w:rsidRPr="00091A98">
        <w:rPr>
          <w:rFonts w:cs="Times New Roman"/>
          <w:lang w:val="de-CH"/>
        </w:rPr>
        <w:t xml:space="preserve"> fünf Wettbewerbsstufen recht ähnlich sind (z.B. </w:t>
      </w:r>
      <w:r w:rsidR="005560C0" w:rsidRPr="00091A98">
        <w:rPr>
          <w:rFonts w:cs="Times New Roman"/>
          <w:lang w:val="de-CH"/>
        </w:rPr>
        <w:t>für die</w:t>
      </w:r>
      <w:r w:rsidR="00737035" w:rsidRPr="00091A98">
        <w:rPr>
          <w:rFonts w:cs="Times New Roman"/>
          <w:lang w:val="de-CH"/>
        </w:rPr>
        <w:t xml:space="preserve"> Kategorie ‚Wichtig’ für die Bürger</w:t>
      </w:r>
      <w:r w:rsidR="00B3567D" w:rsidRPr="00091A98">
        <w:rPr>
          <w:rFonts w:cs="Times New Roman"/>
          <w:lang w:val="de-CH"/>
        </w:rPr>
        <w:t>, siehe das entsprechende Panel der Abbildung 4</w:t>
      </w:r>
      <w:r w:rsidR="00737035" w:rsidRPr="00091A98">
        <w:rPr>
          <w:rFonts w:cs="Times New Roman"/>
          <w:lang w:val="de-CH"/>
        </w:rPr>
        <w:t xml:space="preserve">), sind insgesamt doch deutliche Unterschiede für alle Zielgruppen des Lobbyings feststellbar, wenn sich der Wettbewerb unter den Interessengruppen verschärft. </w:t>
      </w:r>
      <w:r w:rsidR="00FA4A07" w:rsidRPr="00091A98">
        <w:rPr>
          <w:rFonts w:cs="Times New Roman"/>
          <w:lang w:val="de-CH"/>
        </w:rPr>
        <w:t xml:space="preserve">Je stärker der Wettbewerb ausgeprägt ist, umso höher die Wahrscheinlichkeit, dass Organisationen den vier Lobbyzielen eine </w:t>
      </w:r>
      <w:r w:rsidR="00FA4A07" w:rsidRPr="00091A98">
        <w:rPr>
          <w:rFonts w:cs="Times New Roman"/>
          <w:lang w:val="de-CH"/>
        </w:rPr>
        <w:lastRenderedPageBreak/>
        <w:t xml:space="preserve">hohe oder sehr hohe Wichtigkeit beimessen, und umso </w:t>
      </w:r>
      <w:r w:rsidR="00D14C40" w:rsidRPr="00091A98">
        <w:rPr>
          <w:rFonts w:cs="Times New Roman"/>
          <w:lang w:val="de-CH"/>
        </w:rPr>
        <w:t>seltener schätzen sie die Ziele als weniger wichtig oder gar unwichtig ein. Besonders stark sind diese Unterschiede für die Regierung und</w:t>
      </w:r>
      <w:r w:rsidR="00E322A6" w:rsidRPr="00091A98">
        <w:rPr>
          <w:rFonts w:cs="Times New Roman"/>
          <w:lang w:val="de-CH"/>
        </w:rPr>
        <w:t xml:space="preserve"> die Parteien, am geringsten fallen sie für die Bürger aus. </w:t>
      </w:r>
      <w:r w:rsidR="004A18FE" w:rsidRPr="00091A98">
        <w:rPr>
          <w:rFonts w:cs="Times New Roman"/>
          <w:lang w:val="de-CH"/>
        </w:rPr>
        <w:t xml:space="preserve">Doch selbst bei den Bürgern gibt es signifikante Unterschiede im Lobbyverhalten wenn der Wettbewerb zunimmt (nur die Kategorien 1 und 2, sowie die Kategorien 3 und 4 unterscheiden sich nicht signifikant voneinander). </w:t>
      </w:r>
      <w:r w:rsidR="00E56A72" w:rsidRPr="00091A98">
        <w:rPr>
          <w:rFonts w:cs="Times New Roman"/>
          <w:lang w:val="de-CH"/>
        </w:rPr>
        <w:t xml:space="preserve">So ordnen laut Modell </w:t>
      </w:r>
      <w:r w:rsidR="00B6681D" w:rsidRPr="00091A98">
        <w:rPr>
          <w:rFonts w:cs="Times New Roman"/>
          <w:lang w:val="de-CH"/>
        </w:rPr>
        <w:t>41</w:t>
      </w:r>
      <w:r w:rsidR="00EA1C64">
        <w:rPr>
          <w:rFonts w:cs="Times New Roman"/>
          <w:lang w:val="de-CH"/>
        </w:rPr>
        <w:t>.</w:t>
      </w:r>
      <w:r w:rsidR="007D534E" w:rsidRPr="00091A98">
        <w:rPr>
          <w:rFonts w:cs="Times New Roman"/>
          <w:lang w:val="de-CH"/>
        </w:rPr>
        <w:t xml:space="preserve">7% der </w:t>
      </w:r>
      <w:r w:rsidR="00E56A72" w:rsidRPr="00091A98">
        <w:rPr>
          <w:rFonts w:cs="Times New Roman"/>
          <w:lang w:val="de-CH"/>
        </w:rPr>
        <w:t xml:space="preserve">Interessengruppen, die sehr starkem Wettbewerb ausgesetzt sind, </w:t>
      </w:r>
      <w:r w:rsidR="00596E2F" w:rsidRPr="00091A98">
        <w:rPr>
          <w:rFonts w:cs="Times New Roman"/>
          <w:lang w:val="de-CH"/>
        </w:rPr>
        <w:t xml:space="preserve">den Bürgern </w:t>
      </w:r>
      <w:r w:rsidR="007D534E" w:rsidRPr="00091A98">
        <w:rPr>
          <w:rFonts w:cs="Times New Roman"/>
          <w:lang w:val="de-CH"/>
        </w:rPr>
        <w:t xml:space="preserve">eine hohe oder sehr hohe Wichtigkeit zu. Wenn der Wettbewerb nur mittelstark oder stark ist, sind es </w:t>
      </w:r>
      <w:r w:rsidR="00EA1C64">
        <w:rPr>
          <w:rFonts w:cs="Times New Roman"/>
          <w:lang w:val="de-CH"/>
        </w:rPr>
        <w:t>21.</w:t>
      </w:r>
      <w:r w:rsidR="00B6681D" w:rsidRPr="00091A98">
        <w:rPr>
          <w:rFonts w:cs="Times New Roman"/>
          <w:lang w:val="de-CH"/>
        </w:rPr>
        <w:t>6</w:t>
      </w:r>
      <w:r w:rsidR="00EA1C64">
        <w:rPr>
          <w:rFonts w:cs="Times New Roman"/>
          <w:lang w:val="de-CH"/>
        </w:rPr>
        <w:t>% bzw. 25.</w:t>
      </w:r>
      <w:r w:rsidR="009A00E0" w:rsidRPr="00091A98">
        <w:rPr>
          <w:rFonts w:cs="Times New Roman"/>
          <w:lang w:val="de-CH"/>
        </w:rPr>
        <w:t xml:space="preserve">2% der Gruppen, und für die beiden niedrigsten Wettbewerbskategorien nur mehr </w:t>
      </w:r>
      <w:r w:rsidR="00EA1C64">
        <w:rPr>
          <w:rFonts w:cs="Times New Roman"/>
          <w:lang w:val="de-CH"/>
        </w:rPr>
        <w:t>16.6% und 18.</w:t>
      </w:r>
      <w:r w:rsidR="00067B50" w:rsidRPr="00091A98">
        <w:rPr>
          <w:rFonts w:cs="Times New Roman"/>
          <w:lang w:val="de-CH"/>
        </w:rPr>
        <w:t>1</w:t>
      </w:r>
      <w:r w:rsidR="00DA2C39" w:rsidRPr="00091A98">
        <w:rPr>
          <w:rFonts w:cs="Times New Roman"/>
          <w:lang w:val="de-CH"/>
        </w:rPr>
        <w:t xml:space="preserve">%. </w:t>
      </w:r>
      <w:r w:rsidR="006E6056" w:rsidRPr="00091A98">
        <w:rPr>
          <w:rFonts w:cs="Times New Roman"/>
          <w:lang w:val="de-CH"/>
        </w:rPr>
        <w:t xml:space="preserve">Ein anderes Beispiel: </w:t>
      </w:r>
      <w:r w:rsidR="00EA1C64">
        <w:rPr>
          <w:rFonts w:cs="Times New Roman"/>
          <w:lang w:val="de-CH"/>
        </w:rPr>
        <w:t>48.</w:t>
      </w:r>
      <w:r w:rsidR="004F52AF" w:rsidRPr="00091A98">
        <w:rPr>
          <w:rFonts w:cs="Times New Roman"/>
          <w:lang w:val="de-CH"/>
        </w:rPr>
        <w:t>2</w:t>
      </w:r>
      <w:r w:rsidR="00846FD7" w:rsidRPr="00091A98">
        <w:rPr>
          <w:rFonts w:cs="Times New Roman"/>
          <w:lang w:val="de-CH"/>
        </w:rPr>
        <w:t xml:space="preserve">% der </w:t>
      </w:r>
      <w:r w:rsidR="006E6056" w:rsidRPr="00091A98">
        <w:rPr>
          <w:rFonts w:cs="Times New Roman"/>
          <w:lang w:val="de-CH"/>
        </w:rPr>
        <w:t>Interessengruppen</w:t>
      </w:r>
      <w:r w:rsidR="00846FD7" w:rsidRPr="00091A98">
        <w:rPr>
          <w:rFonts w:cs="Times New Roman"/>
          <w:lang w:val="de-CH"/>
        </w:rPr>
        <w:t xml:space="preserve"> mit sehr geringem Wettbewerb</w:t>
      </w:r>
      <w:r w:rsidR="006E6056" w:rsidRPr="00091A98">
        <w:rPr>
          <w:rFonts w:cs="Times New Roman"/>
          <w:lang w:val="de-CH"/>
        </w:rPr>
        <w:t xml:space="preserve"> halten Parteien </w:t>
      </w:r>
      <w:r w:rsidR="00846FD7" w:rsidRPr="00091A98">
        <w:rPr>
          <w:rFonts w:cs="Times New Roman"/>
          <w:lang w:val="de-CH"/>
        </w:rPr>
        <w:t xml:space="preserve">für </w:t>
      </w:r>
      <w:r w:rsidR="006E6056" w:rsidRPr="00091A98">
        <w:rPr>
          <w:rFonts w:cs="Times New Roman"/>
          <w:lang w:val="de-CH"/>
        </w:rPr>
        <w:t xml:space="preserve">unwichtig oder weniger wichtig </w:t>
      </w:r>
      <w:r w:rsidR="00846FD7" w:rsidRPr="00091A98">
        <w:rPr>
          <w:rFonts w:cs="Times New Roman"/>
          <w:lang w:val="de-CH"/>
        </w:rPr>
        <w:t xml:space="preserve">für ihre Lobbybemühungen. </w:t>
      </w:r>
      <w:r w:rsidR="00203083" w:rsidRPr="00091A98">
        <w:rPr>
          <w:rFonts w:cs="Times New Roman"/>
          <w:lang w:val="de-CH"/>
        </w:rPr>
        <w:t xml:space="preserve">Dieser Wert ändert sich zu </w:t>
      </w:r>
      <w:r w:rsidR="00EA1C64">
        <w:rPr>
          <w:rFonts w:cs="Times New Roman"/>
          <w:lang w:val="de-CH"/>
        </w:rPr>
        <w:t>38.</w:t>
      </w:r>
      <w:r w:rsidR="00ED7688" w:rsidRPr="00091A98">
        <w:rPr>
          <w:rFonts w:cs="Times New Roman"/>
          <w:lang w:val="de-CH"/>
        </w:rPr>
        <w:t>3</w:t>
      </w:r>
      <w:r w:rsidR="00EA1C64">
        <w:rPr>
          <w:rFonts w:cs="Times New Roman"/>
          <w:lang w:val="de-CH"/>
        </w:rPr>
        <w:t>% (geringer Wettbewerb), 21.</w:t>
      </w:r>
      <w:r w:rsidR="006B2B0D" w:rsidRPr="00091A98">
        <w:rPr>
          <w:rFonts w:cs="Times New Roman"/>
          <w:lang w:val="de-CH"/>
        </w:rPr>
        <w:t>3</w:t>
      </w:r>
      <w:r w:rsidR="00ED7688" w:rsidRPr="00091A98">
        <w:rPr>
          <w:rFonts w:cs="Times New Roman"/>
          <w:lang w:val="de-CH"/>
        </w:rPr>
        <w:t xml:space="preserve">% (mittelstarker Wettbewerb), </w:t>
      </w:r>
      <w:r w:rsidR="00EA1C64">
        <w:rPr>
          <w:rFonts w:cs="Times New Roman"/>
          <w:lang w:val="de-CH"/>
        </w:rPr>
        <w:t>16.</w:t>
      </w:r>
      <w:r w:rsidR="006B2B0D" w:rsidRPr="00091A98">
        <w:rPr>
          <w:rFonts w:cs="Times New Roman"/>
          <w:lang w:val="de-CH"/>
        </w:rPr>
        <w:t>5</w:t>
      </w:r>
      <w:r w:rsidR="00EB6360" w:rsidRPr="00091A98">
        <w:rPr>
          <w:rFonts w:cs="Times New Roman"/>
          <w:lang w:val="de-CH"/>
        </w:rPr>
        <w:t xml:space="preserve">% (starker Wettbewerb) und </w:t>
      </w:r>
      <w:r w:rsidR="00EA1C64">
        <w:rPr>
          <w:rFonts w:cs="Times New Roman"/>
          <w:lang w:val="de-CH"/>
        </w:rPr>
        <w:t>9.</w:t>
      </w:r>
      <w:r w:rsidR="002E1C58" w:rsidRPr="00091A98">
        <w:rPr>
          <w:rFonts w:cs="Times New Roman"/>
          <w:lang w:val="de-CH"/>
        </w:rPr>
        <w:t>1</w:t>
      </w:r>
      <w:r w:rsidR="0069490A" w:rsidRPr="00091A98">
        <w:rPr>
          <w:rFonts w:cs="Times New Roman"/>
          <w:lang w:val="de-CH"/>
        </w:rPr>
        <w:t xml:space="preserve">% (sehr starker Wettbewerb), wobei die Unterschiede zwischen allen Wettbewerbskategorien signifikant sind. </w:t>
      </w:r>
      <w:r w:rsidR="0099715C" w:rsidRPr="00091A98">
        <w:rPr>
          <w:rFonts w:cs="Times New Roman"/>
          <w:lang w:val="de-CH"/>
        </w:rPr>
        <w:t>Bei der Regierung und den Medien ist es jeweils so, dass sich die beiden geringsten Wettbewerbskategorien nicht signifikant in ihrer Auswirkung auf das Lobbyverhalten unterscheiden, wohl aber von allen höheren Kategorien.</w:t>
      </w:r>
      <w:r w:rsidR="00B871DE" w:rsidRPr="00091A98">
        <w:rPr>
          <w:rFonts w:cs="Times New Roman"/>
          <w:lang w:val="de-CH"/>
        </w:rPr>
        <w:t xml:space="preserve"> Deutliche Unterschiede gibt es auch zwischen dem mittelstarken und starken Wettbewerb. Allerdings kann der sehr starke Wettbewerb von den beiden darunter liegenden Kategorien nicht signifikant abgegrenzt werden, was wohl an der sehr geringen Fallzahl in dieser höchsten Wettbewerbskategorie liegt. </w:t>
      </w:r>
      <w:r w:rsidR="00D96334" w:rsidRPr="00091A98">
        <w:rPr>
          <w:rFonts w:cs="Times New Roman"/>
          <w:lang w:val="de-CH"/>
        </w:rPr>
        <w:t xml:space="preserve">Zusammenfassend lässt sich jedenfalls feststellen, dass die Ergebnisse der vorliegenden Analyse ein starker Hinweis für die Validität von Hypothese 1 sind. </w:t>
      </w:r>
    </w:p>
    <w:p w14:paraId="26E41273" w14:textId="77777777" w:rsidR="009F5188" w:rsidRPr="00091A98" w:rsidRDefault="009F5188" w:rsidP="009F5188">
      <w:pPr>
        <w:spacing w:line="360" w:lineRule="auto"/>
        <w:rPr>
          <w:rFonts w:cs="Times New Roman"/>
          <w:lang w:val="de-CH"/>
        </w:rPr>
      </w:pPr>
    </w:p>
    <w:p w14:paraId="16A49222" w14:textId="653D81A2" w:rsidR="009F5188" w:rsidRPr="00091A98" w:rsidRDefault="009F5188" w:rsidP="009F5188">
      <w:pPr>
        <w:spacing w:line="360" w:lineRule="auto"/>
        <w:rPr>
          <w:rFonts w:cs="Times New Roman"/>
          <w:lang w:val="de-CH"/>
        </w:rPr>
      </w:pPr>
      <w:r w:rsidRPr="00091A98">
        <w:rPr>
          <w:rFonts w:cs="Times New Roman"/>
          <w:lang w:val="de-CH"/>
        </w:rPr>
        <w:t xml:space="preserve">Bezüglich Hypothese 2 liefern die Modelle 1 bis 4 bereits Hinweise darauf, dass eine höhere Wettbewerbsintensität sich stärker auf Insider Lobbying auswirkt, als auf Outsider Lobbying (deutlichere Zunahme der Koeffizienten bei stärkerer Konkurrenz). In Modell 5 wird explizit die Bedeutung von Insider Lobbying relativ zu Outsider Lobbying modelliert, wobei der Wert Null für die gleiche Wichtigkeit der beiden Strategien steht, positive Werte eine relativ stärkere Bedeutung des Insider Lobbying signalisieren, und negative Werte auf eine relativ höhere </w:t>
      </w:r>
      <w:r w:rsidR="00CD5330" w:rsidRPr="00091A98">
        <w:rPr>
          <w:rFonts w:cs="Times New Roman"/>
          <w:lang w:val="de-CH"/>
        </w:rPr>
        <w:t xml:space="preserve">Relevanz </w:t>
      </w:r>
      <w:r w:rsidRPr="00091A98">
        <w:rPr>
          <w:rFonts w:cs="Times New Roman"/>
          <w:lang w:val="de-CH"/>
        </w:rPr>
        <w:t xml:space="preserve">von Outsider Lobbying hindeuten. In Modell 5 werden die einzelnen Kategorien wieder mit der Basiskategorie </w:t>
      </w:r>
      <w:r w:rsidR="006049F4" w:rsidRPr="00091A98">
        <w:rPr>
          <w:rFonts w:cs="Times New Roman"/>
          <w:lang w:val="de-CH"/>
        </w:rPr>
        <w:t>‚</w:t>
      </w:r>
      <w:r w:rsidRPr="00091A98">
        <w:rPr>
          <w:rFonts w:cs="Times New Roman"/>
          <w:lang w:val="de-CH"/>
        </w:rPr>
        <w:t xml:space="preserve">sehr </w:t>
      </w:r>
      <w:r w:rsidR="00871E87" w:rsidRPr="00091A98">
        <w:rPr>
          <w:rFonts w:cs="Times New Roman"/>
          <w:lang w:val="de-CH"/>
        </w:rPr>
        <w:t>schwacher</w:t>
      </w:r>
      <w:r w:rsidRPr="00091A98">
        <w:rPr>
          <w:rFonts w:cs="Times New Roman"/>
          <w:lang w:val="de-CH"/>
        </w:rPr>
        <w:t xml:space="preserve"> Wettbewerb</w:t>
      </w:r>
      <w:r w:rsidR="006049F4" w:rsidRPr="00091A98">
        <w:rPr>
          <w:rFonts w:cs="Times New Roman"/>
          <w:lang w:val="de-CH"/>
        </w:rPr>
        <w:t>’</w:t>
      </w:r>
      <w:r w:rsidRPr="00091A98">
        <w:rPr>
          <w:rFonts w:cs="Times New Roman"/>
          <w:lang w:val="de-CH"/>
        </w:rPr>
        <w:t xml:space="preserve"> verglichen, wobei sich zeigt, dass Gruppen, </w:t>
      </w:r>
      <w:r w:rsidRPr="00091A98">
        <w:rPr>
          <w:rFonts w:cs="Times New Roman"/>
          <w:lang w:val="de-CH"/>
        </w:rPr>
        <w:lastRenderedPageBreak/>
        <w:t xml:space="preserve">die einem mittelstarken, starken oder sehr starken Wettbewerb ausgesetzt sind, signifikant stärker auf Insider Lobbying setzten, als Gruppen mit sehr </w:t>
      </w:r>
      <w:r w:rsidR="000501F6" w:rsidRPr="00091A98">
        <w:rPr>
          <w:rFonts w:cs="Times New Roman"/>
          <w:lang w:val="de-CH"/>
        </w:rPr>
        <w:t>schwacher</w:t>
      </w:r>
      <w:r w:rsidRPr="00091A98">
        <w:rPr>
          <w:rFonts w:cs="Times New Roman"/>
          <w:lang w:val="de-CH"/>
        </w:rPr>
        <w:t xml:space="preserve"> oder </w:t>
      </w:r>
      <w:r w:rsidR="000501F6" w:rsidRPr="00091A98">
        <w:rPr>
          <w:rFonts w:cs="Times New Roman"/>
          <w:lang w:val="de-CH"/>
        </w:rPr>
        <w:t>schwacher Konkurrenz</w:t>
      </w:r>
      <w:r w:rsidRPr="00091A98">
        <w:rPr>
          <w:rFonts w:cs="Times New Roman"/>
          <w:lang w:val="de-CH"/>
        </w:rPr>
        <w:t>. Um die einzelnen Kategorien besser miteinander vergleichen zu können,</w:t>
      </w:r>
      <w:r w:rsidR="000501F6" w:rsidRPr="00091A98">
        <w:rPr>
          <w:rFonts w:cs="Times New Roman"/>
          <w:lang w:val="de-CH"/>
        </w:rPr>
        <w:t xml:space="preserve"> sind die Effekte in Abbildung 5</w:t>
      </w:r>
      <w:r w:rsidRPr="00091A98">
        <w:rPr>
          <w:rFonts w:cs="Times New Roman"/>
          <w:lang w:val="de-CH"/>
        </w:rPr>
        <w:t xml:space="preserve"> graphisch dargestellt. Wie deutlich zu sehen ist, nutzen Interessengruppen mit </w:t>
      </w:r>
      <w:r w:rsidR="000501F6" w:rsidRPr="00091A98">
        <w:rPr>
          <w:rFonts w:cs="Times New Roman"/>
          <w:lang w:val="de-CH"/>
        </w:rPr>
        <w:t>sehr geringem</w:t>
      </w:r>
      <w:r w:rsidRPr="00091A98">
        <w:rPr>
          <w:rFonts w:cs="Times New Roman"/>
          <w:lang w:val="de-CH"/>
        </w:rPr>
        <w:t xml:space="preserve"> oder geringem Wettbewerb vermehrt Outsider Taktiken, während mittelstarker</w:t>
      </w:r>
      <w:r w:rsidR="00770502" w:rsidRPr="00091A98">
        <w:rPr>
          <w:rFonts w:cs="Times New Roman"/>
          <w:lang w:val="de-CH"/>
        </w:rPr>
        <w:t xml:space="preserve">, </w:t>
      </w:r>
      <w:r w:rsidRPr="00091A98">
        <w:rPr>
          <w:rFonts w:cs="Times New Roman"/>
          <w:lang w:val="de-CH"/>
        </w:rPr>
        <w:t>starker</w:t>
      </w:r>
      <w:r w:rsidR="00770502" w:rsidRPr="00091A98">
        <w:rPr>
          <w:rFonts w:cs="Times New Roman"/>
          <w:lang w:val="de-CH"/>
        </w:rPr>
        <w:t xml:space="preserve"> oder sehr starker</w:t>
      </w:r>
      <w:r w:rsidRPr="00091A98">
        <w:rPr>
          <w:rFonts w:cs="Times New Roman"/>
          <w:lang w:val="de-CH"/>
        </w:rPr>
        <w:t xml:space="preserve"> Wettbewerb dazu führt, dass Organisationen verstärkt auf Insider Lobbying setzen. Insofern werden die Erwartungen der Hypothese 2 erfüllte, wobei zwischen den beiden niedrigsten Wettbewerbskategorien, sowie zwischen mittelstarkem und starkem Wettbewerb keine signifikanten Unterschiede festgestellt werden können. </w:t>
      </w:r>
      <w:r w:rsidR="00F50E8F" w:rsidRPr="00091A98">
        <w:rPr>
          <w:rFonts w:cs="Times New Roman"/>
          <w:lang w:val="de-CH"/>
        </w:rPr>
        <w:t xml:space="preserve">Interessengruppen die einem sehr starken Wettbewerb ausgesetzt sind, </w:t>
      </w:r>
      <w:r w:rsidR="005064C4" w:rsidRPr="00091A98">
        <w:rPr>
          <w:rFonts w:cs="Times New Roman"/>
          <w:lang w:val="de-CH"/>
        </w:rPr>
        <w:t>setzen im Mittel noch einmal deutlich stärker auf Insider Strategien. Allerdings ist</w:t>
      </w:r>
      <w:r w:rsidRPr="00091A98">
        <w:rPr>
          <w:rFonts w:cs="Times New Roman"/>
          <w:lang w:val="de-CH"/>
        </w:rPr>
        <w:t xml:space="preserve"> das Konfidenzintervall für Interessengruppen mit sehr starkem Wettbewerb wesentlich breiter, als dies für Gruppen der anderen vier Kategorien der Fall ist. </w:t>
      </w:r>
      <w:r w:rsidR="001C4C60" w:rsidRPr="00091A98">
        <w:rPr>
          <w:rFonts w:cs="Times New Roman"/>
          <w:lang w:val="de-CH"/>
        </w:rPr>
        <w:t>Dies liegt in erster Linie</w:t>
      </w:r>
      <w:r w:rsidRPr="00091A98">
        <w:rPr>
          <w:rFonts w:cs="Times New Roman"/>
          <w:lang w:val="de-CH"/>
        </w:rPr>
        <w:t xml:space="preserve"> daran, dass sich nur 36 der in den Modellen vertretenen Interessengruppen einem sehr starken Wettbewerb ausgesetzt sehen.</w:t>
      </w:r>
      <w:r w:rsidRPr="00091A98">
        <w:rPr>
          <w:rStyle w:val="Funotenzeichen"/>
          <w:rFonts w:cs="Times New Roman"/>
          <w:lang w:val="de-CH"/>
        </w:rPr>
        <w:footnoteReference w:id="7"/>
      </w:r>
      <w:r w:rsidRPr="00091A98">
        <w:rPr>
          <w:rFonts w:cs="Times New Roman"/>
          <w:lang w:val="de-CH"/>
        </w:rPr>
        <w:t xml:space="preserve"> Aufgrund der geringeren Zahl der Beobachtungen steigt auch die damit verbundene Unsicherheit des Schätzers. </w:t>
      </w:r>
      <w:r w:rsidR="00FD4B8D" w:rsidRPr="00091A98">
        <w:rPr>
          <w:rFonts w:cs="Times New Roman"/>
          <w:lang w:val="de-CH"/>
        </w:rPr>
        <w:t>Doch auch so ist in der Tendenz zu erkennen, dass sehr starker Wettbewerb noch einmal</w:t>
      </w:r>
      <w:r w:rsidRPr="00091A98">
        <w:rPr>
          <w:rFonts w:cs="Times New Roman"/>
          <w:lang w:val="de-CH"/>
        </w:rPr>
        <w:t xml:space="preserve"> zu einem verstärkten Einsatz von Insider Lobbying führt</w:t>
      </w:r>
      <w:r w:rsidR="00BB39CA" w:rsidRPr="00091A98">
        <w:rPr>
          <w:rFonts w:cs="Times New Roman"/>
          <w:lang w:val="de-CH"/>
        </w:rPr>
        <w:t xml:space="preserve">. </w:t>
      </w:r>
      <w:r w:rsidR="00106057" w:rsidRPr="00091A98">
        <w:rPr>
          <w:rFonts w:cs="Times New Roman"/>
          <w:lang w:val="de-CH"/>
        </w:rPr>
        <w:t xml:space="preserve">Diese Ergebnisse sind ein Beleg für die Gültigkeit von </w:t>
      </w:r>
      <w:r w:rsidRPr="00091A98">
        <w:rPr>
          <w:rFonts w:cs="Times New Roman"/>
          <w:lang w:val="de-CH"/>
        </w:rPr>
        <w:t>Hypothese 2.</w:t>
      </w:r>
    </w:p>
    <w:p w14:paraId="4286D959" w14:textId="77777777" w:rsidR="009F5188" w:rsidRPr="00091A98" w:rsidRDefault="009F5188" w:rsidP="009F5188">
      <w:pPr>
        <w:spacing w:line="360" w:lineRule="auto"/>
        <w:rPr>
          <w:rFonts w:cs="Times New Roman"/>
          <w:lang w:val="de-CH"/>
        </w:rPr>
      </w:pPr>
    </w:p>
    <w:p w14:paraId="6C78B71E" w14:textId="1FC85507" w:rsidR="009F5188" w:rsidRPr="00091A98" w:rsidRDefault="00A5786C" w:rsidP="003B0D5D">
      <w:pPr>
        <w:spacing w:line="360" w:lineRule="auto"/>
        <w:jc w:val="center"/>
        <w:rPr>
          <w:rFonts w:cs="Times New Roman"/>
          <w:lang w:val="de-CH"/>
        </w:rPr>
      </w:pPr>
      <w:r w:rsidRPr="00091A98">
        <w:rPr>
          <w:rFonts w:ascii="Cambria" w:hAnsi="Cambria"/>
          <w:lang w:val="de-CH"/>
        </w:rPr>
        <w:t xml:space="preserve">*** </w:t>
      </w:r>
      <w:r w:rsidR="009F5188" w:rsidRPr="00091A98">
        <w:rPr>
          <w:rFonts w:ascii="Cambria" w:hAnsi="Cambria"/>
          <w:lang w:val="de-CH"/>
        </w:rPr>
        <w:t xml:space="preserve">ABBILDUNG </w:t>
      </w:r>
      <w:r w:rsidR="00401D1F" w:rsidRPr="00091A98">
        <w:rPr>
          <w:rFonts w:ascii="Cambria" w:hAnsi="Cambria"/>
          <w:lang w:val="de-CH"/>
        </w:rPr>
        <w:t>5</w:t>
      </w:r>
      <w:r w:rsidR="009F5188" w:rsidRPr="00091A98">
        <w:rPr>
          <w:rFonts w:ascii="Cambria" w:hAnsi="Cambria"/>
          <w:lang w:val="de-CH"/>
        </w:rPr>
        <w:t xml:space="preserve"> HIER EINFÜGEN</w:t>
      </w:r>
      <w:r w:rsidRPr="00091A98">
        <w:rPr>
          <w:rFonts w:ascii="Cambria" w:hAnsi="Cambria"/>
          <w:lang w:val="de-CH"/>
        </w:rPr>
        <w:t xml:space="preserve"> ***</w:t>
      </w:r>
    </w:p>
    <w:p w14:paraId="6E15E2DF" w14:textId="77777777" w:rsidR="009F5188" w:rsidRPr="00091A98" w:rsidRDefault="009F5188" w:rsidP="009F5188">
      <w:pPr>
        <w:spacing w:line="360" w:lineRule="auto"/>
        <w:rPr>
          <w:rFonts w:cs="Times New Roman"/>
          <w:lang w:val="de-CH"/>
        </w:rPr>
      </w:pPr>
    </w:p>
    <w:p w14:paraId="7DA9422C" w14:textId="77777777" w:rsidR="00FD47E4" w:rsidRPr="00091A98" w:rsidRDefault="00FD47E4" w:rsidP="009F5188">
      <w:pPr>
        <w:spacing w:line="360" w:lineRule="auto"/>
        <w:rPr>
          <w:rFonts w:cs="Times New Roman"/>
          <w:b/>
          <w:lang w:val="de-CH"/>
        </w:rPr>
      </w:pPr>
    </w:p>
    <w:p w14:paraId="58AD7148" w14:textId="77777777" w:rsidR="009F5188" w:rsidRPr="00091A98" w:rsidRDefault="009F5188" w:rsidP="009F5188">
      <w:pPr>
        <w:spacing w:line="360" w:lineRule="auto"/>
        <w:rPr>
          <w:rFonts w:cs="Times New Roman"/>
          <w:b/>
          <w:lang w:val="de-CH"/>
        </w:rPr>
      </w:pPr>
      <w:r w:rsidRPr="00091A98">
        <w:rPr>
          <w:rFonts w:cs="Times New Roman"/>
          <w:b/>
          <w:lang w:val="de-CH"/>
        </w:rPr>
        <w:t>5. Schluss</w:t>
      </w:r>
    </w:p>
    <w:p w14:paraId="10DFC322" w14:textId="77777777" w:rsidR="009F5188" w:rsidRPr="00091A98" w:rsidRDefault="009F5188" w:rsidP="009F5188">
      <w:pPr>
        <w:spacing w:line="360" w:lineRule="auto"/>
        <w:rPr>
          <w:rFonts w:cs="Times New Roman"/>
          <w:lang w:val="de-CH"/>
        </w:rPr>
      </w:pPr>
    </w:p>
    <w:p w14:paraId="734D9902" w14:textId="14D896C4" w:rsidR="009F5188" w:rsidRPr="00091A98" w:rsidRDefault="009F5188" w:rsidP="009F5188">
      <w:pPr>
        <w:spacing w:line="360" w:lineRule="auto"/>
        <w:rPr>
          <w:rFonts w:cs="Times New Roman"/>
          <w:lang w:val="de-CH"/>
        </w:rPr>
      </w:pPr>
      <w:r w:rsidRPr="00091A98">
        <w:rPr>
          <w:rFonts w:cs="Times New Roman"/>
          <w:lang w:val="de-CH"/>
        </w:rPr>
        <w:t xml:space="preserve">Dieser Beitrag geht der Frage nach, ob und wie sich die unterschiedliche Wettbewerbsintensität unter Interessengruppen in verschiedenen politischen Themenfeldern auf deren Lobbyverhalten auswirkt. Um diese Frage zu beantworten, wurde die </w:t>
      </w:r>
      <w:r w:rsidR="004D0489" w:rsidRPr="00091A98">
        <w:rPr>
          <w:rFonts w:cs="Times New Roman"/>
          <w:lang w:val="de-CH"/>
        </w:rPr>
        <w:t>Bedeutung von vier Lobbying-</w:t>
      </w:r>
      <w:r w:rsidRPr="00091A98">
        <w:rPr>
          <w:rFonts w:cs="Times New Roman"/>
          <w:lang w:val="de-CH"/>
        </w:rPr>
        <w:t>Zielgruppen</w:t>
      </w:r>
      <w:r w:rsidR="004D0489" w:rsidRPr="00091A98">
        <w:rPr>
          <w:rFonts w:cs="Times New Roman"/>
          <w:lang w:val="de-CH"/>
        </w:rPr>
        <w:t xml:space="preserve"> </w:t>
      </w:r>
      <w:r w:rsidRPr="00091A98">
        <w:rPr>
          <w:rFonts w:cs="Times New Roman"/>
          <w:lang w:val="de-CH"/>
        </w:rPr>
        <w:t xml:space="preserve">analysiert, von denen zwei dem Insider Lobbying zugeordnet werden können (Regierung, politische Parteien), während die anderen beiden Outsider Lobbying Strategien sind (Medien, Bürger). Die Analyse zeigt, dass ein intensiverer Konkurrenzkampf unter Lobbyorganisationen sich auf alle </w:t>
      </w:r>
      <w:r w:rsidRPr="00091A98">
        <w:rPr>
          <w:rFonts w:cs="Times New Roman"/>
          <w:lang w:val="de-CH"/>
        </w:rPr>
        <w:lastRenderedPageBreak/>
        <w:t xml:space="preserve">vier dieser Ansprechgruppen auswirkt, nämlich dahingehend, dass ein stärkerer Wettbewerb mit einer höheren Bedeutung aller vier Zielgruppen und mit einer höheren Lobbyaktivität verbunden ist. Je stärker also die Auseinandersetzung ist, der Lobbygruppen ausgesetzt sind, umso intensiver betreiben diese sowohl Insider als auch Outsider Lobbying. Die fünf Stufen der Wettbewerbsintensität, die in dieser Studie untersucht werden, sind dabei meist direkt voneinander abgrenzbar. Es macht also bereits einen Unterschied, ob eine Lobbygruppe zum Beispiel einem </w:t>
      </w:r>
      <w:r w:rsidR="004F0855" w:rsidRPr="00091A98">
        <w:rPr>
          <w:rFonts w:cs="Times New Roman"/>
          <w:lang w:val="de-CH"/>
        </w:rPr>
        <w:t>schwachen</w:t>
      </w:r>
      <w:r w:rsidRPr="00091A98">
        <w:rPr>
          <w:rFonts w:cs="Times New Roman"/>
          <w:lang w:val="de-CH"/>
        </w:rPr>
        <w:t xml:space="preserve"> oder einem mittelstarken Wettbewerb ausgesetzt ist. Für nicht direkt benachbarte Wettbewerbskategorien gibt es in der gesamten Analyse nur </w:t>
      </w:r>
      <w:r w:rsidR="00FD5310" w:rsidRPr="00091A98">
        <w:rPr>
          <w:rFonts w:cs="Times New Roman"/>
          <w:lang w:val="de-CH"/>
        </w:rPr>
        <w:t>zwei Fälle</w:t>
      </w:r>
      <w:r w:rsidRPr="00091A98">
        <w:rPr>
          <w:rFonts w:cs="Times New Roman"/>
          <w:lang w:val="de-CH"/>
        </w:rPr>
        <w:t xml:space="preserve"> in allen präsentierten Modellen, für </w:t>
      </w:r>
      <w:r w:rsidR="003201EE" w:rsidRPr="00091A98">
        <w:rPr>
          <w:rFonts w:cs="Times New Roman"/>
          <w:lang w:val="de-CH"/>
        </w:rPr>
        <w:t xml:space="preserve">die </w:t>
      </w:r>
      <w:r w:rsidRPr="00091A98">
        <w:rPr>
          <w:rFonts w:cs="Times New Roman"/>
          <w:lang w:val="de-CH"/>
        </w:rPr>
        <w:t>sich keine statistisch signifikante Auswirkung auf das Lobb</w:t>
      </w:r>
      <w:r w:rsidR="00543631" w:rsidRPr="00091A98">
        <w:rPr>
          <w:rFonts w:cs="Times New Roman"/>
          <w:lang w:val="de-CH"/>
        </w:rPr>
        <w:t>y</w:t>
      </w:r>
      <w:r w:rsidRPr="00091A98">
        <w:rPr>
          <w:rFonts w:cs="Times New Roman"/>
          <w:lang w:val="de-CH"/>
        </w:rPr>
        <w:t xml:space="preserve">verhalten feststellen lässt. </w:t>
      </w:r>
      <w:r w:rsidR="003201EE" w:rsidRPr="00091A98">
        <w:rPr>
          <w:rFonts w:cs="Times New Roman"/>
          <w:lang w:val="de-CH"/>
        </w:rPr>
        <w:t xml:space="preserve">Dadurch kann die Studie </w:t>
      </w:r>
      <w:r w:rsidR="004F0855" w:rsidRPr="00091A98">
        <w:rPr>
          <w:rFonts w:cs="Times New Roman"/>
          <w:lang w:val="de-CH"/>
        </w:rPr>
        <w:t>relativ klar</w:t>
      </w:r>
      <w:r w:rsidRPr="00091A98">
        <w:rPr>
          <w:rFonts w:cs="Times New Roman"/>
          <w:lang w:val="de-CH"/>
        </w:rPr>
        <w:t xml:space="preserve"> </w:t>
      </w:r>
      <w:r w:rsidR="003201EE" w:rsidRPr="00091A98">
        <w:rPr>
          <w:rFonts w:cs="Times New Roman"/>
          <w:lang w:val="de-CH"/>
        </w:rPr>
        <w:t>nachweisen</w:t>
      </w:r>
      <w:r w:rsidRPr="00091A98">
        <w:rPr>
          <w:rFonts w:cs="Times New Roman"/>
          <w:lang w:val="de-CH"/>
        </w:rPr>
        <w:t>, dass sich ein intensiverer Wettstreit direkt auf die Lobbyarbeit von Organisationen auswirkt</w:t>
      </w:r>
      <w:r w:rsidR="00080F6C" w:rsidRPr="00091A98">
        <w:rPr>
          <w:rFonts w:cs="Times New Roman"/>
          <w:lang w:val="de-CH"/>
        </w:rPr>
        <w:t>. Diese Gruppen intensivieren</w:t>
      </w:r>
      <w:r w:rsidRPr="00091A98">
        <w:rPr>
          <w:rFonts w:cs="Times New Roman"/>
          <w:lang w:val="de-CH"/>
        </w:rPr>
        <w:t xml:space="preserve"> sowohl </w:t>
      </w:r>
      <w:r w:rsidR="00080F6C" w:rsidRPr="00091A98">
        <w:rPr>
          <w:rFonts w:cs="Times New Roman"/>
          <w:lang w:val="de-CH"/>
        </w:rPr>
        <w:t xml:space="preserve">ihre </w:t>
      </w:r>
      <w:r w:rsidRPr="00091A98">
        <w:rPr>
          <w:rFonts w:cs="Times New Roman"/>
          <w:lang w:val="de-CH"/>
        </w:rPr>
        <w:t>direkten als auch indirekten Lobbybemühungen</w:t>
      </w:r>
      <w:r w:rsidR="00080F6C" w:rsidRPr="00091A98">
        <w:rPr>
          <w:rFonts w:cs="Times New Roman"/>
          <w:lang w:val="de-CH"/>
        </w:rPr>
        <w:t>, wenn sich der Wettbewerb erhöht</w:t>
      </w:r>
      <w:r w:rsidRPr="00091A98">
        <w:rPr>
          <w:rFonts w:cs="Times New Roman"/>
          <w:lang w:val="de-CH"/>
        </w:rPr>
        <w:t xml:space="preserve">. </w:t>
      </w:r>
    </w:p>
    <w:p w14:paraId="02F3E1A2" w14:textId="77777777" w:rsidR="009F5188" w:rsidRPr="00091A98" w:rsidRDefault="009F5188" w:rsidP="009F5188">
      <w:pPr>
        <w:spacing w:line="360" w:lineRule="auto"/>
        <w:rPr>
          <w:rFonts w:cs="Times New Roman"/>
          <w:lang w:val="de-CH"/>
        </w:rPr>
      </w:pPr>
    </w:p>
    <w:p w14:paraId="067175CE" w14:textId="77777777" w:rsidR="00371291" w:rsidRPr="00091A98" w:rsidRDefault="009F5188" w:rsidP="009F5188">
      <w:pPr>
        <w:spacing w:line="360" w:lineRule="auto"/>
        <w:rPr>
          <w:rFonts w:cs="Times New Roman"/>
          <w:lang w:val="de-CH"/>
        </w:rPr>
      </w:pPr>
      <w:r w:rsidRPr="00091A98">
        <w:rPr>
          <w:rFonts w:cs="Times New Roman"/>
          <w:lang w:val="de-CH"/>
        </w:rPr>
        <w:t xml:space="preserve">Aus einer demokratietheoretischen Perspektive erscheint dieses Ergebnis zunächst einmal wünschenswert, da Interessengruppen, die in gesellschaftlich relevanten und intensiv umkämpften Themenfeldern aktiv sind, zwar einerseits verstärkt die Nähe zur Politik suchen, andererseits ihre unterschiedlichen Vorschläge zur Problemlösung aber auch durch einen intensiveren öffentlichen Wettstreit einem breiteren Publikum bekannt machen, wodurch </w:t>
      </w:r>
      <w:r w:rsidR="00A977B2" w:rsidRPr="00091A98">
        <w:rPr>
          <w:rFonts w:cs="Times New Roman"/>
          <w:lang w:val="de-CH"/>
        </w:rPr>
        <w:t>der</w:t>
      </w:r>
      <w:r w:rsidRPr="00091A98">
        <w:rPr>
          <w:rFonts w:cs="Times New Roman"/>
          <w:lang w:val="de-CH"/>
        </w:rPr>
        <w:t xml:space="preserve"> öffentliche </w:t>
      </w:r>
      <w:r w:rsidR="00A977B2" w:rsidRPr="00091A98">
        <w:rPr>
          <w:rFonts w:cs="Times New Roman"/>
          <w:lang w:val="de-CH"/>
        </w:rPr>
        <w:t>Diskurs</w:t>
      </w:r>
      <w:r w:rsidRPr="00091A98">
        <w:rPr>
          <w:rFonts w:cs="Times New Roman"/>
          <w:lang w:val="de-CH"/>
        </w:rPr>
        <w:t xml:space="preserve"> gefördert wird. Dem Medienwählermodell zufolge, sollte in solchen Fällen eine (auch durch die Interessengruppen) informierte Öffentlichkeit dem demokratischen Mehrheitswillen genüge getan werden, sich die öffentliche Meinung folglich dur</w:t>
      </w:r>
      <w:r w:rsidR="00DD67BB" w:rsidRPr="00091A98">
        <w:rPr>
          <w:rFonts w:cs="Times New Roman"/>
          <w:lang w:val="de-CH"/>
        </w:rPr>
        <w:t>chsetzen (siehe dazu z.B. Downs</w:t>
      </w:r>
      <w:r w:rsidRPr="00091A98">
        <w:rPr>
          <w:rFonts w:cs="Times New Roman"/>
          <w:lang w:val="de-CH"/>
        </w:rPr>
        <w:t xml:space="preserve"> 1957; Erikson et al. 2002). Eine eingehendere Analyse gibt allerdings Hinweise darauf, dass Interessengruppen bei intensiverem Wettbewerb zwar sowohl Insider als auch Outsider Lobbying verstärkt einsetzen, ersteres dabei aber in höherem Masse an Gewicht gewinnt als letzteres. Bis </w:t>
      </w:r>
      <w:r w:rsidR="000B0101" w:rsidRPr="00091A98">
        <w:rPr>
          <w:rFonts w:cs="Times New Roman"/>
          <w:lang w:val="de-CH"/>
        </w:rPr>
        <w:t>zur</w:t>
      </w:r>
      <w:r w:rsidRPr="00091A98">
        <w:rPr>
          <w:rFonts w:cs="Times New Roman"/>
          <w:lang w:val="de-CH"/>
        </w:rPr>
        <w:t xml:space="preserve"> höchsten Stufe des Wettbewerbs steigt die </w:t>
      </w:r>
      <w:r w:rsidR="001B6598" w:rsidRPr="00091A98">
        <w:rPr>
          <w:rFonts w:cs="Times New Roman"/>
          <w:lang w:val="de-CH"/>
        </w:rPr>
        <w:t>Bedeutung</w:t>
      </w:r>
      <w:r w:rsidRPr="00091A98">
        <w:rPr>
          <w:rFonts w:cs="Times New Roman"/>
          <w:lang w:val="de-CH"/>
        </w:rPr>
        <w:t xml:space="preserve"> des Insider Lobbyings stark</w:t>
      </w:r>
      <w:r w:rsidR="00124536" w:rsidRPr="00091A98">
        <w:rPr>
          <w:rFonts w:cs="Times New Roman"/>
          <w:lang w:val="de-CH"/>
        </w:rPr>
        <w:t xml:space="preserve"> an</w:t>
      </w:r>
      <w:r w:rsidRPr="00091A98">
        <w:rPr>
          <w:rFonts w:cs="Times New Roman"/>
          <w:lang w:val="de-CH"/>
        </w:rPr>
        <w:t xml:space="preserve">, weshalb angenommen werden könnte, dass die Debatte </w:t>
      </w:r>
      <w:r w:rsidR="00124536" w:rsidRPr="00091A98">
        <w:rPr>
          <w:rFonts w:cs="Times New Roman"/>
          <w:lang w:val="de-CH"/>
        </w:rPr>
        <w:t xml:space="preserve">in solchen Fällen </w:t>
      </w:r>
      <w:r w:rsidRPr="00091A98">
        <w:rPr>
          <w:rFonts w:cs="Times New Roman"/>
          <w:lang w:val="de-CH"/>
        </w:rPr>
        <w:t xml:space="preserve">nur teilweise in der Öffentlichkeit geführt wird und wichtige Details keiner breiten Diskussion unterworfen werden. </w:t>
      </w:r>
      <w:r w:rsidR="00124536" w:rsidRPr="00091A98">
        <w:rPr>
          <w:rFonts w:cs="Times New Roman"/>
          <w:lang w:val="de-CH"/>
        </w:rPr>
        <w:t>Aus</w:t>
      </w:r>
      <w:r w:rsidRPr="00091A98">
        <w:rPr>
          <w:rFonts w:cs="Times New Roman"/>
          <w:lang w:val="de-CH"/>
        </w:rPr>
        <w:t xml:space="preserve"> einer normativen, demokratiepolitischen Sicht</w:t>
      </w:r>
      <w:r w:rsidR="00124536" w:rsidRPr="00091A98">
        <w:rPr>
          <w:rFonts w:cs="Times New Roman"/>
          <w:lang w:val="de-CH"/>
        </w:rPr>
        <w:t xml:space="preserve"> ist dieser Befund bedenklich</w:t>
      </w:r>
      <w:r w:rsidRPr="00091A98">
        <w:rPr>
          <w:rFonts w:cs="Times New Roman"/>
          <w:lang w:val="de-CH"/>
        </w:rPr>
        <w:t>.</w:t>
      </w:r>
      <w:r w:rsidR="00911ABF" w:rsidRPr="00091A98">
        <w:rPr>
          <w:rFonts w:cs="Times New Roman"/>
          <w:lang w:val="de-CH"/>
        </w:rPr>
        <w:t xml:space="preserve"> </w:t>
      </w:r>
    </w:p>
    <w:p w14:paraId="5FA0D249" w14:textId="77777777" w:rsidR="00371291" w:rsidRPr="00091A98" w:rsidRDefault="00371291" w:rsidP="009F5188">
      <w:pPr>
        <w:spacing w:line="360" w:lineRule="auto"/>
        <w:rPr>
          <w:rFonts w:cs="Times New Roman"/>
          <w:lang w:val="de-CH"/>
        </w:rPr>
      </w:pPr>
    </w:p>
    <w:p w14:paraId="6123B9B9" w14:textId="021D819D" w:rsidR="009F5188" w:rsidRPr="00091A98" w:rsidRDefault="00371291" w:rsidP="009F5188">
      <w:pPr>
        <w:spacing w:line="360" w:lineRule="auto"/>
        <w:rPr>
          <w:rFonts w:cs="Times New Roman"/>
          <w:lang w:val="de-CH"/>
        </w:rPr>
      </w:pPr>
      <w:r w:rsidRPr="00091A98">
        <w:rPr>
          <w:rFonts w:cs="Times New Roman"/>
          <w:lang w:val="de-CH"/>
        </w:rPr>
        <w:lastRenderedPageBreak/>
        <w:t>Schon wegen des</w:t>
      </w:r>
      <w:r w:rsidR="00EA6601" w:rsidRPr="00091A98">
        <w:rPr>
          <w:rFonts w:cs="Times New Roman"/>
          <w:lang w:val="de-CH"/>
        </w:rPr>
        <w:t xml:space="preserve"> zuletzt genannten Punktes</w:t>
      </w:r>
      <w:r w:rsidR="00911ABF" w:rsidRPr="00091A98">
        <w:rPr>
          <w:rFonts w:cs="Times New Roman"/>
          <w:lang w:val="de-CH"/>
        </w:rPr>
        <w:t xml:space="preserve"> wär</w:t>
      </w:r>
      <w:r w:rsidR="00D12E86" w:rsidRPr="00091A98">
        <w:rPr>
          <w:rFonts w:cs="Times New Roman"/>
          <w:lang w:val="de-CH"/>
        </w:rPr>
        <w:t xml:space="preserve">en weiterführende Untersuchungen </w:t>
      </w:r>
      <w:r w:rsidR="009F5188" w:rsidRPr="00091A98">
        <w:rPr>
          <w:rFonts w:cs="Times New Roman"/>
          <w:lang w:val="de-CH"/>
        </w:rPr>
        <w:t>wünschenswert.</w:t>
      </w:r>
      <w:r w:rsidR="00EA6601" w:rsidRPr="00091A98">
        <w:rPr>
          <w:rFonts w:cs="Times New Roman"/>
          <w:lang w:val="de-CH"/>
        </w:rPr>
        <w:t xml:space="preserve"> </w:t>
      </w:r>
      <w:r w:rsidR="00D12E86" w:rsidRPr="00091A98">
        <w:rPr>
          <w:rFonts w:cs="Times New Roman"/>
          <w:lang w:val="de-CH"/>
        </w:rPr>
        <w:t>S</w:t>
      </w:r>
      <w:r w:rsidR="00EA6601" w:rsidRPr="00091A98">
        <w:rPr>
          <w:rFonts w:cs="Times New Roman"/>
          <w:lang w:val="de-CH"/>
        </w:rPr>
        <w:t xml:space="preserve">olche weitergehende </w:t>
      </w:r>
      <w:r w:rsidR="00270611" w:rsidRPr="00091A98">
        <w:rPr>
          <w:rFonts w:cs="Times New Roman"/>
          <w:lang w:val="de-CH"/>
        </w:rPr>
        <w:t>Forschung</w:t>
      </w:r>
      <w:r w:rsidR="00D12E86" w:rsidRPr="00091A98">
        <w:rPr>
          <w:rFonts w:cs="Times New Roman"/>
          <w:lang w:val="de-CH"/>
        </w:rPr>
        <w:t xml:space="preserve"> wäre auch deshalb wichtig, da die vorliegende Stu</w:t>
      </w:r>
      <w:r w:rsidR="00270611" w:rsidRPr="00091A98">
        <w:rPr>
          <w:rFonts w:cs="Times New Roman"/>
          <w:lang w:val="de-CH"/>
        </w:rPr>
        <w:t xml:space="preserve">die, wie bereits oben angesprochen, nur Interessengruppen aus zwei Ländern umfasst, </w:t>
      </w:r>
      <w:r w:rsidR="0046720A" w:rsidRPr="00091A98">
        <w:rPr>
          <w:rFonts w:cs="Times New Roman"/>
          <w:lang w:val="de-CH"/>
        </w:rPr>
        <w:t>was die externe Validität der Ergebnisse einschränkt. Zwar lassen sich aufgrund des M</w:t>
      </w:r>
      <w:r w:rsidR="00F07216" w:rsidRPr="00091A98">
        <w:rPr>
          <w:rFonts w:cs="Times New Roman"/>
          <w:lang w:val="de-CH"/>
        </w:rPr>
        <w:t xml:space="preserve">ost-Similar Systems Design Vorhersagen </w:t>
      </w:r>
      <w:r w:rsidR="00740729" w:rsidRPr="00091A98">
        <w:rPr>
          <w:rFonts w:cs="Times New Roman"/>
          <w:lang w:val="de-CH"/>
        </w:rPr>
        <w:t>für solche Staaten ableiten</w:t>
      </w:r>
      <w:r w:rsidR="00F07216" w:rsidRPr="00091A98">
        <w:rPr>
          <w:rFonts w:cs="Times New Roman"/>
          <w:lang w:val="de-CH"/>
        </w:rPr>
        <w:t>,</w:t>
      </w:r>
      <w:r w:rsidR="00740729" w:rsidRPr="00091A98">
        <w:rPr>
          <w:rFonts w:cs="Times New Roman"/>
          <w:lang w:val="de-CH"/>
        </w:rPr>
        <w:t xml:space="preserve"> </w:t>
      </w:r>
      <w:r w:rsidR="0046720A" w:rsidRPr="00091A98">
        <w:rPr>
          <w:rFonts w:cs="Times New Roman"/>
          <w:lang w:val="de-CH"/>
        </w:rPr>
        <w:t xml:space="preserve">die </w:t>
      </w:r>
      <w:r w:rsidR="00740729" w:rsidRPr="00091A98">
        <w:rPr>
          <w:rFonts w:cs="Times New Roman"/>
          <w:lang w:val="de-CH"/>
        </w:rPr>
        <w:t>ähnliche politische</w:t>
      </w:r>
      <w:r w:rsidR="0046720A" w:rsidRPr="00091A98">
        <w:rPr>
          <w:rFonts w:cs="Times New Roman"/>
          <w:lang w:val="de-CH"/>
        </w:rPr>
        <w:t xml:space="preserve"> System</w:t>
      </w:r>
      <w:r w:rsidR="00740729" w:rsidRPr="00091A98">
        <w:rPr>
          <w:rFonts w:cs="Times New Roman"/>
          <w:lang w:val="de-CH"/>
        </w:rPr>
        <w:t>e</w:t>
      </w:r>
      <w:r w:rsidR="0046720A" w:rsidRPr="00091A98">
        <w:rPr>
          <w:rFonts w:cs="Times New Roman"/>
          <w:lang w:val="de-CH"/>
        </w:rPr>
        <w:t xml:space="preserve"> wie Deutschland </w:t>
      </w:r>
      <w:r w:rsidR="00740729" w:rsidRPr="00091A98">
        <w:rPr>
          <w:rFonts w:cs="Times New Roman"/>
          <w:lang w:val="de-CH"/>
        </w:rPr>
        <w:t>und</w:t>
      </w:r>
      <w:r w:rsidR="00F07216" w:rsidRPr="00091A98">
        <w:rPr>
          <w:rFonts w:cs="Times New Roman"/>
          <w:lang w:val="de-CH"/>
        </w:rPr>
        <w:t xml:space="preserve"> die Schweiz aufweisen. F</w:t>
      </w:r>
      <w:r w:rsidR="0046720A" w:rsidRPr="00091A98">
        <w:rPr>
          <w:rFonts w:cs="Times New Roman"/>
          <w:lang w:val="de-CH"/>
        </w:rPr>
        <w:t xml:space="preserve">ür Länder mit divergierenden politischen Systemen sind solche </w:t>
      </w:r>
      <w:r w:rsidR="00740729" w:rsidRPr="00091A98">
        <w:rPr>
          <w:rFonts w:cs="Times New Roman"/>
          <w:lang w:val="de-CH"/>
        </w:rPr>
        <w:t xml:space="preserve">Aussagen aufgrund der Ergebnisse der vorliegenden Studie jedoch mit Vorsicht zu </w:t>
      </w:r>
      <w:r w:rsidR="008B5DB7" w:rsidRPr="00091A98">
        <w:rPr>
          <w:rFonts w:cs="Times New Roman"/>
          <w:lang w:val="de-CH"/>
        </w:rPr>
        <w:t>genie</w:t>
      </w:r>
      <w:r w:rsidR="00326CFE" w:rsidRPr="00091A98">
        <w:rPr>
          <w:rFonts w:cs="Times New Roman"/>
          <w:lang w:val="de-CH"/>
        </w:rPr>
        <w:t>ss</w:t>
      </w:r>
      <w:r w:rsidR="008B5DB7" w:rsidRPr="00091A98">
        <w:rPr>
          <w:rFonts w:cs="Times New Roman"/>
          <w:lang w:val="de-CH"/>
        </w:rPr>
        <w:t>en</w:t>
      </w:r>
      <w:r w:rsidR="00740729" w:rsidRPr="00091A98">
        <w:rPr>
          <w:rFonts w:cs="Times New Roman"/>
          <w:lang w:val="de-CH"/>
        </w:rPr>
        <w:t xml:space="preserve">. </w:t>
      </w:r>
      <w:r w:rsidR="00F54AE3" w:rsidRPr="00091A98">
        <w:rPr>
          <w:rFonts w:cs="Times New Roman"/>
          <w:lang w:val="de-CH"/>
        </w:rPr>
        <w:t xml:space="preserve">Zukünftige Forschung könnte diese Lücke füllen. </w:t>
      </w:r>
      <w:r w:rsidR="00FF734D" w:rsidRPr="00091A98">
        <w:rPr>
          <w:rFonts w:cs="Times New Roman"/>
          <w:lang w:val="de-CH"/>
        </w:rPr>
        <w:t xml:space="preserve">Darüber hinaus gibt </w:t>
      </w:r>
      <w:r w:rsidR="007750C7" w:rsidRPr="00091A98">
        <w:rPr>
          <w:rFonts w:cs="Times New Roman"/>
          <w:lang w:val="de-CH"/>
        </w:rPr>
        <w:t xml:space="preserve">es </w:t>
      </w:r>
      <w:r w:rsidR="009C2166" w:rsidRPr="00091A98">
        <w:rPr>
          <w:rFonts w:cs="Times New Roman"/>
          <w:lang w:val="de-CH"/>
        </w:rPr>
        <w:t>weitere offene Fragen</w:t>
      </w:r>
      <w:r w:rsidR="00FF734D" w:rsidRPr="00091A98">
        <w:rPr>
          <w:rFonts w:cs="Times New Roman"/>
          <w:lang w:val="de-CH"/>
        </w:rPr>
        <w:t xml:space="preserve">, die </w:t>
      </w:r>
      <w:r w:rsidR="007750C7" w:rsidRPr="00091A98">
        <w:rPr>
          <w:rFonts w:cs="Times New Roman"/>
          <w:lang w:val="de-CH"/>
        </w:rPr>
        <w:t>in dieser Studie</w:t>
      </w:r>
      <w:r w:rsidR="001B275E" w:rsidRPr="00091A98">
        <w:rPr>
          <w:rFonts w:cs="Times New Roman"/>
          <w:lang w:val="de-CH"/>
        </w:rPr>
        <w:t xml:space="preserve"> aufgrund der Datenlage nicht behandelt werden konnten, </w:t>
      </w:r>
      <w:r w:rsidR="009C2166" w:rsidRPr="00091A98">
        <w:rPr>
          <w:rFonts w:cs="Times New Roman"/>
          <w:lang w:val="de-CH"/>
        </w:rPr>
        <w:t xml:space="preserve">jedoch von Interesse für künftige Forschungsprojekte sein könnten. </w:t>
      </w:r>
      <w:r w:rsidR="00795225" w:rsidRPr="00091A98">
        <w:rPr>
          <w:rFonts w:cs="Times New Roman"/>
          <w:lang w:val="de-CH"/>
        </w:rPr>
        <w:t>Zu</w:t>
      </w:r>
      <w:r w:rsidR="005167F0" w:rsidRPr="00091A98">
        <w:rPr>
          <w:rFonts w:cs="Times New Roman"/>
          <w:lang w:val="de-CH"/>
        </w:rPr>
        <w:t>m Beispiel wäre es interessant</w:t>
      </w:r>
      <w:r w:rsidR="004C22C8" w:rsidRPr="00091A98">
        <w:rPr>
          <w:rFonts w:cs="Times New Roman"/>
          <w:lang w:val="de-CH"/>
        </w:rPr>
        <w:t>,</w:t>
      </w:r>
      <w:r w:rsidR="005167F0" w:rsidRPr="00091A98">
        <w:rPr>
          <w:rFonts w:cs="Times New Roman"/>
          <w:lang w:val="de-CH"/>
        </w:rPr>
        <w:t xml:space="preserve"> </w:t>
      </w:r>
      <w:r w:rsidR="00795225" w:rsidRPr="00091A98">
        <w:rPr>
          <w:rFonts w:cs="Times New Roman"/>
          <w:lang w:val="de-CH"/>
        </w:rPr>
        <w:t>den Zeitaspekt und die damit verbundene Zu- oder Abnahme des Wettbewerbs unter Lobbygruppen zu be</w:t>
      </w:r>
      <w:r w:rsidR="0075140C" w:rsidRPr="00091A98">
        <w:rPr>
          <w:rFonts w:cs="Times New Roman"/>
          <w:lang w:val="de-CH"/>
        </w:rPr>
        <w:t xml:space="preserve">rücksichtigen </w:t>
      </w:r>
      <w:r w:rsidR="005167F0" w:rsidRPr="00091A98">
        <w:rPr>
          <w:rFonts w:cs="Times New Roman"/>
          <w:lang w:val="de-CH"/>
        </w:rPr>
        <w:t>und</w:t>
      </w:r>
      <w:r w:rsidR="0075140C" w:rsidRPr="00091A98">
        <w:rPr>
          <w:rFonts w:cs="Times New Roman"/>
          <w:lang w:val="de-CH"/>
        </w:rPr>
        <w:t xml:space="preserve"> zu untersuchen,</w:t>
      </w:r>
      <w:r w:rsidR="005167F0" w:rsidRPr="00091A98">
        <w:rPr>
          <w:rFonts w:cs="Times New Roman"/>
          <w:lang w:val="de-CH"/>
        </w:rPr>
        <w:t xml:space="preserve"> wie sich dies auf die Lobbyaktivität von Interessengruppen auswirkt. </w:t>
      </w:r>
      <w:r w:rsidR="004C22C8" w:rsidRPr="00091A98">
        <w:rPr>
          <w:rFonts w:cs="Times New Roman"/>
          <w:lang w:val="de-CH"/>
        </w:rPr>
        <w:t xml:space="preserve">Ebenso könnte </w:t>
      </w:r>
      <w:r w:rsidR="0075140C" w:rsidRPr="00091A98">
        <w:rPr>
          <w:rFonts w:cs="Times New Roman"/>
          <w:lang w:val="de-CH"/>
        </w:rPr>
        <w:t xml:space="preserve">geprüft </w:t>
      </w:r>
      <w:r w:rsidR="004C22C8" w:rsidRPr="00091A98">
        <w:rPr>
          <w:rFonts w:cs="Times New Roman"/>
          <w:lang w:val="de-CH"/>
        </w:rPr>
        <w:t xml:space="preserve">werden, wie </w:t>
      </w:r>
      <w:r w:rsidR="00A52209" w:rsidRPr="00091A98">
        <w:rPr>
          <w:rFonts w:cs="Times New Roman"/>
          <w:lang w:val="de-CH"/>
        </w:rPr>
        <w:t>(</w:t>
      </w:r>
      <w:r w:rsidR="004C22C8" w:rsidRPr="00091A98">
        <w:rPr>
          <w:rFonts w:cs="Times New Roman"/>
          <w:lang w:val="de-CH"/>
        </w:rPr>
        <w:t>gro</w:t>
      </w:r>
      <w:r w:rsidR="00326CFE" w:rsidRPr="00091A98">
        <w:rPr>
          <w:rFonts w:cs="Times New Roman"/>
          <w:lang w:val="de-CH"/>
        </w:rPr>
        <w:t>ss</w:t>
      </w:r>
      <w:r w:rsidR="004C22C8" w:rsidRPr="00091A98">
        <w:rPr>
          <w:rFonts w:cs="Times New Roman"/>
          <w:lang w:val="de-CH"/>
        </w:rPr>
        <w:t>e</w:t>
      </w:r>
      <w:r w:rsidR="00A52209" w:rsidRPr="00091A98">
        <w:rPr>
          <w:rFonts w:cs="Times New Roman"/>
          <w:lang w:val="de-CH"/>
        </w:rPr>
        <w:t>)</w:t>
      </w:r>
      <w:r w:rsidR="004C22C8" w:rsidRPr="00091A98">
        <w:rPr>
          <w:rFonts w:cs="Times New Roman"/>
          <w:lang w:val="de-CH"/>
        </w:rPr>
        <w:t xml:space="preserve"> Organisationen, die auf mehr als einem Themenfeld aktiv sind, </w:t>
      </w:r>
      <w:r w:rsidR="00A52209" w:rsidRPr="00091A98">
        <w:rPr>
          <w:rFonts w:cs="Times New Roman"/>
          <w:lang w:val="de-CH"/>
        </w:rPr>
        <w:t xml:space="preserve">auf die unterschiedlichen Wettbewerbsintensitäten in diesen unterschiedlichen Politikbereichen reagieren, ob </w:t>
      </w:r>
      <w:r w:rsidR="005D4806" w:rsidRPr="00091A98">
        <w:rPr>
          <w:rFonts w:cs="Times New Roman"/>
          <w:lang w:val="de-CH"/>
        </w:rPr>
        <w:t>etwa</w:t>
      </w:r>
      <w:r w:rsidR="00A52209" w:rsidRPr="00091A98">
        <w:rPr>
          <w:rFonts w:cs="Times New Roman"/>
          <w:lang w:val="de-CH"/>
        </w:rPr>
        <w:t xml:space="preserve"> in Bereichen mit mehr Wettbewerb </w:t>
      </w:r>
      <w:r w:rsidR="005D4806" w:rsidRPr="00091A98">
        <w:rPr>
          <w:rFonts w:cs="Times New Roman"/>
          <w:lang w:val="de-CH"/>
        </w:rPr>
        <w:t>eine erhöhte Aktivität feststellbar ist</w:t>
      </w:r>
      <w:r w:rsidR="00A52209" w:rsidRPr="00091A98">
        <w:rPr>
          <w:rFonts w:cs="Times New Roman"/>
          <w:lang w:val="de-CH"/>
        </w:rPr>
        <w:t xml:space="preserve">. </w:t>
      </w:r>
      <w:r w:rsidR="00F437EB" w:rsidRPr="00091A98">
        <w:rPr>
          <w:rFonts w:cs="Times New Roman"/>
          <w:lang w:val="de-CH"/>
        </w:rPr>
        <w:t>Mit den vorliegenden Daten sind solche Fragestellungen nicht zu beantworten, weitere Forschung in diese Richtung wäre aber, nach Meinung des Autors, wünschenswert.</w:t>
      </w:r>
    </w:p>
    <w:p w14:paraId="3298DF0D" w14:textId="77777777" w:rsidR="009F5188" w:rsidRPr="00091A98" w:rsidRDefault="009F5188" w:rsidP="009F5188">
      <w:pPr>
        <w:rPr>
          <w:rFonts w:cs="Times New Roman"/>
          <w:lang w:val="de-CH"/>
        </w:rPr>
      </w:pPr>
      <w:r w:rsidRPr="00091A98">
        <w:rPr>
          <w:rFonts w:cs="Times New Roman"/>
          <w:lang w:val="de-CH"/>
        </w:rPr>
        <w:br w:type="page"/>
      </w:r>
    </w:p>
    <w:p w14:paraId="2DB1D555" w14:textId="77777777" w:rsidR="009F5188" w:rsidRPr="00091A98" w:rsidRDefault="009F5188" w:rsidP="009F5188">
      <w:pPr>
        <w:spacing w:line="360" w:lineRule="auto"/>
        <w:rPr>
          <w:rFonts w:cs="Times New Roman"/>
          <w:lang w:val="de-CH"/>
        </w:rPr>
      </w:pPr>
      <w:r w:rsidRPr="00091A98">
        <w:rPr>
          <w:rFonts w:cs="Times New Roman"/>
          <w:b/>
          <w:lang w:val="de-CH"/>
        </w:rPr>
        <w:lastRenderedPageBreak/>
        <w:t>Literatur:</w:t>
      </w:r>
    </w:p>
    <w:p w14:paraId="1A51EF07" w14:textId="2E280AEF"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Ainsworth, </w:t>
      </w:r>
      <w:r w:rsidR="00043D87" w:rsidRPr="00091A98">
        <w:rPr>
          <w:rFonts w:cs="Times New Roman"/>
          <w:lang w:val="de-CH"/>
        </w:rPr>
        <w:t xml:space="preserve">S </w:t>
      </w:r>
      <w:r w:rsidRPr="00091A98">
        <w:rPr>
          <w:rFonts w:cs="Times New Roman"/>
          <w:lang w:val="de-CH"/>
        </w:rPr>
        <w:t xml:space="preserve">und </w:t>
      </w:r>
      <w:r w:rsidR="00043D87" w:rsidRPr="00091A98">
        <w:rPr>
          <w:rFonts w:cs="Times New Roman"/>
          <w:lang w:val="de-CH"/>
        </w:rPr>
        <w:t xml:space="preserve">I. </w:t>
      </w:r>
      <w:r w:rsidRPr="00091A98">
        <w:rPr>
          <w:rFonts w:cs="Times New Roman"/>
          <w:lang w:val="de-CH"/>
        </w:rPr>
        <w:t>Sened</w:t>
      </w:r>
      <w:r w:rsidR="00043D87" w:rsidRPr="00091A98">
        <w:rPr>
          <w:rFonts w:cs="Times New Roman"/>
          <w:lang w:val="de-CH"/>
        </w:rPr>
        <w:t xml:space="preserve"> (</w:t>
      </w:r>
      <w:r w:rsidRPr="00091A98">
        <w:rPr>
          <w:rFonts w:cs="Times New Roman"/>
          <w:lang w:val="de-CH"/>
        </w:rPr>
        <w:t>1993</w:t>
      </w:r>
      <w:r w:rsidR="00043D87" w:rsidRPr="00091A98">
        <w:rPr>
          <w:rFonts w:cs="Times New Roman"/>
          <w:lang w:val="de-CH"/>
        </w:rPr>
        <w:t>)</w:t>
      </w:r>
      <w:r w:rsidRPr="00091A98">
        <w:rPr>
          <w:rFonts w:cs="Times New Roman"/>
          <w:lang w:val="de-CH"/>
        </w:rPr>
        <w:t xml:space="preserve">. The Role of Lobbyists: Entrepreneurs with Two Audiences. </w:t>
      </w:r>
      <w:r w:rsidRPr="00091A98">
        <w:rPr>
          <w:rFonts w:cs="Times New Roman"/>
          <w:i/>
          <w:lang w:val="de-CH"/>
        </w:rPr>
        <w:t>American Journal of Political Science</w:t>
      </w:r>
      <w:r w:rsidRPr="00091A98">
        <w:rPr>
          <w:rFonts w:cs="Times New Roman"/>
          <w:lang w:val="de-CH"/>
        </w:rPr>
        <w:t xml:space="preserve"> 37</w:t>
      </w:r>
      <w:r w:rsidR="00043D87" w:rsidRPr="00091A98">
        <w:rPr>
          <w:rFonts w:cs="Times New Roman"/>
          <w:lang w:val="de-CH"/>
        </w:rPr>
        <w:t>(3)</w:t>
      </w:r>
      <w:r w:rsidRPr="00091A98">
        <w:rPr>
          <w:rFonts w:cs="Times New Roman"/>
          <w:lang w:val="de-CH"/>
        </w:rPr>
        <w:t>: 834</w:t>
      </w:r>
      <w:r w:rsidR="0023556D">
        <w:rPr>
          <w:rFonts w:cs="Times New Roman"/>
          <w:lang w:val="de-CH"/>
        </w:rPr>
        <w:t>–</w:t>
      </w:r>
      <w:r w:rsidRPr="00091A98">
        <w:rPr>
          <w:rFonts w:cs="Times New Roman"/>
          <w:lang w:val="de-CH"/>
        </w:rPr>
        <w:t>866.</w:t>
      </w:r>
    </w:p>
    <w:p w14:paraId="544BAE84" w14:textId="7F56821A"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Austen-Smith, </w:t>
      </w:r>
      <w:r w:rsidR="0051261A" w:rsidRPr="00091A98">
        <w:rPr>
          <w:rFonts w:cs="Times New Roman"/>
          <w:lang w:val="de-CH"/>
        </w:rPr>
        <w:t xml:space="preserve">D. </w:t>
      </w:r>
      <w:r w:rsidRPr="00091A98">
        <w:rPr>
          <w:rFonts w:cs="Times New Roman"/>
          <w:lang w:val="de-CH"/>
        </w:rPr>
        <w:t xml:space="preserve">und </w:t>
      </w:r>
      <w:r w:rsidR="00416166">
        <w:rPr>
          <w:rFonts w:cs="Times New Roman"/>
          <w:lang w:val="de-CH"/>
        </w:rPr>
        <w:t>J.</w:t>
      </w:r>
      <w:r w:rsidRPr="00091A98">
        <w:rPr>
          <w:rFonts w:cs="Times New Roman"/>
          <w:lang w:val="de-CH"/>
        </w:rPr>
        <w:t xml:space="preserve"> Wright. 1992. Competitive Lobbying for a Legislator's Vote. </w:t>
      </w:r>
      <w:r w:rsidRPr="00091A98">
        <w:rPr>
          <w:rFonts w:cs="Times New Roman"/>
          <w:i/>
          <w:lang w:val="de-CH"/>
        </w:rPr>
        <w:t>Social Choice and Welfare</w:t>
      </w:r>
      <w:r w:rsidRPr="00091A98">
        <w:rPr>
          <w:rFonts w:cs="Times New Roman"/>
          <w:lang w:val="de-CH"/>
        </w:rPr>
        <w:t xml:space="preserve"> 9</w:t>
      </w:r>
      <w:r w:rsidR="0051261A" w:rsidRPr="00091A98">
        <w:rPr>
          <w:rFonts w:cs="Times New Roman"/>
          <w:lang w:val="de-CH"/>
        </w:rPr>
        <w:t>(3)</w:t>
      </w:r>
      <w:r w:rsidRPr="00091A98">
        <w:rPr>
          <w:rFonts w:cs="Times New Roman"/>
          <w:lang w:val="de-CH"/>
        </w:rPr>
        <w:t>: 229</w:t>
      </w:r>
      <w:r w:rsidR="005A6E19">
        <w:rPr>
          <w:rFonts w:cs="Times New Roman"/>
          <w:lang w:val="de-CH"/>
        </w:rPr>
        <w:t>–</w:t>
      </w:r>
      <w:r w:rsidRPr="00091A98">
        <w:rPr>
          <w:rFonts w:cs="Times New Roman"/>
          <w:lang w:val="de-CH"/>
        </w:rPr>
        <w:t>257.</w:t>
      </w:r>
    </w:p>
    <w:p w14:paraId="7672E906" w14:textId="1F0DAE72"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51261A" w:rsidRPr="00091A98">
        <w:rPr>
          <w:rFonts w:cs="Times New Roman"/>
          <w:lang w:val="de-CH"/>
        </w:rPr>
        <w:t>(</w:t>
      </w:r>
      <w:r w:rsidR="009F5188" w:rsidRPr="00091A98">
        <w:rPr>
          <w:rFonts w:cs="Times New Roman"/>
          <w:lang w:val="de-CH"/>
        </w:rPr>
        <w:t>1994</w:t>
      </w:r>
      <w:r w:rsidR="0051261A" w:rsidRPr="00091A98">
        <w:rPr>
          <w:rFonts w:cs="Times New Roman"/>
          <w:lang w:val="de-CH"/>
        </w:rPr>
        <w:t>)</w:t>
      </w:r>
      <w:r w:rsidR="009F5188" w:rsidRPr="00091A98">
        <w:rPr>
          <w:rFonts w:cs="Times New Roman"/>
          <w:lang w:val="de-CH"/>
        </w:rPr>
        <w:t xml:space="preserve">. Counteractive Lobbying. </w:t>
      </w:r>
      <w:r w:rsidR="009F5188" w:rsidRPr="00091A98">
        <w:rPr>
          <w:rFonts w:cs="Times New Roman"/>
          <w:i/>
          <w:lang w:val="de-CH"/>
        </w:rPr>
        <w:t>American Journal of Political Science</w:t>
      </w:r>
      <w:r w:rsidR="009F5188" w:rsidRPr="00091A98">
        <w:rPr>
          <w:rFonts w:cs="Times New Roman"/>
          <w:lang w:val="de-CH"/>
        </w:rPr>
        <w:t xml:space="preserve"> 38</w:t>
      </w:r>
      <w:r w:rsidR="00980F80" w:rsidRPr="00091A98">
        <w:rPr>
          <w:rFonts w:cs="Times New Roman"/>
          <w:lang w:val="de-CH"/>
        </w:rPr>
        <w:t>(1)</w:t>
      </w:r>
      <w:r w:rsidR="009F5188" w:rsidRPr="00091A98">
        <w:rPr>
          <w:rFonts w:cs="Times New Roman"/>
          <w:lang w:val="de-CH"/>
        </w:rPr>
        <w:t>: 25</w:t>
      </w:r>
      <w:r w:rsidR="005A6E19">
        <w:rPr>
          <w:rFonts w:cs="Times New Roman"/>
          <w:lang w:val="de-CH"/>
        </w:rPr>
        <w:t>–</w:t>
      </w:r>
      <w:r w:rsidR="009F5188" w:rsidRPr="00091A98">
        <w:rPr>
          <w:rFonts w:cs="Times New Roman"/>
          <w:lang w:val="de-CH"/>
        </w:rPr>
        <w:t>44.</w:t>
      </w:r>
    </w:p>
    <w:p w14:paraId="31627AAD" w14:textId="2D51A919"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Axelrod, </w:t>
      </w:r>
      <w:r w:rsidR="00980F80" w:rsidRPr="00091A98">
        <w:rPr>
          <w:rFonts w:cs="Times New Roman"/>
          <w:lang w:val="de-CH"/>
        </w:rPr>
        <w:t>R.</w:t>
      </w:r>
      <w:r w:rsidRPr="00091A98">
        <w:rPr>
          <w:rFonts w:cs="Times New Roman"/>
          <w:lang w:val="de-CH"/>
        </w:rPr>
        <w:t xml:space="preserve"> </w:t>
      </w:r>
      <w:r w:rsidR="00980F80" w:rsidRPr="00091A98">
        <w:rPr>
          <w:rFonts w:cs="Times New Roman"/>
          <w:lang w:val="de-CH"/>
        </w:rPr>
        <w:t>(</w:t>
      </w:r>
      <w:r w:rsidRPr="00091A98">
        <w:rPr>
          <w:rFonts w:cs="Times New Roman"/>
          <w:lang w:val="de-CH"/>
        </w:rPr>
        <w:t>1967</w:t>
      </w:r>
      <w:r w:rsidR="00980F80" w:rsidRPr="00091A98">
        <w:rPr>
          <w:rFonts w:cs="Times New Roman"/>
          <w:lang w:val="de-CH"/>
        </w:rPr>
        <w:t>)</w:t>
      </w:r>
      <w:r w:rsidRPr="00091A98">
        <w:rPr>
          <w:rFonts w:cs="Times New Roman"/>
          <w:lang w:val="de-CH"/>
        </w:rPr>
        <w:t xml:space="preserve">. Conflict of Interest: An Axiomatic Approach. </w:t>
      </w:r>
      <w:r w:rsidRPr="00091A98">
        <w:rPr>
          <w:rFonts w:cs="Times New Roman"/>
          <w:i/>
          <w:lang w:val="de-CH"/>
        </w:rPr>
        <w:t>Journal of Conflict Resolution</w:t>
      </w:r>
      <w:r w:rsidRPr="00091A98">
        <w:rPr>
          <w:rFonts w:cs="Times New Roman"/>
          <w:lang w:val="de-CH"/>
        </w:rPr>
        <w:t xml:space="preserve"> 11</w:t>
      </w:r>
      <w:r w:rsidR="00D7754C" w:rsidRPr="00091A98">
        <w:rPr>
          <w:rFonts w:cs="Times New Roman"/>
          <w:lang w:val="de-CH"/>
        </w:rPr>
        <w:t>(1)</w:t>
      </w:r>
      <w:r w:rsidRPr="00091A98">
        <w:rPr>
          <w:rFonts w:cs="Times New Roman"/>
          <w:lang w:val="de-CH"/>
        </w:rPr>
        <w:t>: 87</w:t>
      </w:r>
      <w:r w:rsidR="005A6E19">
        <w:rPr>
          <w:rFonts w:cs="Times New Roman"/>
          <w:lang w:val="de-CH"/>
        </w:rPr>
        <w:t>–</w:t>
      </w:r>
      <w:r w:rsidRPr="00091A98">
        <w:rPr>
          <w:rFonts w:cs="Times New Roman"/>
          <w:lang w:val="de-CH"/>
        </w:rPr>
        <w:t>99.</w:t>
      </w:r>
    </w:p>
    <w:p w14:paraId="38CA5E2B" w14:textId="18982A46" w:rsidR="00EF3C93" w:rsidRPr="00091A98" w:rsidRDefault="00EF3C93" w:rsidP="00EF3C93">
      <w:pPr>
        <w:spacing w:line="360" w:lineRule="auto"/>
        <w:ind w:left="567" w:hanging="567"/>
        <w:rPr>
          <w:rFonts w:cs="Times New Roman"/>
          <w:lang w:val="de-CH"/>
        </w:rPr>
      </w:pPr>
      <w:r w:rsidRPr="00091A98">
        <w:rPr>
          <w:rFonts w:cs="Times New Roman"/>
          <w:lang w:val="de-CH"/>
        </w:rPr>
        <w:t xml:space="preserve">Baumgartner, F. und B. Leech (1998). </w:t>
      </w:r>
      <w:r w:rsidRPr="00091A98">
        <w:rPr>
          <w:rFonts w:cs="Times New Roman"/>
          <w:i/>
          <w:lang w:val="de-CH"/>
        </w:rPr>
        <w:t xml:space="preserve">Basic interests: The importance of groups in politics and in political science. </w:t>
      </w:r>
      <w:r w:rsidRPr="00091A98">
        <w:rPr>
          <w:rFonts w:cs="Times New Roman"/>
          <w:lang w:val="de-CH"/>
        </w:rPr>
        <w:t>Cambridge: Cambridge Universiy Press.</w:t>
      </w:r>
    </w:p>
    <w:p w14:paraId="2A08FD1D" w14:textId="599C3B95"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EF3C93" w:rsidRPr="00091A98">
        <w:rPr>
          <w:rFonts w:cs="Times New Roman"/>
          <w:lang w:val="de-CH"/>
        </w:rPr>
        <w:t>(</w:t>
      </w:r>
      <w:r w:rsidR="009F5188" w:rsidRPr="00091A98">
        <w:rPr>
          <w:rFonts w:cs="Times New Roman"/>
          <w:lang w:val="de-CH"/>
        </w:rPr>
        <w:t>2001</w:t>
      </w:r>
      <w:r w:rsidR="00EF3C93" w:rsidRPr="00091A98">
        <w:rPr>
          <w:rFonts w:cs="Times New Roman"/>
          <w:lang w:val="de-CH"/>
        </w:rPr>
        <w:t>)</w:t>
      </w:r>
      <w:r w:rsidR="009F5188" w:rsidRPr="00091A98">
        <w:rPr>
          <w:rFonts w:cs="Times New Roman"/>
          <w:lang w:val="de-CH"/>
        </w:rPr>
        <w:t xml:space="preserve">. Interest Niches and Policy Bandwagons: Patterns of Interest Group Involvement in National Politics. </w:t>
      </w:r>
      <w:r w:rsidR="009F5188" w:rsidRPr="00091A98">
        <w:rPr>
          <w:rFonts w:cs="Times New Roman"/>
          <w:i/>
          <w:lang w:val="de-CH"/>
        </w:rPr>
        <w:t>Journal of Politics</w:t>
      </w:r>
      <w:r w:rsidR="009F5188" w:rsidRPr="00091A98">
        <w:rPr>
          <w:rFonts w:cs="Times New Roman"/>
          <w:lang w:val="de-CH"/>
        </w:rPr>
        <w:t xml:space="preserve"> 63</w:t>
      </w:r>
      <w:r w:rsidR="00936F81" w:rsidRPr="00091A98">
        <w:rPr>
          <w:rFonts w:cs="Times New Roman"/>
          <w:lang w:val="de-CH"/>
        </w:rPr>
        <w:t>(4)</w:t>
      </w:r>
      <w:r w:rsidR="009F5188" w:rsidRPr="00091A98">
        <w:rPr>
          <w:rFonts w:cs="Times New Roman"/>
          <w:lang w:val="de-CH"/>
        </w:rPr>
        <w:t>: 1191</w:t>
      </w:r>
      <w:r w:rsidR="005A6E19">
        <w:rPr>
          <w:rFonts w:cs="Times New Roman"/>
          <w:lang w:val="de-CH"/>
        </w:rPr>
        <w:t>–</w:t>
      </w:r>
      <w:r w:rsidR="009F5188" w:rsidRPr="00091A98">
        <w:rPr>
          <w:rFonts w:cs="Times New Roman"/>
          <w:lang w:val="de-CH"/>
        </w:rPr>
        <w:t>1213.</w:t>
      </w:r>
    </w:p>
    <w:p w14:paraId="35E31934" w14:textId="3BCE3D97"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Beauducel, </w:t>
      </w:r>
      <w:r w:rsidR="00D7754C" w:rsidRPr="00091A98">
        <w:rPr>
          <w:rFonts w:cs="Times New Roman"/>
          <w:lang w:val="de-CH"/>
        </w:rPr>
        <w:t xml:space="preserve">A. </w:t>
      </w:r>
      <w:r w:rsidRPr="00091A98">
        <w:rPr>
          <w:rFonts w:cs="Times New Roman"/>
          <w:lang w:val="de-CH"/>
        </w:rPr>
        <w:t xml:space="preserve">und </w:t>
      </w:r>
      <w:r w:rsidR="00416166">
        <w:rPr>
          <w:rFonts w:cs="Times New Roman"/>
          <w:lang w:val="de-CH"/>
        </w:rPr>
        <w:t>P.</w:t>
      </w:r>
      <w:r w:rsidRPr="00091A98">
        <w:rPr>
          <w:rFonts w:cs="Times New Roman"/>
          <w:lang w:val="de-CH"/>
        </w:rPr>
        <w:t xml:space="preserve"> Herzberg</w:t>
      </w:r>
      <w:r w:rsidR="00D7754C" w:rsidRPr="00091A98">
        <w:rPr>
          <w:rFonts w:cs="Times New Roman"/>
          <w:lang w:val="de-CH"/>
        </w:rPr>
        <w:t xml:space="preserve"> (</w:t>
      </w:r>
      <w:r w:rsidRPr="00091A98">
        <w:rPr>
          <w:rFonts w:cs="Times New Roman"/>
          <w:lang w:val="de-CH"/>
        </w:rPr>
        <w:t>2006</w:t>
      </w:r>
      <w:r w:rsidR="00D7754C" w:rsidRPr="00091A98">
        <w:rPr>
          <w:rFonts w:cs="Times New Roman"/>
          <w:lang w:val="de-CH"/>
        </w:rPr>
        <w:t>)</w:t>
      </w:r>
      <w:r w:rsidRPr="00091A98">
        <w:rPr>
          <w:rFonts w:cs="Times New Roman"/>
          <w:lang w:val="de-CH"/>
        </w:rPr>
        <w:t xml:space="preserve">. On the Performance of Maximum Likelihood versus Means and Variance Adjusted Weighted Least Squares Estimation in CFA. </w:t>
      </w:r>
      <w:r w:rsidRPr="00091A98">
        <w:rPr>
          <w:rFonts w:cs="Times New Roman"/>
          <w:i/>
          <w:lang w:val="de-CH"/>
        </w:rPr>
        <w:t>Structural Equation Modeling</w:t>
      </w:r>
      <w:r w:rsidR="00D7754C" w:rsidRPr="00091A98">
        <w:rPr>
          <w:rFonts w:cs="Times New Roman"/>
          <w:i/>
          <w:lang w:val="de-CH"/>
        </w:rPr>
        <w:t xml:space="preserve"> </w:t>
      </w:r>
      <w:r w:rsidR="00D7754C" w:rsidRPr="00091A98">
        <w:rPr>
          <w:rFonts w:cs="Times New Roman"/>
          <w:lang w:val="de-CH"/>
        </w:rPr>
        <w:t>13(2)</w:t>
      </w:r>
      <w:r w:rsidRPr="00091A98">
        <w:rPr>
          <w:rFonts w:cs="Times New Roman"/>
          <w:lang w:val="de-CH"/>
        </w:rPr>
        <w:t>: 186</w:t>
      </w:r>
      <w:r w:rsidR="005A6E19">
        <w:rPr>
          <w:rFonts w:cs="Times New Roman"/>
          <w:lang w:val="de-CH"/>
        </w:rPr>
        <w:t>–</w:t>
      </w:r>
      <w:r w:rsidRPr="00091A98">
        <w:rPr>
          <w:rFonts w:cs="Times New Roman"/>
          <w:lang w:val="de-CH"/>
        </w:rPr>
        <w:t>203.</w:t>
      </w:r>
    </w:p>
    <w:p w14:paraId="644AA74C" w14:textId="29E8278A"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Becker, </w:t>
      </w:r>
      <w:r w:rsidR="00416166">
        <w:rPr>
          <w:rFonts w:cs="Times New Roman"/>
          <w:lang w:val="de-CH"/>
        </w:rPr>
        <w:t>G</w:t>
      </w:r>
      <w:r w:rsidRPr="00091A98">
        <w:rPr>
          <w:rFonts w:cs="Times New Roman"/>
          <w:lang w:val="de-CH"/>
        </w:rPr>
        <w:t xml:space="preserve">. </w:t>
      </w:r>
      <w:r w:rsidR="00337E00" w:rsidRPr="00091A98">
        <w:rPr>
          <w:rFonts w:cs="Times New Roman"/>
          <w:lang w:val="de-CH"/>
        </w:rPr>
        <w:t>(</w:t>
      </w:r>
      <w:r w:rsidRPr="00091A98">
        <w:rPr>
          <w:rFonts w:cs="Times New Roman"/>
          <w:lang w:val="de-CH"/>
        </w:rPr>
        <w:t>1983</w:t>
      </w:r>
      <w:r w:rsidR="00337E00" w:rsidRPr="00091A98">
        <w:rPr>
          <w:rFonts w:cs="Times New Roman"/>
          <w:lang w:val="de-CH"/>
        </w:rPr>
        <w:t>)</w:t>
      </w:r>
      <w:r w:rsidRPr="00091A98">
        <w:rPr>
          <w:rFonts w:cs="Times New Roman"/>
          <w:lang w:val="de-CH"/>
        </w:rPr>
        <w:t xml:space="preserve">. A Theory of Competition among Pressure Groups for Political Influence. </w:t>
      </w:r>
      <w:r w:rsidRPr="00091A98">
        <w:rPr>
          <w:rFonts w:cs="Times New Roman"/>
          <w:i/>
          <w:lang w:val="de-CH"/>
        </w:rPr>
        <w:t>The Quarterly Journal of Economics</w:t>
      </w:r>
      <w:r w:rsidRPr="00091A98">
        <w:rPr>
          <w:rFonts w:cs="Times New Roman"/>
          <w:lang w:val="de-CH"/>
        </w:rPr>
        <w:t xml:space="preserve"> 98</w:t>
      </w:r>
      <w:r w:rsidR="00337E00" w:rsidRPr="00091A98">
        <w:rPr>
          <w:rFonts w:cs="Times New Roman"/>
          <w:lang w:val="de-CH"/>
        </w:rPr>
        <w:t>(3)</w:t>
      </w:r>
      <w:r w:rsidRPr="00091A98">
        <w:rPr>
          <w:rFonts w:cs="Times New Roman"/>
          <w:lang w:val="de-CH"/>
        </w:rPr>
        <w:t>: 371</w:t>
      </w:r>
      <w:r w:rsidR="005A6E19">
        <w:rPr>
          <w:rFonts w:cs="Times New Roman"/>
          <w:lang w:val="de-CH"/>
        </w:rPr>
        <w:t>–</w:t>
      </w:r>
      <w:r w:rsidRPr="00091A98">
        <w:rPr>
          <w:rFonts w:cs="Times New Roman"/>
          <w:lang w:val="de-CH"/>
        </w:rPr>
        <w:t>400.</w:t>
      </w:r>
    </w:p>
    <w:p w14:paraId="1F00EC6C" w14:textId="5AC91AAE"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Bernhagen, </w:t>
      </w:r>
      <w:r w:rsidR="00337E00" w:rsidRPr="00091A98">
        <w:rPr>
          <w:rFonts w:cs="Times New Roman"/>
          <w:lang w:val="de-CH"/>
        </w:rPr>
        <w:t>P</w:t>
      </w:r>
      <w:r w:rsidRPr="00091A98">
        <w:rPr>
          <w:rFonts w:cs="Times New Roman"/>
          <w:lang w:val="de-CH"/>
        </w:rPr>
        <w:t xml:space="preserve">. </w:t>
      </w:r>
      <w:r w:rsidR="00337E00" w:rsidRPr="00091A98">
        <w:rPr>
          <w:rFonts w:cs="Times New Roman"/>
          <w:lang w:val="de-CH"/>
        </w:rPr>
        <w:t>(</w:t>
      </w:r>
      <w:r w:rsidRPr="00091A98">
        <w:rPr>
          <w:rFonts w:cs="Times New Roman"/>
          <w:lang w:val="de-CH"/>
        </w:rPr>
        <w:t>2013</w:t>
      </w:r>
      <w:r w:rsidR="00337E00" w:rsidRPr="00091A98">
        <w:rPr>
          <w:rFonts w:cs="Times New Roman"/>
          <w:lang w:val="de-CH"/>
        </w:rPr>
        <w:t>)</w:t>
      </w:r>
      <w:r w:rsidRPr="00091A98">
        <w:rPr>
          <w:rFonts w:cs="Times New Roman"/>
          <w:lang w:val="de-CH"/>
        </w:rPr>
        <w:t xml:space="preserve">. When Do Politicians Listen to Lobbyists (and Who Benefits when They Do)? </w:t>
      </w:r>
      <w:r w:rsidRPr="00091A98">
        <w:rPr>
          <w:rFonts w:cs="Times New Roman"/>
          <w:i/>
          <w:lang w:val="de-CH"/>
        </w:rPr>
        <w:t>European Journal of Political Research</w:t>
      </w:r>
      <w:r w:rsidRPr="00091A98">
        <w:rPr>
          <w:rFonts w:cs="Times New Roman"/>
          <w:lang w:val="de-CH"/>
        </w:rPr>
        <w:t xml:space="preserve"> 52</w:t>
      </w:r>
      <w:r w:rsidR="00BE5BE1" w:rsidRPr="00091A98">
        <w:rPr>
          <w:rFonts w:cs="Times New Roman"/>
          <w:lang w:val="de-CH"/>
        </w:rPr>
        <w:t>(1)</w:t>
      </w:r>
      <w:r w:rsidRPr="00091A98">
        <w:rPr>
          <w:rFonts w:cs="Times New Roman"/>
          <w:lang w:val="de-CH"/>
        </w:rPr>
        <w:t>: 20</w:t>
      </w:r>
      <w:r w:rsidR="005A6E19">
        <w:rPr>
          <w:rFonts w:cs="Times New Roman"/>
          <w:lang w:val="de-CH"/>
        </w:rPr>
        <w:t>–</w:t>
      </w:r>
      <w:r w:rsidRPr="00091A98">
        <w:rPr>
          <w:rFonts w:cs="Times New Roman"/>
          <w:lang w:val="de-CH"/>
        </w:rPr>
        <w:t>43.</w:t>
      </w:r>
    </w:p>
    <w:p w14:paraId="017AAE99" w14:textId="64B385BC"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Berry, </w:t>
      </w:r>
      <w:r w:rsidR="00416166">
        <w:rPr>
          <w:rFonts w:cs="Times New Roman"/>
          <w:lang w:val="de-CH"/>
        </w:rPr>
        <w:t>J.</w:t>
      </w:r>
      <w:r w:rsidRPr="00091A98">
        <w:rPr>
          <w:rFonts w:cs="Times New Roman"/>
          <w:lang w:val="de-CH"/>
        </w:rPr>
        <w:t xml:space="preserve"> </w:t>
      </w:r>
      <w:r w:rsidR="00BE5BE1" w:rsidRPr="00091A98">
        <w:rPr>
          <w:rFonts w:cs="Times New Roman"/>
          <w:lang w:val="de-CH"/>
        </w:rPr>
        <w:t>(</w:t>
      </w:r>
      <w:r w:rsidRPr="00091A98">
        <w:rPr>
          <w:rFonts w:cs="Times New Roman"/>
          <w:lang w:val="de-CH"/>
        </w:rPr>
        <w:t>1997</w:t>
      </w:r>
      <w:r w:rsidR="00BE5BE1" w:rsidRPr="00091A98">
        <w:rPr>
          <w:rFonts w:cs="Times New Roman"/>
          <w:lang w:val="de-CH"/>
        </w:rPr>
        <w:t>)</w:t>
      </w:r>
      <w:r w:rsidRPr="00091A98">
        <w:rPr>
          <w:rFonts w:cs="Times New Roman"/>
          <w:lang w:val="de-CH"/>
        </w:rPr>
        <w:t xml:space="preserve">. </w:t>
      </w:r>
      <w:r w:rsidRPr="00091A98">
        <w:rPr>
          <w:rFonts w:cs="Times New Roman"/>
          <w:i/>
          <w:lang w:val="de-CH"/>
        </w:rPr>
        <w:t>The Interest Group Society.</w:t>
      </w:r>
      <w:r w:rsidRPr="00091A98">
        <w:rPr>
          <w:rFonts w:cs="Times New Roman"/>
          <w:lang w:val="de-CH"/>
        </w:rPr>
        <w:t xml:space="preserve"> New York: HarperCollins </w:t>
      </w:r>
    </w:p>
    <w:p w14:paraId="5A88E25F" w14:textId="67892F99"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Beyers, J. </w:t>
      </w:r>
      <w:r w:rsidR="00450286" w:rsidRPr="00091A98">
        <w:rPr>
          <w:rFonts w:cs="Times New Roman"/>
          <w:lang w:val="de-CH"/>
        </w:rPr>
        <w:t>(</w:t>
      </w:r>
      <w:r w:rsidRPr="00091A98">
        <w:rPr>
          <w:rFonts w:cs="Times New Roman"/>
          <w:lang w:val="de-CH"/>
        </w:rPr>
        <w:t>2004</w:t>
      </w:r>
      <w:r w:rsidR="00450286" w:rsidRPr="00091A98">
        <w:rPr>
          <w:rFonts w:cs="Times New Roman"/>
          <w:lang w:val="de-CH"/>
        </w:rPr>
        <w:t>)</w:t>
      </w:r>
      <w:r w:rsidRPr="00091A98">
        <w:rPr>
          <w:rFonts w:cs="Times New Roman"/>
          <w:lang w:val="de-CH"/>
        </w:rPr>
        <w:t xml:space="preserve">. Voice and Access Political Practices of European Interest Associations. </w:t>
      </w:r>
      <w:r w:rsidRPr="00091A98">
        <w:rPr>
          <w:rFonts w:cs="Times New Roman"/>
          <w:i/>
          <w:lang w:val="de-CH"/>
        </w:rPr>
        <w:t>European Union Politics</w:t>
      </w:r>
      <w:r w:rsidRPr="00091A98">
        <w:rPr>
          <w:rFonts w:cs="Times New Roman"/>
          <w:lang w:val="de-CH"/>
        </w:rPr>
        <w:t xml:space="preserve"> 5</w:t>
      </w:r>
      <w:r w:rsidR="00BE5BE1" w:rsidRPr="00091A98">
        <w:rPr>
          <w:rFonts w:cs="Times New Roman"/>
          <w:lang w:val="de-CH"/>
        </w:rPr>
        <w:t>(2)</w:t>
      </w:r>
      <w:r w:rsidRPr="00091A98">
        <w:rPr>
          <w:rFonts w:cs="Times New Roman"/>
          <w:lang w:val="de-CH"/>
        </w:rPr>
        <w:t>: 211</w:t>
      </w:r>
      <w:r w:rsidR="005A6E19">
        <w:rPr>
          <w:rFonts w:cs="Times New Roman"/>
          <w:lang w:val="de-CH"/>
        </w:rPr>
        <w:t>–</w:t>
      </w:r>
      <w:r w:rsidRPr="00091A98">
        <w:rPr>
          <w:rFonts w:cs="Times New Roman"/>
          <w:lang w:val="de-CH"/>
        </w:rPr>
        <w:t>240.</w:t>
      </w:r>
    </w:p>
    <w:p w14:paraId="0868483B" w14:textId="6B5CA3E7" w:rsidR="00912A7E" w:rsidRPr="00091A98" w:rsidRDefault="00912A7E" w:rsidP="00912A7E">
      <w:pPr>
        <w:spacing w:line="360" w:lineRule="auto"/>
        <w:ind w:left="567" w:hanging="567"/>
        <w:rPr>
          <w:rFonts w:cs="Times New Roman"/>
          <w:lang w:val="de-CH"/>
        </w:rPr>
      </w:pPr>
      <w:r w:rsidRPr="00091A98">
        <w:rPr>
          <w:rFonts w:cs="Times New Roman"/>
          <w:lang w:val="de-CH"/>
        </w:rPr>
        <w:t xml:space="preserve">Binderkrantz, A. (2005). Interest group strategies: Navigating between privileged access and strategies of pressure. </w:t>
      </w:r>
      <w:r w:rsidRPr="00091A98">
        <w:rPr>
          <w:rFonts w:cs="Times New Roman"/>
          <w:i/>
          <w:lang w:val="de-CH"/>
        </w:rPr>
        <w:t>Political Studies,</w:t>
      </w:r>
      <w:r w:rsidRPr="00091A98">
        <w:rPr>
          <w:rFonts w:cs="Times New Roman"/>
          <w:lang w:val="de-CH"/>
        </w:rPr>
        <w:t xml:space="preserve"> 53(4): 694</w:t>
      </w:r>
      <w:r w:rsidR="005A6E19">
        <w:rPr>
          <w:rFonts w:cs="Times New Roman"/>
          <w:lang w:val="de-CH"/>
        </w:rPr>
        <w:t>–</w:t>
      </w:r>
      <w:r w:rsidRPr="00091A98">
        <w:rPr>
          <w:rFonts w:cs="Times New Roman"/>
          <w:lang w:val="de-CH"/>
        </w:rPr>
        <w:t>715.</w:t>
      </w:r>
    </w:p>
    <w:p w14:paraId="01101241" w14:textId="572D374E" w:rsidR="00912A7E" w:rsidRPr="00091A98" w:rsidRDefault="009522E4" w:rsidP="00912A7E">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912A7E" w:rsidRPr="00091A98">
        <w:rPr>
          <w:rFonts w:cs="Times New Roman"/>
          <w:lang w:val="de-CH"/>
        </w:rPr>
        <w:t xml:space="preserve">(2008). Different groups, different strategies: How interest groups pursue their political ambitions. </w:t>
      </w:r>
      <w:r w:rsidR="00912A7E" w:rsidRPr="00091A98">
        <w:rPr>
          <w:rFonts w:cs="Times New Roman"/>
          <w:i/>
          <w:lang w:val="de-CH"/>
        </w:rPr>
        <w:t>Scandinavian Political Studies,</w:t>
      </w:r>
      <w:r w:rsidR="00912A7E" w:rsidRPr="00091A98">
        <w:rPr>
          <w:rFonts w:cs="Times New Roman"/>
          <w:lang w:val="de-CH"/>
        </w:rPr>
        <w:t xml:space="preserve"> 31(2): 173</w:t>
      </w:r>
      <w:r w:rsidR="005A6E19">
        <w:rPr>
          <w:rFonts w:cs="Times New Roman"/>
          <w:lang w:val="de-CH"/>
        </w:rPr>
        <w:t>–</w:t>
      </w:r>
      <w:r w:rsidR="00912A7E" w:rsidRPr="00091A98">
        <w:rPr>
          <w:rFonts w:cs="Times New Roman"/>
          <w:lang w:val="de-CH"/>
        </w:rPr>
        <w:t>200.</w:t>
      </w:r>
    </w:p>
    <w:p w14:paraId="50613898" w14:textId="75893606"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Binderkrantz, </w:t>
      </w:r>
      <w:r w:rsidR="00BE5BE1" w:rsidRPr="00091A98">
        <w:rPr>
          <w:rFonts w:cs="Times New Roman"/>
          <w:lang w:val="de-CH"/>
        </w:rPr>
        <w:t>A.</w:t>
      </w:r>
      <w:r w:rsidRPr="00091A98">
        <w:rPr>
          <w:rFonts w:cs="Times New Roman"/>
          <w:lang w:val="de-CH"/>
        </w:rPr>
        <w:t xml:space="preserve"> und </w:t>
      </w:r>
      <w:r w:rsidR="00BE5BE1" w:rsidRPr="00091A98">
        <w:rPr>
          <w:rFonts w:cs="Times New Roman"/>
          <w:lang w:val="de-CH"/>
        </w:rPr>
        <w:t xml:space="preserve">S, </w:t>
      </w:r>
      <w:r w:rsidRPr="00091A98">
        <w:rPr>
          <w:rFonts w:cs="Times New Roman"/>
          <w:lang w:val="de-CH"/>
        </w:rPr>
        <w:t xml:space="preserve">Krøyer </w:t>
      </w:r>
      <w:r w:rsidR="00BE5BE1" w:rsidRPr="00091A98">
        <w:rPr>
          <w:rFonts w:cs="Times New Roman"/>
          <w:lang w:val="de-CH"/>
        </w:rPr>
        <w:t>(</w:t>
      </w:r>
      <w:r w:rsidRPr="00091A98">
        <w:rPr>
          <w:rFonts w:cs="Times New Roman"/>
          <w:lang w:val="de-CH"/>
        </w:rPr>
        <w:t>2012</w:t>
      </w:r>
      <w:r w:rsidR="00BE5BE1" w:rsidRPr="00091A98">
        <w:rPr>
          <w:rFonts w:cs="Times New Roman"/>
          <w:lang w:val="de-CH"/>
        </w:rPr>
        <w:t>)</w:t>
      </w:r>
      <w:r w:rsidRPr="00091A98">
        <w:rPr>
          <w:rFonts w:cs="Times New Roman"/>
          <w:lang w:val="de-CH"/>
        </w:rPr>
        <w:t xml:space="preserve">. Customizing Strategy: Policy Goals and Interest Group Strategies. </w:t>
      </w:r>
      <w:r w:rsidRPr="00091A98">
        <w:rPr>
          <w:rFonts w:cs="Times New Roman"/>
          <w:i/>
          <w:lang w:val="de-CH"/>
        </w:rPr>
        <w:t xml:space="preserve">Interest Groups &amp; Advocacy </w:t>
      </w:r>
      <w:r w:rsidRPr="00091A98">
        <w:rPr>
          <w:rFonts w:cs="Times New Roman"/>
          <w:lang w:val="de-CH"/>
        </w:rPr>
        <w:t>1</w:t>
      </w:r>
      <w:r w:rsidR="00851A71" w:rsidRPr="00091A98">
        <w:rPr>
          <w:rFonts w:cs="Times New Roman"/>
          <w:lang w:val="de-CH"/>
        </w:rPr>
        <w:t>(1)</w:t>
      </w:r>
      <w:r w:rsidRPr="00091A98">
        <w:rPr>
          <w:rFonts w:cs="Times New Roman"/>
          <w:lang w:val="de-CH"/>
        </w:rPr>
        <w:t>:115</w:t>
      </w:r>
      <w:r w:rsidR="005A6E19">
        <w:rPr>
          <w:rFonts w:cs="Times New Roman"/>
          <w:lang w:val="de-CH"/>
        </w:rPr>
        <w:t>–</w:t>
      </w:r>
      <w:r w:rsidRPr="00091A98">
        <w:rPr>
          <w:rFonts w:cs="Times New Roman"/>
          <w:lang w:val="de-CH"/>
        </w:rPr>
        <w:t>138.</w:t>
      </w:r>
    </w:p>
    <w:p w14:paraId="3CC4FB9B" w14:textId="5E167EA9"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Bouwen, </w:t>
      </w:r>
      <w:r w:rsidR="00851A71" w:rsidRPr="00091A98">
        <w:rPr>
          <w:rFonts w:cs="Times New Roman"/>
          <w:lang w:val="de-CH"/>
        </w:rPr>
        <w:t>P</w:t>
      </w:r>
      <w:r w:rsidRPr="00091A98">
        <w:rPr>
          <w:rFonts w:cs="Times New Roman"/>
          <w:lang w:val="de-CH"/>
        </w:rPr>
        <w:t xml:space="preserve">. </w:t>
      </w:r>
      <w:r w:rsidR="00851A71" w:rsidRPr="00091A98">
        <w:rPr>
          <w:rFonts w:cs="Times New Roman"/>
          <w:lang w:val="de-CH"/>
        </w:rPr>
        <w:t>(</w:t>
      </w:r>
      <w:r w:rsidRPr="00091A98">
        <w:rPr>
          <w:rFonts w:cs="Times New Roman"/>
          <w:lang w:val="de-CH"/>
        </w:rPr>
        <w:t>2004</w:t>
      </w:r>
      <w:r w:rsidR="00851A71" w:rsidRPr="00091A98">
        <w:rPr>
          <w:rFonts w:cs="Times New Roman"/>
          <w:lang w:val="de-CH"/>
        </w:rPr>
        <w:t>)</w:t>
      </w:r>
      <w:r w:rsidRPr="00091A98">
        <w:rPr>
          <w:rFonts w:cs="Times New Roman"/>
          <w:lang w:val="de-CH"/>
        </w:rPr>
        <w:t xml:space="preserve">. Exchanging Access Goods for Access: A Comparative Study of Business Lobbying in the European Union Institutions. </w:t>
      </w:r>
      <w:r w:rsidRPr="00091A98">
        <w:rPr>
          <w:rFonts w:cs="Times New Roman"/>
          <w:i/>
          <w:lang w:val="de-CH"/>
        </w:rPr>
        <w:t>European Journal of Political Research</w:t>
      </w:r>
      <w:r w:rsidRPr="00091A98">
        <w:rPr>
          <w:rFonts w:cs="Times New Roman"/>
          <w:lang w:val="de-CH"/>
        </w:rPr>
        <w:t xml:space="preserve"> 43</w:t>
      </w:r>
      <w:r w:rsidR="00851A71" w:rsidRPr="00091A98">
        <w:rPr>
          <w:rFonts w:cs="Times New Roman"/>
          <w:lang w:val="de-CH"/>
        </w:rPr>
        <w:t>(3)</w:t>
      </w:r>
      <w:r w:rsidRPr="00091A98">
        <w:rPr>
          <w:rFonts w:cs="Times New Roman"/>
          <w:lang w:val="de-CH"/>
        </w:rPr>
        <w:t>: 337</w:t>
      </w:r>
      <w:r w:rsidR="005A6E19">
        <w:rPr>
          <w:rFonts w:cs="Times New Roman"/>
          <w:lang w:val="de-CH"/>
        </w:rPr>
        <w:t>–</w:t>
      </w:r>
      <w:r w:rsidRPr="00091A98">
        <w:rPr>
          <w:rFonts w:cs="Times New Roman"/>
          <w:lang w:val="de-CH"/>
        </w:rPr>
        <w:t>369.</w:t>
      </w:r>
    </w:p>
    <w:p w14:paraId="6BF541B9" w14:textId="561E6C7D" w:rsidR="009F5188" w:rsidRPr="00091A98" w:rsidRDefault="009F5188" w:rsidP="009F5188">
      <w:pPr>
        <w:spacing w:line="360" w:lineRule="auto"/>
        <w:ind w:left="567" w:hanging="567"/>
        <w:rPr>
          <w:rFonts w:cs="Times New Roman"/>
          <w:lang w:val="de-CH"/>
        </w:rPr>
      </w:pPr>
      <w:r w:rsidRPr="00091A98">
        <w:rPr>
          <w:rFonts w:cs="Times New Roman"/>
          <w:lang w:val="de-CH"/>
        </w:rPr>
        <w:lastRenderedPageBreak/>
        <w:t xml:space="preserve">Browne, </w:t>
      </w:r>
      <w:r w:rsidR="00851A71" w:rsidRPr="00091A98">
        <w:rPr>
          <w:rFonts w:cs="Times New Roman"/>
          <w:lang w:val="de-CH"/>
        </w:rPr>
        <w:t>W. (</w:t>
      </w:r>
      <w:r w:rsidRPr="00091A98">
        <w:rPr>
          <w:rFonts w:cs="Times New Roman"/>
          <w:lang w:val="de-CH"/>
        </w:rPr>
        <w:t>1990</w:t>
      </w:r>
      <w:r w:rsidR="00851A71" w:rsidRPr="00091A98">
        <w:rPr>
          <w:rFonts w:cs="Times New Roman"/>
          <w:lang w:val="de-CH"/>
        </w:rPr>
        <w:t>)</w:t>
      </w:r>
      <w:r w:rsidRPr="00091A98">
        <w:rPr>
          <w:rFonts w:cs="Times New Roman"/>
          <w:lang w:val="de-CH"/>
        </w:rPr>
        <w:t xml:space="preserve">. Organized Interests and their Issue Niches: A Search for Pluralism in a Policy Domain. </w:t>
      </w:r>
      <w:r w:rsidRPr="00091A98">
        <w:rPr>
          <w:rFonts w:cs="Times New Roman"/>
          <w:i/>
          <w:lang w:val="de-CH"/>
        </w:rPr>
        <w:t>The Journal of Politics</w:t>
      </w:r>
      <w:r w:rsidRPr="00091A98">
        <w:rPr>
          <w:rFonts w:cs="Times New Roman"/>
          <w:lang w:val="de-CH"/>
        </w:rPr>
        <w:t xml:space="preserve"> 52</w:t>
      </w:r>
      <w:r w:rsidR="00C60F72" w:rsidRPr="00091A98">
        <w:rPr>
          <w:rFonts w:cs="Times New Roman"/>
          <w:lang w:val="de-CH"/>
        </w:rPr>
        <w:t>(2)</w:t>
      </w:r>
      <w:r w:rsidRPr="00091A98">
        <w:rPr>
          <w:rFonts w:cs="Times New Roman"/>
          <w:lang w:val="de-CH"/>
        </w:rPr>
        <w:t>: 477</w:t>
      </w:r>
      <w:r w:rsidR="005A6E19">
        <w:rPr>
          <w:rFonts w:cs="Times New Roman"/>
          <w:lang w:val="de-CH"/>
        </w:rPr>
        <w:t>–</w:t>
      </w:r>
      <w:r w:rsidRPr="00091A98">
        <w:rPr>
          <w:rFonts w:cs="Times New Roman"/>
          <w:lang w:val="de-CH"/>
        </w:rPr>
        <w:t>509.</w:t>
      </w:r>
    </w:p>
    <w:p w14:paraId="3AE73CEF" w14:textId="0F8C0090"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Downs, </w:t>
      </w:r>
      <w:r w:rsidR="0044535F" w:rsidRPr="00091A98">
        <w:rPr>
          <w:rFonts w:cs="Times New Roman"/>
          <w:lang w:val="de-CH"/>
        </w:rPr>
        <w:t>A</w:t>
      </w:r>
      <w:r w:rsidRPr="00091A98">
        <w:rPr>
          <w:rFonts w:cs="Times New Roman"/>
          <w:lang w:val="de-CH"/>
        </w:rPr>
        <w:t xml:space="preserve">. </w:t>
      </w:r>
      <w:r w:rsidR="0044535F" w:rsidRPr="00091A98">
        <w:rPr>
          <w:rFonts w:cs="Times New Roman"/>
          <w:lang w:val="de-CH"/>
        </w:rPr>
        <w:t>(</w:t>
      </w:r>
      <w:r w:rsidRPr="00091A98">
        <w:rPr>
          <w:rFonts w:cs="Times New Roman"/>
          <w:lang w:val="de-CH"/>
        </w:rPr>
        <w:t>1957</w:t>
      </w:r>
      <w:r w:rsidR="0044535F" w:rsidRPr="00091A98">
        <w:rPr>
          <w:rFonts w:cs="Times New Roman"/>
          <w:lang w:val="de-CH"/>
        </w:rPr>
        <w:t>)</w:t>
      </w:r>
      <w:r w:rsidRPr="00091A98">
        <w:rPr>
          <w:rFonts w:cs="Times New Roman"/>
          <w:lang w:val="de-CH"/>
        </w:rPr>
        <w:t xml:space="preserve">. </w:t>
      </w:r>
      <w:r w:rsidRPr="00091A98">
        <w:rPr>
          <w:rFonts w:cs="Times New Roman"/>
          <w:i/>
          <w:lang w:val="de-CH"/>
        </w:rPr>
        <w:t xml:space="preserve">An Economic Theory of Democracy. </w:t>
      </w:r>
      <w:r w:rsidRPr="00091A98">
        <w:rPr>
          <w:rFonts w:cs="Times New Roman"/>
          <w:lang w:val="de-CH"/>
        </w:rPr>
        <w:t>New York: Harper &amp; Row.</w:t>
      </w:r>
    </w:p>
    <w:p w14:paraId="541977DC" w14:textId="7965AB66" w:rsidR="009F5188" w:rsidRPr="00091A98" w:rsidRDefault="009F5188" w:rsidP="009F5188">
      <w:pPr>
        <w:spacing w:line="360" w:lineRule="auto"/>
        <w:ind w:left="567" w:hanging="567"/>
        <w:rPr>
          <w:rFonts w:cs="Times New Roman"/>
          <w:lang w:val="de-CH"/>
        </w:rPr>
      </w:pPr>
      <w:r w:rsidRPr="00091A98">
        <w:rPr>
          <w:rFonts w:cs="Times New Roman"/>
          <w:lang w:val="de-CH"/>
        </w:rPr>
        <w:t>Dür, A</w:t>
      </w:r>
      <w:r w:rsidR="00C851F6" w:rsidRPr="00091A98">
        <w:rPr>
          <w:rFonts w:cs="Times New Roman"/>
          <w:lang w:val="de-CH"/>
        </w:rPr>
        <w:t>.</w:t>
      </w:r>
      <w:r w:rsidRPr="00091A98">
        <w:rPr>
          <w:rFonts w:cs="Times New Roman"/>
          <w:lang w:val="de-CH"/>
        </w:rPr>
        <w:t xml:space="preserve"> und G</w:t>
      </w:r>
      <w:r w:rsidR="00C851F6" w:rsidRPr="00091A98">
        <w:rPr>
          <w:rFonts w:cs="Times New Roman"/>
          <w:lang w:val="de-CH"/>
        </w:rPr>
        <w:t>.</w:t>
      </w:r>
      <w:r w:rsidR="00CE7313">
        <w:rPr>
          <w:rFonts w:cs="Times New Roman"/>
          <w:lang w:val="de-CH"/>
        </w:rPr>
        <w:t xml:space="preserve"> </w:t>
      </w:r>
      <w:r w:rsidRPr="00091A98">
        <w:rPr>
          <w:rFonts w:cs="Times New Roman"/>
          <w:lang w:val="de-CH"/>
        </w:rPr>
        <w:t xml:space="preserve">Mateo </w:t>
      </w:r>
      <w:r w:rsidR="00211608" w:rsidRPr="00091A98">
        <w:rPr>
          <w:rFonts w:cs="Times New Roman"/>
          <w:lang w:val="de-CH"/>
        </w:rPr>
        <w:t>(</w:t>
      </w:r>
      <w:r w:rsidRPr="00091A98">
        <w:rPr>
          <w:rFonts w:cs="Times New Roman"/>
          <w:lang w:val="de-CH"/>
        </w:rPr>
        <w:t>2012</w:t>
      </w:r>
      <w:r w:rsidR="00211608" w:rsidRPr="00091A98">
        <w:rPr>
          <w:rFonts w:cs="Times New Roman"/>
          <w:lang w:val="de-CH"/>
        </w:rPr>
        <w:t>)</w:t>
      </w:r>
      <w:r w:rsidRPr="00091A98">
        <w:rPr>
          <w:rFonts w:cs="Times New Roman"/>
          <w:lang w:val="de-CH"/>
        </w:rPr>
        <w:t xml:space="preserve">. Who Lobbies the European Union? National Interest Groups in a Multilevel Polity. </w:t>
      </w:r>
      <w:r w:rsidRPr="00091A98">
        <w:rPr>
          <w:rFonts w:cs="Times New Roman"/>
          <w:i/>
          <w:lang w:val="de-CH"/>
        </w:rPr>
        <w:t>Journal of European Public Policy</w:t>
      </w:r>
      <w:r w:rsidRPr="00091A98">
        <w:rPr>
          <w:rFonts w:cs="Times New Roman"/>
          <w:lang w:val="de-CH"/>
        </w:rPr>
        <w:t xml:space="preserve"> 19</w:t>
      </w:r>
      <w:r w:rsidR="00211608" w:rsidRPr="00091A98">
        <w:rPr>
          <w:rFonts w:cs="Times New Roman"/>
          <w:lang w:val="de-CH"/>
        </w:rPr>
        <w:t>(7)</w:t>
      </w:r>
      <w:r w:rsidRPr="00091A98">
        <w:rPr>
          <w:rFonts w:cs="Times New Roman"/>
          <w:lang w:val="de-CH"/>
        </w:rPr>
        <w:t>: 969</w:t>
      </w:r>
      <w:r w:rsidR="005A6E19">
        <w:rPr>
          <w:rFonts w:cs="Times New Roman"/>
          <w:lang w:val="de-CH"/>
        </w:rPr>
        <w:t>–</w:t>
      </w:r>
      <w:r w:rsidRPr="00091A98">
        <w:rPr>
          <w:rFonts w:cs="Times New Roman"/>
          <w:lang w:val="de-CH"/>
        </w:rPr>
        <w:t>987.</w:t>
      </w:r>
    </w:p>
    <w:p w14:paraId="7018275C" w14:textId="14B36524"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211608" w:rsidRPr="00091A98">
        <w:rPr>
          <w:rFonts w:cs="Times New Roman"/>
          <w:lang w:val="de-CH"/>
        </w:rPr>
        <w:t>(</w:t>
      </w:r>
      <w:r w:rsidR="009F5188" w:rsidRPr="00091A98">
        <w:rPr>
          <w:rFonts w:cs="Times New Roman"/>
          <w:lang w:val="de-CH"/>
        </w:rPr>
        <w:t>2013</w:t>
      </w:r>
      <w:r w:rsidR="00211608" w:rsidRPr="00091A98">
        <w:rPr>
          <w:rFonts w:cs="Times New Roman"/>
          <w:lang w:val="de-CH"/>
        </w:rPr>
        <w:t>)</w:t>
      </w:r>
      <w:r w:rsidR="009F5188" w:rsidRPr="00091A98">
        <w:rPr>
          <w:rFonts w:cs="Times New Roman"/>
          <w:lang w:val="de-CH"/>
        </w:rPr>
        <w:t xml:space="preserve">. Gaining Access or Going Public? Interest Group Strategies in Five European Countries. </w:t>
      </w:r>
      <w:r w:rsidR="009F5188" w:rsidRPr="00091A98">
        <w:rPr>
          <w:rFonts w:cs="Times New Roman"/>
          <w:i/>
          <w:lang w:val="de-CH"/>
        </w:rPr>
        <w:t xml:space="preserve">European Journal of Political Research </w:t>
      </w:r>
      <w:r w:rsidR="009F5188" w:rsidRPr="00091A98">
        <w:rPr>
          <w:rFonts w:cs="Times New Roman"/>
          <w:lang w:val="de-CH"/>
        </w:rPr>
        <w:t>52</w:t>
      </w:r>
      <w:r w:rsidR="00FA5D69" w:rsidRPr="00091A98">
        <w:rPr>
          <w:rFonts w:cs="Times New Roman"/>
          <w:lang w:val="de-CH"/>
        </w:rPr>
        <w:t>(5)</w:t>
      </w:r>
      <w:r w:rsidR="009F5188" w:rsidRPr="00091A98">
        <w:rPr>
          <w:rFonts w:cs="Times New Roman"/>
          <w:lang w:val="de-CH"/>
        </w:rPr>
        <w:t>: 660</w:t>
      </w:r>
      <w:r w:rsidR="005A6E19">
        <w:rPr>
          <w:rFonts w:cs="Times New Roman"/>
          <w:lang w:val="de-CH"/>
        </w:rPr>
        <w:t>–</w:t>
      </w:r>
      <w:r w:rsidR="009F5188" w:rsidRPr="00091A98">
        <w:rPr>
          <w:rFonts w:cs="Times New Roman"/>
          <w:lang w:val="de-CH"/>
        </w:rPr>
        <w:t>686.</w:t>
      </w:r>
    </w:p>
    <w:p w14:paraId="69AAD899" w14:textId="2C7C8C19" w:rsidR="009F5188" w:rsidRPr="00091A98" w:rsidRDefault="009F5188" w:rsidP="009F5188">
      <w:pPr>
        <w:spacing w:line="360" w:lineRule="auto"/>
        <w:ind w:left="567" w:hanging="567"/>
        <w:rPr>
          <w:rFonts w:cs="Times New Roman"/>
          <w:i/>
          <w:lang w:val="de-CH"/>
        </w:rPr>
      </w:pPr>
      <w:r w:rsidRPr="00091A98">
        <w:rPr>
          <w:rFonts w:cs="Times New Roman"/>
          <w:lang w:val="de-CH"/>
        </w:rPr>
        <w:t xml:space="preserve">Eising, </w:t>
      </w:r>
      <w:r w:rsidR="0044535F" w:rsidRPr="00091A98">
        <w:rPr>
          <w:rFonts w:cs="Times New Roman"/>
          <w:lang w:val="de-CH"/>
        </w:rPr>
        <w:t>R.</w:t>
      </w:r>
      <w:r w:rsidRPr="00091A98">
        <w:rPr>
          <w:rFonts w:cs="Times New Roman"/>
          <w:lang w:val="de-CH"/>
        </w:rPr>
        <w:t xml:space="preserve"> </w:t>
      </w:r>
      <w:r w:rsidR="0044535F" w:rsidRPr="00091A98">
        <w:rPr>
          <w:rFonts w:cs="Times New Roman"/>
          <w:lang w:val="de-CH"/>
        </w:rPr>
        <w:t>(</w:t>
      </w:r>
      <w:r w:rsidRPr="00091A98">
        <w:rPr>
          <w:rFonts w:cs="Times New Roman"/>
          <w:lang w:val="de-CH"/>
        </w:rPr>
        <w:t>2004</w:t>
      </w:r>
      <w:r w:rsidR="0044535F" w:rsidRPr="00091A98">
        <w:rPr>
          <w:rFonts w:cs="Times New Roman"/>
          <w:lang w:val="de-CH"/>
        </w:rPr>
        <w:t>)</w:t>
      </w:r>
      <w:r w:rsidRPr="00091A98">
        <w:rPr>
          <w:rFonts w:cs="Times New Roman"/>
          <w:lang w:val="de-CH"/>
        </w:rPr>
        <w:t xml:space="preserve">. Der Zugang von Interessengruppen zu den Organen der Europäischen Union: eine organisationstheoretische Analyse. </w:t>
      </w:r>
      <w:r w:rsidRPr="00091A98">
        <w:rPr>
          <w:rFonts w:cs="Times New Roman"/>
          <w:i/>
          <w:lang w:val="de-CH"/>
        </w:rPr>
        <w:t xml:space="preserve">Politische Vierteljahresschrift </w:t>
      </w:r>
      <w:r w:rsidRPr="00091A98">
        <w:rPr>
          <w:rFonts w:cs="Times New Roman"/>
          <w:lang w:val="de-CH"/>
        </w:rPr>
        <w:t>45</w:t>
      </w:r>
      <w:r w:rsidR="00AA3EB5" w:rsidRPr="00091A98">
        <w:rPr>
          <w:rFonts w:cs="Times New Roman"/>
          <w:lang w:val="de-CH"/>
        </w:rPr>
        <w:t>(4)</w:t>
      </w:r>
      <w:r w:rsidRPr="00091A98">
        <w:rPr>
          <w:rFonts w:cs="Times New Roman"/>
          <w:lang w:val="de-CH"/>
        </w:rPr>
        <w:t>: 494</w:t>
      </w:r>
      <w:r w:rsidR="005A6E19">
        <w:rPr>
          <w:rFonts w:cs="Times New Roman"/>
          <w:lang w:val="de-CH"/>
        </w:rPr>
        <w:t>–</w:t>
      </w:r>
      <w:r w:rsidRPr="00091A98">
        <w:rPr>
          <w:rFonts w:cs="Times New Roman"/>
          <w:lang w:val="de-CH"/>
        </w:rPr>
        <w:t>518.</w:t>
      </w:r>
    </w:p>
    <w:p w14:paraId="5A44603D" w14:textId="0444A35E"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Erikson, </w:t>
      </w:r>
      <w:r w:rsidR="00416166">
        <w:rPr>
          <w:rFonts w:cs="Times New Roman"/>
          <w:lang w:val="de-CH"/>
        </w:rPr>
        <w:t>R.</w:t>
      </w:r>
      <w:r w:rsidRPr="00091A98">
        <w:rPr>
          <w:rFonts w:cs="Times New Roman"/>
          <w:lang w:val="de-CH"/>
        </w:rPr>
        <w:t xml:space="preserve">, </w:t>
      </w:r>
      <w:r w:rsidR="00416166">
        <w:rPr>
          <w:rFonts w:cs="Times New Roman"/>
          <w:lang w:val="de-CH"/>
        </w:rPr>
        <w:t>M.</w:t>
      </w:r>
      <w:r w:rsidRPr="00091A98">
        <w:rPr>
          <w:rFonts w:cs="Times New Roman"/>
          <w:lang w:val="de-CH"/>
        </w:rPr>
        <w:t xml:space="preserve"> MacKuen, und </w:t>
      </w:r>
      <w:r w:rsidR="00AA3EB5" w:rsidRPr="00091A98">
        <w:rPr>
          <w:rFonts w:cs="Times New Roman"/>
          <w:lang w:val="de-CH"/>
        </w:rPr>
        <w:t xml:space="preserve">J. </w:t>
      </w:r>
      <w:r w:rsidRPr="00091A98">
        <w:rPr>
          <w:rFonts w:cs="Times New Roman"/>
          <w:lang w:val="de-CH"/>
        </w:rPr>
        <w:t xml:space="preserve">Stimson </w:t>
      </w:r>
      <w:r w:rsidR="00AA3EB5" w:rsidRPr="00091A98">
        <w:rPr>
          <w:rFonts w:cs="Times New Roman"/>
          <w:lang w:val="de-CH"/>
        </w:rPr>
        <w:t>(</w:t>
      </w:r>
      <w:r w:rsidRPr="00091A98">
        <w:rPr>
          <w:rFonts w:cs="Times New Roman"/>
          <w:lang w:val="de-CH"/>
        </w:rPr>
        <w:t>2002</w:t>
      </w:r>
      <w:r w:rsidR="00AA3EB5" w:rsidRPr="00091A98">
        <w:rPr>
          <w:rFonts w:cs="Times New Roman"/>
          <w:lang w:val="de-CH"/>
        </w:rPr>
        <w:t>)</w:t>
      </w:r>
      <w:r w:rsidRPr="00091A98">
        <w:rPr>
          <w:rFonts w:cs="Times New Roman"/>
          <w:lang w:val="de-CH"/>
        </w:rPr>
        <w:t xml:space="preserve">. </w:t>
      </w:r>
      <w:r w:rsidRPr="00091A98">
        <w:rPr>
          <w:rFonts w:cs="Times New Roman"/>
          <w:i/>
          <w:lang w:val="de-CH"/>
        </w:rPr>
        <w:t xml:space="preserve">The Macro Polity. </w:t>
      </w:r>
      <w:r w:rsidRPr="00091A98">
        <w:rPr>
          <w:rFonts w:cs="Times New Roman"/>
          <w:lang w:val="de-CH"/>
        </w:rPr>
        <w:t>New York: Cambridge University Press.</w:t>
      </w:r>
    </w:p>
    <w:p w14:paraId="47E8C6D1" w14:textId="38F395AE" w:rsidR="004F0D88" w:rsidRPr="00091A98" w:rsidRDefault="004F0D88" w:rsidP="004F0D88">
      <w:pPr>
        <w:spacing w:line="360" w:lineRule="auto"/>
        <w:ind w:left="567" w:hanging="567"/>
        <w:rPr>
          <w:rFonts w:cs="Times New Roman"/>
          <w:lang w:val="de-CH"/>
        </w:rPr>
      </w:pPr>
      <w:r w:rsidRPr="00091A98">
        <w:rPr>
          <w:rFonts w:cs="Times New Roman"/>
          <w:lang w:val="de-CH"/>
        </w:rPr>
        <w:t>Gais, T. und J. Walker (1991). Pathways to influence in American pol</w:t>
      </w:r>
      <w:r w:rsidR="004A43AC" w:rsidRPr="00091A98">
        <w:rPr>
          <w:rFonts w:cs="Times New Roman"/>
          <w:lang w:val="de-CH"/>
        </w:rPr>
        <w:t xml:space="preserve">itics. In </w:t>
      </w:r>
      <w:r w:rsidRPr="00091A98">
        <w:rPr>
          <w:rFonts w:cs="Times New Roman"/>
          <w:lang w:val="de-CH"/>
        </w:rPr>
        <w:t>Walker</w:t>
      </w:r>
      <w:r w:rsidR="004A43AC" w:rsidRPr="00091A98">
        <w:rPr>
          <w:rFonts w:cs="Times New Roman"/>
          <w:lang w:val="de-CH"/>
        </w:rPr>
        <w:t xml:space="preserve"> J. (Hrsg</w:t>
      </w:r>
      <w:r w:rsidRPr="00091A98">
        <w:rPr>
          <w:rFonts w:cs="Times New Roman"/>
          <w:lang w:val="de-CH"/>
        </w:rPr>
        <w:t xml:space="preserve">.), </w:t>
      </w:r>
      <w:r w:rsidRPr="00091A98">
        <w:rPr>
          <w:rFonts w:cs="Times New Roman"/>
          <w:i/>
          <w:lang w:val="de-CH"/>
        </w:rPr>
        <w:t xml:space="preserve">Mobilizing interest groups in America: Patrons, professions, and social movements. </w:t>
      </w:r>
      <w:r w:rsidRPr="00091A98">
        <w:rPr>
          <w:rFonts w:cs="Times New Roman"/>
          <w:lang w:val="de-CH"/>
        </w:rPr>
        <w:t>Ann Arbor: University of Michigan Press</w:t>
      </w:r>
      <w:r w:rsidR="00752D6A" w:rsidRPr="00091A98">
        <w:rPr>
          <w:rFonts w:cs="Times New Roman"/>
          <w:lang w:val="de-CH"/>
        </w:rPr>
        <w:t xml:space="preserve"> (103</w:t>
      </w:r>
      <w:r w:rsidR="005A6E19">
        <w:rPr>
          <w:rFonts w:cs="Times New Roman"/>
          <w:lang w:val="de-CH"/>
        </w:rPr>
        <w:t>–</w:t>
      </w:r>
      <w:r w:rsidR="00752D6A" w:rsidRPr="00091A98">
        <w:rPr>
          <w:rFonts w:cs="Times New Roman"/>
          <w:lang w:val="de-CH"/>
        </w:rPr>
        <w:t>122)</w:t>
      </w:r>
      <w:r w:rsidRPr="00091A98">
        <w:rPr>
          <w:rFonts w:cs="Times New Roman"/>
          <w:lang w:val="de-CH"/>
        </w:rPr>
        <w:t>.</w:t>
      </w:r>
    </w:p>
    <w:p w14:paraId="0C2CEB44" w14:textId="0F471183"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Grant, </w:t>
      </w:r>
      <w:r w:rsidR="00AA3EB5" w:rsidRPr="00091A98">
        <w:rPr>
          <w:rFonts w:cs="Times New Roman"/>
          <w:lang w:val="de-CH"/>
        </w:rPr>
        <w:t>W</w:t>
      </w:r>
      <w:r w:rsidRPr="00091A98">
        <w:rPr>
          <w:rFonts w:cs="Times New Roman"/>
          <w:lang w:val="de-CH"/>
        </w:rPr>
        <w:t xml:space="preserve">. </w:t>
      </w:r>
      <w:r w:rsidR="00AA3EB5" w:rsidRPr="00091A98">
        <w:rPr>
          <w:rFonts w:cs="Times New Roman"/>
          <w:lang w:val="de-CH"/>
        </w:rPr>
        <w:t>(</w:t>
      </w:r>
      <w:r w:rsidRPr="00091A98">
        <w:rPr>
          <w:rFonts w:cs="Times New Roman"/>
          <w:lang w:val="de-CH"/>
        </w:rPr>
        <w:t>1999</w:t>
      </w:r>
      <w:r w:rsidR="00AA3EB5" w:rsidRPr="00091A98">
        <w:rPr>
          <w:rFonts w:cs="Times New Roman"/>
          <w:lang w:val="de-CH"/>
        </w:rPr>
        <w:t>)</w:t>
      </w:r>
      <w:r w:rsidRPr="00091A98">
        <w:rPr>
          <w:rFonts w:cs="Times New Roman"/>
          <w:lang w:val="de-CH"/>
        </w:rPr>
        <w:t xml:space="preserve">. </w:t>
      </w:r>
      <w:r w:rsidRPr="00091A98">
        <w:rPr>
          <w:rFonts w:cs="Times New Roman"/>
          <w:i/>
          <w:lang w:val="de-CH"/>
        </w:rPr>
        <w:t>Pressure groups and British politics.</w:t>
      </w:r>
      <w:r w:rsidRPr="00091A98">
        <w:rPr>
          <w:rFonts w:cs="Times New Roman"/>
          <w:lang w:val="de-CH"/>
        </w:rPr>
        <w:t xml:space="preserve"> London: Macmillan. </w:t>
      </w:r>
    </w:p>
    <w:p w14:paraId="324A40C8" w14:textId="737FDE79"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Gray, </w:t>
      </w:r>
      <w:r w:rsidR="00B60ED1" w:rsidRPr="00091A98">
        <w:rPr>
          <w:rFonts w:cs="Times New Roman"/>
          <w:lang w:val="de-CH"/>
        </w:rPr>
        <w:t xml:space="preserve">V. </w:t>
      </w:r>
      <w:r w:rsidRPr="00091A98">
        <w:rPr>
          <w:rFonts w:cs="Times New Roman"/>
          <w:lang w:val="de-CH"/>
        </w:rPr>
        <w:t xml:space="preserve">und </w:t>
      </w:r>
      <w:r w:rsidR="00B60ED1" w:rsidRPr="00091A98">
        <w:rPr>
          <w:rFonts w:cs="Times New Roman"/>
          <w:lang w:val="de-CH"/>
        </w:rPr>
        <w:t xml:space="preserve">D. </w:t>
      </w:r>
      <w:r w:rsidRPr="00091A98">
        <w:rPr>
          <w:rFonts w:cs="Times New Roman"/>
          <w:lang w:val="de-CH"/>
        </w:rPr>
        <w:t>Lowery</w:t>
      </w:r>
      <w:r w:rsidR="00AE74CA" w:rsidRPr="00091A98">
        <w:rPr>
          <w:rFonts w:cs="Times New Roman"/>
          <w:lang w:val="de-CH"/>
        </w:rPr>
        <w:t xml:space="preserve"> (</w:t>
      </w:r>
      <w:r w:rsidRPr="00091A98">
        <w:rPr>
          <w:rFonts w:cs="Times New Roman"/>
          <w:lang w:val="de-CH"/>
        </w:rPr>
        <w:t>1995</w:t>
      </w:r>
      <w:r w:rsidR="00AE74CA" w:rsidRPr="00091A98">
        <w:rPr>
          <w:rFonts w:cs="Times New Roman"/>
          <w:lang w:val="de-CH"/>
        </w:rPr>
        <w:t>)</w:t>
      </w:r>
      <w:r w:rsidRPr="00091A98">
        <w:rPr>
          <w:rFonts w:cs="Times New Roman"/>
          <w:lang w:val="de-CH"/>
        </w:rPr>
        <w:t xml:space="preserve">. The Demography of Interest Organization Communities Institutions, Associations, and Membership Groups. </w:t>
      </w:r>
      <w:r w:rsidRPr="00091A98">
        <w:rPr>
          <w:rFonts w:cs="Times New Roman"/>
          <w:i/>
          <w:lang w:val="de-CH"/>
        </w:rPr>
        <w:t>American Politics Research</w:t>
      </w:r>
      <w:r w:rsidRPr="00091A98">
        <w:rPr>
          <w:rFonts w:cs="Times New Roman"/>
          <w:lang w:val="de-CH"/>
        </w:rPr>
        <w:t xml:space="preserve"> 23</w:t>
      </w:r>
      <w:r w:rsidR="0015457C" w:rsidRPr="00091A98">
        <w:rPr>
          <w:rFonts w:cs="Times New Roman"/>
          <w:lang w:val="de-CH"/>
        </w:rPr>
        <w:t>(1)</w:t>
      </w:r>
      <w:r w:rsidRPr="00091A98">
        <w:rPr>
          <w:rFonts w:cs="Times New Roman"/>
          <w:lang w:val="de-CH"/>
        </w:rPr>
        <w:t>: 3</w:t>
      </w:r>
      <w:r w:rsidR="005A6E19">
        <w:rPr>
          <w:rFonts w:cs="Times New Roman"/>
          <w:lang w:val="de-CH"/>
        </w:rPr>
        <w:t>–</w:t>
      </w:r>
      <w:r w:rsidRPr="00091A98">
        <w:rPr>
          <w:rFonts w:cs="Times New Roman"/>
          <w:lang w:val="de-CH"/>
        </w:rPr>
        <w:t>32.</w:t>
      </w:r>
    </w:p>
    <w:p w14:paraId="65A41185" w14:textId="4C80213A"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AE74CA" w:rsidRPr="00091A98">
        <w:rPr>
          <w:rFonts w:cs="Times New Roman"/>
          <w:lang w:val="de-CH"/>
        </w:rPr>
        <w:t>(</w:t>
      </w:r>
      <w:r w:rsidR="009F5188" w:rsidRPr="00091A98">
        <w:rPr>
          <w:rFonts w:cs="Times New Roman"/>
          <w:lang w:val="de-CH"/>
        </w:rPr>
        <w:t>1996</w:t>
      </w:r>
      <w:r w:rsidR="00AE74CA" w:rsidRPr="00091A98">
        <w:rPr>
          <w:rFonts w:cs="Times New Roman"/>
          <w:lang w:val="de-CH"/>
        </w:rPr>
        <w:t>)</w:t>
      </w:r>
      <w:r w:rsidR="009F5188" w:rsidRPr="00091A98">
        <w:rPr>
          <w:rFonts w:cs="Times New Roman"/>
          <w:lang w:val="de-CH"/>
        </w:rPr>
        <w:t xml:space="preserve">. A Niche Theory of Interest Representation. </w:t>
      </w:r>
      <w:r w:rsidR="009F5188" w:rsidRPr="00091A98">
        <w:rPr>
          <w:rFonts w:cs="Times New Roman"/>
          <w:i/>
          <w:lang w:val="de-CH"/>
        </w:rPr>
        <w:t>The Journal of Politics</w:t>
      </w:r>
      <w:r w:rsidR="009F5188" w:rsidRPr="00091A98">
        <w:rPr>
          <w:rFonts w:cs="Times New Roman"/>
          <w:lang w:val="de-CH"/>
        </w:rPr>
        <w:t xml:space="preserve"> 58</w:t>
      </w:r>
      <w:r w:rsidR="004D3BC5" w:rsidRPr="00091A98">
        <w:rPr>
          <w:rFonts w:cs="Times New Roman"/>
          <w:lang w:val="de-CH"/>
        </w:rPr>
        <w:t>(1)</w:t>
      </w:r>
      <w:r w:rsidR="009F5188" w:rsidRPr="00091A98">
        <w:rPr>
          <w:rFonts w:cs="Times New Roman"/>
          <w:lang w:val="de-CH"/>
        </w:rPr>
        <w:t>: 91</w:t>
      </w:r>
      <w:r w:rsidR="005A6E19">
        <w:rPr>
          <w:rFonts w:cs="Times New Roman"/>
          <w:lang w:val="de-CH"/>
        </w:rPr>
        <w:t>–</w:t>
      </w:r>
      <w:r w:rsidR="009F5188" w:rsidRPr="00091A98">
        <w:rPr>
          <w:rFonts w:cs="Times New Roman"/>
          <w:lang w:val="de-CH"/>
        </w:rPr>
        <w:t>111.</w:t>
      </w:r>
    </w:p>
    <w:p w14:paraId="6241057D" w14:textId="6E4A523C"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AE74CA" w:rsidRPr="00091A98">
        <w:rPr>
          <w:rFonts w:cs="Times New Roman"/>
          <w:lang w:val="de-CH"/>
        </w:rPr>
        <w:t>(</w:t>
      </w:r>
      <w:r w:rsidR="009F5188" w:rsidRPr="00091A98">
        <w:rPr>
          <w:rFonts w:cs="Times New Roman"/>
          <w:lang w:val="de-CH"/>
        </w:rPr>
        <w:t>1997</w:t>
      </w:r>
      <w:r w:rsidR="00AE74CA" w:rsidRPr="00091A98">
        <w:rPr>
          <w:rFonts w:cs="Times New Roman"/>
          <w:lang w:val="de-CH"/>
        </w:rPr>
        <w:t>)</w:t>
      </w:r>
      <w:r w:rsidR="009F5188" w:rsidRPr="00091A98">
        <w:rPr>
          <w:rFonts w:cs="Times New Roman"/>
          <w:lang w:val="de-CH"/>
        </w:rPr>
        <w:t xml:space="preserve">. Life in a Niche: Mortality Anxiety among Organized Interests in the American States. </w:t>
      </w:r>
      <w:r w:rsidR="009F5188" w:rsidRPr="00091A98">
        <w:rPr>
          <w:rFonts w:cs="Times New Roman"/>
          <w:i/>
          <w:lang w:val="de-CH"/>
        </w:rPr>
        <w:t>Political Research Quarterly</w:t>
      </w:r>
      <w:r w:rsidR="009F5188" w:rsidRPr="00091A98">
        <w:rPr>
          <w:rFonts w:cs="Times New Roman"/>
          <w:lang w:val="de-CH"/>
        </w:rPr>
        <w:t xml:space="preserve"> 50</w:t>
      </w:r>
      <w:r w:rsidR="004D3BC5" w:rsidRPr="00091A98">
        <w:rPr>
          <w:rFonts w:cs="Times New Roman"/>
          <w:lang w:val="de-CH"/>
        </w:rPr>
        <w:t>(1)</w:t>
      </w:r>
      <w:r w:rsidR="009F5188" w:rsidRPr="00091A98">
        <w:rPr>
          <w:rFonts w:cs="Times New Roman"/>
          <w:lang w:val="de-CH"/>
        </w:rPr>
        <w:t>: 25</w:t>
      </w:r>
      <w:r w:rsidR="005A6E19">
        <w:rPr>
          <w:rFonts w:cs="Times New Roman"/>
          <w:lang w:val="de-CH"/>
        </w:rPr>
        <w:t>–</w:t>
      </w:r>
      <w:r w:rsidR="009F5188" w:rsidRPr="00091A98">
        <w:rPr>
          <w:rFonts w:cs="Times New Roman"/>
          <w:lang w:val="de-CH"/>
        </w:rPr>
        <w:t>47.</w:t>
      </w:r>
    </w:p>
    <w:p w14:paraId="737C7502" w14:textId="583BEDE4" w:rsidR="009F5188" w:rsidRPr="00091A98" w:rsidRDefault="009F5188" w:rsidP="009F5188">
      <w:pPr>
        <w:spacing w:line="360" w:lineRule="auto"/>
        <w:ind w:left="567" w:hanging="567"/>
        <w:rPr>
          <w:rFonts w:cs="Times New Roman"/>
          <w:lang w:val="de-CH"/>
        </w:rPr>
      </w:pPr>
      <w:r w:rsidRPr="00091A98">
        <w:rPr>
          <w:rFonts w:cs="Times New Roman"/>
          <w:lang w:val="de-CH"/>
        </w:rPr>
        <w:t>Hansen, J</w:t>
      </w:r>
      <w:r w:rsidR="00D25A20" w:rsidRPr="00091A98">
        <w:rPr>
          <w:rFonts w:cs="Times New Roman"/>
          <w:lang w:val="de-CH"/>
        </w:rPr>
        <w:t>.</w:t>
      </w:r>
      <w:r w:rsidRPr="00091A98">
        <w:rPr>
          <w:rFonts w:cs="Times New Roman"/>
          <w:lang w:val="de-CH"/>
        </w:rPr>
        <w:t xml:space="preserve"> </w:t>
      </w:r>
      <w:r w:rsidR="004D3BC5" w:rsidRPr="00091A98">
        <w:rPr>
          <w:rFonts w:cs="Times New Roman"/>
          <w:lang w:val="de-CH"/>
        </w:rPr>
        <w:t>(</w:t>
      </w:r>
      <w:r w:rsidRPr="00091A98">
        <w:rPr>
          <w:rFonts w:cs="Times New Roman"/>
          <w:lang w:val="de-CH"/>
        </w:rPr>
        <w:t>1985</w:t>
      </w:r>
      <w:r w:rsidR="004D3BC5" w:rsidRPr="00091A98">
        <w:rPr>
          <w:rFonts w:cs="Times New Roman"/>
          <w:lang w:val="de-CH"/>
        </w:rPr>
        <w:t>)</w:t>
      </w:r>
      <w:r w:rsidRPr="00091A98">
        <w:rPr>
          <w:rFonts w:cs="Times New Roman"/>
          <w:lang w:val="de-CH"/>
        </w:rPr>
        <w:t xml:space="preserve">. The Political Economy of Group Membership. </w:t>
      </w:r>
      <w:r w:rsidRPr="00091A98">
        <w:rPr>
          <w:rFonts w:cs="Times New Roman"/>
          <w:i/>
          <w:lang w:val="de-CH"/>
        </w:rPr>
        <w:t xml:space="preserve">The American Political Science Review </w:t>
      </w:r>
      <w:r w:rsidRPr="00091A98">
        <w:rPr>
          <w:rFonts w:cs="Times New Roman"/>
          <w:lang w:val="de-CH"/>
        </w:rPr>
        <w:t>79</w:t>
      </w:r>
      <w:r w:rsidR="00DA5BEB" w:rsidRPr="00091A98">
        <w:rPr>
          <w:rFonts w:cs="Times New Roman"/>
          <w:lang w:val="de-CH"/>
        </w:rPr>
        <w:t>(1)</w:t>
      </w:r>
      <w:r w:rsidRPr="00091A98">
        <w:rPr>
          <w:rFonts w:cs="Times New Roman"/>
          <w:lang w:val="de-CH"/>
        </w:rPr>
        <w:t>: 79</w:t>
      </w:r>
      <w:r w:rsidR="005A6E19">
        <w:rPr>
          <w:rFonts w:cs="Times New Roman"/>
          <w:lang w:val="de-CH"/>
        </w:rPr>
        <w:t>–</w:t>
      </w:r>
      <w:r w:rsidRPr="00091A98">
        <w:rPr>
          <w:rFonts w:cs="Times New Roman"/>
          <w:lang w:val="de-CH"/>
        </w:rPr>
        <w:t>96.</w:t>
      </w:r>
    </w:p>
    <w:p w14:paraId="485081C1" w14:textId="271E7D77" w:rsidR="00D25A20" w:rsidRPr="00091A98" w:rsidRDefault="009522E4" w:rsidP="00D25A20">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D25A20" w:rsidRPr="00091A98">
        <w:rPr>
          <w:rFonts w:cs="Times New Roman"/>
          <w:lang w:val="de-CH"/>
        </w:rPr>
        <w:t xml:space="preserve">(1991). </w:t>
      </w:r>
      <w:r w:rsidR="00D25A20" w:rsidRPr="00091A98">
        <w:rPr>
          <w:rFonts w:cs="Times New Roman"/>
          <w:i/>
          <w:lang w:val="de-CH"/>
        </w:rPr>
        <w:t>Gaining access: Congress and the farm lobby, 1919</w:t>
      </w:r>
      <w:r w:rsidR="005A6E19">
        <w:rPr>
          <w:rFonts w:cs="Times New Roman"/>
          <w:i/>
          <w:lang w:val="de-CH"/>
        </w:rPr>
        <w:t>–</w:t>
      </w:r>
      <w:r w:rsidR="00D25A20" w:rsidRPr="00091A98">
        <w:rPr>
          <w:rFonts w:cs="Times New Roman"/>
          <w:i/>
          <w:lang w:val="de-CH"/>
        </w:rPr>
        <w:t xml:space="preserve">1981. </w:t>
      </w:r>
      <w:r w:rsidR="00D25A20" w:rsidRPr="00091A98">
        <w:rPr>
          <w:rFonts w:cs="Times New Roman"/>
          <w:lang w:val="de-CH"/>
        </w:rPr>
        <w:t>London: University of Chicago Press.</w:t>
      </w:r>
    </w:p>
    <w:p w14:paraId="08A1BD73" w14:textId="7A7A54FB"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Heclo, </w:t>
      </w:r>
      <w:r w:rsidR="00DA5BEB" w:rsidRPr="00091A98">
        <w:rPr>
          <w:rFonts w:cs="Times New Roman"/>
          <w:lang w:val="de-CH"/>
        </w:rPr>
        <w:t>H</w:t>
      </w:r>
      <w:r w:rsidRPr="00091A98">
        <w:rPr>
          <w:rFonts w:cs="Times New Roman"/>
          <w:lang w:val="de-CH"/>
        </w:rPr>
        <w:t xml:space="preserve">. </w:t>
      </w:r>
      <w:r w:rsidR="00DA5BEB" w:rsidRPr="00091A98">
        <w:rPr>
          <w:rFonts w:cs="Times New Roman"/>
          <w:lang w:val="de-CH"/>
        </w:rPr>
        <w:t>(</w:t>
      </w:r>
      <w:r w:rsidRPr="00091A98">
        <w:rPr>
          <w:rFonts w:cs="Times New Roman"/>
          <w:lang w:val="de-CH"/>
        </w:rPr>
        <w:t>1978</w:t>
      </w:r>
      <w:r w:rsidR="00DA5BEB" w:rsidRPr="00091A98">
        <w:rPr>
          <w:rFonts w:cs="Times New Roman"/>
          <w:lang w:val="de-CH"/>
        </w:rPr>
        <w:t>)</w:t>
      </w:r>
      <w:r w:rsidRPr="00091A98">
        <w:rPr>
          <w:rFonts w:cs="Times New Roman"/>
          <w:lang w:val="de-CH"/>
        </w:rPr>
        <w:t>. Issue Networks and the Executive Establishment. In</w:t>
      </w:r>
      <w:r w:rsidR="00DA5BEB" w:rsidRPr="00091A98">
        <w:rPr>
          <w:rFonts w:cs="Times New Roman"/>
          <w:lang w:val="de-CH"/>
        </w:rPr>
        <w:t xml:space="preserve"> </w:t>
      </w:r>
      <w:r w:rsidR="001810E4" w:rsidRPr="00091A98">
        <w:rPr>
          <w:rFonts w:cs="Times New Roman"/>
          <w:lang w:val="de-CH"/>
        </w:rPr>
        <w:t>King A. (Hrsg.),</w:t>
      </w:r>
      <w:r w:rsidRPr="00091A98">
        <w:rPr>
          <w:rFonts w:cs="Times New Roman"/>
          <w:lang w:val="de-CH"/>
        </w:rPr>
        <w:t xml:space="preserve"> </w:t>
      </w:r>
      <w:r w:rsidRPr="00091A98">
        <w:rPr>
          <w:rFonts w:cs="Times New Roman"/>
          <w:i/>
          <w:lang w:val="de-CH"/>
        </w:rPr>
        <w:t>The New American Political System</w:t>
      </w:r>
      <w:r w:rsidR="001810E4" w:rsidRPr="00091A98">
        <w:rPr>
          <w:rFonts w:cs="Times New Roman"/>
          <w:lang w:val="de-CH"/>
        </w:rPr>
        <w:t xml:space="preserve">. </w:t>
      </w:r>
      <w:r w:rsidRPr="00091A98">
        <w:rPr>
          <w:rFonts w:cs="Times New Roman"/>
          <w:lang w:val="de-CH"/>
        </w:rPr>
        <w:t>Washington, DC: American Enterprise Institute</w:t>
      </w:r>
      <w:r w:rsidR="00C95870" w:rsidRPr="00091A98">
        <w:rPr>
          <w:rFonts w:cs="Times New Roman"/>
          <w:lang w:val="de-CH"/>
        </w:rPr>
        <w:t xml:space="preserve"> (87</w:t>
      </w:r>
      <w:r w:rsidR="005A6E19">
        <w:rPr>
          <w:rFonts w:cs="Times New Roman"/>
          <w:lang w:val="de-CH"/>
        </w:rPr>
        <w:t>–</w:t>
      </w:r>
      <w:r w:rsidR="00C95870" w:rsidRPr="00091A98">
        <w:rPr>
          <w:rFonts w:cs="Times New Roman"/>
          <w:lang w:val="de-CH"/>
        </w:rPr>
        <w:t>124)</w:t>
      </w:r>
      <w:r w:rsidRPr="00091A98">
        <w:rPr>
          <w:rFonts w:cs="Times New Roman"/>
          <w:lang w:val="de-CH"/>
        </w:rPr>
        <w:t>.</w:t>
      </w:r>
    </w:p>
    <w:p w14:paraId="3FED91A9" w14:textId="59389F76"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Heinz, </w:t>
      </w:r>
      <w:r w:rsidR="00416166">
        <w:rPr>
          <w:rFonts w:cs="Times New Roman"/>
          <w:lang w:val="de-CH"/>
        </w:rPr>
        <w:t>J.</w:t>
      </w:r>
      <w:r w:rsidRPr="00091A98">
        <w:rPr>
          <w:rFonts w:cs="Times New Roman"/>
          <w:lang w:val="de-CH"/>
        </w:rPr>
        <w:t xml:space="preserve">, </w:t>
      </w:r>
      <w:r w:rsidR="00416166">
        <w:rPr>
          <w:rFonts w:cs="Times New Roman"/>
          <w:lang w:val="de-CH"/>
        </w:rPr>
        <w:t>E.</w:t>
      </w:r>
      <w:r w:rsidRPr="00091A98">
        <w:rPr>
          <w:rFonts w:cs="Times New Roman"/>
          <w:lang w:val="de-CH"/>
        </w:rPr>
        <w:t xml:space="preserve"> Laumann, </w:t>
      </w:r>
      <w:r w:rsidR="00C95870" w:rsidRPr="00091A98">
        <w:rPr>
          <w:rFonts w:cs="Times New Roman"/>
          <w:lang w:val="de-CH"/>
        </w:rPr>
        <w:t xml:space="preserve">R. </w:t>
      </w:r>
      <w:r w:rsidRPr="00091A98">
        <w:rPr>
          <w:rFonts w:cs="Times New Roman"/>
          <w:lang w:val="de-CH"/>
        </w:rPr>
        <w:t xml:space="preserve">Nelson und </w:t>
      </w:r>
      <w:r w:rsidR="00C95870" w:rsidRPr="00091A98">
        <w:rPr>
          <w:rFonts w:cs="Times New Roman"/>
          <w:lang w:val="de-CH"/>
        </w:rPr>
        <w:t xml:space="preserve">R. </w:t>
      </w:r>
      <w:r w:rsidRPr="00091A98">
        <w:rPr>
          <w:rFonts w:cs="Times New Roman"/>
          <w:lang w:val="de-CH"/>
        </w:rPr>
        <w:t xml:space="preserve">Salisbury </w:t>
      </w:r>
      <w:r w:rsidR="00C95870" w:rsidRPr="00091A98">
        <w:rPr>
          <w:rFonts w:cs="Times New Roman"/>
          <w:lang w:val="de-CH"/>
        </w:rPr>
        <w:t>(</w:t>
      </w:r>
      <w:r w:rsidRPr="00091A98">
        <w:rPr>
          <w:rFonts w:cs="Times New Roman"/>
          <w:lang w:val="de-CH"/>
        </w:rPr>
        <w:t>1993</w:t>
      </w:r>
      <w:r w:rsidR="00C95870" w:rsidRPr="00091A98">
        <w:rPr>
          <w:rFonts w:cs="Times New Roman"/>
          <w:lang w:val="de-CH"/>
        </w:rPr>
        <w:t>)</w:t>
      </w:r>
      <w:r w:rsidRPr="00091A98">
        <w:rPr>
          <w:rFonts w:cs="Times New Roman"/>
          <w:lang w:val="de-CH"/>
        </w:rPr>
        <w:t xml:space="preserve">. </w:t>
      </w:r>
      <w:r w:rsidRPr="00091A98">
        <w:rPr>
          <w:rFonts w:cs="Times New Roman"/>
          <w:i/>
          <w:lang w:val="de-CH"/>
        </w:rPr>
        <w:t>The Hollow Core: Private Interests in National Policy Making.</w:t>
      </w:r>
      <w:r w:rsidRPr="00091A98">
        <w:rPr>
          <w:rFonts w:cs="Times New Roman"/>
          <w:lang w:val="de-CH"/>
        </w:rPr>
        <w:t xml:space="preserve"> Cambridge: Harvard University Press. </w:t>
      </w:r>
    </w:p>
    <w:p w14:paraId="17F9D2AB" w14:textId="26B43B17" w:rsidR="009F5188" w:rsidRPr="00091A98" w:rsidRDefault="009F5188" w:rsidP="009F5188">
      <w:pPr>
        <w:spacing w:line="360" w:lineRule="auto"/>
        <w:ind w:left="567" w:hanging="567"/>
        <w:rPr>
          <w:rFonts w:cs="Times New Roman"/>
          <w:lang w:val="de-CH"/>
        </w:rPr>
      </w:pPr>
      <w:r w:rsidRPr="00091A98">
        <w:rPr>
          <w:rFonts w:cs="Times New Roman"/>
          <w:lang w:val="de-CH"/>
        </w:rPr>
        <w:lastRenderedPageBreak/>
        <w:t xml:space="preserve">Hojnacki, </w:t>
      </w:r>
      <w:r w:rsidR="00C95870" w:rsidRPr="00091A98">
        <w:rPr>
          <w:rFonts w:cs="Times New Roman"/>
          <w:lang w:val="de-CH"/>
        </w:rPr>
        <w:t>M</w:t>
      </w:r>
      <w:r w:rsidRPr="00091A98">
        <w:rPr>
          <w:rFonts w:cs="Times New Roman"/>
          <w:lang w:val="de-CH"/>
        </w:rPr>
        <w:t xml:space="preserve">. </w:t>
      </w:r>
      <w:r w:rsidR="00C95870" w:rsidRPr="00091A98">
        <w:rPr>
          <w:rFonts w:cs="Times New Roman"/>
          <w:lang w:val="de-CH"/>
        </w:rPr>
        <w:t>(</w:t>
      </w:r>
      <w:r w:rsidRPr="00091A98">
        <w:rPr>
          <w:rFonts w:cs="Times New Roman"/>
          <w:lang w:val="de-CH"/>
        </w:rPr>
        <w:t>1997</w:t>
      </w:r>
      <w:r w:rsidR="00C95870" w:rsidRPr="00091A98">
        <w:rPr>
          <w:rFonts w:cs="Times New Roman"/>
          <w:lang w:val="de-CH"/>
        </w:rPr>
        <w:t>)</w:t>
      </w:r>
      <w:r w:rsidRPr="00091A98">
        <w:rPr>
          <w:rFonts w:cs="Times New Roman"/>
          <w:lang w:val="de-CH"/>
        </w:rPr>
        <w:t xml:space="preserve">. Interest Groups' Decisions to Join Alliances or Work Alone. </w:t>
      </w:r>
      <w:r w:rsidRPr="00091A98">
        <w:rPr>
          <w:rFonts w:cs="Times New Roman"/>
          <w:i/>
          <w:lang w:val="de-CH"/>
        </w:rPr>
        <w:t>American Journal of Political Science</w:t>
      </w:r>
      <w:r w:rsidRPr="00091A98">
        <w:rPr>
          <w:rFonts w:cs="Times New Roman"/>
          <w:lang w:val="de-CH"/>
        </w:rPr>
        <w:t xml:space="preserve"> 41</w:t>
      </w:r>
      <w:r w:rsidR="00DC44B5" w:rsidRPr="00091A98">
        <w:rPr>
          <w:rFonts w:cs="Times New Roman"/>
          <w:lang w:val="de-CH"/>
        </w:rPr>
        <w:t>(1)</w:t>
      </w:r>
      <w:r w:rsidRPr="00091A98">
        <w:rPr>
          <w:rFonts w:cs="Times New Roman"/>
          <w:lang w:val="de-CH"/>
        </w:rPr>
        <w:t>: 61</w:t>
      </w:r>
      <w:r w:rsidR="005A6E19">
        <w:rPr>
          <w:rFonts w:cs="Times New Roman"/>
          <w:lang w:val="de-CH"/>
        </w:rPr>
        <w:t>–</w:t>
      </w:r>
      <w:r w:rsidRPr="00091A98">
        <w:rPr>
          <w:rFonts w:cs="Times New Roman"/>
          <w:lang w:val="de-CH"/>
        </w:rPr>
        <w:t>87.</w:t>
      </w:r>
    </w:p>
    <w:p w14:paraId="6613AE87" w14:textId="65F815DD" w:rsidR="009F5188" w:rsidRPr="00091A98" w:rsidRDefault="009522E4"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DC44B5" w:rsidRPr="00091A98">
        <w:rPr>
          <w:rFonts w:cs="Times New Roman"/>
          <w:lang w:val="de-CH"/>
        </w:rPr>
        <w:t>(</w:t>
      </w:r>
      <w:r w:rsidR="009F5188" w:rsidRPr="00091A98">
        <w:rPr>
          <w:rFonts w:cs="Times New Roman"/>
          <w:lang w:val="de-CH"/>
        </w:rPr>
        <w:t>2006</w:t>
      </w:r>
      <w:r w:rsidR="00DC44B5" w:rsidRPr="00091A98">
        <w:rPr>
          <w:rFonts w:cs="Times New Roman"/>
          <w:lang w:val="de-CH"/>
        </w:rPr>
        <w:t>)</w:t>
      </w:r>
      <w:r w:rsidR="009F5188" w:rsidRPr="00091A98">
        <w:rPr>
          <w:rFonts w:cs="Times New Roman"/>
          <w:lang w:val="de-CH"/>
        </w:rPr>
        <w:t xml:space="preserve">. </w:t>
      </w:r>
      <w:r w:rsidR="009F5188" w:rsidRPr="00091A98">
        <w:rPr>
          <w:rFonts w:cs="Times New Roman"/>
          <w:i/>
          <w:lang w:val="de-CH"/>
        </w:rPr>
        <w:t>The Structure of Opposition in Public Policy Debate.</w:t>
      </w:r>
      <w:r w:rsidR="009F5188" w:rsidRPr="00091A98">
        <w:rPr>
          <w:rFonts w:cs="Times New Roman"/>
          <w:lang w:val="de-CH"/>
        </w:rPr>
        <w:t xml:space="preserve"> The Midwest Political Science Association's Annual Meeting, Chicago, IL. </w:t>
      </w:r>
    </w:p>
    <w:p w14:paraId="2272C3ED" w14:textId="7F18EF47" w:rsidR="007B6CE8" w:rsidRPr="00091A98" w:rsidRDefault="00497BFD" w:rsidP="007B6CE8">
      <w:pPr>
        <w:spacing w:line="360" w:lineRule="auto"/>
        <w:ind w:left="567" w:hanging="567"/>
        <w:rPr>
          <w:rFonts w:cs="Times New Roman"/>
          <w:lang w:val="de-CH"/>
        </w:rPr>
      </w:pPr>
      <w:r>
        <w:rPr>
          <w:rFonts w:cs="Times New Roman"/>
          <w:lang w:val="de-CH"/>
        </w:rPr>
        <w:t xml:space="preserve">Holyoke, T. </w:t>
      </w:r>
      <w:r w:rsidR="007B6CE8" w:rsidRPr="00091A98">
        <w:rPr>
          <w:rFonts w:cs="Times New Roman"/>
          <w:lang w:val="de-CH"/>
        </w:rPr>
        <w:t xml:space="preserve">(2003). Choosing Battlegrounds: Interest Group Lobbying Across Multiple Venues. </w:t>
      </w:r>
      <w:r w:rsidR="007B6CE8" w:rsidRPr="00091A98">
        <w:rPr>
          <w:rFonts w:cs="Times New Roman"/>
          <w:i/>
          <w:lang w:val="de-CH"/>
        </w:rPr>
        <w:t>Political Research Quarterly</w:t>
      </w:r>
      <w:r w:rsidR="007B6CE8" w:rsidRPr="00091A98">
        <w:rPr>
          <w:rFonts w:cs="Times New Roman"/>
          <w:lang w:val="de-CH"/>
        </w:rPr>
        <w:t xml:space="preserve"> 56(3): 325</w:t>
      </w:r>
      <w:r w:rsidR="005A6E19">
        <w:rPr>
          <w:rFonts w:cs="Times New Roman"/>
          <w:lang w:val="de-CH"/>
        </w:rPr>
        <w:t>–</w:t>
      </w:r>
      <w:r w:rsidR="007B6CE8" w:rsidRPr="00091A98">
        <w:rPr>
          <w:rFonts w:cs="Times New Roman"/>
          <w:lang w:val="de-CH"/>
        </w:rPr>
        <w:t>336.</w:t>
      </w:r>
    </w:p>
    <w:p w14:paraId="1C1B6B07" w14:textId="1482BA40" w:rsidR="009F5188" w:rsidRPr="00091A98" w:rsidRDefault="00BD6A5F" w:rsidP="009F5188">
      <w:pPr>
        <w:spacing w:line="360" w:lineRule="auto"/>
        <w:ind w:left="567" w:hanging="567"/>
        <w:rPr>
          <w:rFonts w:cs="Times New Roman"/>
          <w:lang w:val="de-CH"/>
        </w:rPr>
      </w:pPr>
      <w:r w:rsidRPr="00091A98">
        <w:rPr>
          <w:rFonts w:eastAsia="Times New Roman" w:cs="Times New Roman"/>
          <w:lang w:val="de-CH"/>
        </w:rPr>
        <w:t>–––––</w:t>
      </w:r>
      <w:r w:rsidRPr="00091A98">
        <w:rPr>
          <w:rFonts w:cs="Times New Roman"/>
          <w:lang w:val="de-CH"/>
        </w:rPr>
        <w:t xml:space="preserve"> </w:t>
      </w:r>
      <w:r w:rsidR="007B6CE8" w:rsidRPr="00091A98">
        <w:rPr>
          <w:rFonts w:cs="Times New Roman"/>
          <w:lang w:val="de-CH"/>
        </w:rPr>
        <w:t>(</w:t>
      </w:r>
      <w:r w:rsidR="009F5188" w:rsidRPr="00091A98">
        <w:rPr>
          <w:rFonts w:cs="Times New Roman"/>
          <w:lang w:val="de-CH"/>
        </w:rPr>
        <w:t>2009</w:t>
      </w:r>
      <w:r w:rsidR="007B6CE8" w:rsidRPr="00091A98">
        <w:rPr>
          <w:rFonts w:cs="Times New Roman"/>
          <w:lang w:val="de-CH"/>
        </w:rPr>
        <w:t>)</w:t>
      </w:r>
      <w:r w:rsidR="009F5188" w:rsidRPr="00091A98">
        <w:rPr>
          <w:rFonts w:cs="Times New Roman"/>
          <w:lang w:val="de-CH"/>
        </w:rPr>
        <w:t xml:space="preserve">. Interest Group Competition and Coalition Formation. </w:t>
      </w:r>
      <w:r w:rsidR="009F5188" w:rsidRPr="00091A98">
        <w:rPr>
          <w:rFonts w:cs="Times New Roman"/>
          <w:i/>
          <w:lang w:val="de-CH"/>
        </w:rPr>
        <w:t>American Journal of Political Science</w:t>
      </w:r>
      <w:r w:rsidR="009F5188" w:rsidRPr="00091A98">
        <w:rPr>
          <w:rFonts w:cs="Times New Roman"/>
          <w:lang w:val="de-CH"/>
        </w:rPr>
        <w:t xml:space="preserve"> 53</w:t>
      </w:r>
      <w:r w:rsidR="00942EF3" w:rsidRPr="00091A98">
        <w:rPr>
          <w:rFonts w:cs="Times New Roman"/>
          <w:lang w:val="de-CH"/>
        </w:rPr>
        <w:t>(2)</w:t>
      </w:r>
      <w:r w:rsidR="009F5188" w:rsidRPr="00091A98">
        <w:rPr>
          <w:rFonts w:cs="Times New Roman"/>
          <w:lang w:val="de-CH"/>
        </w:rPr>
        <w:t>: 360</w:t>
      </w:r>
      <w:r w:rsidR="005A6E19">
        <w:rPr>
          <w:rFonts w:cs="Times New Roman"/>
          <w:lang w:val="de-CH"/>
        </w:rPr>
        <w:t>–</w:t>
      </w:r>
      <w:r w:rsidR="009F5188" w:rsidRPr="00091A98">
        <w:rPr>
          <w:rFonts w:cs="Times New Roman"/>
          <w:lang w:val="de-CH"/>
        </w:rPr>
        <w:t>375.</w:t>
      </w:r>
    </w:p>
    <w:p w14:paraId="2228A56A" w14:textId="76B780C3"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Hula, </w:t>
      </w:r>
      <w:r w:rsidR="00942EF3" w:rsidRPr="00091A98">
        <w:rPr>
          <w:rFonts w:cs="Times New Roman"/>
          <w:lang w:val="de-CH"/>
        </w:rPr>
        <w:t>K. (</w:t>
      </w:r>
      <w:r w:rsidRPr="00091A98">
        <w:rPr>
          <w:rFonts w:cs="Times New Roman"/>
          <w:lang w:val="de-CH"/>
        </w:rPr>
        <w:t>1999</w:t>
      </w:r>
      <w:r w:rsidR="00942EF3" w:rsidRPr="00091A98">
        <w:rPr>
          <w:rFonts w:cs="Times New Roman"/>
          <w:lang w:val="de-CH"/>
        </w:rPr>
        <w:t>)</w:t>
      </w:r>
      <w:r w:rsidRPr="00091A98">
        <w:rPr>
          <w:rFonts w:cs="Times New Roman"/>
          <w:lang w:val="de-CH"/>
        </w:rPr>
        <w:t xml:space="preserve">. </w:t>
      </w:r>
      <w:r w:rsidRPr="00091A98">
        <w:rPr>
          <w:rFonts w:cs="Times New Roman"/>
          <w:i/>
          <w:lang w:val="de-CH"/>
        </w:rPr>
        <w:t>Lobbying Together: Interest Group Coalitions in Legislative Politics.</w:t>
      </w:r>
      <w:r w:rsidRPr="00091A98">
        <w:rPr>
          <w:rFonts w:cs="Times New Roman"/>
          <w:lang w:val="de-CH"/>
        </w:rPr>
        <w:t xml:space="preserve"> Washington, DC: Georgetown University Press. </w:t>
      </w:r>
    </w:p>
    <w:p w14:paraId="0C5EA901" w14:textId="78D3BC56"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Jordan, </w:t>
      </w:r>
      <w:r w:rsidR="00942EF3" w:rsidRPr="00091A98">
        <w:rPr>
          <w:rFonts w:cs="Times New Roman"/>
          <w:lang w:val="de-CH"/>
        </w:rPr>
        <w:t xml:space="preserve">G. </w:t>
      </w:r>
      <w:r w:rsidRPr="00091A98">
        <w:rPr>
          <w:rFonts w:cs="Times New Roman"/>
          <w:lang w:val="de-CH"/>
        </w:rPr>
        <w:t xml:space="preserve">und </w:t>
      </w:r>
      <w:r w:rsidR="00942EF3" w:rsidRPr="00091A98">
        <w:rPr>
          <w:rFonts w:cs="Times New Roman"/>
          <w:lang w:val="de-CH"/>
        </w:rPr>
        <w:t xml:space="preserve">J. </w:t>
      </w:r>
      <w:r w:rsidRPr="00091A98">
        <w:rPr>
          <w:rFonts w:cs="Times New Roman"/>
          <w:lang w:val="de-CH"/>
        </w:rPr>
        <w:t>Richardson</w:t>
      </w:r>
      <w:r w:rsidR="00942EF3" w:rsidRPr="00091A98">
        <w:rPr>
          <w:rFonts w:cs="Times New Roman"/>
          <w:lang w:val="de-CH"/>
        </w:rPr>
        <w:t xml:space="preserve"> (</w:t>
      </w:r>
      <w:r w:rsidRPr="00091A98">
        <w:rPr>
          <w:rFonts w:cs="Times New Roman"/>
          <w:lang w:val="de-CH"/>
        </w:rPr>
        <w:t>1987</w:t>
      </w:r>
      <w:r w:rsidR="00942EF3" w:rsidRPr="00091A98">
        <w:rPr>
          <w:rFonts w:cs="Times New Roman"/>
          <w:lang w:val="de-CH"/>
        </w:rPr>
        <w:t>)</w:t>
      </w:r>
      <w:r w:rsidRPr="00091A98">
        <w:rPr>
          <w:rFonts w:cs="Times New Roman"/>
          <w:lang w:val="de-CH"/>
        </w:rPr>
        <w:t xml:space="preserve">. </w:t>
      </w:r>
      <w:r w:rsidRPr="00091A98">
        <w:rPr>
          <w:rFonts w:cs="Times New Roman"/>
          <w:i/>
          <w:lang w:val="de-CH"/>
        </w:rPr>
        <w:t>British Politics and the Policy Process: An Arena Approach.</w:t>
      </w:r>
      <w:r w:rsidRPr="00091A98">
        <w:rPr>
          <w:rFonts w:cs="Times New Roman"/>
          <w:lang w:val="de-CH"/>
        </w:rPr>
        <w:t xml:space="preserve"> London: Allen &amp; Unwin. </w:t>
      </w:r>
    </w:p>
    <w:p w14:paraId="25619137" w14:textId="22588393" w:rsidR="00EF472C" w:rsidRPr="00091A98" w:rsidRDefault="009F5188" w:rsidP="009F5188">
      <w:pPr>
        <w:spacing w:line="360" w:lineRule="auto"/>
        <w:ind w:left="567" w:hanging="567"/>
        <w:rPr>
          <w:rFonts w:cs="Times New Roman"/>
          <w:lang w:val="de-CH"/>
        </w:rPr>
      </w:pPr>
      <w:r w:rsidRPr="00091A98">
        <w:rPr>
          <w:rFonts w:cs="Times New Roman"/>
          <w:lang w:val="de-CH"/>
        </w:rPr>
        <w:t xml:space="preserve">Jöreskog, </w:t>
      </w:r>
      <w:r w:rsidR="00497BFD">
        <w:rPr>
          <w:rFonts w:cs="Times New Roman"/>
          <w:lang w:val="de-CH"/>
        </w:rPr>
        <w:t>K.</w:t>
      </w:r>
      <w:r w:rsidRPr="00091A98">
        <w:rPr>
          <w:rFonts w:cs="Times New Roman"/>
          <w:lang w:val="de-CH"/>
        </w:rPr>
        <w:t xml:space="preserve"> und </w:t>
      </w:r>
      <w:r w:rsidR="00942EF3" w:rsidRPr="00091A98">
        <w:rPr>
          <w:rFonts w:cs="Times New Roman"/>
          <w:lang w:val="de-CH"/>
        </w:rPr>
        <w:t xml:space="preserve">I. </w:t>
      </w:r>
      <w:r w:rsidRPr="00091A98">
        <w:rPr>
          <w:rFonts w:cs="Times New Roman"/>
          <w:lang w:val="de-CH"/>
        </w:rPr>
        <w:t xml:space="preserve">Moustaki </w:t>
      </w:r>
      <w:r w:rsidR="00942EF3" w:rsidRPr="00091A98">
        <w:rPr>
          <w:rFonts w:cs="Times New Roman"/>
          <w:lang w:val="de-CH"/>
        </w:rPr>
        <w:t>(</w:t>
      </w:r>
      <w:r w:rsidRPr="00091A98">
        <w:rPr>
          <w:rFonts w:cs="Times New Roman"/>
          <w:lang w:val="de-CH"/>
        </w:rPr>
        <w:t>2001</w:t>
      </w:r>
      <w:r w:rsidR="00942EF3" w:rsidRPr="00091A98">
        <w:rPr>
          <w:rFonts w:cs="Times New Roman"/>
          <w:lang w:val="de-CH"/>
        </w:rPr>
        <w:t>)</w:t>
      </w:r>
      <w:r w:rsidRPr="00091A98">
        <w:rPr>
          <w:rFonts w:cs="Times New Roman"/>
          <w:lang w:val="de-CH"/>
        </w:rPr>
        <w:t xml:space="preserve">. Factor Analysis of Ordinal Variables: A Comparison of Three Approaches. </w:t>
      </w:r>
      <w:r w:rsidRPr="00091A98">
        <w:rPr>
          <w:rFonts w:cs="Times New Roman"/>
          <w:i/>
          <w:lang w:val="de-CH"/>
        </w:rPr>
        <w:t xml:space="preserve">Multivariate Behavioral Research </w:t>
      </w:r>
      <w:r w:rsidRPr="00091A98">
        <w:rPr>
          <w:rFonts w:cs="Times New Roman"/>
          <w:lang w:val="de-CH"/>
        </w:rPr>
        <w:t>36</w:t>
      </w:r>
      <w:r w:rsidR="00942EF3" w:rsidRPr="00091A98">
        <w:rPr>
          <w:rFonts w:cs="Times New Roman"/>
          <w:lang w:val="de-CH"/>
        </w:rPr>
        <w:t>(3)</w:t>
      </w:r>
      <w:r w:rsidRPr="00091A98">
        <w:rPr>
          <w:rFonts w:cs="Times New Roman"/>
          <w:lang w:val="de-CH"/>
        </w:rPr>
        <w:t>: 347</w:t>
      </w:r>
      <w:r w:rsidR="005A6E19">
        <w:rPr>
          <w:rFonts w:cs="Times New Roman"/>
          <w:lang w:val="de-CH"/>
        </w:rPr>
        <w:t>–</w:t>
      </w:r>
      <w:r w:rsidRPr="00091A98">
        <w:rPr>
          <w:rFonts w:cs="Times New Roman"/>
          <w:lang w:val="de-CH"/>
        </w:rPr>
        <w:t>387.</w:t>
      </w:r>
    </w:p>
    <w:p w14:paraId="265F49CE" w14:textId="103C1FEB" w:rsidR="00C124CD" w:rsidRPr="00091A98" w:rsidRDefault="00C124CD" w:rsidP="00EF472C">
      <w:pPr>
        <w:spacing w:line="360" w:lineRule="auto"/>
        <w:ind w:left="567" w:hanging="567"/>
        <w:rPr>
          <w:rFonts w:cs="Times New Roman"/>
          <w:lang w:val="de-CH"/>
        </w:rPr>
      </w:pPr>
      <w:r w:rsidRPr="00091A98">
        <w:rPr>
          <w:rFonts w:cs="Times New Roman"/>
          <w:lang w:val="de-CH"/>
        </w:rPr>
        <w:t xml:space="preserve">Klüver, H. (2011). The contextual nature of lobbying: Explaining lobbying success in the European Union. </w:t>
      </w:r>
      <w:r w:rsidRPr="00091A98">
        <w:rPr>
          <w:rFonts w:cs="Times New Roman"/>
          <w:i/>
          <w:lang w:val="de-CH"/>
        </w:rPr>
        <w:t>European Union Politics</w:t>
      </w:r>
      <w:r w:rsidR="00825A30" w:rsidRPr="00091A98">
        <w:rPr>
          <w:rFonts w:cs="Times New Roman"/>
          <w:i/>
          <w:lang w:val="de-CH"/>
        </w:rPr>
        <w:t xml:space="preserve"> </w:t>
      </w:r>
      <w:r w:rsidR="00825A30" w:rsidRPr="00091A98">
        <w:rPr>
          <w:rFonts w:cs="Times New Roman"/>
          <w:lang w:val="de-CH"/>
        </w:rPr>
        <w:t>12(4)</w:t>
      </w:r>
      <w:r w:rsidRPr="00091A98">
        <w:rPr>
          <w:rFonts w:cs="Times New Roman"/>
          <w:lang w:val="de-CH"/>
        </w:rPr>
        <w:t>: 483</w:t>
      </w:r>
      <w:r w:rsidR="005A6E19">
        <w:rPr>
          <w:rFonts w:cs="Times New Roman"/>
          <w:lang w:val="de-CH"/>
        </w:rPr>
        <w:t>–</w:t>
      </w:r>
      <w:r w:rsidRPr="00091A98">
        <w:rPr>
          <w:rFonts w:cs="Times New Roman"/>
          <w:lang w:val="de-CH"/>
        </w:rPr>
        <w:t>506.</w:t>
      </w:r>
    </w:p>
    <w:p w14:paraId="5884FA94" w14:textId="5C9961CB" w:rsidR="009F5188" w:rsidRPr="00091A98" w:rsidRDefault="002502AD" w:rsidP="009F5188">
      <w:pPr>
        <w:spacing w:line="360" w:lineRule="auto"/>
        <w:ind w:left="567" w:hanging="567"/>
        <w:rPr>
          <w:rFonts w:cs="Times New Roman"/>
          <w:lang w:val="de-CH"/>
        </w:rPr>
      </w:pPr>
      <w:r w:rsidRPr="00091A98">
        <w:rPr>
          <w:rFonts w:eastAsia="Times New Roman" w:cs="Times New Roman"/>
          <w:lang w:val="de-CH"/>
        </w:rPr>
        <w:t>–––––</w:t>
      </w:r>
      <w:r w:rsidR="006122CA" w:rsidRPr="00091A98">
        <w:rPr>
          <w:rFonts w:eastAsia="Times New Roman" w:cs="Times New Roman"/>
          <w:lang w:val="de-CH"/>
        </w:rPr>
        <w:t xml:space="preserve"> </w:t>
      </w:r>
      <w:r w:rsidR="00C124CD" w:rsidRPr="00091A98">
        <w:rPr>
          <w:rFonts w:cs="Times New Roman"/>
          <w:lang w:val="de-CH"/>
        </w:rPr>
        <w:t>(</w:t>
      </w:r>
      <w:r w:rsidR="009F5188" w:rsidRPr="00091A98">
        <w:rPr>
          <w:rFonts w:cs="Times New Roman"/>
          <w:lang w:val="de-CH"/>
        </w:rPr>
        <w:t>2012</w:t>
      </w:r>
      <w:r w:rsidR="00C124CD" w:rsidRPr="00091A98">
        <w:rPr>
          <w:rFonts w:cs="Times New Roman"/>
          <w:lang w:val="de-CH"/>
        </w:rPr>
        <w:t>)</w:t>
      </w:r>
      <w:r w:rsidR="009F5188" w:rsidRPr="00091A98">
        <w:rPr>
          <w:rFonts w:cs="Times New Roman"/>
          <w:lang w:val="de-CH"/>
        </w:rPr>
        <w:t xml:space="preserve">. Die Macht der Information: Eine empirische Analyse von Lobbyingerfolg in der Europäischen Union. </w:t>
      </w:r>
      <w:r w:rsidR="009F5188" w:rsidRPr="00091A98">
        <w:rPr>
          <w:rFonts w:cs="Times New Roman"/>
          <w:i/>
          <w:lang w:val="de-CH"/>
        </w:rPr>
        <w:t xml:space="preserve">Politische Vierteljahresschrift </w:t>
      </w:r>
      <w:r w:rsidR="009F5188" w:rsidRPr="00091A98">
        <w:rPr>
          <w:rFonts w:cs="Times New Roman"/>
          <w:lang w:val="de-CH"/>
        </w:rPr>
        <w:t>53</w:t>
      </w:r>
      <w:r w:rsidR="002E0559" w:rsidRPr="00091A98">
        <w:rPr>
          <w:rFonts w:cs="Times New Roman"/>
          <w:lang w:val="de-CH"/>
        </w:rPr>
        <w:t>(2)</w:t>
      </w:r>
      <w:r w:rsidR="009F5188" w:rsidRPr="00091A98">
        <w:rPr>
          <w:rFonts w:cs="Times New Roman"/>
          <w:lang w:val="de-CH"/>
        </w:rPr>
        <w:t>: 211</w:t>
      </w:r>
      <w:r w:rsidR="005A6E19">
        <w:rPr>
          <w:rFonts w:cs="Times New Roman"/>
          <w:lang w:val="de-CH"/>
        </w:rPr>
        <w:t>–</w:t>
      </w:r>
      <w:r w:rsidR="009F5188" w:rsidRPr="00091A98">
        <w:rPr>
          <w:rFonts w:cs="Times New Roman"/>
          <w:lang w:val="de-CH"/>
        </w:rPr>
        <w:t>239</w:t>
      </w:r>
    </w:p>
    <w:p w14:paraId="008DD7F6" w14:textId="02301CBE"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Kollman, </w:t>
      </w:r>
      <w:r w:rsidR="002E0559" w:rsidRPr="00091A98">
        <w:rPr>
          <w:rFonts w:cs="Times New Roman"/>
          <w:lang w:val="de-CH"/>
        </w:rPr>
        <w:t>K</w:t>
      </w:r>
      <w:r w:rsidRPr="00091A98">
        <w:rPr>
          <w:rFonts w:cs="Times New Roman"/>
          <w:lang w:val="de-CH"/>
        </w:rPr>
        <w:t xml:space="preserve">. </w:t>
      </w:r>
      <w:r w:rsidR="002E0559" w:rsidRPr="00091A98">
        <w:rPr>
          <w:rFonts w:cs="Times New Roman"/>
          <w:lang w:val="de-CH"/>
        </w:rPr>
        <w:t>(</w:t>
      </w:r>
      <w:r w:rsidRPr="00091A98">
        <w:rPr>
          <w:rFonts w:cs="Times New Roman"/>
          <w:lang w:val="de-CH"/>
        </w:rPr>
        <w:t>1998</w:t>
      </w:r>
      <w:r w:rsidR="002E0559" w:rsidRPr="00091A98">
        <w:rPr>
          <w:rFonts w:cs="Times New Roman"/>
          <w:lang w:val="de-CH"/>
        </w:rPr>
        <w:t>)</w:t>
      </w:r>
      <w:r w:rsidRPr="00091A98">
        <w:rPr>
          <w:rFonts w:cs="Times New Roman"/>
          <w:lang w:val="de-CH"/>
        </w:rPr>
        <w:t xml:space="preserve">. </w:t>
      </w:r>
      <w:r w:rsidRPr="00091A98">
        <w:rPr>
          <w:rFonts w:cs="Times New Roman"/>
          <w:i/>
          <w:lang w:val="de-CH"/>
        </w:rPr>
        <w:t xml:space="preserve">Outside Lobbying: Public Opinion and Interest Group Strategies. </w:t>
      </w:r>
      <w:r w:rsidRPr="00091A98">
        <w:rPr>
          <w:rFonts w:cs="Times New Roman"/>
          <w:lang w:val="de-CH"/>
        </w:rPr>
        <w:t>Princeton: Princeton University Press.</w:t>
      </w:r>
    </w:p>
    <w:p w14:paraId="6B9BD60A" w14:textId="3998DE55" w:rsidR="007D4F67" w:rsidRPr="00091A98" w:rsidRDefault="007D4F67" w:rsidP="007D4F67">
      <w:pPr>
        <w:spacing w:line="360" w:lineRule="auto"/>
        <w:ind w:left="567" w:hanging="567"/>
        <w:rPr>
          <w:rFonts w:cs="Times New Roman"/>
          <w:lang w:val="de-CH"/>
        </w:rPr>
      </w:pPr>
      <w:r w:rsidRPr="00091A98">
        <w:rPr>
          <w:rFonts w:cs="Times New Roman"/>
          <w:lang w:val="de-CH"/>
        </w:rPr>
        <w:t xml:space="preserve">Kriesi, H., Tresch, A. &amp; Jochum, A. (2007). Going public in the European Union. Action repertoirs of Western European collective political actors. </w:t>
      </w:r>
      <w:r w:rsidRPr="00091A98">
        <w:rPr>
          <w:rFonts w:cs="Times New Roman"/>
          <w:i/>
          <w:lang w:val="de-CH"/>
        </w:rPr>
        <w:t xml:space="preserve">Comparative Political Studies, </w:t>
      </w:r>
      <w:r w:rsidRPr="00091A98">
        <w:rPr>
          <w:rFonts w:cs="Times New Roman"/>
          <w:lang w:val="de-CH"/>
        </w:rPr>
        <w:t>40(1): 48</w:t>
      </w:r>
      <w:r w:rsidR="005A6E19">
        <w:rPr>
          <w:rFonts w:cs="Times New Roman"/>
          <w:lang w:val="de-CH"/>
        </w:rPr>
        <w:t>–</w:t>
      </w:r>
      <w:r w:rsidRPr="00091A98">
        <w:rPr>
          <w:rFonts w:cs="Times New Roman"/>
          <w:lang w:val="de-CH"/>
        </w:rPr>
        <w:t>73.</w:t>
      </w:r>
    </w:p>
    <w:p w14:paraId="5CA2A3D3" w14:textId="38BC6BE1"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Laumann, </w:t>
      </w:r>
      <w:r w:rsidR="002E0559" w:rsidRPr="00091A98">
        <w:rPr>
          <w:rFonts w:cs="Times New Roman"/>
          <w:lang w:val="de-CH"/>
        </w:rPr>
        <w:t xml:space="preserve">E. </w:t>
      </w:r>
      <w:r w:rsidRPr="00091A98">
        <w:rPr>
          <w:rFonts w:cs="Times New Roman"/>
          <w:lang w:val="de-CH"/>
        </w:rPr>
        <w:t xml:space="preserve">und </w:t>
      </w:r>
      <w:r w:rsidR="002E0559" w:rsidRPr="00091A98">
        <w:rPr>
          <w:rFonts w:cs="Times New Roman"/>
          <w:lang w:val="de-CH"/>
        </w:rPr>
        <w:t xml:space="preserve">D. </w:t>
      </w:r>
      <w:r w:rsidRPr="00091A98">
        <w:rPr>
          <w:rFonts w:cs="Times New Roman"/>
          <w:lang w:val="de-CH"/>
        </w:rPr>
        <w:t xml:space="preserve">Knocke </w:t>
      </w:r>
      <w:r w:rsidR="002E0559" w:rsidRPr="00091A98">
        <w:rPr>
          <w:rFonts w:cs="Times New Roman"/>
          <w:lang w:val="de-CH"/>
        </w:rPr>
        <w:t>(</w:t>
      </w:r>
      <w:r w:rsidRPr="00091A98">
        <w:rPr>
          <w:rFonts w:cs="Times New Roman"/>
          <w:lang w:val="de-CH"/>
        </w:rPr>
        <w:t>1987</w:t>
      </w:r>
      <w:r w:rsidR="002E0559" w:rsidRPr="00091A98">
        <w:rPr>
          <w:rFonts w:cs="Times New Roman"/>
          <w:lang w:val="de-CH"/>
        </w:rPr>
        <w:t>)</w:t>
      </w:r>
      <w:r w:rsidRPr="00091A98">
        <w:rPr>
          <w:rFonts w:cs="Times New Roman"/>
          <w:lang w:val="de-CH"/>
        </w:rPr>
        <w:t xml:space="preserve">. </w:t>
      </w:r>
      <w:r w:rsidRPr="00091A98">
        <w:rPr>
          <w:rFonts w:cs="Times New Roman"/>
          <w:i/>
          <w:lang w:val="de-CH"/>
        </w:rPr>
        <w:t xml:space="preserve">The Organizational State: Social Choice in National Policy Domains. </w:t>
      </w:r>
      <w:r w:rsidRPr="00091A98">
        <w:rPr>
          <w:rFonts w:cs="Times New Roman"/>
          <w:lang w:val="de-CH"/>
        </w:rPr>
        <w:t xml:space="preserve">Madison: University of Wisconsin Press. </w:t>
      </w:r>
    </w:p>
    <w:p w14:paraId="6673BCFA" w14:textId="63C34CE3"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Leech, </w:t>
      </w:r>
      <w:r w:rsidR="00497BFD">
        <w:rPr>
          <w:rFonts w:cs="Times New Roman"/>
          <w:lang w:val="de-CH"/>
        </w:rPr>
        <w:t>B.</w:t>
      </w:r>
      <w:r w:rsidRPr="00091A98">
        <w:rPr>
          <w:rFonts w:cs="Times New Roman"/>
          <w:lang w:val="de-CH"/>
        </w:rPr>
        <w:t xml:space="preserve">, </w:t>
      </w:r>
      <w:r w:rsidR="002E0559" w:rsidRPr="00091A98">
        <w:rPr>
          <w:rFonts w:cs="Times New Roman"/>
          <w:lang w:val="de-CH"/>
        </w:rPr>
        <w:t xml:space="preserve">F. </w:t>
      </w:r>
      <w:r w:rsidRPr="00091A98">
        <w:rPr>
          <w:rFonts w:cs="Times New Roman"/>
          <w:lang w:val="de-CH"/>
        </w:rPr>
        <w:t xml:space="preserve">Baumgartner, </w:t>
      </w:r>
      <w:r w:rsidR="002E0559" w:rsidRPr="00091A98">
        <w:rPr>
          <w:rFonts w:cs="Times New Roman"/>
          <w:lang w:val="de-CH"/>
        </w:rPr>
        <w:t xml:space="preserve">T. </w:t>
      </w:r>
      <w:r w:rsidRPr="00091A98">
        <w:rPr>
          <w:rFonts w:cs="Times New Roman"/>
          <w:lang w:val="de-CH"/>
        </w:rPr>
        <w:t xml:space="preserve">La Pira und </w:t>
      </w:r>
      <w:r w:rsidR="002E0559" w:rsidRPr="00091A98">
        <w:rPr>
          <w:rFonts w:cs="Times New Roman"/>
          <w:lang w:val="de-CH"/>
        </w:rPr>
        <w:t xml:space="preserve">N. </w:t>
      </w:r>
      <w:r w:rsidRPr="00091A98">
        <w:rPr>
          <w:rFonts w:cs="Times New Roman"/>
          <w:lang w:val="de-CH"/>
        </w:rPr>
        <w:t xml:space="preserve">Semanko </w:t>
      </w:r>
      <w:r w:rsidR="002E0559" w:rsidRPr="00091A98">
        <w:rPr>
          <w:rFonts w:cs="Times New Roman"/>
          <w:lang w:val="de-CH"/>
        </w:rPr>
        <w:t>(</w:t>
      </w:r>
      <w:r w:rsidRPr="00091A98">
        <w:rPr>
          <w:rFonts w:cs="Times New Roman"/>
          <w:lang w:val="de-CH"/>
        </w:rPr>
        <w:t>2005</w:t>
      </w:r>
      <w:r w:rsidR="002E0559" w:rsidRPr="00091A98">
        <w:rPr>
          <w:rFonts w:cs="Times New Roman"/>
          <w:lang w:val="de-CH"/>
        </w:rPr>
        <w:t>)</w:t>
      </w:r>
      <w:r w:rsidRPr="00091A98">
        <w:rPr>
          <w:rFonts w:cs="Times New Roman"/>
          <w:lang w:val="de-CH"/>
        </w:rPr>
        <w:t xml:space="preserve">. Drawing Lobbyists to Washington: Government Activity and the Demand for Advocacy. </w:t>
      </w:r>
      <w:r w:rsidRPr="00091A98">
        <w:rPr>
          <w:rFonts w:cs="Times New Roman"/>
          <w:i/>
          <w:lang w:val="de-CH"/>
        </w:rPr>
        <w:t>Political Research Quarterly</w:t>
      </w:r>
      <w:r w:rsidRPr="00091A98">
        <w:rPr>
          <w:rFonts w:cs="Times New Roman"/>
          <w:lang w:val="de-CH"/>
        </w:rPr>
        <w:t xml:space="preserve"> 58</w:t>
      </w:r>
      <w:r w:rsidR="00B15CF0" w:rsidRPr="00091A98">
        <w:rPr>
          <w:rFonts w:cs="Times New Roman"/>
          <w:lang w:val="de-CH"/>
        </w:rPr>
        <w:t>(1)</w:t>
      </w:r>
      <w:r w:rsidRPr="00091A98">
        <w:rPr>
          <w:rFonts w:cs="Times New Roman"/>
          <w:lang w:val="de-CH"/>
        </w:rPr>
        <w:t>: 19</w:t>
      </w:r>
      <w:r w:rsidR="005A6E19">
        <w:rPr>
          <w:rFonts w:cs="Times New Roman"/>
          <w:lang w:val="de-CH"/>
        </w:rPr>
        <w:t>–</w:t>
      </w:r>
      <w:r w:rsidRPr="00091A98">
        <w:rPr>
          <w:rFonts w:cs="Times New Roman"/>
          <w:lang w:val="de-CH"/>
        </w:rPr>
        <w:t>30.</w:t>
      </w:r>
    </w:p>
    <w:p w14:paraId="0125BAA3" w14:textId="3D8F5417"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Lohmann, </w:t>
      </w:r>
      <w:r w:rsidR="00B15CF0" w:rsidRPr="00091A98">
        <w:rPr>
          <w:rFonts w:cs="Times New Roman"/>
          <w:lang w:val="de-CH"/>
        </w:rPr>
        <w:t>S</w:t>
      </w:r>
      <w:r w:rsidRPr="00091A98">
        <w:rPr>
          <w:rFonts w:cs="Times New Roman"/>
          <w:lang w:val="de-CH"/>
        </w:rPr>
        <w:t xml:space="preserve">. </w:t>
      </w:r>
      <w:r w:rsidR="00B15CF0" w:rsidRPr="00091A98">
        <w:rPr>
          <w:rFonts w:cs="Times New Roman"/>
          <w:lang w:val="de-CH"/>
        </w:rPr>
        <w:t>(</w:t>
      </w:r>
      <w:r w:rsidRPr="00091A98">
        <w:rPr>
          <w:rFonts w:cs="Times New Roman"/>
          <w:lang w:val="de-CH"/>
        </w:rPr>
        <w:t>1995</w:t>
      </w:r>
      <w:r w:rsidR="00B15CF0" w:rsidRPr="00091A98">
        <w:rPr>
          <w:rFonts w:cs="Times New Roman"/>
          <w:lang w:val="de-CH"/>
        </w:rPr>
        <w:t>)</w:t>
      </w:r>
      <w:r w:rsidRPr="00091A98">
        <w:rPr>
          <w:rFonts w:cs="Times New Roman"/>
          <w:lang w:val="de-CH"/>
        </w:rPr>
        <w:t xml:space="preserve">. Information, Access, and Contributions: A Signaling Model of Lobbying. </w:t>
      </w:r>
      <w:r w:rsidRPr="00091A98">
        <w:rPr>
          <w:rFonts w:cs="Times New Roman"/>
          <w:i/>
          <w:lang w:val="de-CH"/>
        </w:rPr>
        <w:t>Public Choice</w:t>
      </w:r>
      <w:r w:rsidRPr="00091A98">
        <w:rPr>
          <w:rFonts w:cs="Times New Roman"/>
          <w:lang w:val="de-CH"/>
        </w:rPr>
        <w:t xml:space="preserve"> 85</w:t>
      </w:r>
      <w:r w:rsidR="001600D6" w:rsidRPr="00091A98">
        <w:rPr>
          <w:rFonts w:cs="Times New Roman"/>
          <w:lang w:val="de-CH"/>
        </w:rPr>
        <w:t>(3</w:t>
      </w:r>
      <w:r w:rsidR="005A6E19">
        <w:rPr>
          <w:rFonts w:cs="Times New Roman"/>
          <w:lang w:val="de-CH"/>
        </w:rPr>
        <w:t>–</w:t>
      </w:r>
      <w:r w:rsidR="001600D6" w:rsidRPr="00091A98">
        <w:rPr>
          <w:rFonts w:cs="Times New Roman"/>
          <w:lang w:val="de-CH"/>
        </w:rPr>
        <w:t>4)</w:t>
      </w:r>
      <w:r w:rsidRPr="00091A98">
        <w:rPr>
          <w:rFonts w:cs="Times New Roman"/>
          <w:lang w:val="de-CH"/>
        </w:rPr>
        <w:t>: 267</w:t>
      </w:r>
      <w:r w:rsidR="005A6E19">
        <w:rPr>
          <w:rFonts w:cs="Times New Roman"/>
          <w:lang w:val="de-CH"/>
        </w:rPr>
        <w:t>–</w:t>
      </w:r>
      <w:r w:rsidRPr="00091A98">
        <w:rPr>
          <w:rFonts w:cs="Times New Roman"/>
          <w:lang w:val="de-CH"/>
        </w:rPr>
        <w:t>284.</w:t>
      </w:r>
    </w:p>
    <w:p w14:paraId="1F759D57" w14:textId="2D144881"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Lowery, </w:t>
      </w:r>
      <w:r w:rsidR="001600D6" w:rsidRPr="00091A98">
        <w:rPr>
          <w:rFonts w:cs="Times New Roman"/>
          <w:lang w:val="de-CH"/>
        </w:rPr>
        <w:t xml:space="preserve">D. </w:t>
      </w:r>
      <w:r w:rsidRPr="00091A98">
        <w:rPr>
          <w:rFonts w:cs="Times New Roman"/>
          <w:lang w:val="de-CH"/>
        </w:rPr>
        <w:t xml:space="preserve">und </w:t>
      </w:r>
      <w:r w:rsidR="001600D6" w:rsidRPr="00091A98">
        <w:rPr>
          <w:rFonts w:cs="Times New Roman"/>
          <w:lang w:val="de-CH"/>
        </w:rPr>
        <w:t xml:space="preserve">V. </w:t>
      </w:r>
      <w:r w:rsidRPr="00091A98">
        <w:rPr>
          <w:rFonts w:cs="Times New Roman"/>
          <w:lang w:val="de-CH"/>
        </w:rPr>
        <w:t xml:space="preserve">Gray </w:t>
      </w:r>
      <w:r w:rsidR="001600D6" w:rsidRPr="00091A98">
        <w:rPr>
          <w:rFonts w:cs="Times New Roman"/>
          <w:lang w:val="de-CH"/>
        </w:rPr>
        <w:t>(</w:t>
      </w:r>
      <w:r w:rsidRPr="00091A98">
        <w:rPr>
          <w:rFonts w:cs="Times New Roman"/>
          <w:lang w:val="de-CH"/>
        </w:rPr>
        <w:t>1995</w:t>
      </w:r>
      <w:r w:rsidR="001600D6" w:rsidRPr="00091A98">
        <w:rPr>
          <w:rFonts w:cs="Times New Roman"/>
          <w:lang w:val="de-CH"/>
        </w:rPr>
        <w:t>)</w:t>
      </w:r>
      <w:r w:rsidRPr="00091A98">
        <w:rPr>
          <w:rFonts w:cs="Times New Roman"/>
          <w:lang w:val="de-CH"/>
        </w:rPr>
        <w:t xml:space="preserve">. The Population Ecology of Gucci Gulch, or the Natural Regulation of Interest Group Numbers in the American States. </w:t>
      </w:r>
      <w:r w:rsidRPr="00091A98">
        <w:rPr>
          <w:rFonts w:cs="Times New Roman"/>
          <w:i/>
          <w:lang w:val="de-CH"/>
        </w:rPr>
        <w:t>American Journal of Political Science</w:t>
      </w:r>
      <w:r w:rsidRPr="00091A98">
        <w:rPr>
          <w:rFonts w:cs="Times New Roman"/>
          <w:lang w:val="de-CH"/>
        </w:rPr>
        <w:t xml:space="preserve"> 39</w:t>
      </w:r>
      <w:r w:rsidR="00D86A21" w:rsidRPr="00091A98">
        <w:rPr>
          <w:rFonts w:cs="Times New Roman"/>
          <w:lang w:val="de-CH"/>
        </w:rPr>
        <w:t>(1)</w:t>
      </w:r>
      <w:r w:rsidRPr="00091A98">
        <w:rPr>
          <w:rFonts w:cs="Times New Roman"/>
          <w:lang w:val="de-CH"/>
        </w:rPr>
        <w:t>: 1</w:t>
      </w:r>
      <w:r w:rsidR="005A6E19">
        <w:rPr>
          <w:rFonts w:cs="Times New Roman"/>
          <w:lang w:val="de-CH"/>
        </w:rPr>
        <w:t>–</w:t>
      </w:r>
      <w:r w:rsidRPr="00091A98">
        <w:rPr>
          <w:rFonts w:cs="Times New Roman"/>
          <w:lang w:val="de-CH"/>
        </w:rPr>
        <w:t>29.</w:t>
      </w:r>
    </w:p>
    <w:p w14:paraId="59D3AF4B" w14:textId="4E125EFE" w:rsidR="006122CA" w:rsidRPr="00091A98" w:rsidRDefault="006122CA" w:rsidP="006122CA">
      <w:pPr>
        <w:spacing w:line="360" w:lineRule="auto"/>
        <w:ind w:left="567" w:hanging="567"/>
        <w:rPr>
          <w:rFonts w:cs="Times New Roman"/>
          <w:lang w:val="de-CH"/>
        </w:rPr>
      </w:pPr>
      <w:r w:rsidRPr="00091A98">
        <w:rPr>
          <w:rFonts w:cs="Times New Roman"/>
          <w:lang w:val="de-CH"/>
        </w:rPr>
        <w:lastRenderedPageBreak/>
        <w:t xml:space="preserve">Mahoney, C. (2007). Lobbying success in the United States and the European Union. </w:t>
      </w:r>
      <w:r w:rsidRPr="00091A98">
        <w:rPr>
          <w:rFonts w:cs="Times New Roman"/>
          <w:i/>
          <w:lang w:val="de-CH"/>
        </w:rPr>
        <w:t>Journal of Public Policy,</w:t>
      </w:r>
      <w:r w:rsidRPr="00091A98">
        <w:rPr>
          <w:rFonts w:cs="Times New Roman"/>
          <w:lang w:val="de-CH"/>
        </w:rPr>
        <w:t xml:space="preserve"> 27(1): 35</w:t>
      </w:r>
      <w:r w:rsidR="005A6E19">
        <w:rPr>
          <w:rFonts w:cs="Times New Roman"/>
          <w:lang w:val="de-CH"/>
        </w:rPr>
        <w:t>–</w:t>
      </w:r>
      <w:r w:rsidRPr="00091A98">
        <w:rPr>
          <w:rFonts w:cs="Times New Roman"/>
          <w:lang w:val="de-CH"/>
        </w:rPr>
        <w:t>56.</w:t>
      </w:r>
    </w:p>
    <w:p w14:paraId="24DFD394" w14:textId="6099D866" w:rsidR="006F326C" w:rsidRPr="00091A98" w:rsidRDefault="00450286" w:rsidP="009F5188">
      <w:pPr>
        <w:spacing w:line="360" w:lineRule="auto"/>
        <w:ind w:left="567" w:hanging="567"/>
        <w:rPr>
          <w:rFonts w:cs="Times New Roman"/>
          <w:lang w:val="de-CH"/>
        </w:rPr>
      </w:pPr>
      <w:r w:rsidRPr="00091A98">
        <w:rPr>
          <w:rFonts w:eastAsia="Times New Roman" w:cs="Times New Roman"/>
          <w:lang w:val="de-CH"/>
        </w:rPr>
        <w:t>–––––</w:t>
      </w:r>
      <w:r w:rsidR="009F5188" w:rsidRPr="00091A98">
        <w:rPr>
          <w:rFonts w:cs="Times New Roman"/>
          <w:lang w:val="de-CH"/>
        </w:rPr>
        <w:t xml:space="preserve"> </w:t>
      </w:r>
      <w:r w:rsidRPr="00091A98">
        <w:rPr>
          <w:rFonts w:cs="Times New Roman"/>
          <w:lang w:val="de-CH"/>
        </w:rPr>
        <w:t>(</w:t>
      </w:r>
      <w:r w:rsidR="009F5188" w:rsidRPr="00091A98">
        <w:rPr>
          <w:rFonts w:cs="Times New Roman"/>
          <w:lang w:val="de-CH"/>
        </w:rPr>
        <w:t>2008</w:t>
      </w:r>
      <w:r w:rsidRPr="00091A98">
        <w:rPr>
          <w:rFonts w:cs="Times New Roman"/>
          <w:lang w:val="de-CH"/>
        </w:rPr>
        <w:t>)</w:t>
      </w:r>
      <w:r w:rsidR="009F5188" w:rsidRPr="00091A98">
        <w:rPr>
          <w:rFonts w:cs="Times New Roman"/>
          <w:lang w:val="de-CH"/>
        </w:rPr>
        <w:t xml:space="preserve">. </w:t>
      </w:r>
      <w:r w:rsidR="009F5188" w:rsidRPr="00091A98">
        <w:rPr>
          <w:rFonts w:cs="Times New Roman"/>
          <w:i/>
          <w:lang w:val="de-CH"/>
        </w:rPr>
        <w:t>Brussels Versus the Beltway: Advocacy in the United States and the European Union.</w:t>
      </w:r>
      <w:r w:rsidR="009F5188" w:rsidRPr="00091A98">
        <w:rPr>
          <w:rFonts w:cs="Times New Roman"/>
          <w:lang w:val="de-CH"/>
        </w:rPr>
        <w:t xml:space="preserve"> Washington, DC: Georgetown University Press.</w:t>
      </w:r>
    </w:p>
    <w:p w14:paraId="7E21C6D4" w14:textId="3036FC90" w:rsidR="009F5188" w:rsidRPr="00091A98" w:rsidRDefault="006F326C" w:rsidP="003C2EF2">
      <w:pPr>
        <w:spacing w:line="360" w:lineRule="auto"/>
        <w:ind w:left="567" w:hanging="567"/>
        <w:rPr>
          <w:rFonts w:cs="Times New Roman"/>
          <w:lang w:val="de-CH"/>
        </w:rPr>
      </w:pPr>
      <w:r w:rsidRPr="00091A98">
        <w:rPr>
          <w:rFonts w:cs="Times New Roman"/>
          <w:lang w:val="de-CH"/>
        </w:rPr>
        <w:t>Maloney, W</w:t>
      </w:r>
      <w:r w:rsidR="00682BFA">
        <w:rPr>
          <w:rFonts w:cs="Times New Roman"/>
          <w:lang w:val="de-CH"/>
        </w:rPr>
        <w:t>., G.</w:t>
      </w:r>
      <w:r w:rsidR="007F6A70" w:rsidRPr="00091A98">
        <w:rPr>
          <w:rFonts w:cs="Times New Roman"/>
          <w:lang w:val="de-CH"/>
        </w:rPr>
        <w:t xml:space="preserve"> Jordan und </w:t>
      </w:r>
      <w:r w:rsidR="00682BFA">
        <w:rPr>
          <w:rFonts w:cs="Times New Roman"/>
          <w:lang w:val="de-CH"/>
        </w:rPr>
        <w:t xml:space="preserve">A. McLaughlin </w:t>
      </w:r>
      <w:r w:rsidRPr="00091A98">
        <w:rPr>
          <w:rFonts w:cs="Times New Roman"/>
          <w:lang w:val="de-CH"/>
        </w:rPr>
        <w:t xml:space="preserve">(1994). Interest groups and public policy: The insider/outsider model revisited. </w:t>
      </w:r>
      <w:r w:rsidRPr="00091A98">
        <w:rPr>
          <w:rFonts w:cs="Times New Roman"/>
          <w:i/>
          <w:lang w:val="de-CH"/>
        </w:rPr>
        <w:t>Journal of Public Policy,</w:t>
      </w:r>
      <w:r w:rsidRPr="00091A98">
        <w:rPr>
          <w:rFonts w:cs="Times New Roman"/>
          <w:lang w:val="de-CH"/>
        </w:rPr>
        <w:t xml:space="preserve"> 14(1): 17</w:t>
      </w:r>
      <w:r w:rsidR="005A6E19">
        <w:rPr>
          <w:rFonts w:cs="Times New Roman"/>
          <w:lang w:val="de-CH"/>
        </w:rPr>
        <w:t>–</w:t>
      </w:r>
      <w:r w:rsidRPr="00091A98">
        <w:rPr>
          <w:rFonts w:cs="Times New Roman"/>
          <w:lang w:val="de-CH"/>
        </w:rPr>
        <w:t>38.</w:t>
      </w:r>
      <w:r w:rsidR="009F5188" w:rsidRPr="00091A98">
        <w:rPr>
          <w:rFonts w:cs="Times New Roman"/>
          <w:lang w:val="de-CH"/>
        </w:rPr>
        <w:t xml:space="preserve"> </w:t>
      </w:r>
    </w:p>
    <w:p w14:paraId="456555B1" w14:textId="6CFFBDDC" w:rsidR="008A10E1" w:rsidRPr="00091A98" w:rsidRDefault="008A10E1" w:rsidP="00031126">
      <w:pPr>
        <w:spacing w:line="360" w:lineRule="auto"/>
        <w:ind w:left="567" w:hanging="567"/>
        <w:rPr>
          <w:rFonts w:cs="Times New Roman"/>
          <w:lang w:val="de-CH"/>
        </w:rPr>
      </w:pPr>
      <w:r w:rsidRPr="00091A98">
        <w:rPr>
          <w:rFonts w:cs="Times New Roman"/>
          <w:lang w:val="de-CH"/>
        </w:rPr>
        <w:t xml:space="preserve">Oeckl, A. (2009). </w:t>
      </w:r>
      <w:r w:rsidRPr="00091A98">
        <w:rPr>
          <w:rFonts w:cs="Times New Roman"/>
          <w:i/>
          <w:lang w:val="de-CH"/>
        </w:rPr>
        <w:t xml:space="preserve">Taschenbuch des Öffentlichen Lebens </w:t>
      </w:r>
      <w:r w:rsidR="005A6E19">
        <w:rPr>
          <w:rFonts w:cs="Times New Roman"/>
          <w:i/>
          <w:lang w:val="de-CH"/>
        </w:rPr>
        <w:t>–</w:t>
      </w:r>
      <w:r w:rsidRPr="00091A98">
        <w:rPr>
          <w:rFonts w:cs="Times New Roman"/>
          <w:i/>
          <w:lang w:val="de-CH"/>
        </w:rPr>
        <w:t xml:space="preserve"> Deutschland 2010. </w:t>
      </w:r>
      <w:r w:rsidRPr="00091A98">
        <w:rPr>
          <w:rFonts w:cs="Times New Roman"/>
          <w:lang w:val="de-CH"/>
        </w:rPr>
        <w:t>Bonn: Festland Verlag.</w:t>
      </w:r>
    </w:p>
    <w:p w14:paraId="70D5AF82" w14:textId="090FBAD1"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Olson, </w:t>
      </w:r>
      <w:r w:rsidR="00D86A21" w:rsidRPr="00091A98">
        <w:rPr>
          <w:rFonts w:cs="Times New Roman"/>
          <w:lang w:val="de-CH"/>
        </w:rPr>
        <w:t>M</w:t>
      </w:r>
      <w:r w:rsidRPr="00091A98">
        <w:rPr>
          <w:rFonts w:cs="Times New Roman"/>
          <w:lang w:val="de-CH"/>
        </w:rPr>
        <w:t xml:space="preserve">. </w:t>
      </w:r>
      <w:r w:rsidR="00D86A21" w:rsidRPr="00091A98">
        <w:rPr>
          <w:rFonts w:cs="Times New Roman"/>
          <w:lang w:val="de-CH"/>
        </w:rPr>
        <w:t>(</w:t>
      </w:r>
      <w:r w:rsidRPr="00091A98">
        <w:rPr>
          <w:rFonts w:cs="Times New Roman"/>
          <w:lang w:val="de-CH"/>
        </w:rPr>
        <w:t>1965</w:t>
      </w:r>
      <w:r w:rsidR="00D86A21" w:rsidRPr="00091A98">
        <w:rPr>
          <w:rFonts w:cs="Times New Roman"/>
          <w:lang w:val="de-CH"/>
        </w:rPr>
        <w:t>)</w:t>
      </w:r>
      <w:r w:rsidRPr="00091A98">
        <w:rPr>
          <w:rFonts w:cs="Times New Roman"/>
          <w:lang w:val="de-CH"/>
        </w:rPr>
        <w:t xml:space="preserve">. </w:t>
      </w:r>
      <w:r w:rsidRPr="00091A98">
        <w:rPr>
          <w:rFonts w:cs="Times New Roman"/>
          <w:i/>
          <w:lang w:val="de-CH"/>
        </w:rPr>
        <w:t>The Logic of Collective Action: Public Goods and the Theory of Groups.</w:t>
      </w:r>
      <w:r w:rsidRPr="00091A98">
        <w:rPr>
          <w:rFonts w:cs="Times New Roman"/>
          <w:lang w:val="de-CH"/>
        </w:rPr>
        <w:t xml:space="preserve"> Cambridge: Harvard University Press. </w:t>
      </w:r>
    </w:p>
    <w:p w14:paraId="50BAF374" w14:textId="32622BF6"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Peltzman, </w:t>
      </w:r>
      <w:r w:rsidR="00D86A21" w:rsidRPr="00091A98">
        <w:rPr>
          <w:rFonts w:cs="Times New Roman"/>
          <w:lang w:val="de-CH"/>
        </w:rPr>
        <w:t>S</w:t>
      </w:r>
      <w:r w:rsidRPr="00091A98">
        <w:rPr>
          <w:rFonts w:cs="Times New Roman"/>
          <w:lang w:val="de-CH"/>
        </w:rPr>
        <w:t xml:space="preserve">. </w:t>
      </w:r>
      <w:r w:rsidR="00D86A21" w:rsidRPr="00091A98">
        <w:rPr>
          <w:rFonts w:cs="Times New Roman"/>
          <w:lang w:val="de-CH"/>
        </w:rPr>
        <w:t>(</w:t>
      </w:r>
      <w:r w:rsidRPr="00091A98">
        <w:rPr>
          <w:rFonts w:cs="Times New Roman"/>
          <w:lang w:val="de-CH"/>
        </w:rPr>
        <w:t>1976</w:t>
      </w:r>
      <w:r w:rsidR="00D86A21" w:rsidRPr="00091A98">
        <w:rPr>
          <w:rFonts w:cs="Times New Roman"/>
          <w:lang w:val="de-CH"/>
        </w:rPr>
        <w:t>)</w:t>
      </w:r>
      <w:r w:rsidRPr="00091A98">
        <w:rPr>
          <w:rFonts w:cs="Times New Roman"/>
          <w:lang w:val="de-CH"/>
        </w:rPr>
        <w:t xml:space="preserve">. Toward a More General Theory of Regulation. </w:t>
      </w:r>
      <w:r w:rsidRPr="00091A98">
        <w:rPr>
          <w:rFonts w:cs="Times New Roman"/>
          <w:i/>
          <w:lang w:val="de-CH"/>
        </w:rPr>
        <w:t>Journal of Law and Economics</w:t>
      </w:r>
      <w:r w:rsidRPr="00091A98">
        <w:rPr>
          <w:rFonts w:cs="Times New Roman"/>
          <w:lang w:val="de-CH"/>
        </w:rPr>
        <w:t xml:space="preserve"> 19</w:t>
      </w:r>
      <w:r w:rsidR="00314B34" w:rsidRPr="00091A98">
        <w:rPr>
          <w:rFonts w:cs="Times New Roman"/>
          <w:lang w:val="de-CH"/>
        </w:rPr>
        <w:t>(2)</w:t>
      </w:r>
      <w:r w:rsidRPr="00091A98">
        <w:rPr>
          <w:rFonts w:cs="Times New Roman"/>
          <w:lang w:val="de-CH"/>
        </w:rPr>
        <w:t>: 211</w:t>
      </w:r>
      <w:r w:rsidR="005A6E19">
        <w:rPr>
          <w:rFonts w:cs="Times New Roman"/>
          <w:lang w:val="de-CH"/>
        </w:rPr>
        <w:t>–</w:t>
      </w:r>
      <w:r w:rsidRPr="00091A98">
        <w:rPr>
          <w:rFonts w:cs="Times New Roman"/>
          <w:lang w:val="de-CH"/>
        </w:rPr>
        <w:t>240.</w:t>
      </w:r>
    </w:p>
    <w:p w14:paraId="2F1A9244" w14:textId="79DC2F89"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Potters, </w:t>
      </w:r>
      <w:r w:rsidR="00314B34" w:rsidRPr="00091A98">
        <w:rPr>
          <w:rFonts w:cs="Times New Roman"/>
          <w:lang w:val="de-CH"/>
        </w:rPr>
        <w:t xml:space="preserve">J. </w:t>
      </w:r>
      <w:r w:rsidRPr="00091A98">
        <w:rPr>
          <w:rFonts w:cs="Times New Roman"/>
          <w:lang w:val="de-CH"/>
        </w:rPr>
        <w:t xml:space="preserve">und </w:t>
      </w:r>
      <w:r w:rsidR="00314B34" w:rsidRPr="00091A98">
        <w:rPr>
          <w:rFonts w:cs="Times New Roman"/>
          <w:lang w:val="de-CH"/>
        </w:rPr>
        <w:t>F. v</w:t>
      </w:r>
      <w:r w:rsidRPr="00091A98">
        <w:rPr>
          <w:rFonts w:cs="Times New Roman"/>
          <w:lang w:val="de-CH"/>
        </w:rPr>
        <w:t xml:space="preserve">an Winden </w:t>
      </w:r>
      <w:r w:rsidR="00314B34" w:rsidRPr="00091A98">
        <w:rPr>
          <w:rFonts w:cs="Times New Roman"/>
          <w:lang w:val="de-CH"/>
        </w:rPr>
        <w:t>(</w:t>
      </w:r>
      <w:r w:rsidRPr="00091A98">
        <w:rPr>
          <w:rFonts w:cs="Times New Roman"/>
          <w:lang w:val="de-CH"/>
        </w:rPr>
        <w:t>1990</w:t>
      </w:r>
      <w:r w:rsidR="00314B34" w:rsidRPr="00091A98">
        <w:rPr>
          <w:rFonts w:cs="Times New Roman"/>
          <w:lang w:val="de-CH"/>
        </w:rPr>
        <w:t>)</w:t>
      </w:r>
      <w:r w:rsidRPr="00091A98">
        <w:rPr>
          <w:rFonts w:cs="Times New Roman"/>
          <w:lang w:val="de-CH"/>
        </w:rPr>
        <w:t xml:space="preserve">. Modelling Political Pressure as Transmission of Information. </w:t>
      </w:r>
      <w:r w:rsidRPr="00091A98">
        <w:rPr>
          <w:rFonts w:cs="Times New Roman"/>
          <w:i/>
          <w:lang w:val="de-CH"/>
        </w:rPr>
        <w:t>European Journal of Political Economy</w:t>
      </w:r>
      <w:r w:rsidRPr="00091A98">
        <w:rPr>
          <w:rFonts w:cs="Times New Roman"/>
          <w:lang w:val="de-CH"/>
        </w:rPr>
        <w:t xml:space="preserve"> 6</w:t>
      </w:r>
      <w:r w:rsidR="00314B34" w:rsidRPr="00091A98">
        <w:rPr>
          <w:rFonts w:cs="Times New Roman"/>
          <w:lang w:val="de-CH"/>
        </w:rPr>
        <w:t>(1)</w:t>
      </w:r>
      <w:r w:rsidRPr="00091A98">
        <w:rPr>
          <w:rFonts w:cs="Times New Roman"/>
          <w:lang w:val="de-CH"/>
        </w:rPr>
        <w:t>: 61</w:t>
      </w:r>
      <w:r w:rsidR="005A6E19">
        <w:rPr>
          <w:rFonts w:cs="Times New Roman"/>
          <w:lang w:val="de-CH"/>
        </w:rPr>
        <w:t>–</w:t>
      </w:r>
      <w:r w:rsidRPr="00091A98">
        <w:rPr>
          <w:rFonts w:cs="Times New Roman"/>
          <w:lang w:val="de-CH"/>
        </w:rPr>
        <w:t>88.</w:t>
      </w:r>
    </w:p>
    <w:p w14:paraId="77C49B02" w14:textId="4B304B0F" w:rsidR="00EF472C" w:rsidRPr="00091A98" w:rsidRDefault="009F5188" w:rsidP="00EF472C">
      <w:pPr>
        <w:spacing w:line="360" w:lineRule="auto"/>
        <w:ind w:left="567" w:hanging="567"/>
        <w:rPr>
          <w:rFonts w:cs="Times New Roman"/>
          <w:lang w:val="de-CH"/>
        </w:rPr>
      </w:pPr>
      <w:r w:rsidRPr="00091A98">
        <w:rPr>
          <w:rFonts w:cs="Times New Roman"/>
          <w:lang w:val="de-CH"/>
        </w:rPr>
        <w:t xml:space="preserve">Salisbury, </w:t>
      </w:r>
      <w:r w:rsidR="00682BFA">
        <w:rPr>
          <w:rFonts w:cs="Times New Roman"/>
          <w:lang w:val="de-CH"/>
        </w:rPr>
        <w:t>R.</w:t>
      </w:r>
      <w:r w:rsidRPr="00091A98">
        <w:rPr>
          <w:rFonts w:cs="Times New Roman"/>
          <w:lang w:val="de-CH"/>
        </w:rPr>
        <w:t xml:space="preserve"> </w:t>
      </w:r>
      <w:r w:rsidR="00314B34" w:rsidRPr="00091A98">
        <w:rPr>
          <w:rFonts w:cs="Times New Roman"/>
          <w:lang w:val="de-CH"/>
        </w:rPr>
        <w:t>(</w:t>
      </w:r>
      <w:r w:rsidRPr="00091A98">
        <w:rPr>
          <w:rFonts w:cs="Times New Roman"/>
          <w:lang w:val="de-CH"/>
        </w:rPr>
        <w:t>1990</w:t>
      </w:r>
      <w:r w:rsidR="00314B34" w:rsidRPr="00091A98">
        <w:rPr>
          <w:rFonts w:cs="Times New Roman"/>
          <w:lang w:val="de-CH"/>
        </w:rPr>
        <w:t>)</w:t>
      </w:r>
      <w:r w:rsidRPr="00091A98">
        <w:rPr>
          <w:rFonts w:cs="Times New Roman"/>
          <w:lang w:val="de-CH"/>
        </w:rPr>
        <w:t xml:space="preserve">. The Paradox of Interest Groups in Washington: More Groups, Less Clout. </w:t>
      </w:r>
      <w:r w:rsidR="00EF472C" w:rsidRPr="00091A98">
        <w:rPr>
          <w:rFonts w:cs="Times New Roman"/>
          <w:lang w:val="de-CH"/>
        </w:rPr>
        <w:t xml:space="preserve">In King A. (Hrsg.), </w:t>
      </w:r>
      <w:r w:rsidR="00EF472C" w:rsidRPr="00091A98">
        <w:rPr>
          <w:rFonts w:cs="Times New Roman"/>
          <w:i/>
          <w:lang w:val="de-CH"/>
        </w:rPr>
        <w:t>The New American Political System</w:t>
      </w:r>
      <w:r w:rsidR="00EF472C" w:rsidRPr="00091A98">
        <w:rPr>
          <w:rFonts w:cs="Times New Roman"/>
          <w:lang w:val="de-CH"/>
        </w:rPr>
        <w:t>. Washington, DC: American Enterprise Institute (203</w:t>
      </w:r>
      <w:r w:rsidR="005A6E19">
        <w:rPr>
          <w:rFonts w:cs="Times New Roman"/>
          <w:lang w:val="de-CH"/>
        </w:rPr>
        <w:t>–</w:t>
      </w:r>
      <w:r w:rsidR="00EF472C" w:rsidRPr="00091A98">
        <w:rPr>
          <w:rFonts w:cs="Times New Roman"/>
          <w:lang w:val="de-CH"/>
        </w:rPr>
        <w:t>230).</w:t>
      </w:r>
    </w:p>
    <w:p w14:paraId="64BA14A4" w14:textId="6C8E38D1"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Schattschneider, </w:t>
      </w:r>
      <w:r w:rsidR="00682BFA">
        <w:rPr>
          <w:rFonts w:cs="Times New Roman"/>
          <w:lang w:val="de-CH"/>
        </w:rPr>
        <w:t>E.</w:t>
      </w:r>
      <w:r w:rsidRPr="00091A98">
        <w:rPr>
          <w:rFonts w:cs="Times New Roman"/>
          <w:lang w:val="de-CH"/>
        </w:rPr>
        <w:t xml:space="preserve"> </w:t>
      </w:r>
      <w:r w:rsidR="00EF472C" w:rsidRPr="00091A98">
        <w:rPr>
          <w:rFonts w:cs="Times New Roman"/>
          <w:lang w:val="de-CH"/>
        </w:rPr>
        <w:t>(</w:t>
      </w:r>
      <w:r w:rsidRPr="00091A98">
        <w:rPr>
          <w:rFonts w:cs="Times New Roman"/>
          <w:lang w:val="de-CH"/>
        </w:rPr>
        <w:t>1960</w:t>
      </w:r>
      <w:r w:rsidR="00EF472C" w:rsidRPr="00091A98">
        <w:rPr>
          <w:rFonts w:cs="Times New Roman"/>
          <w:lang w:val="de-CH"/>
        </w:rPr>
        <w:t>)</w:t>
      </w:r>
      <w:r w:rsidRPr="00091A98">
        <w:rPr>
          <w:rFonts w:cs="Times New Roman"/>
          <w:lang w:val="de-CH"/>
        </w:rPr>
        <w:t xml:space="preserve">. </w:t>
      </w:r>
      <w:r w:rsidRPr="00091A98">
        <w:rPr>
          <w:rFonts w:cs="Times New Roman"/>
          <w:i/>
          <w:lang w:val="de-CH"/>
        </w:rPr>
        <w:t>The Semisovereign People</w:t>
      </w:r>
      <w:r w:rsidRPr="00091A98">
        <w:rPr>
          <w:rFonts w:cs="Times New Roman"/>
          <w:lang w:val="de-CH"/>
        </w:rPr>
        <w:t xml:space="preserve">. New York: Holt, Rinehart and Winston. </w:t>
      </w:r>
    </w:p>
    <w:p w14:paraId="51B6CBDE" w14:textId="2726ACC1"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Schelling, </w:t>
      </w:r>
      <w:r w:rsidR="00EF472C" w:rsidRPr="00091A98">
        <w:rPr>
          <w:rFonts w:cs="Times New Roman"/>
          <w:lang w:val="de-CH"/>
        </w:rPr>
        <w:t>T. (</w:t>
      </w:r>
      <w:r w:rsidRPr="00091A98">
        <w:rPr>
          <w:rFonts w:cs="Times New Roman"/>
          <w:lang w:val="de-CH"/>
        </w:rPr>
        <w:t>1960</w:t>
      </w:r>
      <w:r w:rsidR="00EF472C" w:rsidRPr="00091A98">
        <w:rPr>
          <w:rFonts w:cs="Times New Roman"/>
          <w:lang w:val="de-CH"/>
        </w:rPr>
        <w:t>)</w:t>
      </w:r>
      <w:r w:rsidRPr="00091A98">
        <w:rPr>
          <w:rFonts w:cs="Times New Roman"/>
          <w:lang w:val="de-CH"/>
        </w:rPr>
        <w:t xml:space="preserve">. </w:t>
      </w:r>
      <w:r w:rsidRPr="00091A98">
        <w:rPr>
          <w:rFonts w:cs="Times New Roman"/>
          <w:i/>
          <w:lang w:val="de-CH"/>
        </w:rPr>
        <w:t>The Stategy of Conflict</w:t>
      </w:r>
      <w:r w:rsidR="0056358E" w:rsidRPr="00091A98">
        <w:rPr>
          <w:rFonts w:cs="Times New Roman"/>
          <w:i/>
          <w:lang w:val="de-CH"/>
        </w:rPr>
        <w:t>.</w:t>
      </w:r>
      <w:r w:rsidRPr="00091A98">
        <w:rPr>
          <w:rFonts w:cs="Times New Roman"/>
          <w:i/>
          <w:lang w:val="de-CH"/>
        </w:rPr>
        <w:t xml:space="preserve"> </w:t>
      </w:r>
      <w:r w:rsidRPr="00091A98">
        <w:rPr>
          <w:rFonts w:cs="Times New Roman"/>
          <w:lang w:val="de-CH"/>
        </w:rPr>
        <w:t>Cambridge</w:t>
      </w:r>
      <w:r w:rsidR="0056358E" w:rsidRPr="00091A98">
        <w:rPr>
          <w:rFonts w:cs="Times New Roman"/>
          <w:lang w:val="de-CH"/>
        </w:rPr>
        <w:t>,</w:t>
      </w:r>
      <w:r w:rsidRPr="00091A98">
        <w:rPr>
          <w:rFonts w:cs="Times New Roman"/>
          <w:lang w:val="de-CH"/>
        </w:rPr>
        <w:t xml:space="preserve"> London: Harvard University Press. </w:t>
      </w:r>
    </w:p>
    <w:p w14:paraId="6CB7D9E3" w14:textId="460FB7B3"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Schlozman, </w:t>
      </w:r>
      <w:r w:rsidR="0056358E" w:rsidRPr="00091A98">
        <w:rPr>
          <w:rFonts w:cs="Times New Roman"/>
          <w:lang w:val="de-CH"/>
        </w:rPr>
        <w:t xml:space="preserve">K. </w:t>
      </w:r>
      <w:r w:rsidRPr="00091A98">
        <w:rPr>
          <w:rFonts w:cs="Times New Roman"/>
          <w:lang w:val="de-CH"/>
        </w:rPr>
        <w:t xml:space="preserve">und </w:t>
      </w:r>
      <w:r w:rsidR="0056358E" w:rsidRPr="00091A98">
        <w:rPr>
          <w:rFonts w:cs="Times New Roman"/>
          <w:lang w:val="de-CH"/>
        </w:rPr>
        <w:t xml:space="preserve">J. </w:t>
      </w:r>
      <w:r w:rsidRPr="00091A98">
        <w:rPr>
          <w:rFonts w:cs="Times New Roman"/>
          <w:lang w:val="de-CH"/>
        </w:rPr>
        <w:t xml:space="preserve">Tierney </w:t>
      </w:r>
      <w:r w:rsidR="0056358E" w:rsidRPr="00091A98">
        <w:rPr>
          <w:rFonts w:cs="Times New Roman"/>
          <w:lang w:val="de-CH"/>
        </w:rPr>
        <w:t>(</w:t>
      </w:r>
      <w:r w:rsidRPr="00091A98">
        <w:rPr>
          <w:rFonts w:cs="Times New Roman"/>
          <w:lang w:val="de-CH"/>
        </w:rPr>
        <w:t>1986</w:t>
      </w:r>
      <w:r w:rsidR="0056358E" w:rsidRPr="00091A98">
        <w:rPr>
          <w:rFonts w:cs="Times New Roman"/>
          <w:lang w:val="de-CH"/>
        </w:rPr>
        <w:t>)</w:t>
      </w:r>
      <w:r w:rsidRPr="00091A98">
        <w:rPr>
          <w:rFonts w:cs="Times New Roman"/>
          <w:lang w:val="de-CH"/>
        </w:rPr>
        <w:t xml:space="preserve">. </w:t>
      </w:r>
      <w:r w:rsidRPr="00091A98">
        <w:rPr>
          <w:rFonts w:cs="Times New Roman"/>
          <w:i/>
          <w:lang w:val="de-CH"/>
        </w:rPr>
        <w:t>Organized Interests and American Democracy.</w:t>
      </w:r>
      <w:r w:rsidRPr="00091A98">
        <w:rPr>
          <w:rFonts w:cs="Times New Roman"/>
          <w:lang w:val="de-CH"/>
        </w:rPr>
        <w:t xml:space="preserve"> New York: Harper &amp; Row. </w:t>
      </w:r>
    </w:p>
    <w:p w14:paraId="498FAA70" w14:textId="70BC95E2" w:rsidR="00031126" w:rsidRPr="00091A98" w:rsidRDefault="00031126" w:rsidP="00031126">
      <w:pPr>
        <w:spacing w:line="360" w:lineRule="auto"/>
        <w:ind w:left="567" w:hanging="567"/>
        <w:rPr>
          <w:rFonts w:cs="Times New Roman"/>
          <w:lang w:val="de-CH"/>
        </w:rPr>
      </w:pPr>
      <w:r w:rsidRPr="00091A98">
        <w:rPr>
          <w:rFonts w:cs="Times New Roman"/>
          <w:lang w:val="de-CH"/>
        </w:rPr>
        <w:t xml:space="preserve">Schwabe (2009). </w:t>
      </w:r>
      <w:r w:rsidRPr="00091A98">
        <w:rPr>
          <w:rFonts w:cs="Times New Roman"/>
          <w:i/>
          <w:lang w:val="de-CH"/>
        </w:rPr>
        <w:t xml:space="preserve">Publicus 2010. Schweizer Jahrbuch des öffentlichen Lebens. </w:t>
      </w:r>
      <w:r w:rsidRPr="00091A98">
        <w:rPr>
          <w:rFonts w:cs="Times New Roman"/>
          <w:lang w:val="de-CH"/>
        </w:rPr>
        <w:t>Basel: Schwabe Basel.</w:t>
      </w:r>
    </w:p>
    <w:p w14:paraId="42E27F0B" w14:textId="008E8CF7" w:rsidR="00CA79CE" w:rsidRPr="00091A98" w:rsidRDefault="00682BFA" w:rsidP="00CA79CE">
      <w:pPr>
        <w:spacing w:line="360" w:lineRule="auto"/>
        <w:ind w:left="567" w:hanging="567"/>
        <w:rPr>
          <w:rFonts w:cs="Times New Roman"/>
          <w:lang w:val="de-CH"/>
        </w:rPr>
      </w:pPr>
      <w:r>
        <w:rPr>
          <w:rFonts w:cs="Times New Roman"/>
          <w:lang w:val="de-CH"/>
        </w:rPr>
        <w:t xml:space="preserve">Stewart, J. </w:t>
      </w:r>
      <w:r w:rsidR="00CA79CE" w:rsidRPr="00091A98">
        <w:rPr>
          <w:rFonts w:cs="Times New Roman"/>
          <w:lang w:val="de-CH"/>
        </w:rPr>
        <w:t xml:space="preserve">(1979). </w:t>
      </w:r>
      <w:r w:rsidR="00CA79CE" w:rsidRPr="00091A98">
        <w:rPr>
          <w:rFonts w:cs="Times New Roman"/>
          <w:i/>
          <w:lang w:val="de-CH"/>
        </w:rPr>
        <w:t xml:space="preserve">British pressure groups: Their role in relation to the House of Commons. </w:t>
      </w:r>
      <w:r w:rsidR="00CA79CE" w:rsidRPr="00091A98">
        <w:rPr>
          <w:rFonts w:cs="Times New Roman"/>
          <w:lang w:val="de-CH"/>
        </w:rPr>
        <w:t>Oxford: Greenwood Press.</w:t>
      </w:r>
    </w:p>
    <w:p w14:paraId="642EDC4A" w14:textId="77C28604"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Stigler, </w:t>
      </w:r>
      <w:r w:rsidR="0056358E" w:rsidRPr="00091A98">
        <w:rPr>
          <w:rFonts w:cs="Times New Roman"/>
          <w:lang w:val="de-CH"/>
        </w:rPr>
        <w:t>G. (</w:t>
      </w:r>
      <w:r w:rsidRPr="00091A98">
        <w:rPr>
          <w:rFonts w:cs="Times New Roman"/>
          <w:lang w:val="de-CH"/>
        </w:rPr>
        <w:t>1971</w:t>
      </w:r>
      <w:r w:rsidR="0056358E" w:rsidRPr="00091A98">
        <w:rPr>
          <w:rFonts w:cs="Times New Roman"/>
          <w:lang w:val="de-CH"/>
        </w:rPr>
        <w:t>)</w:t>
      </w:r>
      <w:r w:rsidRPr="00091A98">
        <w:rPr>
          <w:rFonts w:cs="Times New Roman"/>
          <w:lang w:val="de-CH"/>
        </w:rPr>
        <w:t xml:space="preserve">. The Theory of Economic Regulation. </w:t>
      </w:r>
      <w:r w:rsidRPr="00091A98">
        <w:rPr>
          <w:rFonts w:cs="Times New Roman"/>
          <w:i/>
          <w:lang w:val="de-CH"/>
        </w:rPr>
        <w:t xml:space="preserve">The Bell Journal of Economics and Management Science </w:t>
      </w:r>
      <w:r w:rsidRPr="00091A98">
        <w:rPr>
          <w:rFonts w:cs="Times New Roman"/>
          <w:lang w:val="de-CH"/>
        </w:rPr>
        <w:t>2</w:t>
      </w:r>
      <w:r w:rsidR="00BA3E61" w:rsidRPr="00091A98">
        <w:rPr>
          <w:rFonts w:cs="Times New Roman"/>
          <w:lang w:val="de-CH"/>
        </w:rPr>
        <w:t>(1)</w:t>
      </w:r>
      <w:r w:rsidRPr="00091A98">
        <w:rPr>
          <w:rFonts w:cs="Times New Roman"/>
          <w:lang w:val="de-CH"/>
        </w:rPr>
        <w:t>: 3</w:t>
      </w:r>
      <w:r w:rsidR="005A6E19">
        <w:rPr>
          <w:rFonts w:cs="Times New Roman"/>
          <w:lang w:val="de-CH"/>
        </w:rPr>
        <w:t>–</w:t>
      </w:r>
      <w:r w:rsidRPr="00091A98">
        <w:rPr>
          <w:rFonts w:cs="Times New Roman"/>
          <w:lang w:val="de-CH"/>
        </w:rPr>
        <w:t>21.</w:t>
      </w:r>
    </w:p>
    <w:p w14:paraId="74C5E26A" w14:textId="6F97D955"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Tanzi, </w:t>
      </w:r>
      <w:r w:rsidR="00BA3E61" w:rsidRPr="00091A98">
        <w:rPr>
          <w:rFonts w:cs="Times New Roman"/>
          <w:lang w:val="de-CH"/>
        </w:rPr>
        <w:t xml:space="preserve">V. </w:t>
      </w:r>
      <w:r w:rsidRPr="00091A98">
        <w:rPr>
          <w:rFonts w:cs="Times New Roman"/>
          <w:lang w:val="de-CH"/>
        </w:rPr>
        <w:t xml:space="preserve">und </w:t>
      </w:r>
      <w:r w:rsidR="00BA3E61" w:rsidRPr="00091A98">
        <w:rPr>
          <w:rFonts w:cs="Times New Roman"/>
          <w:lang w:val="de-CH"/>
        </w:rPr>
        <w:t xml:space="preserve">L. </w:t>
      </w:r>
      <w:r w:rsidRPr="00091A98">
        <w:rPr>
          <w:rFonts w:cs="Times New Roman"/>
          <w:lang w:val="de-CH"/>
        </w:rPr>
        <w:t xml:space="preserve">Schuknecht </w:t>
      </w:r>
      <w:r w:rsidR="00BA3E61" w:rsidRPr="00091A98">
        <w:rPr>
          <w:rFonts w:cs="Times New Roman"/>
          <w:lang w:val="de-CH"/>
        </w:rPr>
        <w:t>(</w:t>
      </w:r>
      <w:r w:rsidRPr="00091A98">
        <w:rPr>
          <w:rFonts w:cs="Times New Roman"/>
          <w:lang w:val="de-CH"/>
        </w:rPr>
        <w:t>2000</w:t>
      </w:r>
      <w:r w:rsidR="00BA3E61" w:rsidRPr="00091A98">
        <w:rPr>
          <w:rFonts w:cs="Times New Roman"/>
          <w:lang w:val="de-CH"/>
        </w:rPr>
        <w:t>)</w:t>
      </w:r>
      <w:r w:rsidRPr="00091A98">
        <w:rPr>
          <w:rFonts w:cs="Times New Roman"/>
          <w:lang w:val="de-CH"/>
        </w:rPr>
        <w:t xml:space="preserve">. </w:t>
      </w:r>
      <w:r w:rsidRPr="00091A98">
        <w:rPr>
          <w:rFonts w:cs="Times New Roman"/>
          <w:i/>
          <w:lang w:val="de-CH"/>
        </w:rPr>
        <w:t>Public Spending in the 20th Century: A Global Perspective.</w:t>
      </w:r>
      <w:r w:rsidRPr="00091A98">
        <w:rPr>
          <w:rFonts w:cs="Times New Roman"/>
          <w:lang w:val="de-CH"/>
        </w:rPr>
        <w:t xml:space="preserve"> Cambridge: Cambridge University Press. </w:t>
      </w:r>
    </w:p>
    <w:p w14:paraId="668BED0C" w14:textId="282E60B8"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Thrall, </w:t>
      </w:r>
      <w:r w:rsidR="00BA3E61" w:rsidRPr="00091A98">
        <w:rPr>
          <w:rFonts w:cs="Times New Roman"/>
          <w:lang w:val="de-CH"/>
        </w:rPr>
        <w:t>T</w:t>
      </w:r>
      <w:r w:rsidRPr="00091A98">
        <w:rPr>
          <w:rFonts w:cs="Times New Roman"/>
          <w:lang w:val="de-CH"/>
        </w:rPr>
        <w:t xml:space="preserve">. </w:t>
      </w:r>
      <w:r w:rsidR="00BA3E61" w:rsidRPr="00091A98">
        <w:rPr>
          <w:rFonts w:cs="Times New Roman"/>
          <w:lang w:val="de-CH"/>
        </w:rPr>
        <w:t>(</w:t>
      </w:r>
      <w:r w:rsidRPr="00091A98">
        <w:rPr>
          <w:rFonts w:cs="Times New Roman"/>
          <w:lang w:val="de-CH"/>
        </w:rPr>
        <w:t>2006</w:t>
      </w:r>
      <w:r w:rsidR="00BA3E61" w:rsidRPr="00091A98">
        <w:rPr>
          <w:rFonts w:cs="Times New Roman"/>
          <w:lang w:val="de-CH"/>
        </w:rPr>
        <w:t>)</w:t>
      </w:r>
      <w:r w:rsidRPr="00091A98">
        <w:rPr>
          <w:rFonts w:cs="Times New Roman"/>
          <w:lang w:val="de-CH"/>
        </w:rPr>
        <w:t xml:space="preserve">. The Myth of the Outside Strategy: Mass Media News Coverage of Interest Groups. </w:t>
      </w:r>
      <w:r w:rsidRPr="00091A98">
        <w:rPr>
          <w:rFonts w:cs="Times New Roman"/>
          <w:i/>
          <w:lang w:val="de-CH"/>
        </w:rPr>
        <w:t>Political Communication</w:t>
      </w:r>
      <w:r w:rsidRPr="00091A98">
        <w:rPr>
          <w:rFonts w:cs="Times New Roman"/>
          <w:lang w:val="de-CH"/>
        </w:rPr>
        <w:t xml:space="preserve"> 23</w:t>
      </w:r>
      <w:r w:rsidR="00BA3E61" w:rsidRPr="00091A98">
        <w:rPr>
          <w:rFonts w:cs="Times New Roman"/>
          <w:lang w:val="de-CH"/>
        </w:rPr>
        <w:t>(4):</w:t>
      </w:r>
      <w:r w:rsidRPr="00091A98">
        <w:rPr>
          <w:rFonts w:cs="Times New Roman"/>
          <w:lang w:val="de-CH"/>
        </w:rPr>
        <w:t xml:space="preserve"> 407</w:t>
      </w:r>
      <w:r w:rsidR="005A6E19">
        <w:rPr>
          <w:rFonts w:cs="Times New Roman"/>
          <w:lang w:val="de-CH"/>
        </w:rPr>
        <w:t>–</w:t>
      </w:r>
      <w:r w:rsidRPr="00091A98">
        <w:rPr>
          <w:rFonts w:cs="Times New Roman"/>
          <w:lang w:val="de-CH"/>
        </w:rPr>
        <w:t>420.</w:t>
      </w:r>
    </w:p>
    <w:p w14:paraId="2111DEF8" w14:textId="653FAB26" w:rsidR="009F5188" w:rsidRPr="00091A98" w:rsidRDefault="009F5188" w:rsidP="009F5188">
      <w:pPr>
        <w:spacing w:line="360" w:lineRule="auto"/>
        <w:ind w:left="567" w:hanging="567"/>
        <w:rPr>
          <w:rFonts w:cs="Times New Roman"/>
          <w:lang w:val="de-CH"/>
        </w:rPr>
      </w:pPr>
      <w:r w:rsidRPr="00091A98">
        <w:rPr>
          <w:rFonts w:cs="Times New Roman"/>
          <w:lang w:val="de-CH"/>
        </w:rPr>
        <w:lastRenderedPageBreak/>
        <w:t xml:space="preserve">Truman, </w:t>
      </w:r>
      <w:r w:rsidR="00BA3E61" w:rsidRPr="00091A98">
        <w:rPr>
          <w:rFonts w:cs="Times New Roman"/>
          <w:lang w:val="de-CH"/>
        </w:rPr>
        <w:t>C</w:t>
      </w:r>
      <w:r w:rsidRPr="00091A98">
        <w:rPr>
          <w:rFonts w:cs="Times New Roman"/>
          <w:lang w:val="de-CH"/>
        </w:rPr>
        <w:t xml:space="preserve">. </w:t>
      </w:r>
      <w:r w:rsidR="00BA3E61" w:rsidRPr="00091A98">
        <w:rPr>
          <w:rFonts w:cs="Times New Roman"/>
          <w:lang w:val="de-CH"/>
        </w:rPr>
        <w:t>(</w:t>
      </w:r>
      <w:r w:rsidRPr="00091A98">
        <w:rPr>
          <w:rFonts w:cs="Times New Roman"/>
          <w:lang w:val="de-CH"/>
        </w:rPr>
        <w:t>1951</w:t>
      </w:r>
      <w:r w:rsidR="00BA3E61" w:rsidRPr="00091A98">
        <w:rPr>
          <w:rFonts w:cs="Times New Roman"/>
          <w:lang w:val="de-CH"/>
        </w:rPr>
        <w:t>)</w:t>
      </w:r>
      <w:r w:rsidRPr="00091A98">
        <w:rPr>
          <w:rFonts w:cs="Times New Roman"/>
          <w:lang w:val="de-CH"/>
        </w:rPr>
        <w:t xml:space="preserve">. The </w:t>
      </w:r>
      <w:r w:rsidRPr="00091A98">
        <w:rPr>
          <w:rFonts w:cs="Times New Roman"/>
          <w:i/>
          <w:lang w:val="de-CH"/>
        </w:rPr>
        <w:t>Governmental Process. Political Interests and Public Opinion.</w:t>
      </w:r>
      <w:r w:rsidRPr="00091A98">
        <w:rPr>
          <w:rFonts w:cs="Times New Roman"/>
          <w:lang w:val="de-CH"/>
        </w:rPr>
        <w:t xml:space="preserve"> Westport: Greenwood Press. </w:t>
      </w:r>
    </w:p>
    <w:p w14:paraId="45A3A25D" w14:textId="7C9C40AF"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Walker, </w:t>
      </w:r>
      <w:r w:rsidR="00BA3E61" w:rsidRPr="00091A98">
        <w:rPr>
          <w:rFonts w:cs="Times New Roman"/>
          <w:lang w:val="de-CH"/>
        </w:rPr>
        <w:t>J. (</w:t>
      </w:r>
      <w:r w:rsidRPr="00091A98">
        <w:rPr>
          <w:rFonts w:cs="Times New Roman"/>
          <w:lang w:val="de-CH"/>
        </w:rPr>
        <w:t>1991</w:t>
      </w:r>
      <w:r w:rsidR="00BA3E61" w:rsidRPr="00091A98">
        <w:rPr>
          <w:rFonts w:cs="Times New Roman"/>
          <w:lang w:val="de-CH"/>
        </w:rPr>
        <w:t>)</w:t>
      </w:r>
      <w:r w:rsidRPr="00091A98">
        <w:rPr>
          <w:rFonts w:cs="Times New Roman"/>
          <w:lang w:val="de-CH"/>
        </w:rPr>
        <w:t xml:space="preserve">. </w:t>
      </w:r>
      <w:r w:rsidRPr="00091A98">
        <w:rPr>
          <w:rFonts w:cs="Times New Roman"/>
          <w:i/>
          <w:lang w:val="de-CH"/>
        </w:rPr>
        <w:t>Mobilizing interest groups in America: Patrons, professions, and social movements.</w:t>
      </w:r>
      <w:r w:rsidRPr="00091A98">
        <w:rPr>
          <w:rFonts w:cs="Times New Roman"/>
          <w:lang w:val="de-CH"/>
        </w:rPr>
        <w:t xml:space="preserve"> Ann Arbor: University of Michigan Press. </w:t>
      </w:r>
    </w:p>
    <w:p w14:paraId="3198B48F" w14:textId="116A8146" w:rsidR="009F5188" w:rsidRPr="00091A98" w:rsidRDefault="009F5188" w:rsidP="009F5188">
      <w:pPr>
        <w:spacing w:line="360" w:lineRule="auto"/>
        <w:ind w:left="567" w:hanging="567"/>
        <w:rPr>
          <w:rFonts w:cs="Times New Roman"/>
          <w:lang w:val="de-CH"/>
        </w:rPr>
      </w:pPr>
      <w:r w:rsidRPr="00091A98">
        <w:rPr>
          <w:rFonts w:cs="Times New Roman"/>
          <w:lang w:val="de-CH"/>
        </w:rPr>
        <w:t xml:space="preserve">Wilson, </w:t>
      </w:r>
      <w:r w:rsidR="00BA3E61" w:rsidRPr="00091A98">
        <w:rPr>
          <w:rFonts w:cs="Times New Roman"/>
          <w:lang w:val="de-CH"/>
        </w:rPr>
        <w:t>J. (</w:t>
      </w:r>
      <w:r w:rsidRPr="00091A98">
        <w:rPr>
          <w:rFonts w:cs="Times New Roman"/>
          <w:lang w:val="de-CH"/>
        </w:rPr>
        <w:t>1974</w:t>
      </w:r>
      <w:r w:rsidR="00BA3E61" w:rsidRPr="00091A98">
        <w:rPr>
          <w:rFonts w:cs="Times New Roman"/>
          <w:lang w:val="de-CH"/>
        </w:rPr>
        <w:t>)</w:t>
      </w:r>
      <w:r w:rsidRPr="00091A98">
        <w:rPr>
          <w:rFonts w:cs="Times New Roman"/>
          <w:lang w:val="de-CH"/>
        </w:rPr>
        <w:t xml:space="preserve">. </w:t>
      </w:r>
      <w:r w:rsidRPr="00091A98">
        <w:rPr>
          <w:rFonts w:cs="Times New Roman"/>
          <w:i/>
          <w:lang w:val="de-CH"/>
        </w:rPr>
        <w:t>Political organizations.</w:t>
      </w:r>
      <w:r w:rsidRPr="00091A98">
        <w:rPr>
          <w:rFonts w:cs="Times New Roman"/>
          <w:lang w:val="de-CH"/>
        </w:rPr>
        <w:t xml:space="preserve"> Princeton: Princeton University Press. </w:t>
      </w:r>
    </w:p>
    <w:p w14:paraId="6131E99B" w14:textId="75CEB887" w:rsidR="00A459C0" w:rsidRPr="00091A98" w:rsidRDefault="00A459C0" w:rsidP="009F5188">
      <w:pPr>
        <w:spacing w:line="360" w:lineRule="auto"/>
        <w:ind w:left="567" w:hanging="567"/>
        <w:rPr>
          <w:rFonts w:cs="Times New Roman"/>
          <w:i/>
          <w:lang w:val="de-CH"/>
        </w:rPr>
      </w:pPr>
      <w:r w:rsidRPr="00091A98">
        <w:rPr>
          <w:rFonts w:cs="Times New Roman"/>
          <w:lang w:val="de-CH"/>
        </w:rPr>
        <w:t xml:space="preserve">Weiler, </w:t>
      </w:r>
      <w:r w:rsidR="00086D2A" w:rsidRPr="00091A98">
        <w:rPr>
          <w:rFonts w:cs="Times New Roman"/>
          <w:lang w:val="de-CH"/>
        </w:rPr>
        <w:t>F.</w:t>
      </w:r>
      <w:r w:rsidRPr="00091A98">
        <w:rPr>
          <w:rFonts w:cs="Times New Roman"/>
          <w:lang w:val="de-CH"/>
        </w:rPr>
        <w:t xml:space="preserve"> und </w:t>
      </w:r>
      <w:r w:rsidR="00086D2A" w:rsidRPr="00091A98">
        <w:rPr>
          <w:rFonts w:cs="Times New Roman"/>
          <w:lang w:val="de-CH"/>
        </w:rPr>
        <w:t>M.</w:t>
      </w:r>
      <w:r w:rsidRPr="00091A98">
        <w:rPr>
          <w:rFonts w:cs="Times New Roman"/>
          <w:lang w:val="de-CH"/>
        </w:rPr>
        <w:t xml:space="preserve"> Brändli</w:t>
      </w:r>
      <w:r w:rsidR="00FE46E2" w:rsidRPr="00091A98">
        <w:rPr>
          <w:rFonts w:cs="Times New Roman"/>
          <w:lang w:val="de-CH"/>
        </w:rPr>
        <w:t xml:space="preserve"> (im Druck). Inside versus outside lobbying: How the Institutional Framework Shapes the Lobby</w:t>
      </w:r>
      <w:r w:rsidR="00E81342" w:rsidRPr="00091A98">
        <w:rPr>
          <w:rFonts w:cs="Times New Roman"/>
          <w:lang w:val="de-CH"/>
        </w:rPr>
        <w:t xml:space="preserve">ing Behavior of Interest Groups. </w:t>
      </w:r>
      <w:r w:rsidR="00E81342" w:rsidRPr="00091A98">
        <w:rPr>
          <w:rFonts w:cs="Times New Roman"/>
          <w:i/>
          <w:lang w:val="de-CH"/>
        </w:rPr>
        <w:t>European Journal of Political Research.</w:t>
      </w:r>
    </w:p>
    <w:p w14:paraId="4A53A592" w14:textId="477FD2A7" w:rsidR="009F5188" w:rsidRPr="00091A98" w:rsidRDefault="009F5188" w:rsidP="009F5188">
      <w:pPr>
        <w:spacing w:line="360" w:lineRule="auto"/>
        <w:rPr>
          <w:rFonts w:cs="Times New Roman"/>
          <w:lang w:val="de-CH"/>
        </w:rPr>
      </w:pPr>
      <w:r w:rsidRPr="00091A98">
        <w:rPr>
          <w:rFonts w:cs="Times New Roman"/>
          <w:lang w:val="de-CH"/>
        </w:rPr>
        <w:t xml:space="preserve">Wonka, </w:t>
      </w:r>
      <w:r w:rsidR="004B6F92" w:rsidRPr="00091A98">
        <w:rPr>
          <w:rFonts w:cs="Times New Roman"/>
          <w:lang w:val="de-CH"/>
        </w:rPr>
        <w:t>A.</w:t>
      </w:r>
      <w:r w:rsidRPr="00091A98">
        <w:rPr>
          <w:rFonts w:cs="Times New Roman"/>
          <w:lang w:val="de-CH"/>
        </w:rPr>
        <w:t xml:space="preserve">, </w:t>
      </w:r>
      <w:r w:rsidR="004B6F92" w:rsidRPr="00091A98">
        <w:rPr>
          <w:rFonts w:cs="Times New Roman"/>
          <w:lang w:val="de-CH"/>
        </w:rPr>
        <w:t xml:space="preserve">F. </w:t>
      </w:r>
      <w:r w:rsidRPr="00091A98">
        <w:rPr>
          <w:rFonts w:cs="Times New Roman"/>
          <w:lang w:val="de-CH"/>
        </w:rPr>
        <w:t xml:space="preserve">Baumgartner, </w:t>
      </w:r>
      <w:r w:rsidR="004B6F92" w:rsidRPr="00091A98">
        <w:rPr>
          <w:rFonts w:cs="Times New Roman"/>
          <w:lang w:val="de-CH"/>
        </w:rPr>
        <w:t xml:space="preserve">C. </w:t>
      </w:r>
      <w:r w:rsidRPr="00091A98">
        <w:rPr>
          <w:rFonts w:cs="Times New Roman"/>
          <w:lang w:val="de-CH"/>
        </w:rPr>
        <w:t xml:space="preserve">Mahoney und </w:t>
      </w:r>
      <w:r w:rsidR="004B6F92" w:rsidRPr="00091A98">
        <w:rPr>
          <w:rFonts w:cs="Times New Roman"/>
          <w:lang w:val="de-CH"/>
        </w:rPr>
        <w:t xml:space="preserve">J. </w:t>
      </w:r>
      <w:r w:rsidRPr="00091A98">
        <w:rPr>
          <w:rFonts w:cs="Times New Roman"/>
          <w:lang w:val="de-CH"/>
        </w:rPr>
        <w:t xml:space="preserve">Berkhout </w:t>
      </w:r>
      <w:r w:rsidR="004B6F92" w:rsidRPr="00091A98">
        <w:rPr>
          <w:rFonts w:cs="Times New Roman"/>
          <w:lang w:val="de-CH"/>
        </w:rPr>
        <w:t>(</w:t>
      </w:r>
      <w:r w:rsidRPr="00091A98">
        <w:rPr>
          <w:rFonts w:cs="Times New Roman"/>
          <w:lang w:val="de-CH"/>
        </w:rPr>
        <w:t>2010</w:t>
      </w:r>
      <w:r w:rsidR="004B6F92" w:rsidRPr="00091A98">
        <w:rPr>
          <w:rFonts w:cs="Times New Roman"/>
          <w:lang w:val="de-CH"/>
        </w:rPr>
        <w:t>)</w:t>
      </w:r>
      <w:r w:rsidRPr="00091A98">
        <w:rPr>
          <w:rFonts w:cs="Times New Roman"/>
          <w:lang w:val="de-CH"/>
        </w:rPr>
        <w:t xml:space="preserve">. Measuring the Size and Scope of the EU Interest Group Population. </w:t>
      </w:r>
      <w:r w:rsidRPr="00091A98">
        <w:rPr>
          <w:rFonts w:cs="Times New Roman"/>
          <w:i/>
          <w:lang w:val="de-CH"/>
        </w:rPr>
        <w:t xml:space="preserve">European Union Politics </w:t>
      </w:r>
      <w:r w:rsidRPr="00091A98">
        <w:rPr>
          <w:rFonts w:cs="Times New Roman"/>
          <w:lang w:val="de-CH"/>
        </w:rPr>
        <w:t>11</w:t>
      </w:r>
      <w:r w:rsidR="004B6F92" w:rsidRPr="00091A98">
        <w:rPr>
          <w:rFonts w:cs="Times New Roman"/>
          <w:lang w:val="de-CH"/>
        </w:rPr>
        <w:t>(3)</w:t>
      </w:r>
      <w:r w:rsidRPr="00091A98">
        <w:rPr>
          <w:rFonts w:cs="Times New Roman"/>
          <w:lang w:val="de-CH"/>
        </w:rPr>
        <w:t>: 463</w:t>
      </w:r>
      <w:r w:rsidR="00416166">
        <w:rPr>
          <w:rFonts w:cs="Times New Roman"/>
          <w:lang w:val="de-CH"/>
        </w:rPr>
        <w:t>–</w:t>
      </w:r>
      <w:r w:rsidRPr="00091A98">
        <w:rPr>
          <w:rFonts w:cs="Times New Roman"/>
          <w:lang w:val="de-CH"/>
        </w:rPr>
        <w:t>476.</w:t>
      </w:r>
    </w:p>
    <w:p w14:paraId="0603A0CB" w14:textId="77777777" w:rsidR="009F5188" w:rsidRPr="00091A98" w:rsidRDefault="009F5188" w:rsidP="009F5188">
      <w:pPr>
        <w:spacing w:line="360" w:lineRule="auto"/>
        <w:rPr>
          <w:rFonts w:cs="Times New Roman"/>
          <w:lang w:val="de-CH"/>
        </w:rPr>
      </w:pPr>
    </w:p>
    <w:p w14:paraId="543C3B8D" w14:textId="77777777" w:rsidR="009F5188" w:rsidRPr="00091A98" w:rsidRDefault="009F5188" w:rsidP="009F5188">
      <w:pPr>
        <w:spacing w:line="360" w:lineRule="auto"/>
        <w:rPr>
          <w:rFonts w:cs="Times New Roman"/>
          <w:lang w:val="de-CH"/>
        </w:rPr>
      </w:pPr>
    </w:p>
    <w:p w14:paraId="25C565B8" w14:textId="41052802" w:rsidR="00EF7448" w:rsidRPr="00091A98" w:rsidRDefault="00EF7448" w:rsidP="009F5188">
      <w:pPr>
        <w:spacing w:line="360" w:lineRule="auto"/>
        <w:rPr>
          <w:rFonts w:cs="Times New Roman"/>
          <w:lang w:val="de-CH"/>
        </w:rPr>
      </w:pPr>
    </w:p>
    <w:p w14:paraId="0E772C30" w14:textId="77777777" w:rsidR="00EF7448" w:rsidRPr="00091A98" w:rsidRDefault="00EF7448" w:rsidP="00EF7448">
      <w:pPr>
        <w:rPr>
          <w:rFonts w:cs="Times New Roman"/>
          <w:lang w:val="de-CH"/>
        </w:rPr>
      </w:pPr>
    </w:p>
    <w:p w14:paraId="1393BD0D" w14:textId="77777777" w:rsidR="00EF7448" w:rsidRPr="00091A98" w:rsidRDefault="00EF7448" w:rsidP="00EF7448">
      <w:pPr>
        <w:rPr>
          <w:rFonts w:cs="Times New Roman"/>
          <w:lang w:val="de-CH"/>
        </w:rPr>
      </w:pPr>
    </w:p>
    <w:p w14:paraId="0F039B2E" w14:textId="77777777" w:rsidR="00EF7448" w:rsidRPr="00091A98" w:rsidRDefault="00EF7448" w:rsidP="00EF7448">
      <w:pPr>
        <w:rPr>
          <w:rFonts w:cs="Times New Roman"/>
          <w:lang w:val="de-CH"/>
        </w:rPr>
      </w:pPr>
    </w:p>
    <w:p w14:paraId="71901369" w14:textId="77777777" w:rsidR="00EF7448" w:rsidRPr="00091A98" w:rsidRDefault="00EF7448" w:rsidP="00EF7448">
      <w:pPr>
        <w:rPr>
          <w:rFonts w:cs="Times New Roman"/>
          <w:lang w:val="de-CH"/>
        </w:rPr>
      </w:pPr>
    </w:p>
    <w:p w14:paraId="6A1A6739" w14:textId="77777777" w:rsidR="00EF7448" w:rsidRPr="00091A98" w:rsidRDefault="00EF7448" w:rsidP="00EF7448">
      <w:pPr>
        <w:rPr>
          <w:rFonts w:cs="Times New Roman"/>
          <w:lang w:val="de-CH"/>
        </w:rPr>
      </w:pPr>
    </w:p>
    <w:p w14:paraId="46CC8547" w14:textId="77777777" w:rsidR="00EF7448" w:rsidRPr="00091A98" w:rsidRDefault="00EF7448" w:rsidP="00EF7448">
      <w:pPr>
        <w:rPr>
          <w:rFonts w:cs="Times New Roman"/>
          <w:lang w:val="de-CH"/>
        </w:rPr>
      </w:pPr>
    </w:p>
    <w:p w14:paraId="400C427F" w14:textId="77777777" w:rsidR="00EF7448" w:rsidRPr="00091A98" w:rsidRDefault="00EF7448" w:rsidP="00EF7448">
      <w:pPr>
        <w:rPr>
          <w:rFonts w:cs="Times New Roman"/>
          <w:lang w:val="de-CH"/>
        </w:rPr>
      </w:pPr>
    </w:p>
    <w:p w14:paraId="4583F79F" w14:textId="77777777" w:rsidR="00EF7448" w:rsidRPr="00091A98" w:rsidRDefault="00EF7448" w:rsidP="00EF7448">
      <w:pPr>
        <w:rPr>
          <w:rFonts w:cs="Times New Roman"/>
          <w:lang w:val="de-CH"/>
        </w:rPr>
      </w:pPr>
    </w:p>
    <w:p w14:paraId="34A98748" w14:textId="77777777" w:rsidR="00EF7448" w:rsidRPr="00091A98" w:rsidRDefault="00EF7448" w:rsidP="00EF7448">
      <w:pPr>
        <w:rPr>
          <w:rFonts w:cs="Times New Roman"/>
          <w:lang w:val="de-CH"/>
        </w:rPr>
      </w:pPr>
    </w:p>
    <w:p w14:paraId="2E2ED06A" w14:textId="77777777" w:rsidR="00EF7448" w:rsidRPr="00091A98" w:rsidRDefault="00EF7448" w:rsidP="00EF7448">
      <w:pPr>
        <w:rPr>
          <w:rFonts w:cs="Times New Roman"/>
          <w:lang w:val="de-CH"/>
        </w:rPr>
      </w:pPr>
    </w:p>
    <w:p w14:paraId="3AEC0232" w14:textId="77777777" w:rsidR="00EF7448" w:rsidRPr="00091A98" w:rsidRDefault="00EF7448" w:rsidP="00EF7448">
      <w:pPr>
        <w:rPr>
          <w:rFonts w:cs="Times New Roman"/>
          <w:lang w:val="de-CH"/>
        </w:rPr>
      </w:pPr>
    </w:p>
    <w:p w14:paraId="7251A42D" w14:textId="77777777" w:rsidR="00EF7448" w:rsidRPr="00091A98" w:rsidRDefault="00EF7448" w:rsidP="00EF7448">
      <w:pPr>
        <w:rPr>
          <w:rFonts w:cs="Times New Roman"/>
          <w:lang w:val="de-CH"/>
        </w:rPr>
      </w:pPr>
    </w:p>
    <w:p w14:paraId="3FEFA82A" w14:textId="77777777" w:rsidR="00EF7448" w:rsidRPr="00091A98" w:rsidRDefault="00EF7448" w:rsidP="00EF7448">
      <w:pPr>
        <w:rPr>
          <w:rFonts w:cs="Times New Roman"/>
          <w:lang w:val="de-CH"/>
        </w:rPr>
      </w:pPr>
    </w:p>
    <w:p w14:paraId="7DDCB275" w14:textId="68132EF8" w:rsidR="00EF7448" w:rsidRPr="00091A98" w:rsidRDefault="00EF7448" w:rsidP="00EF7448">
      <w:pPr>
        <w:rPr>
          <w:rFonts w:cs="Times New Roman"/>
          <w:lang w:val="de-CH"/>
        </w:rPr>
      </w:pPr>
    </w:p>
    <w:p w14:paraId="338EDD56" w14:textId="77777777" w:rsidR="00AD66D0" w:rsidRPr="00091A98" w:rsidRDefault="00AD66D0" w:rsidP="00EF7448">
      <w:pPr>
        <w:tabs>
          <w:tab w:val="left" w:pos="6647"/>
        </w:tabs>
        <w:rPr>
          <w:rFonts w:cs="Times New Roman"/>
          <w:lang w:val="de-CH"/>
        </w:rPr>
      </w:pPr>
    </w:p>
    <w:p w14:paraId="0ACDE99D" w14:textId="77777777" w:rsidR="00AD66D0" w:rsidRPr="00091A98" w:rsidRDefault="00AD66D0" w:rsidP="00EF7448">
      <w:pPr>
        <w:tabs>
          <w:tab w:val="left" w:pos="6647"/>
        </w:tabs>
        <w:rPr>
          <w:rFonts w:cs="Times New Roman"/>
          <w:lang w:val="de-CH"/>
        </w:rPr>
      </w:pPr>
    </w:p>
    <w:p w14:paraId="1887D673" w14:textId="77777777" w:rsidR="00AD66D0" w:rsidRPr="00091A98" w:rsidRDefault="00AD66D0" w:rsidP="00EF7448">
      <w:pPr>
        <w:tabs>
          <w:tab w:val="left" w:pos="6647"/>
        </w:tabs>
        <w:rPr>
          <w:rFonts w:cs="Times New Roman"/>
          <w:lang w:val="de-CH"/>
        </w:rPr>
      </w:pPr>
    </w:p>
    <w:p w14:paraId="2E3AA5E9" w14:textId="77777777" w:rsidR="00AD66D0" w:rsidRPr="00091A98" w:rsidRDefault="00AD66D0" w:rsidP="00EF7448">
      <w:pPr>
        <w:tabs>
          <w:tab w:val="left" w:pos="6647"/>
        </w:tabs>
        <w:rPr>
          <w:rFonts w:cs="Times New Roman"/>
          <w:lang w:val="de-CH"/>
        </w:rPr>
      </w:pPr>
    </w:p>
    <w:p w14:paraId="1AFBB4F6" w14:textId="77777777" w:rsidR="00AD66D0" w:rsidRPr="00091A98" w:rsidRDefault="00AD66D0" w:rsidP="00EF7448">
      <w:pPr>
        <w:tabs>
          <w:tab w:val="left" w:pos="6647"/>
        </w:tabs>
        <w:rPr>
          <w:rFonts w:cs="Times New Roman"/>
          <w:lang w:val="de-CH"/>
        </w:rPr>
      </w:pPr>
    </w:p>
    <w:p w14:paraId="455A08A0" w14:textId="77777777" w:rsidR="00AD66D0" w:rsidRPr="00091A98" w:rsidRDefault="00AD66D0" w:rsidP="00EF7448">
      <w:pPr>
        <w:tabs>
          <w:tab w:val="left" w:pos="6647"/>
        </w:tabs>
        <w:rPr>
          <w:rFonts w:cs="Times New Roman"/>
          <w:lang w:val="de-CH"/>
        </w:rPr>
      </w:pPr>
    </w:p>
    <w:p w14:paraId="2A09B200" w14:textId="77777777" w:rsidR="00AD66D0" w:rsidRPr="00091A98" w:rsidRDefault="00AD66D0" w:rsidP="00EF7448">
      <w:pPr>
        <w:tabs>
          <w:tab w:val="left" w:pos="6647"/>
        </w:tabs>
        <w:rPr>
          <w:rFonts w:cs="Times New Roman"/>
          <w:lang w:val="de-CH"/>
        </w:rPr>
      </w:pPr>
    </w:p>
    <w:p w14:paraId="50FE759A" w14:textId="77777777" w:rsidR="00AD66D0" w:rsidRDefault="00AD66D0" w:rsidP="00EF7448">
      <w:pPr>
        <w:tabs>
          <w:tab w:val="left" w:pos="6647"/>
        </w:tabs>
        <w:rPr>
          <w:rFonts w:cs="Times New Roman"/>
          <w:lang w:val="de-CH"/>
        </w:rPr>
      </w:pPr>
    </w:p>
    <w:p w14:paraId="0DC13C58" w14:textId="77777777" w:rsidR="00ED7052" w:rsidRDefault="00ED7052" w:rsidP="00EF7448">
      <w:pPr>
        <w:tabs>
          <w:tab w:val="left" w:pos="6647"/>
        </w:tabs>
        <w:rPr>
          <w:rFonts w:cs="Times New Roman"/>
          <w:lang w:val="de-CH"/>
        </w:rPr>
      </w:pPr>
    </w:p>
    <w:p w14:paraId="4934B01E" w14:textId="77777777" w:rsidR="00ED7052" w:rsidRDefault="00ED7052" w:rsidP="00EF7448">
      <w:pPr>
        <w:tabs>
          <w:tab w:val="left" w:pos="6647"/>
        </w:tabs>
        <w:rPr>
          <w:rFonts w:cs="Times New Roman"/>
          <w:lang w:val="de-CH"/>
        </w:rPr>
      </w:pPr>
    </w:p>
    <w:p w14:paraId="055558ED" w14:textId="77777777" w:rsidR="00ED7052" w:rsidRDefault="00ED7052" w:rsidP="00EF7448">
      <w:pPr>
        <w:tabs>
          <w:tab w:val="left" w:pos="6647"/>
        </w:tabs>
        <w:rPr>
          <w:rFonts w:cs="Times New Roman"/>
          <w:lang w:val="de-CH"/>
        </w:rPr>
      </w:pPr>
    </w:p>
    <w:p w14:paraId="36413066" w14:textId="77777777" w:rsidR="00ED7052" w:rsidRDefault="00ED7052" w:rsidP="00EF7448">
      <w:pPr>
        <w:tabs>
          <w:tab w:val="left" w:pos="6647"/>
        </w:tabs>
        <w:rPr>
          <w:rFonts w:cs="Times New Roman"/>
          <w:lang w:val="de-CH"/>
        </w:rPr>
      </w:pPr>
    </w:p>
    <w:p w14:paraId="7DEA8AA6" w14:textId="77777777" w:rsidR="00ED7052" w:rsidRDefault="00ED7052" w:rsidP="00EF7448">
      <w:pPr>
        <w:tabs>
          <w:tab w:val="left" w:pos="6647"/>
        </w:tabs>
        <w:rPr>
          <w:rFonts w:cs="Times New Roman"/>
          <w:lang w:val="de-CH"/>
        </w:rPr>
      </w:pPr>
    </w:p>
    <w:p w14:paraId="29D5FB17" w14:textId="77777777" w:rsidR="00ED7052" w:rsidRPr="00091A98" w:rsidRDefault="00ED7052" w:rsidP="00EF7448">
      <w:pPr>
        <w:tabs>
          <w:tab w:val="left" w:pos="6647"/>
        </w:tabs>
        <w:rPr>
          <w:rFonts w:cs="Times New Roman"/>
          <w:lang w:val="de-CH"/>
        </w:rPr>
      </w:pPr>
    </w:p>
    <w:p w14:paraId="4CF27959" w14:textId="77777777" w:rsidR="00AD66D0" w:rsidRPr="00091A98" w:rsidRDefault="00AD66D0" w:rsidP="00EF7448">
      <w:pPr>
        <w:tabs>
          <w:tab w:val="left" w:pos="6647"/>
        </w:tabs>
        <w:rPr>
          <w:rFonts w:cs="Times New Roman"/>
          <w:lang w:val="de-CH"/>
        </w:rPr>
      </w:pPr>
    </w:p>
    <w:p w14:paraId="0D263476" w14:textId="77777777" w:rsidR="00AD66D0" w:rsidRPr="00091A98" w:rsidRDefault="00AD66D0" w:rsidP="00EF7448">
      <w:pPr>
        <w:tabs>
          <w:tab w:val="left" w:pos="6647"/>
        </w:tabs>
        <w:rPr>
          <w:rFonts w:cs="Times New Roman"/>
          <w:lang w:val="de-CH"/>
        </w:rPr>
      </w:pPr>
    </w:p>
    <w:p w14:paraId="0DB74047" w14:textId="77777777" w:rsidR="00AD66D0" w:rsidRPr="00091A98" w:rsidRDefault="00AD66D0" w:rsidP="00AD66D0">
      <w:pPr>
        <w:spacing w:line="360" w:lineRule="auto"/>
        <w:rPr>
          <w:rFonts w:cs="Times New Roman"/>
          <w:lang w:val="de-CH"/>
        </w:rPr>
      </w:pPr>
      <w:r w:rsidRPr="00091A98">
        <w:rPr>
          <w:rFonts w:cs="Times New Roman"/>
          <w:b/>
          <w:lang w:val="de-CH"/>
        </w:rPr>
        <w:lastRenderedPageBreak/>
        <w:t>Tabelle 1:</w:t>
      </w:r>
      <w:r w:rsidRPr="00091A98">
        <w:rPr>
          <w:rFonts w:cs="Times New Roman"/>
          <w:lang w:val="de-CH"/>
        </w:rPr>
        <w:t xml:space="preserve"> Faktorenanalyse</w:t>
      </w:r>
    </w:p>
    <w:tbl>
      <w:tblPr>
        <w:tblStyle w:val="HelleSchattierung"/>
        <w:tblW w:w="0" w:type="auto"/>
        <w:tblLayout w:type="fixed"/>
        <w:tblLook w:val="04A0" w:firstRow="1" w:lastRow="0" w:firstColumn="1" w:lastColumn="0" w:noHBand="0" w:noVBand="1"/>
      </w:tblPr>
      <w:tblGrid>
        <w:gridCol w:w="2660"/>
        <w:gridCol w:w="1776"/>
        <w:gridCol w:w="1701"/>
        <w:gridCol w:w="1985"/>
      </w:tblGrid>
      <w:tr w:rsidR="00AD66D0" w:rsidRPr="00091A98" w14:paraId="5918FAE5" w14:textId="77777777" w:rsidTr="00D06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nil"/>
            </w:tcBorders>
            <w:shd w:val="clear" w:color="auto" w:fill="auto"/>
          </w:tcPr>
          <w:p w14:paraId="4A299A1E" w14:textId="77777777" w:rsidR="00AD66D0" w:rsidRPr="00091A98" w:rsidRDefault="00AD66D0" w:rsidP="00AD66D0">
            <w:pPr>
              <w:spacing w:line="360" w:lineRule="auto"/>
              <w:rPr>
                <w:rFonts w:cs="Times New Roman"/>
                <w:color w:val="auto"/>
                <w:lang w:val="de-CH"/>
              </w:rPr>
            </w:pPr>
            <w:r w:rsidRPr="00091A98">
              <w:rPr>
                <w:rFonts w:cs="Times New Roman"/>
                <w:color w:val="auto"/>
                <w:lang w:val="de-CH"/>
              </w:rPr>
              <w:t>Variable</w:t>
            </w:r>
          </w:p>
        </w:tc>
        <w:tc>
          <w:tcPr>
            <w:tcW w:w="5462" w:type="dxa"/>
            <w:gridSpan w:val="3"/>
            <w:tcBorders>
              <w:bottom w:val="nil"/>
            </w:tcBorders>
            <w:shd w:val="clear" w:color="auto" w:fill="auto"/>
          </w:tcPr>
          <w:p w14:paraId="390A3ED3"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Faktorenladungen</w:t>
            </w:r>
          </w:p>
        </w:tc>
      </w:tr>
      <w:tr w:rsidR="00AD66D0" w:rsidRPr="00091A98" w14:paraId="18DB8C26" w14:textId="77777777" w:rsidTr="00D06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2E5DFFA8" w14:textId="77777777" w:rsidR="00AD66D0" w:rsidRPr="00091A98" w:rsidRDefault="00AD66D0" w:rsidP="00AD66D0">
            <w:pPr>
              <w:spacing w:line="276" w:lineRule="auto"/>
              <w:rPr>
                <w:rFonts w:cs="Times New Roman"/>
                <w:b w:val="0"/>
                <w:color w:val="auto"/>
                <w:lang w:val="de-CH"/>
              </w:rPr>
            </w:pPr>
          </w:p>
        </w:tc>
        <w:tc>
          <w:tcPr>
            <w:tcW w:w="1776" w:type="dxa"/>
            <w:tcBorders>
              <w:top w:val="nil"/>
              <w:bottom w:val="single" w:sz="4" w:space="0" w:color="auto"/>
            </w:tcBorders>
            <w:shd w:val="clear" w:color="auto" w:fill="auto"/>
          </w:tcPr>
          <w:p w14:paraId="6725890D" w14:textId="77777777" w:rsidR="00AD66D0" w:rsidRPr="00091A98" w:rsidRDefault="00AD66D0" w:rsidP="00AD66D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Insider Lobbying</w:t>
            </w:r>
          </w:p>
        </w:tc>
        <w:tc>
          <w:tcPr>
            <w:tcW w:w="1701" w:type="dxa"/>
            <w:tcBorders>
              <w:top w:val="nil"/>
              <w:bottom w:val="single" w:sz="4" w:space="0" w:color="auto"/>
            </w:tcBorders>
            <w:shd w:val="clear" w:color="auto" w:fill="auto"/>
          </w:tcPr>
          <w:p w14:paraId="26079A55" w14:textId="77777777" w:rsidR="00AD66D0" w:rsidRPr="00091A98" w:rsidRDefault="00AD66D0" w:rsidP="00AD66D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Outsider Lobbying</w:t>
            </w:r>
          </w:p>
        </w:tc>
        <w:tc>
          <w:tcPr>
            <w:tcW w:w="1985" w:type="dxa"/>
            <w:tcBorders>
              <w:top w:val="nil"/>
              <w:bottom w:val="single" w:sz="4" w:space="0" w:color="auto"/>
            </w:tcBorders>
            <w:shd w:val="clear" w:color="auto" w:fill="auto"/>
          </w:tcPr>
          <w:p w14:paraId="0CB863DB" w14:textId="77777777" w:rsidR="00AD66D0" w:rsidRPr="00091A98" w:rsidRDefault="00AD66D0" w:rsidP="00AD66D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Anderweitige Kommunikation</w:t>
            </w:r>
          </w:p>
        </w:tc>
      </w:tr>
      <w:tr w:rsidR="00AD66D0" w:rsidRPr="00091A98" w14:paraId="74A49638" w14:textId="77777777" w:rsidTr="00D06015">
        <w:tc>
          <w:tcPr>
            <w:cnfStyle w:val="001000000000" w:firstRow="0" w:lastRow="0" w:firstColumn="1" w:lastColumn="0" w:oddVBand="0" w:evenVBand="0" w:oddHBand="0" w:evenHBand="0" w:firstRowFirstColumn="0" w:firstRowLastColumn="0" w:lastRowFirstColumn="0" w:lastRowLastColumn="0"/>
            <w:tcW w:w="2660" w:type="dxa"/>
            <w:tcBorders>
              <w:top w:val="nil"/>
            </w:tcBorders>
            <w:shd w:val="clear" w:color="auto" w:fill="auto"/>
          </w:tcPr>
          <w:p w14:paraId="399C3B23"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Regierung</w:t>
            </w:r>
          </w:p>
        </w:tc>
        <w:tc>
          <w:tcPr>
            <w:tcW w:w="1776" w:type="dxa"/>
            <w:tcBorders>
              <w:top w:val="single" w:sz="4" w:space="0" w:color="auto"/>
            </w:tcBorders>
            <w:shd w:val="clear" w:color="auto" w:fill="auto"/>
          </w:tcPr>
          <w:p w14:paraId="3995836F" w14:textId="5E8D018A"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76</w:t>
            </w:r>
          </w:p>
        </w:tc>
        <w:tc>
          <w:tcPr>
            <w:tcW w:w="1701" w:type="dxa"/>
            <w:tcBorders>
              <w:top w:val="single" w:sz="4" w:space="0" w:color="auto"/>
            </w:tcBorders>
            <w:shd w:val="clear" w:color="auto" w:fill="auto"/>
          </w:tcPr>
          <w:p w14:paraId="37E00B5F" w14:textId="07A8E171"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15</w:t>
            </w:r>
          </w:p>
        </w:tc>
        <w:tc>
          <w:tcPr>
            <w:tcW w:w="1985" w:type="dxa"/>
            <w:tcBorders>
              <w:top w:val="single" w:sz="4" w:space="0" w:color="auto"/>
            </w:tcBorders>
            <w:shd w:val="clear" w:color="auto" w:fill="auto"/>
          </w:tcPr>
          <w:p w14:paraId="29211162" w14:textId="6A815CE7"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16</w:t>
            </w:r>
          </w:p>
        </w:tc>
      </w:tr>
      <w:tr w:rsidR="00AD66D0" w:rsidRPr="00091A98" w14:paraId="65DD75EC" w14:textId="77777777" w:rsidTr="00D06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923D655"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Parteien</w:t>
            </w:r>
          </w:p>
        </w:tc>
        <w:tc>
          <w:tcPr>
            <w:tcW w:w="1776" w:type="dxa"/>
            <w:shd w:val="clear" w:color="auto" w:fill="auto"/>
          </w:tcPr>
          <w:p w14:paraId="1EE25B9D" w14:textId="50FE9C8E"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85</w:t>
            </w:r>
          </w:p>
        </w:tc>
        <w:tc>
          <w:tcPr>
            <w:tcW w:w="1701" w:type="dxa"/>
            <w:shd w:val="clear" w:color="auto" w:fill="auto"/>
          </w:tcPr>
          <w:p w14:paraId="6CE15C9D" w14:textId="7C7DA04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09</w:t>
            </w:r>
          </w:p>
        </w:tc>
        <w:tc>
          <w:tcPr>
            <w:tcW w:w="1985" w:type="dxa"/>
            <w:shd w:val="clear" w:color="auto" w:fill="auto"/>
          </w:tcPr>
          <w:p w14:paraId="1CAAF749" w14:textId="416D66CE"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10</w:t>
            </w:r>
          </w:p>
        </w:tc>
      </w:tr>
      <w:tr w:rsidR="00AD66D0" w:rsidRPr="00091A98" w14:paraId="05E76E4A" w14:textId="77777777" w:rsidTr="00D0601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C01C6BB"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Medien</w:t>
            </w:r>
          </w:p>
        </w:tc>
        <w:tc>
          <w:tcPr>
            <w:tcW w:w="1776" w:type="dxa"/>
            <w:shd w:val="clear" w:color="auto" w:fill="auto"/>
          </w:tcPr>
          <w:p w14:paraId="6B31F8A1" w14:textId="337D78AD"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25</w:t>
            </w:r>
          </w:p>
        </w:tc>
        <w:tc>
          <w:tcPr>
            <w:tcW w:w="1701" w:type="dxa"/>
            <w:shd w:val="clear" w:color="auto" w:fill="auto"/>
          </w:tcPr>
          <w:p w14:paraId="771C2CB3" w14:textId="513AD1EB"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50</w:t>
            </w:r>
          </w:p>
        </w:tc>
        <w:tc>
          <w:tcPr>
            <w:tcW w:w="1985" w:type="dxa"/>
            <w:shd w:val="clear" w:color="auto" w:fill="auto"/>
          </w:tcPr>
          <w:p w14:paraId="0EEBC4BE" w14:textId="42131DB3"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02</w:t>
            </w:r>
          </w:p>
        </w:tc>
      </w:tr>
      <w:tr w:rsidR="00AD66D0" w:rsidRPr="00091A98" w14:paraId="5FEE624A" w14:textId="77777777" w:rsidTr="00D06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A7EC861"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Bürger</w:t>
            </w:r>
          </w:p>
        </w:tc>
        <w:tc>
          <w:tcPr>
            <w:tcW w:w="1776" w:type="dxa"/>
            <w:shd w:val="clear" w:color="auto" w:fill="auto"/>
          </w:tcPr>
          <w:p w14:paraId="0CD9ED42" w14:textId="7EB7FE3A"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07</w:t>
            </w:r>
          </w:p>
        </w:tc>
        <w:tc>
          <w:tcPr>
            <w:tcW w:w="1701" w:type="dxa"/>
            <w:shd w:val="clear" w:color="auto" w:fill="auto"/>
          </w:tcPr>
          <w:p w14:paraId="1F6FC369" w14:textId="0215805A"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80</w:t>
            </w:r>
          </w:p>
        </w:tc>
        <w:tc>
          <w:tcPr>
            <w:tcW w:w="1985" w:type="dxa"/>
            <w:shd w:val="clear" w:color="auto" w:fill="auto"/>
          </w:tcPr>
          <w:p w14:paraId="1DA86318" w14:textId="5923D92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05</w:t>
            </w:r>
          </w:p>
        </w:tc>
      </w:tr>
      <w:tr w:rsidR="00AD66D0" w:rsidRPr="00091A98" w14:paraId="620E3869" w14:textId="77777777" w:rsidTr="00D0601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73D912A"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Mitglieder</w:t>
            </w:r>
          </w:p>
        </w:tc>
        <w:tc>
          <w:tcPr>
            <w:tcW w:w="1776" w:type="dxa"/>
            <w:shd w:val="clear" w:color="auto" w:fill="auto"/>
          </w:tcPr>
          <w:p w14:paraId="6FF6E1C1" w14:textId="0247C592"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01</w:t>
            </w:r>
          </w:p>
        </w:tc>
        <w:tc>
          <w:tcPr>
            <w:tcW w:w="1701" w:type="dxa"/>
            <w:shd w:val="clear" w:color="auto" w:fill="auto"/>
          </w:tcPr>
          <w:p w14:paraId="6D3F9FB9" w14:textId="5C19979D"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11</w:t>
            </w:r>
          </w:p>
        </w:tc>
        <w:tc>
          <w:tcPr>
            <w:tcW w:w="1985" w:type="dxa"/>
            <w:shd w:val="clear" w:color="auto" w:fill="auto"/>
          </w:tcPr>
          <w:p w14:paraId="3CDF6ABA" w14:textId="3FCC9D48"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45</w:t>
            </w:r>
          </w:p>
        </w:tc>
      </w:tr>
      <w:tr w:rsidR="00AD66D0" w:rsidRPr="00091A98" w14:paraId="528D9CF4" w14:textId="77777777" w:rsidTr="00D06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nil"/>
            </w:tcBorders>
            <w:shd w:val="clear" w:color="auto" w:fill="auto"/>
          </w:tcPr>
          <w:p w14:paraId="569701FD"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Interessengruppen</w:t>
            </w:r>
          </w:p>
        </w:tc>
        <w:tc>
          <w:tcPr>
            <w:tcW w:w="1776" w:type="dxa"/>
            <w:tcBorders>
              <w:bottom w:val="nil"/>
            </w:tcBorders>
            <w:shd w:val="clear" w:color="auto" w:fill="auto"/>
          </w:tcPr>
          <w:p w14:paraId="7A342BAF" w14:textId="407739B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00</w:t>
            </w:r>
          </w:p>
        </w:tc>
        <w:tc>
          <w:tcPr>
            <w:tcW w:w="1701" w:type="dxa"/>
            <w:tcBorders>
              <w:bottom w:val="nil"/>
            </w:tcBorders>
            <w:shd w:val="clear" w:color="auto" w:fill="auto"/>
          </w:tcPr>
          <w:p w14:paraId="3E7CE48A" w14:textId="0C988536"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11</w:t>
            </w:r>
          </w:p>
        </w:tc>
        <w:tc>
          <w:tcPr>
            <w:tcW w:w="1985" w:type="dxa"/>
            <w:tcBorders>
              <w:bottom w:val="nil"/>
            </w:tcBorders>
            <w:shd w:val="clear" w:color="auto" w:fill="auto"/>
          </w:tcPr>
          <w:p w14:paraId="585867A9" w14:textId="414CCF68"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lang w:val="de-CH"/>
              </w:rPr>
            </w:pPr>
            <w:r w:rsidRPr="00091A98">
              <w:rPr>
                <w:rFonts w:cs="Times New Roman"/>
                <w:b/>
                <w:color w:val="auto"/>
                <w:lang w:val="de-CH"/>
              </w:rPr>
              <w:t>0</w:t>
            </w:r>
            <w:r w:rsidR="00F3141B">
              <w:rPr>
                <w:rFonts w:cs="Times New Roman"/>
                <w:b/>
                <w:color w:val="auto"/>
                <w:lang w:val="de-CH"/>
              </w:rPr>
              <w:t>.</w:t>
            </w:r>
            <w:r w:rsidRPr="00091A98">
              <w:rPr>
                <w:rFonts w:cs="Times New Roman"/>
                <w:b/>
                <w:color w:val="auto"/>
                <w:lang w:val="de-CH"/>
              </w:rPr>
              <w:t>74</w:t>
            </w:r>
          </w:p>
        </w:tc>
      </w:tr>
      <w:tr w:rsidR="00AD66D0" w:rsidRPr="00091A98" w14:paraId="4C306BA8" w14:textId="77777777" w:rsidTr="00D06015">
        <w:tc>
          <w:tcPr>
            <w:cnfStyle w:val="001000000000" w:firstRow="0" w:lastRow="0" w:firstColumn="1" w:lastColumn="0" w:oddVBand="0" w:evenVBand="0" w:oddHBand="0" w:evenHBand="0" w:firstRowFirstColumn="0" w:firstRowLastColumn="0" w:lastRowFirstColumn="0" w:lastRowLastColumn="0"/>
            <w:tcW w:w="2660" w:type="dxa"/>
            <w:tcBorders>
              <w:top w:val="nil"/>
              <w:bottom w:val="single" w:sz="4" w:space="0" w:color="auto"/>
            </w:tcBorders>
            <w:shd w:val="clear" w:color="auto" w:fill="auto"/>
          </w:tcPr>
          <w:p w14:paraId="1DCB1F53" w14:textId="555D37AE" w:rsidR="00AD66D0" w:rsidRPr="00091A98" w:rsidRDefault="00D06015" w:rsidP="00AD66D0">
            <w:pPr>
              <w:spacing w:line="360" w:lineRule="auto"/>
              <w:rPr>
                <w:rFonts w:cs="Times New Roman"/>
                <w:b w:val="0"/>
                <w:color w:val="auto"/>
                <w:lang w:val="de-CH"/>
              </w:rPr>
            </w:pPr>
            <w:r w:rsidRPr="00091A98">
              <w:rPr>
                <w:rFonts w:cs="Times New Roman"/>
                <w:b w:val="0"/>
                <w:color w:val="auto"/>
                <w:lang w:val="de-CH"/>
              </w:rPr>
              <w:t>Wissenschaftliche</w:t>
            </w:r>
            <w:r w:rsidR="00AD66D0" w:rsidRPr="00091A98">
              <w:rPr>
                <w:rFonts w:cs="Times New Roman"/>
                <w:b w:val="0"/>
                <w:color w:val="auto"/>
                <w:lang w:val="de-CH"/>
              </w:rPr>
              <w:t xml:space="preserve"> Org.</w:t>
            </w:r>
          </w:p>
        </w:tc>
        <w:tc>
          <w:tcPr>
            <w:tcW w:w="1776" w:type="dxa"/>
            <w:tcBorders>
              <w:top w:val="nil"/>
              <w:bottom w:val="single" w:sz="4" w:space="0" w:color="auto"/>
            </w:tcBorders>
            <w:shd w:val="clear" w:color="auto" w:fill="auto"/>
          </w:tcPr>
          <w:p w14:paraId="147D6F19" w14:textId="19287305"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11</w:t>
            </w:r>
          </w:p>
        </w:tc>
        <w:tc>
          <w:tcPr>
            <w:tcW w:w="1701" w:type="dxa"/>
            <w:tcBorders>
              <w:top w:val="nil"/>
              <w:bottom w:val="single" w:sz="4" w:space="0" w:color="auto"/>
            </w:tcBorders>
            <w:shd w:val="clear" w:color="auto" w:fill="auto"/>
          </w:tcPr>
          <w:p w14:paraId="2B1BD18C" w14:textId="5C98B42B"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18</w:t>
            </w:r>
          </w:p>
        </w:tc>
        <w:tc>
          <w:tcPr>
            <w:tcW w:w="1985" w:type="dxa"/>
            <w:tcBorders>
              <w:top w:val="nil"/>
              <w:bottom w:val="single" w:sz="4" w:space="0" w:color="auto"/>
            </w:tcBorders>
            <w:shd w:val="clear" w:color="auto" w:fill="auto"/>
          </w:tcPr>
          <w:p w14:paraId="6542BBED" w14:textId="0FC35D3A"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F3141B">
              <w:rPr>
                <w:rFonts w:cs="Times New Roman"/>
                <w:color w:val="auto"/>
                <w:lang w:val="de-CH"/>
              </w:rPr>
              <w:t>.</w:t>
            </w:r>
            <w:r w:rsidRPr="00091A98">
              <w:rPr>
                <w:rFonts w:cs="Times New Roman"/>
                <w:color w:val="auto"/>
                <w:lang w:val="de-CH"/>
              </w:rPr>
              <w:t>33</w:t>
            </w:r>
          </w:p>
        </w:tc>
      </w:tr>
      <w:tr w:rsidR="00AD66D0" w:rsidRPr="00091A98" w14:paraId="7BC100B9" w14:textId="77777777" w:rsidTr="00D06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tcBorders>
            <w:shd w:val="clear" w:color="auto" w:fill="auto"/>
          </w:tcPr>
          <w:p w14:paraId="789EEFD5"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Eigenwerte</w:t>
            </w:r>
          </w:p>
        </w:tc>
        <w:tc>
          <w:tcPr>
            <w:tcW w:w="1776" w:type="dxa"/>
            <w:tcBorders>
              <w:top w:val="single" w:sz="4" w:space="0" w:color="auto"/>
            </w:tcBorders>
            <w:shd w:val="clear" w:color="auto" w:fill="auto"/>
          </w:tcPr>
          <w:p w14:paraId="0463BC7D" w14:textId="1D0E6E12"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F3141B">
              <w:rPr>
                <w:rFonts w:cs="Times New Roman"/>
                <w:color w:val="auto"/>
                <w:lang w:val="de-CH"/>
              </w:rPr>
              <w:t>.</w:t>
            </w:r>
            <w:r w:rsidRPr="00091A98">
              <w:rPr>
                <w:rFonts w:cs="Times New Roman"/>
                <w:color w:val="auto"/>
                <w:lang w:val="de-CH"/>
              </w:rPr>
              <w:t>58</w:t>
            </w:r>
          </w:p>
        </w:tc>
        <w:tc>
          <w:tcPr>
            <w:tcW w:w="1701" w:type="dxa"/>
            <w:tcBorders>
              <w:top w:val="single" w:sz="4" w:space="0" w:color="auto"/>
            </w:tcBorders>
            <w:shd w:val="clear" w:color="auto" w:fill="auto"/>
          </w:tcPr>
          <w:p w14:paraId="0142AF80" w14:textId="42C6D1F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F3141B">
              <w:rPr>
                <w:rFonts w:cs="Times New Roman"/>
                <w:color w:val="auto"/>
                <w:lang w:val="de-CH"/>
              </w:rPr>
              <w:t>.</w:t>
            </w:r>
            <w:r w:rsidRPr="00091A98">
              <w:rPr>
                <w:rFonts w:cs="Times New Roman"/>
                <w:color w:val="auto"/>
                <w:lang w:val="de-CH"/>
              </w:rPr>
              <w:t>07</w:t>
            </w:r>
          </w:p>
        </w:tc>
        <w:tc>
          <w:tcPr>
            <w:tcW w:w="1985" w:type="dxa"/>
            <w:tcBorders>
              <w:top w:val="single" w:sz="4" w:space="0" w:color="auto"/>
            </w:tcBorders>
            <w:shd w:val="clear" w:color="auto" w:fill="auto"/>
          </w:tcPr>
          <w:p w14:paraId="76537BCB" w14:textId="756FAFC9"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F3141B">
              <w:rPr>
                <w:rFonts w:cs="Times New Roman"/>
                <w:color w:val="auto"/>
                <w:lang w:val="de-CH"/>
              </w:rPr>
              <w:t>.</w:t>
            </w:r>
            <w:r w:rsidRPr="00091A98">
              <w:rPr>
                <w:rFonts w:cs="Times New Roman"/>
                <w:color w:val="auto"/>
                <w:lang w:val="de-CH"/>
              </w:rPr>
              <w:t>01</w:t>
            </w:r>
          </w:p>
        </w:tc>
      </w:tr>
      <w:tr w:rsidR="00AD66D0" w:rsidRPr="00091A98" w14:paraId="4887DDE4" w14:textId="77777777" w:rsidTr="00D0601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3645A6D4"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Prozent der Varianz</w:t>
            </w:r>
          </w:p>
          <w:p w14:paraId="291DE2F7" w14:textId="77777777" w:rsidR="00AD66D0" w:rsidRPr="00091A98" w:rsidRDefault="00AD66D0" w:rsidP="00AD66D0">
            <w:pPr>
              <w:spacing w:line="360" w:lineRule="auto"/>
              <w:rPr>
                <w:rFonts w:cs="Times New Roman"/>
                <w:b w:val="0"/>
                <w:color w:val="auto"/>
                <w:lang w:val="de-CH"/>
              </w:rPr>
            </w:pPr>
            <w:r w:rsidRPr="00091A98">
              <w:rPr>
                <w:rFonts w:cs="Times New Roman"/>
                <w:b w:val="0"/>
                <w:color w:val="auto"/>
                <w:lang w:val="de-CH"/>
              </w:rPr>
              <w:t>Kumulative Varianz</w:t>
            </w:r>
          </w:p>
        </w:tc>
        <w:tc>
          <w:tcPr>
            <w:tcW w:w="1776" w:type="dxa"/>
            <w:shd w:val="clear" w:color="auto" w:fill="auto"/>
          </w:tcPr>
          <w:p w14:paraId="7A98F04C" w14:textId="1A03890B"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19</w:t>
            </w:r>
            <w:r w:rsidR="00F3141B">
              <w:rPr>
                <w:rFonts w:cs="Times New Roman"/>
                <w:color w:val="auto"/>
                <w:lang w:val="de-CH"/>
              </w:rPr>
              <w:t>.</w:t>
            </w:r>
            <w:r w:rsidRPr="00091A98">
              <w:rPr>
                <w:rFonts w:cs="Times New Roman"/>
                <w:color w:val="auto"/>
                <w:lang w:val="de-CH"/>
              </w:rPr>
              <w:t>7</w:t>
            </w:r>
          </w:p>
          <w:p w14:paraId="58479A41" w14:textId="524B648C"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19</w:t>
            </w:r>
            <w:r w:rsidR="00F3141B">
              <w:rPr>
                <w:rFonts w:cs="Times New Roman"/>
                <w:color w:val="auto"/>
                <w:lang w:val="de-CH"/>
              </w:rPr>
              <w:t>.</w:t>
            </w:r>
            <w:r w:rsidRPr="00091A98">
              <w:rPr>
                <w:rFonts w:cs="Times New Roman"/>
                <w:color w:val="auto"/>
                <w:lang w:val="de-CH"/>
              </w:rPr>
              <w:t>7</w:t>
            </w:r>
          </w:p>
        </w:tc>
        <w:tc>
          <w:tcPr>
            <w:tcW w:w="1701" w:type="dxa"/>
            <w:shd w:val="clear" w:color="auto" w:fill="auto"/>
          </w:tcPr>
          <w:p w14:paraId="4DF59930" w14:textId="60AF6D03"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13</w:t>
            </w:r>
            <w:r w:rsidR="00F3141B">
              <w:rPr>
                <w:rFonts w:cs="Times New Roman"/>
                <w:color w:val="auto"/>
                <w:lang w:val="de-CH"/>
              </w:rPr>
              <w:t>.</w:t>
            </w:r>
            <w:r w:rsidRPr="00091A98">
              <w:rPr>
                <w:rFonts w:cs="Times New Roman"/>
                <w:color w:val="auto"/>
                <w:lang w:val="de-CH"/>
              </w:rPr>
              <w:t>8</w:t>
            </w:r>
          </w:p>
          <w:p w14:paraId="62029DA7" w14:textId="2C5CA0C7"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33</w:t>
            </w:r>
            <w:r w:rsidR="00F3141B">
              <w:rPr>
                <w:rFonts w:cs="Times New Roman"/>
                <w:color w:val="auto"/>
                <w:lang w:val="de-CH"/>
              </w:rPr>
              <w:t>.</w:t>
            </w:r>
            <w:r w:rsidRPr="00091A98">
              <w:rPr>
                <w:rFonts w:cs="Times New Roman"/>
                <w:color w:val="auto"/>
                <w:lang w:val="de-CH"/>
              </w:rPr>
              <w:t>6</w:t>
            </w:r>
          </w:p>
        </w:tc>
        <w:tc>
          <w:tcPr>
            <w:tcW w:w="1985" w:type="dxa"/>
            <w:shd w:val="clear" w:color="auto" w:fill="auto"/>
          </w:tcPr>
          <w:p w14:paraId="1966F9FE" w14:textId="61061ECC"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13</w:t>
            </w:r>
            <w:r w:rsidR="00F3141B">
              <w:rPr>
                <w:rFonts w:cs="Times New Roman"/>
                <w:color w:val="auto"/>
                <w:lang w:val="de-CH"/>
              </w:rPr>
              <w:t>.</w:t>
            </w:r>
            <w:r w:rsidRPr="00091A98">
              <w:rPr>
                <w:rFonts w:cs="Times New Roman"/>
                <w:color w:val="auto"/>
                <w:lang w:val="de-CH"/>
              </w:rPr>
              <w:t>0</w:t>
            </w:r>
          </w:p>
          <w:p w14:paraId="1E915573" w14:textId="00A71F20" w:rsidR="00AD66D0" w:rsidRPr="00091A98" w:rsidRDefault="00AD66D0"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46</w:t>
            </w:r>
            <w:r w:rsidR="00F3141B">
              <w:rPr>
                <w:rFonts w:cs="Times New Roman"/>
                <w:color w:val="auto"/>
                <w:lang w:val="de-CH"/>
              </w:rPr>
              <w:t>.</w:t>
            </w:r>
            <w:r w:rsidRPr="00091A98">
              <w:rPr>
                <w:rFonts w:cs="Times New Roman"/>
                <w:color w:val="auto"/>
                <w:lang w:val="de-CH"/>
              </w:rPr>
              <w:t>6</w:t>
            </w:r>
          </w:p>
        </w:tc>
      </w:tr>
    </w:tbl>
    <w:p w14:paraId="1F5847C0" w14:textId="0E5D7CC3" w:rsidR="00AD66D0" w:rsidRPr="00091A98" w:rsidRDefault="00AD66D0" w:rsidP="00AD66D0">
      <w:pPr>
        <w:spacing w:line="360" w:lineRule="auto"/>
        <w:rPr>
          <w:rFonts w:cs="Times New Roman"/>
          <w:sz w:val="22"/>
          <w:szCs w:val="22"/>
          <w:lang w:val="de-CH"/>
        </w:rPr>
      </w:pPr>
      <w:r w:rsidRPr="00091A98">
        <w:rPr>
          <w:rFonts w:cs="Times New Roman"/>
          <w:i/>
          <w:sz w:val="22"/>
          <w:szCs w:val="22"/>
          <w:lang w:val="de-CH"/>
        </w:rPr>
        <w:t xml:space="preserve">Anmerkung: </w:t>
      </w:r>
      <w:r w:rsidRPr="00091A98">
        <w:rPr>
          <w:rFonts w:cs="Times New Roman"/>
          <w:sz w:val="22"/>
          <w:szCs w:val="22"/>
          <w:lang w:val="de-CH"/>
        </w:rPr>
        <w:t>Faktorenladungen grö</w:t>
      </w:r>
      <w:r w:rsidR="002F624D" w:rsidRPr="00091A98">
        <w:rPr>
          <w:rFonts w:cs="Times New Roman"/>
          <w:sz w:val="22"/>
          <w:szCs w:val="22"/>
          <w:lang w:val="de-CH"/>
        </w:rPr>
        <w:t>ss</w:t>
      </w:r>
      <w:r w:rsidRPr="00091A98">
        <w:rPr>
          <w:rFonts w:cs="Times New Roman"/>
          <w:sz w:val="22"/>
          <w:szCs w:val="22"/>
          <w:lang w:val="de-CH"/>
        </w:rPr>
        <w:t>er als 0</w:t>
      </w:r>
      <w:r w:rsidR="00F3141B">
        <w:rPr>
          <w:rFonts w:cs="Times New Roman"/>
          <w:sz w:val="22"/>
          <w:szCs w:val="22"/>
          <w:lang w:val="de-CH"/>
        </w:rPr>
        <w:t>.</w:t>
      </w:r>
      <w:r w:rsidRPr="00091A98">
        <w:rPr>
          <w:rFonts w:cs="Times New Roman"/>
          <w:sz w:val="22"/>
          <w:szCs w:val="22"/>
          <w:lang w:val="de-CH"/>
        </w:rPr>
        <w:t>4 in Fettdruck</w:t>
      </w:r>
    </w:p>
    <w:p w14:paraId="18C55503" w14:textId="77777777" w:rsidR="00AD66D0" w:rsidRPr="00091A98" w:rsidRDefault="00AD66D0" w:rsidP="00AD66D0">
      <w:pPr>
        <w:spacing w:line="360" w:lineRule="auto"/>
        <w:rPr>
          <w:rFonts w:cs="Times New Roman"/>
          <w:i/>
          <w:sz w:val="22"/>
          <w:szCs w:val="22"/>
          <w:lang w:val="de-CH"/>
        </w:rPr>
      </w:pPr>
    </w:p>
    <w:p w14:paraId="655B19C5" w14:textId="77777777" w:rsidR="00AD66D0" w:rsidRPr="00091A98" w:rsidRDefault="00AD66D0" w:rsidP="00AD66D0">
      <w:pPr>
        <w:spacing w:line="360" w:lineRule="auto"/>
        <w:rPr>
          <w:rFonts w:cs="Times New Roman"/>
          <w:lang w:val="de-CH"/>
        </w:rPr>
      </w:pPr>
    </w:p>
    <w:p w14:paraId="72F897EB" w14:textId="77777777" w:rsidR="00AD66D0" w:rsidRPr="00091A98" w:rsidRDefault="00AD66D0" w:rsidP="00AD66D0">
      <w:pPr>
        <w:spacing w:line="360" w:lineRule="auto"/>
        <w:rPr>
          <w:rFonts w:cs="Times New Roman"/>
          <w:lang w:val="de-CH"/>
        </w:rPr>
      </w:pPr>
    </w:p>
    <w:p w14:paraId="45E90E27" w14:textId="77777777" w:rsidR="00AD66D0" w:rsidRPr="00091A98" w:rsidRDefault="00AD66D0" w:rsidP="00AD66D0">
      <w:pPr>
        <w:spacing w:line="360" w:lineRule="auto"/>
        <w:rPr>
          <w:rFonts w:cs="Times New Roman"/>
          <w:lang w:val="de-CH"/>
        </w:rPr>
      </w:pPr>
    </w:p>
    <w:p w14:paraId="18D0CAB5" w14:textId="77777777" w:rsidR="00AD66D0" w:rsidRPr="00091A98" w:rsidRDefault="00AD66D0" w:rsidP="00AD66D0">
      <w:pPr>
        <w:spacing w:line="360" w:lineRule="auto"/>
        <w:rPr>
          <w:rFonts w:cs="Times New Roman"/>
          <w:lang w:val="de-CH"/>
        </w:rPr>
      </w:pPr>
    </w:p>
    <w:p w14:paraId="1CFD41BF" w14:textId="77777777" w:rsidR="00AD66D0" w:rsidRPr="00091A98" w:rsidRDefault="00AD66D0" w:rsidP="00AD66D0">
      <w:pPr>
        <w:spacing w:line="360" w:lineRule="auto"/>
        <w:rPr>
          <w:rFonts w:cs="Times New Roman"/>
          <w:lang w:val="de-CH"/>
        </w:rPr>
      </w:pPr>
    </w:p>
    <w:p w14:paraId="3ACFF482" w14:textId="77777777" w:rsidR="00AD66D0" w:rsidRPr="00091A98" w:rsidRDefault="00AD66D0" w:rsidP="00AD66D0">
      <w:pPr>
        <w:spacing w:line="360" w:lineRule="auto"/>
        <w:rPr>
          <w:rFonts w:cs="Times New Roman"/>
          <w:lang w:val="de-CH"/>
        </w:rPr>
      </w:pPr>
    </w:p>
    <w:p w14:paraId="56E3FAF0" w14:textId="77777777" w:rsidR="00AD66D0" w:rsidRPr="00091A98" w:rsidRDefault="00AD66D0" w:rsidP="00AD66D0">
      <w:pPr>
        <w:spacing w:line="360" w:lineRule="auto"/>
        <w:rPr>
          <w:rFonts w:cs="Times New Roman"/>
          <w:lang w:val="de-CH"/>
        </w:rPr>
      </w:pPr>
    </w:p>
    <w:p w14:paraId="031EAF9E" w14:textId="77777777" w:rsidR="00AD66D0" w:rsidRPr="00091A98" w:rsidRDefault="00AD66D0" w:rsidP="00AD66D0">
      <w:pPr>
        <w:spacing w:line="360" w:lineRule="auto"/>
        <w:rPr>
          <w:rFonts w:cs="Times New Roman"/>
          <w:lang w:val="de-CH"/>
        </w:rPr>
      </w:pPr>
    </w:p>
    <w:p w14:paraId="4B43FF7D" w14:textId="77777777" w:rsidR="00AD66D0" w:rsidRPr="00091A98" w:rsidRDefault="00AD66D0" w:rsidP="00AD66D0">
      <w:pPr>
        <w:spacing w:line="360" w:lineRule="auto"/>
        <w:rPr>
          <w:rFonts w:cs="Times New Roman"/>
          <w:lang w:val="de-CH"/>
        </w:rPr>
      </w:pPr>
    </w:p>
    <w:p w14:paraId="0AAD3602" w14:textId="77777777" w:rsidR="00AD66D0" w:rsidRPr="00091A98" w:rsidRDefault="00AD66D0" w:rsidP="00AD66D0">
      <w:pPr>
        <w:spacing w:line="360" w:lineRule="auto"/>
        <w:rPr>
          <w:rFonts w:cs="Times New Roman"/>
          <w:lang w:val="de-CH"/>
        </w:rPr>
      </w:pPr>
    </w:p>
    <w:p w14:paraId="31FD9BCE" w14:textId="77777777" w:rsidR="00AD66D0" w:rsidRPr="00091A98" w:rsidRDefault="00AD66D0" w:rsidP="00AD66D0">
      <w:pPr>
        <w:spacing w:line="360" w:lineRule="auto"/>
        <w:rPr>
          <w:rFonts w:cs="Times New Roman"/>
          <w:lang w:val="de-CH"/>
        </w:rPr>
      </w:pPr>
    </w:p>
    <w:p w14:paraId="694F06B3" w14:textId="77777777" w:rsidR="00AD66D0" w:rsidRPr="00091A98" w:rsidRDefault="00AD66D0" w:rsidP="00AD66D0">
      <w:pPr>
        <w:spacing w:line="360" w:lineRule="auto"/>
        <w:rPr>
          <w:rFonts w:cs="Times New Roman"/>
          <w:lang w:val="de-CH"/>
        </w:rPr>
      </w:pPr>
    </w:p>
    <w:p w14:paraId="17C0EB34" w14:textId="77777777" w:rsidR="00AD66D0" w:rsidRPr="00091A98" w:rsidRDefault="00AD66D0" w:rsidP="00AD66D0">
      <w:pPr>
        <w:spacing w:line="360" w:lineRule="auto"/>
        <w:rPr>
          <w:rFonts w:cs="Times New Roman"/>
          <w:lang w:val="de-CH"/>
        </w:rPr>
      </w:pPr>
    </w:p>
    <w:p w14:paraId="5F0BEC20" w14:textId="77777777" w:rsidR="00AD66D0" w:rsidRPr="00091A98" w:rsidRDefault="00AD66D0" w:rsidP="00AD66D0">
      <w:pPr>
        <w:spacing w:line="360" w:lineRule="auto"/>
        <w:rPr>
          <w:rFonts w:cs="Times New Roman"/>
          <w:lang w:val="de-CH"/>
        </w:rPr>
      </w:pPr>
    </w:p>
    <w:p w14:paraId="742DEBDE" w14:textId="77777777" w:rsidR="00D06015" w:rsidRPr="00091A98" w:rsidRDefault="00D06015" w:rsidP="00AD66D0">
      <w:pPr>
        <w:spacing w:line="360" w:lineRule="auto"/>
        <w:rPr>
          <w:rFonts w:cs="Times New Roman"/>
          <w:lang w:val="de-CH"/>
        </w:rPr>
      </w:pPr>
    </w:p>
    <w:p w14:paraId="676E7757" w14:textId="77777777" w:rsidR="00AD66D0" w:rsidRPr="00091A98" w:rsidRDefault="00AD66D0" w:rsidP="00AD66D0">
      <w:pPr>
        <w:spacing w:line="360" w:lineRule="auto"/>
        <w:rPr>
          <w:rFonts w:cs="Times New Roman"/>
          <w:lang w:val="de-CH"/>
        </w:rPr>
      </w:pPr>
    </w:p>
    <w:p w14:paraId="13E53E24" w14:textId="77777777" w:rsidR="00AD66D0" w:rsidRPr="00091A98" w:rsidRDefault="00AD66D0" w:rsidP="00AD66D0">
      <w:pPr>
        <w:spacing w:line="360" w:lineRule="auto"/>
        <w:rPr>
          <w:rFonts w:cs="Times New Roman"/>
          <w:lang w:val="de-CH"/>
        </w:rPr>
      </w:pPr>
    </w:p>
    <w:p w14:paraId="5C8DB661" w14:textId="77777777" w:rsidR="00AD66D0" w:rsidRPr="00091A98" w:rsidRDefault="00AD66D0" w:rsidP="00AD66D0">
      <w:pPr>
        <w:spacing w:line="360" w:lineRule="auto"/>
        <w:rPr>
          <w:rFonts w:cs="Times New Roman"/>
          <w:lang w:val="de-CH"/>
        </w:rPr>
      </w:pPr>
    </w:p>
    <w:p w14:paraId="439A9622" w14:textId="77777777" w:rsidR="00AD66D0" w:rsidRPr="00091A98" w:rsidRDefault="00AD66D0" w:rsidP="00AD66D0">
      <w:pPr>
        <w:spacing w:line="360" w:lineRule="auto"/>
        <w:rPr>
          <w:rFonts w:cs="Times New Roman"/>
          <w:lang w:val="de-CH"/>
        </w:rPr>
      </w:pPr>
      <w:r w:rsidRPr="00091A98">
        <w:rPr>
          <w:rFonts w:cs="Times New Roman"/>
          <w:b/>
          <w:lang w:val="de-CH"/>
        </w:rPr>
        <w:lastRenderedPageBreak/>
        <w:t>Tabelle 2:</w:t>
      </w:r>
      <w:r w:rsidRPr="00091A98">
        <w:rPr>
          <w:rFonts w:cs="Times New Roman"/>
          <w:lang w:val="de-CH"/>
        </w:rPr>
        <w:t xml:space="preserve"> Wettbewerb in den Einzelnen Themenfeldern </w:t>
      </w:r>
    </w:p>
    <w:tbl>
      <w:tblPr>
        <w:tblStyle w:val="HelleSchattierung"/>
        <w:tblW w:w="11058" w:type="dxa"/>
        <w:tblInd w:w="-743" w:type="dxa"/>
        <w:tblLayout w:type="fixed"/>
        <w:tblLook w:val="04A0" w:firstRow="1" w:lastRow="0" w:firstColumn="1" w:lastColumn="0" w:noHBand="0" w:noVBand="1"/>
      </w:tblPr>
      <w:tblGrid>
        <w:gridCol w:w="1702"/>
        <w:gridCol w:w="851"/>
        <w:gridCol w:w="850"/>
        <w:gridCol w:w="851"/>
        <w:gridCol w:w="850"/>
        <w:gridCol w:w="851"/>
        <w:gridCol w:w="850"/>
        <w:gridCol w:w="851"/>
        <w:gridCol w:w="850"/>
        <w:gridCol w:w="851"/>
        <w:gridCol w:w="850"/>
        <w:gridCol w:w="851"/>
      </w:tblGrid>
      <w:tr w:rsidR="00AD66D0" w:rsidRPr="00091A98" w14:paraId="68E8EDEA" w14:textId="77777777" w:rsidTr="00BE4CEA">
        <w:trPr>
          <w:cnfStyle w:val="100000000000" w:firstRow="1" w:lastRow="0" w:firstColumn="0" w:lastColumn="0" w:oddVBand="0" w:evenVBand="0" w:oddHBand="0" w:evenHBand="0" w:firstRowFirstColumn="0" w:firstRowLastColumn="0" w:lastRowFirstColumn="0" w:lastRowLastColumn="0"/>
          <w:trHeight w:val="2108"/>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noWrap/>
            <w:vAlign w:val="bottom"/>
          </w:tcPr>
          <w:p w14:paraId="1C7E6999"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Wettbewerb</w:t>
            </w:r>
          </w:p>
        </w:tc>
        <w:tc>
          <w:tcPr>
            <w:tcW w:w="851" w:type="dxa"/>
            <w:shd w:val="clear" w:color="auto" w:fill="auto"/>
            <w:noWrap/>
            <w:textDirection w:val="btLr"/>
            <w:vAlign w:val="center"/>
          </w:tcPr>
          <w:p w14:paraId="38A5E4DB"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Politik</w:t>
            </w:r>
          </w:p>
        </w:tc>
        <w:tc>
          <w:tcPr>
            <w:tcW w:w="850" w:type="dxa"/>
            <w:shd w:val="clear" w:color="auto" w:fill="auto"/>
            <w:noWrap/>
            <w:textDirection w:val="btLr"/>
            <w:vAlign w:val="center"/>
          </w:tcPr>
          <w:p w14:paraId="4F4969F8"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Wirtsch. &amp; Arbeit</w:t>
            </w:r>
          </w:p>
        </w:tc>
        <w:tc>
          <w:tcPr>
            <w:tcW w:w="851" w:type="dxa"/>
            <w:shd w:val="clear" w:color="auto" w:fill="auto"/>
            <w:noWrap/>
            <w:textDirection w:val="btLr"/>
            <w:vAlign w:val="center"/>
          </w:tcPr>
          <w:p w14:paraId="4E7322B7"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Soziales Leben</w:t>
            </w:r>
          </w:p>
        </w:tc>
        <w:tc>
          <w:tcPr>
            <w:tcW w:w="850" w:type="dxa"/>
            <w:shd w:val="clear" w:color="auto" w:fill="auto"/>
            <w:noWrap/>
            <w:textDirection w:val="btLr"/>
            <w:vAlign w:val="center"/>
          </w:tcPr>
          <w:p w14:paraId="3207953B"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Gesundheit</w:t>
            </w:r>
          </w:p>
        </w:tc>
        <w:tc>
          <w:tcPr>
            <w:tcW w:w="851" w:type="dxa"/>
            <w:shd w:val="clear" w:color="auto" w:fill="auto"/>
            <w:noWrap/>
            <w:textDirection w:val="btLr"/>
            <w:vAlign w:val="center"/>
          </w:tcPr>
          <w:p w14:paraId="67F4CE99"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Freizeit</w:t>
            </w:r>
          </w:p>
        </w:tc>
        <w:tc>
          <w:tcPr>
            <w:tcW w:w="850" w:type="dxa"/>
            <w:shd w:val="clear" w:color="auto" w:fill="auto"/>
            <w:noWrap/>
            <w:textDirection w:val="btLr"/>
            <w:vAlign w:val="center"/>
          </w:tcPr>
          <w:p w14:paraId="35A6BF70"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Kultur</w:t>
            </w:r>
          </w:p>
        </w:tc>
        <w:tc>
          <w:tcPr>
            <w:tcW w:w="851" w:type="dxa"/>
            <w:shd w:val="clear" w:color="auto" w:fill="auto"/>
            <w:noWrap/>
            <w:textDirection w:val="btLr"/>
            <w:vAlign w:val="center"/>
          </w:tcPr>
          <w:p w14:paraId="590B0F31"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Bildung</w:t>
            </w:r>
          </w:p>
        </w:tc>
        <w:tc>
          <w:tcPr>
            <w:tcW w:w="850" w:type="dxa"/>
            <w:shd w:val="clear" w:color="auto" w:fill="auto"/>
            <w:noWrap/>
            <w:textDirection w:val="btLr"/>
            <w:vAlign w:val="center"/>
          </w:tcPr>
          <w:p w14:paraId="1852AD09"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Wissenschaft</w:t>
            </w:r>
          </w:p>
        </w:tc>
        <w:tc>
          <w:tcPr>
            <w:tcW w:w="851" w:type="dxa"/>
            <w:shd w:val="clear" w:color="auto" w:fill="auto"/>
            <w:noWrap/>
            <w:textDirection w:val="btLr"/>
            <w:vAlign w:val="center"/>
          </w:tcPr>
          <w:p w14:paraId="36C4EAC4"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Religion</w:t>
            </w:r>
          </w:p>
        </w:tc>
        <w:tc>
          <w:tcPr>
            <w:tcW w:w="850" w:type="dxa"/>
            <w:shd w:val="clear" w:color="auto" w:fill="auto"/>
            <w:noWrap/>
            <w:textDirection w:val="btLr"/>
            <w:vAlign w:val="center"/>
          </w:tcPr>
          <w:p w14:paraId="3B6F3965"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Umwelt</w:t>
            </w:r>
          </w:p>
        </w:tc>
        <w:tc>
          <w:tcPr>
            <w:tcW w:w="851" w:type="dxa"/>
            <w:shd w:val="clear" w:color="auto" w:fill="auto"/>
            <w:noWrap/>
            <w:textDirection w:val="btLr"/>
            <w:vAlign w:val="center"/>
          </w:tcPr>
          <w:p w14:paraId="34F9A984" w14:textId="77777777" w:rsidR="00AD66D0" w:rsidRPr="00091A98" w:rsidRDefault="00AD66D0" w:rsidP="00AD66D0">
            <w:pPr>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Andere</w:t>
            </w:r>
          </w:p>
        </w:tc>
      </w:tr>
      <w:tr w:rsidR="00AD66D0" w:rsidRPr="00091A98" w14:paraId="3575157D" w14:textId="77777777" w:rsidTr="00AD66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noWrap/>
            <w:hideMark/>
          </w:tcPr>
          <w:p w14:paraId="4AFC165B"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Sehr gering</w:t>
            </w:r>
          </w:p>
        </w:tc>
        <w:tc>
          <w:tcPr>
            <w:tcW w:w="851" w:type="dxa"/>
            <w:shd w:val="clear" w:color="auto" w:fill="auto"/>
            <w:noWrap/>
            <w:hideMark/>
          </w:tcPr>
          <w:p w14:paraId="43F26D8F"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0.08</w:t>
            </w:r>
          </w:p>
        </w:tc>
        <w:tc>
          <w:tcPr>
            <w:tcW w:w="850" w:type="dxa"/>
            <w:shd w:val="clear" w:color="auto" w:fill="auto"/>
            <w:noWrap/>
            <w:hideMark/>
          </w:tcPr>
          <w:p w14:paraId="4661F23F"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0.07</w:t>
            </w:r>
          </w:p>
        </w:tc>
        <w:tc>
          <w:tcPr>
            <w:tcW w:w="851" w:type="dxa"/>
            <w:shd w:val="clear" w:color="auto" w:fill="auto"/>
            <w:noWrap/>
            <w:hideMark/>
          </w:tcPr>
          <w:p w14:paraId="369738EC"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0.10</w:t>
            </w:r>
          </w:p>
        </w:tc>
        <w:tc>
          <w:tcPr>
            <w:tcW w:w="850" w:type="dxa"/>
            <w:shd w:val="clear" w:color="auto" w:fill="auto"/>
            <w:noWrap/>
            <w:hideMark/>
          </w:tcPr>
          <w:p w14:paraId="626F8E00"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0.11</w:t>
            </w:r>
          </w:p>
        </w:tc>
        <w:tc>
          <w:tcPr>
            <w:tcW w:w="851" w:type="dxa"/>
            <w:shd w:val="clear" w:color="auto" w:fill="auto"/>
            <w:noWrap/>
            <w:hideMark/>
          </w:tcPr>
          <w:p w14:paraId="6CA76ECA"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0.26</w:t>
            </w:r>
          </w:p>
        </w:tc>
        <w:tc>
          <w:tcPr>
            <w:tcW w:w="850" w:type="dxa"/>
            <w:shd w:val="clear" w:color="auto" w:fill="auto"/>
            <w:noWrap/>
            <w:hideMark/>
          </w:tcPr>
          <w:p w14:paraId="6E521E96"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0.11</w:t>
            </w:r>
          </w:p>
        </w:tc>
        <w:tc>
          <w:tcPr>
            <w:tcW w:w="851" w:type="dxa"/>
            <w:shd w:val="clear" w:color="auto" w:fill="auto"/>
            <w:noWrap/>
            <w:hideMark/>
          </w:tcPr>
          <w:p w14:paraId="5F6C4D36"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0.13</w:t>
            </w:r>
          </w:p>
        </w:tc>
        <w:tc>
          <w:tcPr>
            <w:tcW w:w="850" w:type="dxa"/>
            <w:shd w:val="clear" w:color="auto" w:fill="auto"/>
            <w:noWrap/>
            <w:hideMark/>
          </w:tcPr>
          <w:p w14:paraId="58DB0009"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0.13</w:t>
            </w:r>
          </w:p>
        </w:tc>
        <w:tc>
          <w:tcPr>
            <w:tcW w:w="851" w:type="dxa"/>
            <w:shd w:val="clear" w:color="auto" w:fill="auto"/>
            <w:noWrap/>
            <w:hideMark/>
          </w:tcPr>
          <w:p w14:paraId="649D36EE"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0.16</w:t>
            </w:r>
          </w:p>
        </w:tc>
        <w:tc>
          <w:tcPr>
            <w:tcW w:w="850" w:type="dxa"/>
            <w:shd w:val="clear" w:color="auto" w:fill="auto"/>
            <w:noWrap/>
            <w:hideMark/>
          </w:tcPr>
          <w:p w14:paraId="7E51243F"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0.05</w:t>
            </w:r>
          </w:p>
        </w:tc>
        <w:tc>
          <w:tcPr>
            <w:tcW w:w="851" w:type="dxa"/>
            <w:shd w:val="clear" w:color="auto" w:fill="auto"/>
            <w:noWrap/>
            <w:hideMark/>
          </w:tcPr>
          <w:p w14:paraId="09E87249"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0.33</w:t>
            </w:r>
          </w:p>
        </w:tc>
      </w:tr>
      <w:tr w:rsidR="00AD66D0" w:rsidRPr="00091A98" w14:paraId="35D138C7" w14:textId="77777777" w:rsidTr="00AD66D0">
        <w:trPr>
          <w:trHeight w:val="28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noWrap/>
            <w:hideMark/>
          </w:tcPr>
          <w:p w14:paraId="67C63460"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Gering</w:t>
            </w:r>
          </w:p>
        </w:tc>
        <w:tc>
          <w:tcPr>
            <w:tcW w:w="851" w:type="dxa"/>
            <w:shd w:val="clear" w:color="auto" w:fill="auto"/>
            <w:noWrap/>
            <w:hideMark/>
          </w:tcPr>
          <w:p w14:paraId="39D42A28"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0.29</w:t>
            </w:r>
          </w:p>
        </w:tc>
        <w:tc>
          <w:tcPr>
            <w:tcW w:w="850" w:type="dxa"/>
            <w:shd w:val="clear" w:color="auto" w:fill="auto"/>
            <w:noWrap/>
            <w:hideMark/>
          </w:tcPr>
          <w:p w14:paraId="1B620DDC"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0.33</w:t>
            </w:r>
          </w:p>
        </w:tc>
        <w:tc>
          <w:tcPr>
            <w:tcW w:w="851" w:type="dxa"/>
            <w:shd w:val="clear" w:color="auto" w:fill="auto"/>
            <w:noWrap/>
            <w:hideMark/>
          </w:tcPr>
          <w:p w14:paraId="1BBA75C9"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0.36</w:t>
            </w:r>
          </w:p>
        </w:tc>
        <w:tc>
          <w:tcPr>
            <w:tcW w:w="850" w:type="dxa"/>
            <w:shd w:val="clear" w:color="auto" w:fill="auto"/>
            <w:noWrap/>
            <w:hideMark/>
          </w:tcPr>
          <w:p w14:paraId="5B4550B9"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0.30</w:t>
            </w:r>
          </w:p>
        </w:tc>
        <w:tc>
          <w:tcPr>
            <w:tcW w:w="851" w:type="dxa"/>
            <w:shd w:val="clear" w:color="auto" w:fill="auto"/>
            <w:noWrap/>
            <w:hideMark/>
          </w:tcPr>
          <w:p w14:paraId="0D36A599"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0.30</w:t>
            </w:r>
          </w:p>
        </w:tc>
        <w:tc>
          <w:tcPr>
            <w:tcW w:w="850" w:type="dxa"/>
            <w:shd w:val="clear" w:color="auto" w:fill="auto"/>
            <w:noWrap/>
            <w:hideMark/>
          </w:tcPr>
          <w:p w14:paraId="047B90A3"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0.42</w:t>
            </w:r>
          </w:p>
        </w:tc>
        <w:tc>
          <w:tcPr>
            <w:tcW w:w="851" w:type="dxa"/>
            <w:shd w:val="clear" w:color="auto" w:fill="auto"/>
            <w:noWrap/>
            <w:hideMark/>
          </w:tcPr>
          <w:p w14:paraId="13687D95"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0.40</w:t>
            </w:r>
          </w:p>
        </w:tc>
        <w:tc>
          <w:tcPr>
            <w:tcW w:w="850" w:type="dxa"/>
            <w:shd w:val="clear" w:color="auto" w:fill="auto"/>
            <w:noWrap/>
            <w:hideMark/>
          </w:tcPr>
          <w:p w14:paraId="2AA671BB"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0.48</w:t>
            </w:r>
          </w:p>
        </w:tc>
        <w:tc>
          <w:tcPr>
            <w:tcW w:w="851" w:type="dxa"/>
            <w:shd w:val="clear" w:color="auto" w:fill="auto"/>
            <w:noWrap/>
            <w:hideMark/>
          </w:tcPr>
          <w:p w14:paraId="4E65DA0A"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0.58</w:t>
            </w:r>
          </w:p>
        </w:tc>
        <w:tc>
          <w:tcPr>
            <w:tcW w:w="850" w:type="dxa"/>
            <w:shd w:val="clear" w:color="auto" w:fill="auto"/>
            <w:noWrap/>
            <w:hideMark/>
          </w:tcPr>
          <w:p w14:paraId="346A99EF"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0.19</w:t>
            </w:r>
          </w:p>
        </w:tc>
        <w:tc>
          <w:tcPr>
            <w:tcW w:w="851" w:type="dxa"/>
            <w:shd w:val="clear" w:color="auto" w:fill="auto"/>
            <w:noWrap/>
            <w:hideMark/>
          </w:tcPr>
          <w:p w14:paraId="78A039AA"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0.00</w:t>
            </w:r>
          </w:p>
        </w:tc>
      </w:tr>
      <w:tr w:rsidR="00AD66D0" w:rsidRPr="00091A98" w14:paraId="0616FECF" w14:textId="77777777" w:rsidTr="00AD66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noWrap/>
            <w:hideMark/>
          </w:tcPr>
          <w:p w14:paraId="367BF440"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Mittelstark</w:t>
            </w:r>
          </w:p>
        </w:tc>
        <w:tc>
          <w:tcPr>
            <w:tcW w:w="851" w:type="dxa"/>
            <w:shd w:val="clear" w:color="auto" w:fill="auto"/>
            <w:noWrap/>
            <w:hideMark/>
          </w:tcPr>
          <w:p w14:paraId="4C55F971"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0.39</w:t>
            </w:r>
          </w:p>
        </w:tc>
        <w:tc>
          <w:tcPr>
            <w:tcW w:w="850" w:type="dxa"/>
            <w:shd w:val="clear" w:color="auto" w:fill="auto"/>
            <w:noWrap/>
            <w:hideMark/>
          </w:tcPr>
          <w:p w14:paraId="194F34C0"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0.43</w:t>
            </w:r>
          </w:p>
        </w:tc>
        <w:tc>
          <w:tcPr>
            <w:tcW w:w="851" w:type="dxa"/>
            <w:shd w:val="clear" w:color="auto" w:fill="auto"/>
            <w:noWrap/>
            <w:hideMark/>
          </w:tcPr>
          <w:p w14:paraId="0EA77548"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0.37</w:t>
            </w:r>
          </w:p>
        </w:tc>
        <w:tc>
          <w:tcPr>
            <w:tcW w:w="850" w:type="dxa"/>
            <w:shd w:val="clear" w:color="auto" w:fill="auto"/>
            <w:noWrap/>
            <w:hideMark/>
          </w:tcPr>
          <w:p w14:paraId="494B023A"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0.35</w:t>
            </w:r>
          </w:p>
        </w:tc>
        <w:tc>
          <w:tcPr>
            <w:tcW w:w="851" w:type="dxa"/>
            <w:shd w:val="clear" w:color="auto" w:fill="auto"/>
            <w:noWrap/>
            <w:hideMark/>
          </w:tcPr>
          <w:p w14:paraId="5DA15850"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0.37</w:t>
            </w:r>
          </w:p>
        </w:tc>
        <w:tc>
          <w:tcPr>
            <w:tcW w:w="850" w:type="dxa"/>
            <w:shd w:val="clear" w:color="auto" w:fill="auto"/>
            <w:noWrap/>
            <w:hideMark/>
          </w:tcPr>
          <w:p w14:paraId="11C5EED3"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0.33</w:t>
            </w:r>
          </w:p>
        </w:tc>
        <w:tc>
          <w:tcPr>
            <w:tcW w:w="851" w:type="dxa"/>
            <w:shd w:val="clear" w:color="auto" w:fill="auto"/>
            <w:noWrap/>
            <w:hideMark/>
          </w:tcPr>
          <w:p w14:paraId="7167CE7F"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0.34</w:t>
            </w:r>
          </w:p>
        </w:tc>
        <w:tc>
          <w:tcPr>
            <w:tcW w:w="850" w:type="dxa"/>
            <w:shd w:val="clear" w:color="auto" w:fill="auto"/>
            <w:noWrap/>
            <w:hideMark/>
          </w:tcPr>
          <w:p w14:paraId="3669C0AB"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0.30</w:t>
            </w:r>
          </w:p>
        </w:tc>
        <w:tc>
          <w:tcPr>
            <w:tcW w:w="851" w:type="dxa"/>
            <w:shd w:val="clear" w:color="auto" w:fill="auto"/>
            <w:noWrap/>
            <w:hideMark/>
          </w:tcPr>
          <w:p w14:paraId="12113492"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0.21</w:t>
            </w:r>
          </w:p>
        </w:tc>
        <w:tc>
          <w:tcPr>
            <w:tcW w:w="850" w:type="dxa"/>
            <w:shd w:val="clear" w:color="auto" w:fill="auto"/>
            <w:noWrap/>
            <w:hideMark/>
          </w:tcPr>
          <w:p w14:paraId="391A6D5A"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0.53</w:t>
            </w:r>
          </w:p>
        </w:tc>
        <w:tc>
          <w:tcPr>
            <w:tcW w:w="851" w:type="dxa"/>
            <w:shd w:val="clear" w:color="auto" w:fill="auto"/>
            <w:noWrap/>
            <w:hideMark/>
          </w:tcPr>
          <w:p w14:paraId="45E1E4E5"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0.33</w:t>
            </w:r>
          </w:p>
        </w:tc>
      </w:tr>
      <w:tr w:rsidR="00AD66D0" w:rsidRPr="00091A98" w14:paraId="028494D3" w14:textId="77777777" w:rsidTr="00AD66D0">
        <w:trPr>
          <w:trHeight w:val="28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noWrap/>
            <w:hideMark/>
          </w:tcPr>
          <w:p w14:paraId="3B3A07F7"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Stark</w:t>
            </w:r>
          </w:p>
        </w:tc>
        <w:tc>
          <w:tcPr>
            <w:tcW w:w="851" w:type="dxa"/>
            <w:shd w:val="clear" w:color="auto" w:fill="auto"/>
            <w:noWrap/>
            <w:hideMark/>
          </w:tcPr>
          <w:p w14:paraId="3C50747C"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0.21</w:t>
            </w:r>
          </w:p>
        </w:tc>
        <w:tc>
          <w:tcPr>
            <w:tcW w:w="850" w:type="dxa"/>
            <w:shd w:val="clear" w:color="auto" w:fill="auto"/>
            <w:noWrap/>
            <w:hideMark/>
          </w:tcPr>
          <w:p w14:paraId="75918625"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0.14</w:t>
            </w:r>
          </w:p>
        </w:tc>
        <w:tc>
          <w:tcPr>
            <w:tcW w:w="851" w:type="dxa"/>
            <w:shd w:val="clear" w:color="auto" w:fill="auto"/>
            <w:noWrap/>
            <w:hideMark/>
          </w:tcPr>
          <w:p w14:paraId="6AD4361F"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0.15</w:t>
            </w:r>
          </w:p>
        </w:tc>
        <w:tc>
          <w:tcPr>
            <w:tcW w:w="850" w:type="dxa"/>
            <w:shd w:val="clear" w:color="auto" w:fill="auto"/>
            <w:noWrap/>
            <w:hideMark/>
          </w:tcPr>
          <w:p w14:paraId="6A2D26B0"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0.20</w:t>
            </w:r>
          </w:p>
        </w:tc>
        <w:tc>
          <w:tcPr>
            <w:tcW w:w="851" w:type="dxa"/>
            <w:shd w:val="clear" w:color="auto" w:fill="auto"/>
            <w:noWrap/>
            <w:hideMark/>
          </w:tcPr>
          <w:p w14:paraId="61322FA3"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0.06</w:t>
            </w:r>
          </w:p>
        </w:tc>
        <w:tc>
          <w:tcPr>
            <w:tcW w:w="850" w:type="dxa"/>
            <w:shd w:val="clear" w:color="auto" w:fill="auto"/>
            <w:noWrap/>
            <w:hideMark/>
          </w:tcPr>
          <w:p w14:paraId="5D5A6A29"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0.14</w:t>
            </w:r>
          </w:p>
        </w:tc>
        <w:tc>
          <w:tcPr>
            <w:tcW w:w="851" w:type="dxa"/>
            <w:shd w:val="clear" w:color="auto" w:fill="auto"/>
            <w:noWrap/>
            <w:hideMark/>
          </w:tcPr>
          <w:p w14:paraId="70A7A0F3"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0.12</w:t>
            </w:r>
          </w:p>
        </w:tc>
        <w:tc>
          <w:tcPr>
            <w:tcW w:w="850" w:type="dxa"/>
            <w:shd w:val="clear" w:color="auto" w:fill="auto"/>
            <w:noWrap/>
            <w:hideMark/>
          </w:tcPr>
          <w:p w14:paraId="69D6865B"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0.07</w:t>
            </w:r>
          </w:p>
        </w:tc>
        <w:tc>
          <w:tcPr>
            <w:tcW w:w="851" w:type="dxa"/>
            <w:shd w:val="clear" w:color="auto" w:fill="auto"/>
            <w:noWrap/>
            <w:hideMark/>
          </w:tcPr>
          <w:p w14:paraId="65ED4977"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0.05</w:t>
            </w:r>
          </w:p>
        </w:tc>
        <w:tc>
          <w:tcPr>
            <w:tcW w:w="850" w:type="dxa"/>
            <w:shd w:val="clear" w:color="auto" w:fill="auto"/>
            <w:noWrap/>
            <w:hideMark/>
          </w:tcPr>
          <w:p w14:paraId="5B285676"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0.17</w:t>
            </w:r>
          </w:p>
        </w:tc>
        <w:tc>
          <w:tcPr>
            <w:tcW w:w="851" w:type="dxa"/>
            <w:shd w:val="clear" w:color="auto" w:fill="auto"/>
            <w:noWrap/>
            <w:hideMark/>
          </w:tcPr>
          <w:p w14:paraId="3589CCDA"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0.33</w:t>
            </w:r>
          </w:p>
        </w:tc>
      </w:tr>
      <w:tr w:rsidR="00AD66D0" w:rsidRPr="00091A98" w14:paraId="44400A93" w14:textId="77777777" w:rsidTr="00AD66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tcBorders>
            <w:shd w:val="clear" w:color="auto" w:fill="auto"/>
            <w:noWrap/>
            <w:hideMark/>
          </w:tcPr>
          <w:p w14:paraId="334E1D06"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Sehr stark</w:t>
            </w:r>
          </w:p>
        </w:tc>
        <w:tc>
          <w:tcPr>
            <w:tcW w:w="851" w:type="dxa"/>
            <w:tcBorders>
              <w:bottom w:val="single" w:sz="4" w:space="0" w:color="auto"/>
            </w:tcBorders>
            <w:shd w:val="clear" w:color="auto" w:fill="auto"/>
            <w:noWrap/>
            <w:hideMark/>
          </w:tcPr>
          <w:p w14:paraId="56BC35C3"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0.03</w:t>
            </w:r>
          </w:p>
        </w:tc>
        <w:tc>
          <w:tcPr>
            <w:tcW w:w="850" w:type="dxa"/>
            <w:tcBorders>
              <w:bottom w:val="single" w:sz="4" w:space="0" w:color="auto"/>
            </w:tcBorders>
            <w:shd w:val="clear" w:color="auto" w:fill="auto"/>
            <w:noWrap/>
            <w:hideMark/>
          </w:tcPr>
          <w:p w14:paraId="0D676EBB"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0.03</w:t>
            </w:r>
          </w:p>
        </w:tc>
        <w:tc>
          <w:tcPr>
            <w:tcW w:w="851" w:type="dxa"/>
            <w:tcBorders>
              <w:bottom w:val="single" w:sz="4" w:space="0" w:color="auto"/>
            </w:tcBorders>
            <w:shd w:val="clear" w:color="auto" w:fill="auto"/>
            <w:noWrap/>
            <w:hideMark/>
          </w:tcPr>
          <w:p w14:paraId="540FBD32"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0.02</w:t>
            </w:r>
          </w:p>
        </w:tc>
        <w:tc>
          <w:tcPr>
            <w:tcW w:w="850" w:type="dxa"/>
            <w:tcBorders>
              <w:bottom w:val="single" w:sz="4" w:space="0" w:color="auto"/>
            </w:tcBorders>
            <w:shd w:val="clear" w:color="auto" w:fill="auto"/>
            <w:noWrap/>
            <w:hideMark/>
          </w:tcPr>
          <w:p w14:paraId="7ADA0904"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0.04</w:t>
            </w:r>
          </w:p>
        </w:tc>
        <w:tc>
          <w:tcPr>
            <w:tcW w:w="851" w:type="dxa"/>
            <w:tcBorders>
              <w:bottom w:val="single" w:sz="4" w:space="0" w:color="auto"/>
            </w:tcBorders>
            <w:shd w:val="clear" w:color="auto" w:fill="auto"/>
            <w:noWrap/>
            <w:hideMark/>
          </w:tcPr>
          <w:p w14:paraId="1998E733"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0.02</w:t>
            </w:r>
          </w:p>
        </w:tc>
        <w:tc>
          <w:tcPr>
            <w:tcW w:w="850" w:type="dxa"/>
            <w:tcBorders>
              <w:bottom w:val="single" w:sz="4" w:space="0" w:color="auto"/>
            </w:tcBorders>
            <w:shd w:val="clear" w:color="auto" w:fill="auto"/>
            <w:noWrap/>
            <w:hideMark/>
          </w:tcPr>
          <w:p w14:paraId="19EA560A"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0.00</w:t>
            </w:r>
          </w:p>
        </w:tc>
        <w:tc>
          <w:tcPr>
            <w:tcW w:w="851" w:type="dxa"/>
            <w:tcBorders>
              <w:bottom w:val="single" w:sz="4" w:space="0" w:color="auto"/>
            </w:tcBorders>
            <w:shd w:val="clear" w:color="auto" w:fill="auto"/>
            <w:noWrap/>
            <w:hideMark/>
          </w:tcPr>
          <w:p w14:paraId="4DF36E30"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0.01</w:t>
            </w:r>
          </w:p>
        </w:tc>
        <w:tc>
          <w:tcPr>
            <w:tcW w:w="850" w:type="dxa"/>
            <w:tcBorders>
              <w:bottom w:val="single" w:sz="4" w:space="0" w:color="auto"/>
            </w:tcBorders>
            <w:shd w:val="clear" w:color="auto" w:fill="auto"/>
            <w:noWrap/>
            <w:hideMark/>
          </w:tcPr>
          <w:p w14:paraId="0ED6F5E4"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0.02</w:t>
            </w:r>
          </w:p>
        </w:tc>
        <w:tc>
          <w:tcPr>
            <w:tcW w:w="851" w:type="dxa"/>
            <w:tcBorders>
              <w:bottom w:val="single" w:sz="4" w:space="0" w:color="auto"/>
            </w:tcBorders>
            <w:shd w:val="clear" w:color="auto" w:fill="auto"/>
            <w:noWrap/>
            <w:hideMark/>
          </w:tcPr>
          <w:p w14:paraId="67A3E61F"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0.00</w:t>
            </w:r>
          </w:p>
        </w:tc>
        <w:tc>
          <w:tcPr>
            <w:tcW w:w="850" w:type="dxa"/>
            <w:tcBorders>
              <w:bottom w:val="single" w:sz="4" w:space="0" w:color="auto"/>
            </w:tcBorders>
            <w:shd w:val="clear" w:color="auto" w:fill="auto"/>
            <w:noWrap/>
            <w:hideMark/>
          </w:tcPr>
          <w:p w14:paraId="15C0193E"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0.07</w:t>
            </w:r>
          </w:p>
        </w:tc>
        <w:tc>
          <w:tcPr>
            <w:tcW w:w="851" w:type="dxa"/>
            <w:tcBorders>
              <w:bottom w:val="single" w:sz="4" w:space="0" w:color="auto"/>
            </w:tcBorders>
            <w:shd w:val="clear" w:color="auto" w:fill="auto"/>
            <w:noWrap/>
            <w:hideMark/>
          </w:tcPr>
          <w:p w14:paraId="05951B2C"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0.00</w:t>
            </w:r>
          </w:p>
        </w:tc>
      </w:tr>
      <w:tr w:rsidR="00AD66D0" w:rsidRPr="00091A98" w14:paraId="792A46DC" w14:textId="77777777" w:rsidTr="00AD66D0">
        <w:trPr>
          <w:trHeight w:val="28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bottom w:val="single" w:sz="8" w:space="0" w:color="000000" w:themeColor="text1"/>
            </w:tcBorders>
            <w:shd w:val="clear" w:color="auto" w:fill="auto"/>
            <w:noWrap/>
          </w:tcPr>
          <w:p w14:paraId="67E28DF4" w14:textId="77777777" w:rsidR="00AD66D0" w:rsidRPr="00091A98" w:rsidRDefault="00AD66D0" w:rsidP="00AD66D0">
            <w:pPr>
              <w:rPr>
                <w:rFonts w:eastAsia="Times New Roman" w:cs="Times New Roman"/>
                <w:color w:val="auto"/>
                <w:sz w:val="22"/>
                <w:szCs w:val="22"/>
                <w:lang w:val="de-CH"/>
              </w:rPr>
            </w:pPr>
            <w:r w:rsidRPr="00091A98">
              <w:rPr>
                <w:rFonts w:eastAsia="Times New Roman" w:cs="Times New Roman"/>
                <w:color w:val="auto"/>
                <w:sz w:val="22"/>
                <w:szCs w:val="22"/>
                <w:lang w:val="de-CH"/>
              </w:rPr>
              <w:t>Gruppenzahl</w:t>
            </w:r>
          </w:p>
        </w:tc>
        <w:tc>
          <w:tcPr>
            <w:tcW w:w="851" w:type="dxa"/>
            <w:tcBorders>
              <w:top w:val="single" w:sz="4" w:space="0" w:color="auto"/>
              <w:bottom w:val="single" w:sz="8" w:space="0" w:color="000000" w:themeColor="text1"/>
            </w:tcBorders>
            <w:shd w:val="clear" w:color="auto" w:fill="auto"/>
            <w:noWrap/>
          </w:tcPr>
          <w:p w14:paraId="796CC0B3"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117</w:t>
            </w:r>
          </w:p>
        </w:tc>
        <w:tc>
          <w:tcPr>
            <w:tcW w:w="850" w:type="dxa"/>
            <w:tcBorders>
              <w:top w:val="single" w:sz="4" w:space="0" w:color="auto"/>
              <w:bottom w:val="single" w:sz="8" w:space="0" w:color="000000" w:themeColor="text1"/>
            </w:tcBorders>
            <w:shd w:val="clear" w:color="auto" w:fill="auto"/>
            <w:noWrap/>
          </w:tcPr>
          <w:p w14:paraId="5C2984EB"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355</w:t>
            </w:r>
          </w:p>
        </w:tc>
        <w:tc>
          <w:tcPr>
            <w:tcW w:w="851" w:type="dxa"/>
            <w:tcBorders>
              <w:top w:val="single" w:sz="4" w:space="0" w:color="auto"/>
              <w:bottom w:val="single" w:sz="8" w:space="0" w:color="000000" w:themeColor="text1"/>
            </w:tcBorders>
            <w:shd w:val="clear" w:color="auto" w:fill="auto"/>
            <w:noWrap/>
          </w:tcPr>
          <w:p w14:paraId="3FDD08CF"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84</w:t>
            </w:r>
          </w:p>
        </w:tc>
        <w:tc>
          <w:tcPr>
            <w:tcW w:w="850" w:type="dxa"/>
            <w:tcBorders>
              <w:top w:val="single" w:sz="4" w:space="0" w:color="auto"/>
              <w:bottom w:val="single" w:sz="8" w:space="0" w:color="000000" w:themeColor="text1"/>
            </w:tcBorders>
            <w:shd w:val="clear" w:color="auto" w:fill="auto"/>
            <w:noWrap/>
          </w:tcPr>
          <w:p w14:paraId="1DA7B415"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153</w:t>
            </w:r>
          </w:p>
        </w:tc>
        <w:tc>
          <w:tcPr>
            <w:tcW w:w="851" w:type="dxa"/>
            <w:tcBorders>
              <w:top w:val="single" w:sz="4" w:space="0" w:color="auto"/>
              <w:bottom w:val="single" w:sz="8" w:space="0" w:color="000000" w:themeColor="text1"/>
            </w:tcBorders>
            <w:shd w:val="clear" w:color="auto" w:fill="auto"/>
            <w:noWrap/>
          </w:tcPr>
          <w:p w14:paraId="45B45D06"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90</w:t>
            </w:r>
          </w:p>
        </w:tc>
        <w:tc>
          <w:tcPr>
            <w:tcW w:w="850" w:type="dxa"/>
            <w:tcBorders>
              <w:top w:val="single" w:sz="4" w:space="0" w:color="auto"/>
              <w:bottom w:val="single" w:sz="8" w:space="0" w:color="000000" w:themeColor="text1"/>
            </w:tcBorders>
            <w:shd w:val="clear" w:color="auto" w:fill="auto"/>
            <w:noWrap/>
          </w:tcPr>
          <w:p w14:paraId="33618F64"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81</w:t>
            </w:r>
          </w:p>
        </w:tc>
        <w:tc>
          <w:tcPr>
            <w:tcW w:w="851" w:type="dxa"/>
            <w:tcBorders>
              <w:top w:val="single" w:sz="4" w:space="0" w:color="auto"/>
              <w:bottom w:val="single" w:sz="8" w:space="0" w:color="000000" w:themeColor="text1"/>
            </w:tcBorders>
            <w:shd w:val="clear" w:color="auto" w:fill="auto"/>
            <w:noWrap/>
          </w:tcPr>
          <w:p w14:paraId="40C6AB7F"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113</w:t>
            </w:r>
          </w:p>
        </w:tc>
        <w:tc>
          <w:tcPr>
            <w:tcW w:w="850" w:type="dxa"/>
            <w:tcBorders>
              <w:top w:val="single" w:sz="4" w:space="0" w:color="auto"/>
              <w:bottom w:val="single" w:sz="8" w:space="0" w:color="000000" w:themeColor="text1"/>
            </w:tcBorders>
            <w:shd w:val="clear" w:color="auto" w:fill="auto"/>
            <w:noWrap/>
          </w:tcPr>
          <w:p w14:paraId="20ADFB82"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54</w:t>
            </w:r>
          </w:p>
        </w:tc>
        <w:tc>
          <w:tcPr>
            <w:tcW w:w="851" w:type="dxa"/>
            <w:tcBorders>
              <w:top w:val="single" w:sz="4" w:space="0" w:color="auto"/>
              <w:bottom w:val="single" w:sz="8" w:space="0" w:color="000000" w:themeColor="text1"/>
            </w:tcBorders>
            <w:shd w:val="clear" w:color="auto" w:fill="auto"/>
            <w:noWrap/>
          </w:tcPr>
          <w:p w14:paraId="4D9671EF"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19</w:t>
            </w:r>
          </w:p>
        </w:tc>
        <w:tc>
          <w:tcPr>
            <w:tcW w:w="850" w:type="dxa"/>
            <w:tcBorders>
              <w:top w:val="single" w:sz="4" w:space="0" w:color="auto"/>
              <w:bottom w:val="single" w:sz="8" w:space="0" w:color="000000" w:themeColor="text1"/>
            </w:tcBorders>
            <w:shd w:val="clear" w:color="auto" w:fill="auto"/>
            <w:noWrap/>
          </w:tcPr>
          <w:p w14:paraId="1F9DB126"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59</w:t>
            </w:r>
          </w:p>
        </w:tc>
        <w:tc>
          <w:tcPr>
            <w:tcW w:w="851" w:type="dxa"/>
            <w:tcBorders>
              <w:top w:val="single" w:sz="4" w:space="0" w:color="auto"/>
              <w:bottom w:val="single" w:sz="8" w:space="0" w:color="000000" w:themeColor="text1"/>
            </w:tcBorders>
            <w:shd w:val="clear" w:color="auto" w:fill="auto"/>
            <w:noWrap/>
          </w:tcPr>
          <w:p w14:paraId="7FA1B1AD" w14:textId="77777777" w:rsidR="00AD66D0" w:rsidRPr="00091A98" w:rsidRDefault="00AD66D0" w:rsidP="00AD66D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lang w:val="de-CH"/>
              </w:rPr>
            </w:pPr>
            <w:r w:rsidRPr="00091A98">
              <w:rPr>
                <w:rFonts w:eastAsia="Times New Roman" w:cs="Times New Roman"/>
                <w:color w:val="auto"/>
                <w:sz w:val="22"/>
                <w:szCs w:val="22"/>
                <w:lang w:val="de-CH"/>
              </w:rPr>
              <w:t>3</w:t>
            </w:r>
          </w:p>
        </w:tc>
      </w:tr>
    </w:tbl>
    <w:p w14:paraId="65ED606D" w14:textId="77777777" w:rsidR="00AD66D0" w:rsidRPr="00091A98" w:rsidRDefault="00AD66D0" w:rsidP="00AD66D0">
      <w:pPr>
        <w:spacing w:line="276" w:lineRule="auto"/>
        <w:ind w:left="-709"/>
        <w:rPr>
          <w:rFonts w:cs="Times New Roman"/>
          <w:lang w:val="de-CH"/>
        </w:rPr>
      </w:pPr>
      <w:r w:rsidRPr="00091A98">
        <w:rPr>
          <w:rFonts w:cs="Times New Roman"/>
          <w:i/>
          <w:lang w:val="de-CH"/>
        </w:rPr>
        <w:t>Anmerkung:</w:t>
      </w:r>
      <w:r w:rsidRPr="00091A98">
        <w:rPr>
          <w:rFonts w:cs="Times New Roman"/>
          <w:lang w:val="de-CH"/>
        </w:rPr>
        <w:t xml:space="preserve"> Prozent der Organisationen, die in den einzelnen Themenfeldern den jeweiligen Wettbewerbskategorien zugeordnet sind</w:t>
      </w:r>
    </w:p>
    <w:p w14:paraId="5E993533" w14:textId="77777777" w:rsidR="00AD66D0" w:rsidRPr="00091A98" w:rsidRDefault="00AD66D0" w:rsidP="00AD66D0">
      <w:pPr>
        <w:spacing w:line="360" w:lineRule="auto"/>
        <w:rPr>
          <w:rFonts w:cs="Times New Roman"/>
          <w:lang w:val="de-CH"/>
        </w:rPr>
      </w:pPr>
    </w:p>
    <w:p w14:paraId="369ACC2E" w14:textId="77777777" w:rsidR="00AD66D0" w:rsidRPr="00091A98" w:rsidRDefault="00AD66D0" w:rsidP="00AD66D0">
      <w:pPr>
        <w:spacing w:line="360" w:lineRule="auto"/>
        <w:rPr>
          <w:rFonts w:cs="Times New Roman"/>
          <w:lang w:val="de-CH"/>
        </w:rPr>
      </w:pPr>
    </w:p>
    <w:p w14:paraId="6B97D4B4" w14:textId="77777777" w:rsidR="00AD66D0" w:rsidRPr="00091A98" w:rsidRDefault="00AD66D0" w:rsidP="00AD66D0">
      <w:pPr>
        <w:spacing w:line="360" w:lineRule="auto"/>
        <w:rPr>
          <w:rFonts w:cs="Times New Roman"/>
          <w:lang w:val="de-CH"/>
        </w:rPr>
      </w:pPr>
    </w:p>
    <w:p w14:paraId="3AC7EEFC" w14:textId="7F4AC610" w:rsidR="00AD66D0" w:rsidRPr="00091A98" w:rsidRDefault="00BE4CEA" w:rsidP="00BE4CEA">
      <w:pPr>
        <w:tabs>
          <w:tab w:val="left" w:pos="3215"/>
        </w:tabs>
        <w:spacing w:line="360" w:lineRule="auto"/>
        <w:rPr>
          <w:rFonts w:cs="Times New Roman"/>
          <w:lang w:val="de-CH"/>
        </w:rPr>
      </w:pPr>
      <w:r w:rsidRPr="00091A98">
        <w:rPr>
          <w:rFonts w:cs="Times New Roman"/>
          <w:lang w:val="de-CH"/>
        </w:rPr>
        <w:tab/>
      </w:r>
    </w:p>
    <w:p w14:paraId="2327FB1C" w14:textId="77777777" w:rsidR="00AD66D0" w:rsidRPr="00091A98" w:rsidRDefault="00AD66D0" w:rsidP="00AD66D0">
      <w:pPr>
        <w:spacing w:line="360" w:lineRule="auto"/>
        <w:rPr>
          <w:rFonts w:cs="Times New Roman"/>
          <w:lang w:val="de-CH"/>
        </w:rPr>
      </w:pPr>
    </w:p>
    <w:p w14:paraId="4FD9388A" w14:textId="77777777" w:rsidR="00AD66D0" w:rsidRPr="00091A98" w:rsidRDefault="00AD66D0" w:rsidP="00AD66D0">
      <w:pPr>
        <w:spacing w:line="360" w:lineRule="auto"/>
        <w:rPr>
          <w:rFonts w:cs="Times New Roman"/>
          <w:lang w:val="de-CH"/>
        </w:rPr>
      </w:pPr>
    </w:p>
    <w:p w14:paraId="5B5AD807" w14:textId="77777777" w:rsidR="00AD66D0" w:rsidRPr="00091A98" w:rsidRDefault="00AD66D0" w:rsidP="00AD66D0">
      <w:pPr>
        <w:spacing w:line="360" w:lineRule="auto"/>
        <w:rPr>
          <w:rFonts w:cs="Times New Roman"/>
          <w:lang w:val="de-CH"/>
        </w:rPr>
      </w:pPr>
    </w:p>
    <w:p w14:paraId="471E72D6" w14:textId="77777777" w:rsidR="00AD66D0" w:rsidRPr="00091A98" w:rsidRDefault="00AD66D0" w:rsidP="00AD66D0">
      <w:pPr>
        <w:spacing w:line="360" w:lineRule="auto"/>
        <w:rPr>
          <w:rFonts w:cs="Times New Roman"/>
          <w:lang w:val="de-CH"/>
        </w:rPr>
      </w:pPr>
    </w:p>
    <w:p w14:paraId="762863F7" w14:textId="77777777" w:rsidR="00AD66D0" w:rsidRPr="00091A98" w:rsidRDefault="00AD66D0" w:rsidP="00AD66D0">
      <w:pPr>
        <w:spacing w:line="360" w:lineRule="auto"/>
        <w:rPr>
          <w:rFonts w:cs="Times New Roman"/>
          <w:lang w:val="de-CH"/>
        </w:rPr>
      </w:pPr>
    </w:p>
    <w:p w14:paraId="068FEDF9" w14:textId="77777777" w:rsidR="00AD66D0" w:rsidRPr="00091A98" w:rsidRDefault="00AD66D0" w:rsidP="00AD66D0">
      <w:pPr>
        <w:spacing w:line="360" w:lineRule="auto"/>
        <w:rPr>
          <w:rFonts w:cs="Times New Roman"/>
          <w:lang w:val="de-CH"/>
        </w:rPr>
      </w:pPr>
    </w:p>
    <w:p w14:paraId="5AA92B05" w14:textId="77777777" w:rsidR="00AD66D0" w:rsidRPr="00091A98" w:rsidRDefault="00AD66D0" w:rsidP="00AD66D0">
      <w:pPr>
        <w:spacing w:line="360" w:lineRule="auto"/>
        <w:rPr>
          <w:rFonts w:cs="Times New Roman"/>
          <w:lang w:val="de-CH"/>
        </w:rPr>
      </w:pPr>
    </w:p>
    <w:p w14:paraId="26E4362F" w14:textId="77777777" w:rsidR="00AD66D0" w:rsidRPr="00091A98" w:rsidRDefault="00AD66D0" w:rsidP="00AD66D0">
      <w:pPr>
        <w:spacing w:line="360" w:lineRule="auto"/>
        <w:rPr>
          <w:rFonts w:cs="Times New Roman"/>
          <w:lang w:val="de-CH"/>
        </w:rPr>
      </w:pPr>
    </w:p>
    <w:p w14:paraId="1BFF7AF9" w14:textId="77777777" w:rsidR="00AD66D0" w:rsidRPr="00091A98" w:rsidRDefault="00AD66D0" w:rsidP="00AD66D0">
      <w:pPr>
        <w:spacing w:line="360" w:lineRule="auto"/>
        <w:rPr>
          <w:rFonts w:cs="Times New Roman"/>
          <w:lang w:val="de-CH"/>
        </w:rPr>
      </w:pPr>
    </w:p>
    <w:p w14:paraId="331D6A64" w14:textId="77777777" w:rsidR="00AD66D0" w:rsidRPr="00091A98" w:rsidRDefault="00AD66D0" w:rsidP="00AD66D0">
      <w:pPr>
        <w:spacing w:line="360" w:lineRule="auto"/>
        <w:rPr>
          <w:rFonts w:cs="Times New Roman"/>
          <w:lang w:val="de-CH"/>
        </w:rPr>
      </w:pPr>
    </w:p>
    <w:p w14:paraId="0A874032" w14:textId="77777777" w:rsidR="00AD66D0" w:rsidRPr="00091A98" w:rsidRDefault="00AD66D0" w:rsidP="00AD66D0">
      <w:pPr>
        <w:spacing w:line="360" w:lineRule="auto"/>
        <w:rPr>
          <w:rFonts w:cs="Times New Roman"/>
          <w:lang w:val="de-CH"/>
        </w:rPr>
      </w:pPr>
    </w:p>
    <w:p w14:paraId="01B664AE" w14:textId="77777777" w:rsidR="00AD66D0" w:rsidRPr="00091A98" w:rsidRDefault="00AD66D0" w:rsidP="00AD66D0">
      <w:pPr>
        <w:spacing w:line="360" w:lineRule="auto"/>
        <w:rPr>
          <w:rFonts w:cs="Times New Roman"/>
          <w:lang w:val="de-CH"/>
        </w:rPr>
      </w:pPr>
    </w:p>
    <w:p w14:paraId="4D41289F" w14:textId="77777777" w:rsidR="00AD66D0" w:rsidRPr="00091A98" w:rsidRDefault="00AD66D0" w:rsidP="00AD66D0">
      <w:pPr>
        <w:spacing w:line="360" w:lineRule="auto"/>
        <w:rPr>
          <w:rFonts w:cs="Times New Roman"/>
          <w:lang w:val="de-CH"/>
        </w:rPr>
      </w:pPr>
    </w:p>
    <w:p w14:paraId="57C04B8E" w14:textId="77777777" w:rsidR="00AD66D0" w:rsidRPr="00091A98" w:rsidRDefault="00AD66D0" w:rsidP="00AD66D0">
      <w:pPr>
        <w:spacing w:line="360" w:lineRule="auto"/>
        <w:rPr>
          <w:rFonts w:cs="Times New Roman"/>
          <w:lang w:val="de-CH"/>
        </w:rPr>
      </w:pPr>
    </w:p>
    <w:p w14:paraId="071F77BB" w14:textId="77777777" w:rsidR="00AD66D0" w:rsidRPr="00091A98" w:rsidRDefault="00AD66D0" w:rsidP="00AD66D0">
      <w:pPr>
        <w:spacing w:line="360" w:lineRule="auto"/>
        <w:rPr>
          <w:rFonts w:cs="Times New Roman"/>
          <w:lang w:val="de-CH"/>
        </w:rPr>
      </w:pPr>
    </w:p>
    <w:p w14:paraId="2C0A17FF" w14:textId="77777777" w:rsidR="00AD66D0" w:rsidRPr="00091A98" w:rsidRDefault="00AD66D0" w:rsidP="00AD66D0">
      <w:pPr>
        <w:spacing w:line="360" w:lineRule="auto"/>
        <w:rPr>
          <w:rFonts w:cs="Times New Roman"/>
          <w:lang w:val="de-CH"/>
        </w:rPr>
      </w:pPr>
    </w:p>
    <w:p w14:paraId="5D40FF0C" w14:textId="77777777" w:rsidR="00AD66D0" w:rsidRPr="00091A98" w:rsidRDefault="00AD66D0" w:rsidP="00AD66D0">
      <w:pPr>
        <w:spacing w:line="360" w:lineRule="auto"/>
        <w:rPr>
          <w:rFonts w:cs="Times New Roman"/>
          <w:lang w:val="de-CH"/>
        </w:rPr>
      </w:pPr>
    </w:p>
    <w:p w14:paraId="21855F74" w14:textId="77777777" w:rsidR="00AD66D0" w:rsidRPr="00091A98" w:rsidRDefault="00AD66D0" w:rsidP="00AD66D0">
      <w:pPr>
        <w:spacing w:line="360" w:lineRule="auto"/>
        <w:rPr>
          <w:rFonts w:cs="Times New Roman"/>
          <w:lang w:val="de-CH"/>
        </w:rPr>
      </w:pPr>
    </w:p>
    <w:p w14:paraId="14ABB4CB" w14:textId="77777777" w:rsidR="00AD66D0" w:rsidRPr="00091A98" w:rsidRDefault="00AD66D0" w:rsidP="00AD66D0">
      <w:pPr>
        <w:spacing w:line="360" w:lineRule="auto"/>
        <w:rPr>
          <w:rFonts w:cs="Times New Roman"/>
          <w:lang w:val="de-CH"/>
        </w:rPr>
      </w:pPr>
      <w:r w:rsidRPr="00091A98">
        <w:rPr>
          <w:rFonts w:cs="Times New Roman"/>
          <w:b/>
          <w:lang w:val="de-CH"/>
        </w:rPr>
        <w:lastRenderedPageBreak/>
        <w:t>Tabelle 3:</w:t>
      </w:r>
      <w:r w:rsidRPr="00091A98">
        <w:rPr>
          <w:rFonts w:cs="Times New Roman"/>
          <w:lang w:val="de-CH"/>
        </w:rPr>
        <w:t xml:space="preserve"> Übersichtsstatistiken der abhängigen und unabhängigen Variablen</w:t>
      </w:r>
    </w:p>
    <w:tbl>
      <w:tblPr>
        <w:tblStyle w:val="HelleSchattierung"/>
        <w:tblW w:w="10065" w:type="dxa"/>
        <w:tblInd w:w="-176" w:type="dxa"/>
        <w:shd w:val="clear" w:color="auto" w:fill="FFFFFF" w:themeFill="background1"/>
        <w:tblLook w:val="04A0" w:firstRow="1" w:lastRow="0" w:firstColumn="1" w:lastColumn="0" w:noHBand="0" w:noVBand="1"/>
      </w:tblPr>
      <w:tblGrid>
        <w:gridCol w:w="3398"/>
        <w:gridCol w:w="1122"/>
        <w:gridCol w:w="1389"/>
        <w:gridCol w:w="1550"/>
        <w:gridCol w:w="1286"/>
        <w:gridCol w:w="1320"/>
      </w:tblGrid>
      <w:tr w:rsidR="00AD66D0" w:rsidRPr="00091A98" w14:paraId="5C282F32" w14:textId="77777777" w:rsidTr="00870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1A438672" w14:textId="77777777" w:rsidR="00AD66D0" w:rsidRPr="00091A98" w:rsidRDefault="00AD66D0" w:rsidP="00AD66D0">
            <w:pPr>
              <w:spacing w:line="360" w:lineRule="auto"/>
              <w:rPr>
                <w:rFonts w:cs="Times New Roman"/>
                <w:color w:val="auto"/>
                <w:lang w:val="de-CH"/>
              </w:rPr>
            </w:pPr>
          </w:p>
        </w:tc>
        <w:tc>
          <w:tcPr>
            <w:tcW w:w="1122" w:type="dxa"/>
            <w:shd w:val="clear" w:color="auto" w:fill="FFFFFF" w:themeFill="background1"/>
          </w:tcPr>
          <w:p w14:paraId="2B898DD2"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Fallzahl</w:t>
            </w:r>
          </w:p>
        </w:tc>
        <w:tc>
          <w:tcPr>
            <w:tcW w:w="1389" w:type="dxa"/>
            <w:shd w:val="clear" w:color="auto" w:fill="FFFFFF" w:themeFill="background1"/>
          </w:tcPr>
          <w:p w14:paraId="571272ED"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Mittelwert</w:t>
            </w:r>
          </w:p>
        </w:tc>
        <w:tc>
          <w:tcPr>
            <w:tcW w:w="1550" w:type="dxa"/>
            <w:shd w:val="clear" w:color="auto" w:fill="FFFFFF" w:themeFill="background1"/>
          </w:tcPr>
          <w:p w14:paraId="79CFCC6E"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Standard-abweichung</w:t>
            </w:r>
          </w:p>
        </w:tc>
        <w:tc>
          <w:tcPr>
            <w:tcW w:w="1286" w:type="dxa"/>
            <w:shd w:val="clear" w:color="auto" w:fill="FFFFFF" w:themeFill="background1"/>
          </w:tcPr>
          <w:p w14:paraId="33E28C1A"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Minimum</w:t>
            </w:r>
          </w:p>
        </w:tc>
        <w:tc>
          <w:tcPr>
            <w:tcW w:w="1320" w:type="dxa"/>
            <w:shd w:val="clear" w:color="auto" w:fill="FFFFFF" w:themeFill="background1"/>
          </w:tcPr>
          <w:p w14:paraId="152589E7" w14:textId="77777777" w:rsidR="00AD66D0" w:rsidRPr="00091A98" w:rsidRDefault="00AD66D0" w:rsidP="00AD66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Maximum</w:t>
            </w:r>
          </w:p>
        </w:tc>
      </w:tr>
      <w:tr w:rsidR="00AD66D0" w:rsidRPr="00091A98" w14:paraId="34E7C43D"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0CA7678F" w14:textId="77777777" w:rsidR="00AD66D0" w:rsidRPr="00091A98" w:rsidRDefault="00AD66D0" w:rsidP="00AD66D0">
            <w:pPr>
              <w:spacing w:line="360" w:lineRule="auto"/>
              <w:rPr>
                <w:rFonts w:cs="Times New Roman"/>
                <w:color w:val="auto"/>
                <w:lang w:val="de-CH"/>
              </w:rPr>
            </w:pPr>
            <w:r w:rsidRPr="00091A98">
              <w:rPr>
                <w:rFonts w:cs="Times New Roman"/>
                <w:color w:val="auto"/>
                <w:lang w:val="de-CH"/>
              </w:rPr>
              <w:t>Regierung</w:t>
            </w:r>
          </w:p>
        </w:tc>
        <w:tc>
          <w:tcPr>
            <w:tcW w:w="1122" w:type="dxa"/>
            <w:shd w:val="clear" w:color="auto" w:fill="FFFFFF" w:themeFill="background1"/>
          </w:tcPr>
          <w:p w14:paraId="0D3C9CFD" w14:textId="71EEDC09" w:rsidR="00AD66D0"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128</w:t>
            </w:r>
          </w:p>
        </w:tc>
        <w:tc>
          <w:tcPr>
            <w:tcW w:w="1389" w:type="dxa"/>
            <w:shd w:val="clear" w:color="auto" w:fill="FFFFFF" w:themeFill="background1"/>
          </w:tcPr>
          <w:p w14:paraId="695F46B0" w14:textId="090E4C4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3</w:t>
            </w:r>
            <w:r w:rsidR="0087020D">
              <w:rPr>
                <w:rFonts w:cs="Times New Roman"/>
                <w:color w:val="auto"/>
                <w:lang w:val="de-CH"/>
              </w:rPr>
              <w:t>.</w:t>
            </w:r>
            <w:r w:rsidRPr="00091A98">
              <w:rPr>
                <w:rFonts w:cs="Times New Roman"/>
                <w:color w:val="auto"/>
                <w:lang w:val="de-CH"/>
              </w:rPr>
              <w:t>76</w:t>
            </w:r>
          </w:p>
        </w:tc>
        <w:tc>
          <w:tcPr>
            <w:tcW w:w="1550" w:type="dxa"/>
            <w:shd w:val="clear" w:color="auto" w:fill="FFFFFF" w:themeFill="background1"/>
          </w:tcPr>
          <w:p w14:paraId="0727B14C" w14:textId="34FA08C0"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87020D">
              <w:rPr>
                <w:rFonts w:cs="Times New Roman"/>
                <w:color w:val="auto"/>
                <w:lang w:val="de-CH"/>
              </w:rPr>
              <w:t>.</w:t>
            </w:r>
            <w:r w:rsidRPr="00091A98">
              <w:rPr>
                <w:rFonts w:cs="Times New Roman"/>
                <w:color w:val="auto"/>
                <w:lang w:val="de-CH"/>
              </w:rPr>
              <w:t>15</w:t>
            </w:r>
          </w:p>
        </w:tc>
        <w:tc>
          <w:tcPr>
            <w:tcW w:w="1286" w:type="dxa"/>
            <w:shd w:val="clear" w:color="auto" w:fill="FFFFFF" w:themeFill="background1"/>
          </w:tcPr>
          <w:p w14:paraId="18C95E8B" w14:textId="77777777"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320" w:type="dxa"/>
            <w:shd w:val="clear" w:color="auto" w:fill="FFFFFF" w:themeFill="background1"/>
          </w:tcPr>
          <w:p w14:paraId="003CBB3D" w14:textId="77777777"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87020D" w:rsidRPr="00091A98" w14:paraId="0E7C5647"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3A603107"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Parteien</w:t>
            </w:r>
          </w:p>
        </w:tc>
        <w:tc>
          <w:tcPr>
            <w:tcW w:w="1122" w:type="dxa"/>
            <w:shd w:val="clear" w:color="auto" w:fill="FFFFFF" w:themeFill="background1"/>
          </w:tcPr>
          <w:p w14:paraId="1745ABBE" w14:textId="15293A3F"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271A3E">
              <w:rPr>
                <w:rFonts w:cs="Times New Roman"/>
                <w:color w:val="auto"/>
                <w:lang w:val="de-CH"/>
              </w:rPr>
              <w:t>1’128</w:t>
            </w:r>
          </w:p>
        </w:tc>
        <w:tc>
          <w:tcPr>
            <w:tcW w:w="1389" w:type="dxa"/>
            <w:shd w:val="clear" w:color="auto" w:fill="FFFFFF" w:themeFill="background1"/>
          </w:tcPr>
          <w:p w14:paraId="66DA5576" w14:textId="4AB92FB5"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3</w:t>
            </w:r>
            <w:r>
              <w:rPr>
                <w:rFonts w:cs="Times New Roman"/>
                <w:color w:val="auto"/>
                <w:lang w:val="de-CH"/>
              </w:rPr>
              <w:t>.</w:t>
            </w:r>
            <w:r w:rsidRPr="00091A98">
              <w:rPr>
                <w:rFonts w:cs="Times New Roman"/>
                <w:color w:val="auto"/>
                <w:lang w:val="de-CH"/>
              </w:rPr>
              <w:t>18</w:t>
            </w:r>
          </w:p>
        </w:tc>
        <w:tc>
          <w:tcPr>
            <w:tcW w:w="1550" w:type="dxa"/>
            <w:shd w:val="clear" w:color="auto" w:fill="FFFFFF" w:themeFill="background1"/>
          </w:tcPr>
          <w:p w14:paraId="610D8DF8" w14:textId="59D50A9E"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w:t>
            </w:r>
            <w:r>
              <w:rPr>
                <w:rFonts w:cs="Times New Roman"/>
                <w:color w:val="auto"/>
                <w:lang w:val="de-CH"/>
              </w:rPr>
              <w:t>.</w:t>
            </w:r>
            <w:r w:rsidRPr="00091A98">
              <w:rPr>
                <w:rFonts w:cs="Times New Roman"/>
                <w:color w:val="auto"/>
                <w:lang w:val="de-CH"/>
              </w:rPr>
              <w:t>30</w:t>
            </w:r>
          </w:p>
        </w:tc>
        <w:tc>
          <w:tcPr>
            <w:tcW w:w="1286" w:type="dxa"/>
            <w:shd w:val="clear" w:color="auto" w:fill="FFFFFF" w:themeFill="background1"/>
          </w:tcPr>
          <w:p w14:paraId="600C57D5"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320" w:type="dxa"/>
            <w:shd w:val="clear" w:color="auto" w:fill="FFFFFF" w:themeFill="background1"/>
          </w:tcPr>
          <w:p w14:paraId="54926011"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87020D" w:rsidRPr="00091A98" w14:paraId="2A06BC0D"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53069D0F"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Medien</w:t>
            </w:r>
          </w:p>
        </w:tc>
        <w:tc>
          <w:tcPr>
            <w:tcW w:w="1122" w:type="dxa"/>
            <w:shd w:val="clear" w:color="auto" w:fill="FFFFFF" w:themeFill="background1"/>
          </w:tcPr>
          <w:p w14:paraId="3FC43C4A" w14:textId="1182BEDF"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271A3E">
              <w:rPr>
                <w:rFonts w:cs="Times New Roman"/>
                <w:color w:val="auto"/>
                <w:lang w:val="de-CH"/>
              </w:rPr>
              <w:t>1’128</w:t>
            </w:r>
          </w:p>
        </w:tc>
        <w:tc>
          <w:tcPr>
            <w:tcW w:w="1389" w:type="dxa"/>
            <w:shd w:val="clear" w:color="auto" w:fill="FFFFFF" w:themeFill="background1"/>
          </w:tcPr>
          <w:p w14:paraId="6649B5AD" w14:textId="2A3F9881"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3</w:t>
            </w:r>
            <w:r>
              <w:rPr>
                <w:rFonts w:cs="Times New Roman"/>
                <w:color w:val="auto"/>
                <w:lang w:val="de-CH"/>
              </w:rPr>
              <w:t>.</w:t>
            </w:r>
            <w:r w:rsidRPr="00091A98">
              <w:rPr>
                <w:rFonts w:cs="Times New Roman"/>
                <w:color w:val="auto"/>
                <w:lang w:val="de-CH"/>
              </w:rPr>
              <w:t>50</w:t>
            </w:r>
          </w:p>
        </w:tc>
        <w:tc>
          <w:tcPr>
            <w:tcW w:w="1550" w:type="dxa"/>
            <w:shd w:val="clear" w:color="auto" w:fill="FFFFFF" w:themeFill="background1"/>
          </w:tcPr>
          <w:p w14:paraId="34CBA309" w14:textId="44235571"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Pr>
                <w:rFonts w:cs="Times New Roman"/>
                <w:color w:val="auto"/>
                <w:lang w:val="de-CH"/>
              </w:rPr>
              <w:t>.</w:t>
            </w:r>
            <w:r w:rsidRPr="00091A98">
              <w:rPr>
                <w:rFonts w:cs="Times New Roman"/>
                <w:color w:val="auto"/>
                <w:lang w:val="de-CH"/>
              </w:rPr>
              <w:t>10</w:t>
            </w:r>
          </w:p>
        </w:tc>
        <w:tc>
          <w:tcPr>
            <w:tcW w:w="1286" w:type="dxa"/>
            <w:shd w:val="clear" w:color="auto" w:fill="FFFFFF" w:themeFill="background1"/>
          </w:tcPr>
          <w:p w14:paraId="033A6D69" w14:textId="7777777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320" w:type="dxa"/>
            <w:shd w:val="clear" w:color="auto" w:fill="FFFFFF" w:themeFill="background1"/>
          </w:tcPr>
          <w:p w14:paraId="73840027" w14:textId="7777777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87020D" w:rsidRPr="00091A98" w14:paraId="1485388F"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5F690E12"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Bürger</w:t>
            </w:r>
          </w:p>
        </w:tc>
        <w:tc>
          <w:tcPr>
            <w:tcW w:w="1122" w:type="dxa"/>
            <w:shd w:val="clear" w:color="auto" w:fill="FFFFFF" w:themeFill="background1"/>
          </w:tcPr>
          <w:p w14:paraId="5C4DB017" w14:textId="5AC8E683"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271A3E">
              <w:rPr>
                <w:rFonts w:cs="Times New Roman"/>
                <w:color w:val="auto"/>
                <w:lang w:val="de-CH"/>
              </w:rPr>
              <w:t>1’128</w:t>
            </w:r>
          </w:p>
        </w:tc>
        <w:tc>
          <w:tcPr>
            <w:tcW w:w="1389" w:type="dxa"/>
            <w:shd w:val="clear" w:color="auto" w:fill="FFFFFF" w:themeFill="background1"/>
          </w:tcPr>
          <w:p w14:paraId="2B693D3F" w14:textId="6112A2CB"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2</w:t>
            </w:r>
            <w:r>
              <w:rPr>
                <w:rFonts w:cs="Times New Roman"/>
                <w:color w:val="auto"/>
                <w:lang w:val="de-CH"/>
              </w:rPr>
              <w:t>.</w:t>
            </w:r>
            <w:r w:rsidRPr="00091A98">
              <w:rPr>
                <w:rFonts w:cs="Times New Roman"/>
                <w:color w:val="auto"/>
                <w:lang w:val="de-CH"/>
              </w:rPr>
              <w:t>71</w:t>
            </w:r>
          </w:p>
        </w:tc>
        <w:tc>
          <w:tcPr>
            <w:tcW w:w="1550" w:type="dxa"/>
            <w:shd w:val="clear" w:color="auto" w:fill="FFFFFF" w:themeFill="background1"/>
          </w:tcPr>
          <w:p w14:paraId="7F5F5A06" w14:textId="3DB08B0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w:t>
            </w:r>
            <w:r>
              <w:rPr>
                <w:rFonts w:cs="Times New Roman"/>
                <w:color w:val="auto"/>
                <w:lang w:val="de-CH"/>
              </w:rPr>
              <w:t>.</w:t>
            </w:r>
            <w:r w:rsidRPr="00091A98">
              <w:rPr>
                <w:rFonts w:cs="Times New Roman"/>
                <w:color w:val="auto"/>
                <w:lang w:val="de-CH"/>
              </w:rPr>
              <w:t>12</w:t>
            </w:r>
          </w:p>
        </w:tc>
        <w:tc>
          <w:tcPr>
            <w:tcW w:w="1286" w:type="dxa"/>
            <w:shd w:val="clear" w:color="auto" w:fill="FFFFFF" w:themeFill="background1"/>
          </w:tcPr>
          <w:p w14:paraId="080D849B"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320" w:type="dxa"/>
            <w:shd w:val="clear" w:color="auto" w:fill="FFFFFF" w:themeFill="background1"/>
          </w:tcPr>
          <w:p w14:paraId="09A4DB7E"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AD66D0" w:rsidRPr="00091A98" w14:paraId="74A3F4D0"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55D779E0" w14:textId="77777777" w:rsidR="00AD66D0" w:rsidRPr="00091A98" w:rsidRDefault="00AD66D0" w:rsidP="00AD66D0">
            <w:pPr>
              <w:spacing w:line="360" w:lineRule="auto"/>
              <w:rPr>
                <w:rFonts w:cs="Times New Roman"/>
                <w:color w:val="auto"/>
                <w:lang w:val="de-CH"/>
              </w:rPr>
            </w:pPr>
            <w:r w:rsidRPr="00091A98">
              <w:rPr>
                <w:rFonts w:cs="Times New Roman"/>
                <w:color w:val="auto"/>
                <w:lang w:val="de-CH"/>
              </w:rPr>
              <w:t>Insider – Outsider Lobbying</w:t>
            </w:r>
          </w:p>
        </w:tc>
        <w:tc>
          <w:tcPr>
            <w:tcW w:w="1122" w:type="dxa"/>
            <w:shd w:val="clear" w:color="auto" w:fill="FFFFFF" w:themeFill="background1"/>
          </w:tcPr>
          <w:p w14:paraId="466B5B7E" w14:textId="560181E9" w:rsidR="00AD66D0"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119</w:t>
            </w:r>
          </w:p>
        </w:tc>
        <w:tc>
          <w:tcPr>
            <w:tcW w:w="1389" w:type="dxa"/>
            <w:shd w:val="clear" w:color="auto" w:fill="FFFFFF" w:themeFill="background1"/>
          </w:tcPr>
          <w:p w14:paraId="1FA1D7CD" w14:textId="77F31004"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87020D">
              <w:rPr>
                <w:rFonts w:cs="Times New Roman"/>
                <w:color w:val="auto"/>
                <w:lang w:val="de-CH"/>
              </w:rPr>
              <w:t>.</w:t>
            </w:r>
            <w:r w:rsidRPr="00091A98">
              <w:rPr>
                <w:rFonts w:cs="Times New Roman"/>
                <w:color w:val="auto"/>
                <w:lang w:val="de-CH"/>
              </w:rPr>
              <w:t>07</w:t>
            </w:r>
          </w:p>
        </w:tc>
        <w:tc>
          <w:tcPr>
            <w:tcW w:w="1550" w:type="dxa"/>
            <w:shd w:val="clear" w:color="auto" w:fill="FFFFFF" w:themeFill="background1"/>
          </w:tcPr>
          <w:p w14:paraId="1EE0A3F3" w14:textId="02B3B7F5"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87020D">
              <w:rPr>
                <w:rFonts w:cs="Times New Roman"/>
                <w:color w:val="auto"/>
                <w:lang w:val="de-CH"/>
              </w:rPr>
              <w:t>.</w:t>
            </w:r>
            <w:r w:rsidRPr="00091A98">
              <w:rPr>
                <w:rFonts w:cs="Times New Roman"/>
                <w:color w:val="auto"/>
                <w:lang w:val="de-CH"/>
              </w:rPr>
              <w:t>51</w:t>
            </w:r>
          </w:p>
        </w:tc>
        <w:tc>
          <w:tcPr>
            <w:tcW w:w="1286" w:type="dxa"/>
            <w:shd w:val="clear" w:color="auto" w:fill="FFFFFF" w:themeFill="background1"/>
          </w:tcPr>
          <w:p w14:paraId="2AFE57E7" w14:textId="279A1625"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-5</w:t>
            </w:r>
            <w:r w:rsidR="0087020D">
              <w:rPr>
                <w:rFonts w:cs="Times New Roman"/>
                <w:color w:val="auto"/>
                <w:lang w:val="de-CH"/>
              </w:rPr>
              <w:t>.</w:t>
            </w:r>
            <w:r w:rsidRPr="00091A98">
              <w:rPr>
                <w:rFonts w:cs="Times New Roman"/>
                <w:color w:val="auto"/>
                <w:lang w:val="de-CH"/>
              </w:rPr>
              <w:t>24</w:t>
            </w:r>
          </w:p>
        </w:tc>
        <w:tc>
          <w:tcPr>
            <w:tcW w:w="1320" w:type="dxa"/>
            <w:shd w:val="clear" w:color="auto" w:fill="FFFFFF" w:themeFill="background1"/>
          </w:tcPr>
          <w:p w14:paraId="7A7EFC5A" w14:textId="6D79AFCB" w:rsidR="00AD66D0" w:rsidRPr="00091A98" w:rsidRDefault="00AD66D0"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4</w:t>
            </w:r>
            <w:r w:rsidR="0087020D">
              <w:rPr>
                <w:rFonts w:cs="Times New Roman"/>
                <w:color w:val="auto"/>
                <w:lang w:val="de-CH"/>
              </w:rPr>
              <w:t>.</w:t>
            </w:r>
            <w:r w:rsidRPr="00091A98">
              <w:rPr>
                <w:rFonts w:cs="Times New Roman"/>
                <w:color w:val="auto"/>
                <w:lang w:val="de-CH"/>
              </w:rPr>
              <w:t>66</w:t>
            </w:r>
          </w:p>
        </w:tc>
      </w:tr>
      <w:tr w:rsidR="0087020D" w:rsidRPr="00091A98" w14:paraId="0235DDF3"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50F3D3F6"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Intensität des Wettbewerbs</w:t>
            </w:r>
          </w:p>
        </w:tc>
        <w:tc>
          <w:tcPr>
            <w:tcW w:w="1122" w:type="dxa"/>
            <w:shd w:val="clear" w:color="auto" w:fill="FFFFFF" w:themeFill="background1"/>
          </w:tcPr>
          <w:p w14:paraId="35175CB5" w14:textId="42CB57BE"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1389" w:type="dxa"/>
            <w:shd w:val="clear" w:color="auto" w:fill="FFFFFF" w:themeFill="background1"/>
          </w:tcPr>
          <w:p w14:paraId="5C4C6B83" w14:textId="47E13EA9"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2</w:t>
            </w:r>
            <w:r>
              <w:rPr>
                <w:rFonts w:cs="Times New Roman"/>
                <w:color w:val="auto"/>
                <w:lang w:val="de-CH"/>
              </w:rPr>
              <w:t>.</w:t>
            </w:r>
            <w:r w:rsidRPr="00091A98">
              <w:rPr>
                <w:rFonts w:cs="Times New Roman"/>
                <w:color w:val="auto"/>
                <w:lang w:val="de-CH"/>
              </w:rPr>
              <w:t>63</w:t>
            </w:r>
          </w:p>
        </w:tc>
        <w:tc>
          <w:tcPr>
            <w:tcW w:w="1550" w:type="dxa"/>
            <w:shd w:val="clear" w:color="auto" w:fill="FFFFFF" w:themeFill="background1"/>
          </w:tcPr>
          <w:p w14:paraId="7AC55FAC" w14:textId="216F7D62"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Pr>
                <w:rFonts w:cs="Times New Roman"/>
                <w:color w:val="auto"/>
                <w:lang w:val="de-CH"/>
              </w:rPr>
              <w:t>.</w:t>
            </w:r>
            <w:r w:rsidRPr="00091A98">
              <w:rPr>
                <w:rFonts w:cs="Times New Roman"/>
                <w:color w:val="auto"/>
                <w:lang w:val="de-CH"/>
              </w:rPr>
              <w:t>94</w:t>
            </w:r>
          </w:p>
        </w:tc>
        <w:tc>
          <w:tcPr>
            <w:tcW w:w="1286" w:type="dxa"/>
            <w:shd w:val="clear" w:color="auto" w:fill="FFFFFF" w:themeFill="background1"/>
          </w:tcPr>
          <w:p w14:paraId="00F43696"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320" w:type="dxa"/>
            <w:shd w:val="clear" w:color="auto" w:fill="FFFFFF" w:themeFill="background1"/>
          </w:tcPr>
          <w:p w14:paraId="33DEB797"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87020D" w:rsidRPr="00091A98" w14:paraId="30D8E858"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679053D5"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Budget (log)</w:t>
            </w:r>
          </w:p>
        </w:tc>
        <w:tc>
          <w:tcPr>
            <w:tcW w:w="1122" w:type="dxa"/>
            <w:shd w:val="clear" w:color="auto" w:fill="FFFFFF" w:themeFill="background1"/>
          </w:tcPr>
          <w:p w14:paraId="26ECFC72" w14:textId="1225ACA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1389" w:type="dxa"/>
            <w:shd w:val="clear" w:color="auto" w:fill="FFFFFF" w:themeFill="background1"/>
          </w:tcPr>
          <w:p w14:paraId="6C9D5CFB" w14:textId="5861631C"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w:t>
            </w:r>
            <w:r>
              <w:rPr>
                <w:rFonts w:cs="Times New Roman"/>
                <w:color w:val="auto"/>
                <w:lang w:val="de-CH"/>
              </w:rPr>
              <w:t>.</w:t>
            </w:r>
            <w:r w:rsidRPr="00091A98">
              <w:rPr>
                <w:rFonts w:cs="Times New Roman"/>
                <w:color w:val="auto"/>
                <w:lang w:val="de-CH"/>
              </w:rPr>
              <w:t>47</w:t>
            </w:r>
          </w:p>
        </w:tc>
        <w:tc>
          <w:tcPr>
            <w:tcW w:w="1550" w:type="dxa"/>
            <w:shd w:val="clear" w:color="auto" w:fill="FFFFFF" w:themeFill="background1"/>
          </w:tcPr>
          <w:p w14:paraId="6C04F288" w14:textId="1E91A76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w:t>
            </w:r>
            <w:r>
              <w:rPr>
                <w:rFonts w:cs="Times New Roman"/>
                <w:color w:val="auto"/>
                <w:lang w:val="de-CH"/>
              </w:rPr>
              <w:t>.</w:t>
            </w:r>
            <w:r w:rsidRPr="00091A98">
              <w:rPr>
                <w:rFonts w:cs="Times New Roman"/>
                <w:color w:val="auto"/>
                <w:lang w:val="de-CH"/>
              </w:rPr>
              <w:t>16</w:t>
            </w:r>
          </w:p>
        </w:tc>
        <w:tc>
          <w:tcPr>
            <w:tcW w:w="1286" w:type="dxa"/>
            <w:shd w:val="clear" w:color="auto" w:fill="FFFFFF" w:themeFill="background1"/>
          </w:tcPr>
          <w:p w14:paraId="14D9343C" w14:textId="46E07069"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6</w:t>
            </w:r>
            <w:r>
              <w:rPr>
                <w:rFonts w:cs="Times New Roman"/>
                <w:color w:val="auto"/>
                <w:lang w:val="de-CH"/>
              </w:rPr>
              <w:t>.</w:t>
            </w:r>
            <w:r w:rsidRPr="00091A98">
              <w:rPr>
                <w:rFonts w:cs="Times New Roman"/>
                <w:color w:val="auto"/>
                <w:lang w:val="de-CH"/>
              </w:rPr>
              <w:t>91</w:t>
            </w:r>
          </w:p>
        </w:tc>
        <w:tc>
          <w:tcPr>
            <w:tcW w:w="1320" w:type="dxa"/>
            <w:shd w:val="clear" w:color="auto" w:fill="FFFFFF" w:themeFill="background1"/>
          </w:tcPr>
          <w:p w14:paraId="6BB599C4" w14:textId="1AFF6D34"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20</w:t>
            </w:r>
            <w:r>
              <w:rPr>
                <w:rFonts w:cs="Times New Roman"/>
                <w:color w:val="auto"/>
                <w:lang w:val="de-CH"/>
              </w:rPr>
              <w:t>.</w:t>
            </w:r>
            <w:r w:rsidRPr="00091A98">
              <w:rPr>
                <w:rFonts w:cs="Times New Roman"/>
                <w:color w:val="auto"/>
                <w:lang w:val="de-CH"/>
              </w:rPr>
              <w:t>50</w:t>
            </w:r>
          </w:p>
        </w:tc>
      </w:tr>
      <w:tr w:rsidR="0087020D" w:rsidRPr="00091A98" w14:paraId="6C7611C6"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0C56406E"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Einzelmitglieder (log)</w:t>
            </w:r>
          </w:p>
        </w:tc>
        <w:tc>
          <w:tcPr>
            <w:tcW w:w="1122" w:type="dxa"/>
            <w:shd w:val="clear" w:color="auto" w:fill="FFFFFF" w:themeFill="background1"/>
          </w:tcPr>
          <w:p w14:paraId="63F261DF" w14:textId="789C10F3"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1389" w:type="dxa"/>
            <w:shd w:val="clear" w:color="auto" w:fill="FFFFFF" w:themeFill="background1"/>
          </w:tcPr>
          <w:p w14:paraId="64A1A4C4" w14:textId="19CF8E93"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3</w:t>
            </w:r>
            <w:r>
              <w:rPr>
                <w:rFonts w:cs="Times New Roman"/>
                <w:color w:val="auto"/>
                <w:lang w:val="de-CH"/>
              </w:rPr>
              <w:t>.</w:t>
            </w:r>
            <w:r w:rsidRPr="00091A98">
              <w:rPr>
                <w:rFonts w:cs="Times New Roman"/>
                <w:color w:val="auto"/>
                <w:lang w:val="de-CH"/>
              </w:rPr>
              <w:t>84</w:t>
            </w:r>
          </w:p>
        </w:tc>
        <w:tc>
          <w:tcPr>
            <w:tcW w:w="1550" w:type="dxa"/>
            <w:shd w:val="clear" w:color="auto" w:fill="FFFFFF" w:themeFill="background1"/>
          </w:tcPr>
          <w:p w14:paraId="283ADD9A" w14:textId="1398B25B"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3</w:t>
            </w:r>
            <w:r>
              <w:rPr>
                <w:rFonts w:cs="Times New Roman"/>
                <w:color w:val="auto"/>
                <w:lang w:val="de-CH"/>
              </w:rPr>
              <w:t>.</w:t>
            </w:r>
            <w:r w:rsidRPr="00091A98">
              <w:rPr>
                <w:rFonts w:cs="Times New Roman"/>
                <w:color w:val="auto"/>
                <w:lang w:val="de-CH"/>
              </w:rPr>
              <w:t>55</w:t>
            </w:r>
          </w:p>
        </w:tc>
        <w:tc>
          <w:tcPr>
            <w:tcW w:w="1286" w:type="dxa"/>
            <w:shd w:val="clear" w:color="auto" w:fill="FFFFFF" w:themeFill="background1"/>
          </w:tcPr>
          <w:p w14:paraId="75543416"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p>
        </w:tc>
        <w:tc>
          <w:tcPr>
            <w:tcW w:w="1320" w:type="dxa"/>
            <w:shd w:val="clear" w:color="auto" w:fill="FFFFFF" w:themeFill="background1"/>
          </w:tcPr>
          <w:p w14:paraId="3A5F1359" w14:textId="4BE9353B"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14</w:t>
            </w:r>
            <w:r>
              <w:rPr>
                <w:rFonts w:cs="Times New Roman"/>
                <w:color w:val="auto"/>
                <w:lang w:val="de-CH"/>
              </w:rPr>
              <w:t>.</w:t>
            </w:r>
            <w:r w:rsidRPr="00091A98">
              <w:rPr>
                <w:rFonts w:cs="Times New Roman"/>
                <w:color w:val="auto"/>
                <w:lang w:val="de-CH"/>
              </w:rPr>
              <w:t>81</w:t>
            </w:r>
          </w:p>
        </w:tc>
      </w:tr>
      <w:tr w:rsidR="0087020D" w:rsidRPr="00091A98" w14:paraId="3570F542"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0894CDF9"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Gruppenmitglieder (log)</w:t>
            </w:r>
          </w:p>
        </w:tc>
        <w:tc>
          <w:tcPr>
            <w:tcW w:w="1122" w:type="dxa"/>
            <w:shd w:val="clear" w:color="auto" w:fill="FFFFFF" w:themeFill="background1"/>
          </w:tcPr>
          <w:p w14:paraId="4FAE7271" w14:textId="2BF95480"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1389" w:type="dxa"/>
            <w:shd w:val="clear" w:color="auto" w:fill="FFFFFF" w:themeFill="background1"/>
          </w:tcPr>
          <w:p w14:paraId="72694099" w14:textId="7AF5FF0C"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w:t>
            </w:r>
            <w:r>
              <w:rPr>
                <w:rFonts w:cs="Times New Roman"/>
                <w:color w:val="auto"/>
                <w:lang w:val="de-CH"/>
              </w:rPr>
              <w:t>.</w:t>
            </w:r>
            <w:r w:rsidRPr="00091A98">
              <w:rPr>
                <w:rFonts w:cs="Times New Roman"/>
                <w:color w:val="auto"/>
                <w:lang w:val="de-CH"/>
              </w:rPr>
              <w:t>62</w:t>
            </w:r>
          </w:p>
        </w:tc>
        <w:tc>
          <w:tcPr>
            <w:tcW w:w="1550" w:type="dxa"/>
            <w:shd w:val="clear" w:color="auto" w:fill="FFFFFF" w:themeFill="background1"/>
          </w:tcPr>
          <w:p w14:paraId="4AE02ED5" w14:textId="0ACB3DB8"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w:t>
            </w:r>
            <w:r>
              <w:rPr>
                <w:rFonts w:cs="Times New Roman"/>
                <w:color w:val="auto"/>
                <w:lang w:val="de-CH"/>
              </w:rPr>
              <w:t>.</w:t>
            </w:r>
            <w:r w:rsidRPr="00091A98">
              <w:rPr>
                <w:rFonts w:cs="Times New Roman"/>
                <w:color w:val="auto"/>
                <w:lang w:val="de-CH"/>
              </w:rPr>
              <w:t>47</w:t>
            </w:r>
          </w:p>
        </w:tc>
        <w:tc>
          <w:tcPr>
            <w:tcW w:w="1286" w:type="dxa"/>
            <w:shd w:val="clear" w:color="auto" w:fill="FFFFFF" w:themeFill="background1"/>
          </w:tcPr>
          <w:p w14:paraId="157187F5" w14:textId="7777777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p>
        </w:tc>
        <w:tc>
          <w:tcPr>
            <w:tcW w:w="1320" w:type="dxa"/>
            <w:shd w:val="clear" w:color="auto" w:fill="FFFFFF" w:themeFill="background1"/>
          </w:tcPr>
          <w:p w14:paraId="3F798F08" w14:textId="7BF10C00"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13</w:t>
            </w:r>
            <w:r>
              <w:rPr>
                <w:rFonts w:cs="Times New Roman"/>
                <w:color w:val="auto"/>
                <w:lang w:val="de-CH"/>
              </w:rPr>
              <w:t>.</w:t>
            </w:r>
            <w:r w:rsidRPr="00091A98">
              <w:rPr>
                <w:rFonts w:cs="Times New Roman"/>
                <w:color w:val="auto"/>
                <w:lang w:val="de-CH"/>
              </w:rPr>
              <w:t>38</w:t>
            </w:r>
          </w:p>
        </w:tc>
      </w:tr>
      <w:tr w:rsidR="0087020D" w:rsidRPr="00091A98" w14:paraId="050E87D8"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497DA62A"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Lobbykoalition</w:t>
            </w:r>
          </w:p>
        </w:tc>
        <w:tc>
          <w:tcPr>
            <w:tcW w:w="1122" w:type="dxa"/>
            <w:shd w:val="clear" w:color="auto" w:fill="FFFFFF" w:themeFill="background1"/>
          </w:tcPr>
          <w:p w14:paraId="745C7425" w14:textId="7C0FDEA5"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1389" w:type="dxa"/>
            <w:shd w:val="clear" w:color="auto" w:fill="FFFFFF" w:themeFill="background1"/>
          </w:tcPr>
          <w:p w14:paraId="19E095F2"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p>
        </w:tc>
        <w:tc>
          <w:tcPr>
            <w:tcW w:w="1550" w:type="dxa"/>
            <w:shd w:val="clear" w:color="auto" w:fill="FFFFFF" w:themeFill="background1"/>
          </w:tcPr>
          <w:p w14:paraId="57E52AF9" w14:textId="169E6C0F"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Pr>
                <w:rFonts w:cs="Times New Roman"/>
                <w:color w:val="auto"/>
                <w:lang w:val="de-CH"/>
              </w:rPr>
              <w:t>.</w:t>
            </w:r>
            <w:r w:rsidRPr="00091A98">
              <w:rPr>
                <w:rFonts w:cs="Times New Roman"/>
                <w:color w:val="auto"/>
                <w:lang w:val="de-CH"/>
              </w:rPr>
              <w:t>87</w:t>
            </w:r>
          </w:p>
        </w:tc>
        <w:tc>
          <w:tcPr>
            <w:tcW w:w="1286" w:type="dxa"/>
            <w:shd w:val="clear" w:color="auto" w:fill="FFFFFF" w:themeFill="background1"/>
          </w:tcPr>
          <w:p w14:paraId="0DAE65EE" w14:textId="596472AC"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-2</w:t>
            </w:r>
            <w:r w:rsidR="00A37304">
              <w:rPr>
                <w:rFonts w:cs="Times New Roman"/>
                <w:color w:val="auto"/>
                <w:lang w:val="de-CH"/>
              </w:rPr>
              <w:t>.</w:t>
            </w:r>
            <w:r w:rsidRPr="00091A98">
              <w:rPr>
                <w:rFonts w:cs="Times New Roman"/>
                <w:color w:val="auto"/>
                <w:lang w:val="de-CH"/>
              </w:rPr>
              <w:t>85</w:t>
            </w:r>
          </w:p>
        </w:tc>
        <w:tc>
          <w:tcPr>
            <w:tcW w:w="1320" w:type="dxa"/>
            <w:shd w:val="clear" w:color="auto" w:fill="FFFFFF" w:themeFill="background1"/>
          </w:tcPr>
          <w:p w14:paraId="76891C45" w14:textId="19228CC0"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2</w:t>
            </w:r>
            <w:r w:rsidR="00A37304">
              <w:rPr>
                <w:rFonts w:cs="Times New Roman"/>
                <w:color w:val="auto"/>
                <w:lang w:val="de-CH"/>
              </w:rPr>
              <w:t>.</w:t>
            </w:r>
            <w:r w:rsidRPr="00091A98">
              <w:rPr>
                <w:rFonts w:cs="Times New Roman"/>
                <w:color w:val="auto"/>
                <w:lang w:val="de-CH"/>
              </w:rPr>
              <w:t>77</w:t>
            </w:r>
          </w:p>
        </w:tc>
      </w:tr>
      <w:tr w:rsidR="0087020D" w:rsidRPr="00091A98" w14:paraId="2F718E8A"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197E17DA"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Land</w:t>
            </w:r>
          </w:p>
        </w:tc>
        <w:tc>
          <w:tcPr>
            <w:tcW w:w="1122" w:type="dxa"/>
            <w:shd w:val="clear" w:color="auto" w:fill="FFFFFF" w:themeFill="background1"/>
          </w:tcPr>
          <w:p w14:paraId="1565CA62" w14:textId="536215BE"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5545" w:type="dxa"/>
            <w:gridSpan w:val="4"/>
            <w:shd w:val="clear" w:color="auto" w:fill="FFFFFF" w:themeFill="background1"/>
          </w:tcPr>
          <w:p w14:paraId="7D11D050" w14:textId="7777777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Davon:   CH: 585;   D: 543</w:t>
            </w:r>
          </w:p>
        </w:tc>
      </w:tr>
      <w:tr w:rsidR="0087020D" w:rsidRPr="00091A98" w14:paraId="270D4C90" w14:textId="77777777" w:rsidTr="0087020D">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3276192D"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Gruppentyp</w:t>
            </w:r>
          </w:p>
        </w:tc>
        <w:tc>
          <w:tcPr>
            <w:tcW w:w="1122" w:type="dxa"/>
            <w:shd w:val="clear" w:color="auto" w:fill="FFFFFF" w:themeFill="background1"/>
          </w:tcPr>
          <w:p w14:paraId="77B0B367" w14:textId="2719DFE2"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5545" w:type="dxa"/>
            <w:gridSpan w:val="4"/>
            <w:shd w:val="clear" w:color="auto" w:fill="FFFFFF" w:themeFill="background1"/>
          </w:tcPr>
          <w:p w14:paraId="50DF7160" w14:textId="77777777" w:rsidR="0087020D" w:rsidRPr="00091A98" w:rsidRDefault="0087020D" w:rsidP="00AD66D0">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Davon: 338 gemeinnützig; 632 spezifisch; 158 andere</w:t>
            </w:r>
          </w:p>
        </w:tc>
      </w:tr>
      <w:tr w:rsidR="0087020D" w:rsidRPr="00091A98" w14:paraId="11161620" w14:textId="77777777" w:rsidTr="0087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shd w:val="clear" w:color="auto" w:fill="FFFFFF" w:themeFill="background1"/>
          </w:tcPr>
          <w:p w14:paraId="443EFE3D" w14:textId="77777777" w:rsidR="0087020D" w:rsidRPr="00091A98" w:rsidRDefault="0087020D" w:rsidP="00AD66D0">
            <w:pPr>
              <w:spacing w:line="360" w:lineRule="auto"/>
              <w:rPr>
                <w:rFonts w:cs="Times New Roman"/>
                <w:color w:val="auto"/>
                <w:lang w:val="de-CH"/>
              </w:rPr>
            </w:pPr>
            <w:r w:rsidRPr="00091A98">
              <w:rPr>
                <w:rFonts w:cs="Times New Roman"/>
                <w:color w:val="auto"/>
                <w:lang w:val="de-CH"/>
              </w:rPr>
              <w:t>Themenfeld</w:t>
            </w:r>
          </w:p>
        </w:tc>
        <w:tc>
          <w:tcPr>
            <w:tcW w:w="1122" w:type="dxa"/>
            <w:shd w:val="clear" w:color="auto" w:fill="FFFFFF" w:themeFill="background1"/>
          </w:tcPr>
          <w:p w14:paraId="3FAC4067" w14:textId="14D6E8CD"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B34B6F">
              <w:rPr>
                <w:rFonts w:cs="Times New Roman"/>
                <w:color w:val="auto"/>
                <w:lang w:val="de-CH"/>
              </w:rPr>
              <w:t>1’128</w:t>
            </w:r>
          </w:p>
        </w:tc>
        <w:tc>
          <w:tcPr>
            <w:tcW w:w="5545" w:type="dxa"/>
            <w:gridSpan w:val="4"/>
            <w:shd w:val="clear" w:color="auto" w:fill="FFFFFF" w:themeFill="background1"/>
          </w:tcPr>
          <w:p w14:paraId="4E2F8BE1" w14:textId="77777777" w:rsidR="0087020D" w:rsidRPr="00091A98" w:rsidRDefault="0087020D" w:rsidP="00AD66D0">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Max: 355 (Wirtschaft); Min: 3 (Anderer Bereich)</w:t>
            </w:r>
          </w:p>
        </w:tc>
      </w:tr>
    </w:tbl>
    <w:p w14:paraId="175B85DF" w14:textId="77777777" w:rsidR="00AD66D0" w:rsidRPr="00091A98" w:rsidRDefault="00AD66D0" w:rsidP="00AD66D0">
      <w:pPr>
        <w:spacing w:line="360" w:lineRule="auto"/>
        <w:rPr>
          <w:rFonts w:cs="Times New Roman"/>
          <w:lang w:val="de-CH"/>
        </w:rPr>
      </w:pPr>
    </w:p>
    <w:p w14:paraId="2D2B70FD" w14:textId="77777777" w:rsidR="00AD66D0" w:rsidRPr="00091A98" w:rsidRDefault="00AD66D0" w:rsidP="00AD66D0">
      <w:pPr>
        <w:spacing w:line="360" w:lineRule="auto"/>
        <w:rPr>
          <w:rFonts w:cs="Times New Roman"/>
          <w:lang w:val="de-CH"/>
        </w:rPr>
      </w:pPr>
    </w:p>
    <w:p w14:paraId="769A5D7E" w14:textId="77777777" w:rsidR="00AD66D0" w:rsidRPr="00091A98" w:rsidRDefault="00AD66D0" w:rsidP="00AD66D0">
      <w:pPr>
        <w:spacing w:line="360" w:lineRule="auto"/>
        <w:rPr>
          <w:rFonts w:cs="Times New Roman"/>
          <w:lang w:val="de-CH"/>
        </w:rPr>
      </w:pPr>
    </w:p>
    <w:p w14:paraId="1B01A4D6" w14:textId="77777777" w:rsidR="00AD66D0" w:rsidRPr="00091A98" w:rsidRDefault="00AD66D0" w:rsidP="00AD66D0">
      <w:pPr>
        <w:spacing w:line="360" w:lineRule="auto"/>
        <w:rPr>
          <w:rFonts w:cs="Times New Roman"/>
          <w:lang w:val="de-CH"/>
        </w:rPr>
      </w:pPr>
    </w:p>
    <w:p w14:paraId="291D552C" w14:textId="77777777" w:rsidR="00AD66D0" w:rsidRPr="00091A98" w:rsidRDefault="00AD66D0" w:rsidP="00AD66D0">
      <w:pPr>
        <w:spacing w:line="360" w:lineRule="auto"/>
        <w:rPr>
          <w:rFonts w:cs="Times New Roman"/>
          <w:lang w:val="de-CH"/>
        </w:rPr>
      </w:pPr>
    </w:p>
    <w:p w14:paraId="655951FF" w14:textId="77777777" w:rsidR="00AD66D0" w:rsidRPr="00091A98" w:rsidRDefault="00AD66D0" w:rsidP="00AD66D0">
      <w:pPr>
        <w:spacing w:line="360" w:lineRule="auto"/>
        <w:rPr>
          <w:rFonts w:cs="Times New Roman"/>
          <w:lang w:val="de-CH"/>
        </w:rPr>
      </w:pPr>
    </w:p>
    <w:p w14:paraId="2EAB9BC0" w14:textId="77777777" w:rsidR="00AD66D0" w:rsidRPr="00091A98" w:rsidRDefault="00AD66D0" w:rsidP="00AD66D0">
      <w:pPr>
        <w:spacing w:line="360" w:lineRule="auto"/>
        <w:rPr>
          <w:rFonts w:cs="Times New Roman"/>
          <w:lang w:val="de-CH"/>
        </w:rPr>
      </w:pPr>
    </w:p>
    <w:p w14:paraId="0882CEC0" w14:textId="77777777" w:rsidR="00AD66D0" w:rsidRPr="00091A98" w:rsidRDefault="00AD66D0" w:rsidP="00AD66D0">
      <w:pPr>
        <w:spacing w:line="360" w:lineRule="auto"/>
        <w:rPr>
          <w:rFonts w:cs="Times New Roman"/>
          <w:lang w:val="de-CH"/>
        </w:rPr>
      </w:pPr>
    </w:p>
    <w:p w14:paraId="1D423F7E" w14:textId="77777777" w:rsidR="00AD66D0" w:rsidRPr="00091A98" w:rsidRDefault="00AD66D0" w:rsidP="00AD66D0">
      <w:pPr>
        <w:spacing w:line="360" w:lineRule="auto"/>
        <w:rPr>
          <w:rFonts w:cs="Times New Roman"/>
          <w:lang w:val="de-CH"/>
        </w:rPr>
      </w:pPr>
    </w:p>
    <w:p w14:paraId="118A90E7" w14:textId="77777777" w:rsidR="00AD66D0" w:rsidRPr="00091A98" w:rsidRDefault="00AD66D0" w:rsidP="00AD66D0">
      <w:pPr>
        <w:spacing w:line="360" w:lineRule="auto"/>
        <w:rPr>
          <w:rFonts w:cs="Times New Roman"/>
          <w:lang w:val="de-CH"/>
        </w:rPr>
      </w:pPr>
    </w:p>
    <w:p w14:paraId="0BE5B661" w14:textId="77777777" w:rsidR="00AD66D0" w:rsidRPr="00091A98" w:rsidRDefault="00AD66D0" w:rsidP="00AD66D0">
      <w:pPr>
        <w:spacing w:line="360" w:lineRule="auto"/>
        <w:rPr>
          <w:rFonts w:cs="Times New Roman"/>
          <w:lang w:val="de-CH"/>
        </w:rPr>
      </w:pPr>
    </w:p>
    <w:p w14:paraId="06924D28" w14:textId="77777777" w:rsidR="00AD66D0" w:rsidRPr="00091A98" w:rsidRDefault="00AD66D0" w:rsidP="00AD66D0">
      <w:pPr>
        <w:spacing w:line="360" w:lineRule="auto"/>
        <w:rPr>
          <w:rFonts w:cs="Times New Roman"/>
          <w:lang w:val="de-CH"/>
        </w:rPr>
      </w:pPr>
    </w:p>
    <w:p w14:paraId="35A6A790" w14:textId="77777777" w:rsidR="00AD66D0" w:rsidRPr="00091A98" w:rsidRDefault="00AD66D0" w:rsidP="00AD66D0">
      <w:pPr>
        <w:spacing w:line="360" w:lineRule="auto"/>
        <w:rPr>
          <w:rFonts w:cs="Times New Roman"/>
          <w:lang w:val="de-CH"/>
        </w:rPr>
      </w:pPr>
    </w:p>
    <w:p w14:paraId="55770359" w14:textId="77777777" w:rsidR="00AD66D0" w:rsidRPr="00091A98" w:rsidRDefault="00AD66D0" w:rsidP="00AD66D0">
      <w:pPr>
        <w:spacing w:line="360" w:lineRule="auto"/>
        <w:rPr>
          <w:rFonts w:cs="Times New Roman"/>
          <w:lang w:val="de-CH"/>
        </w:rPr>
      </w:pPr>
    </w:p>
    <w:p w14:paraId="51C84479" w14:textId="77777777" w:rsidR="00AD66D0" w:rsidRPr="00091A98" w:rsidRDefault="00AD66D0" w:rsidP="00AD66D0">
      <w:pPr>
        <w:spacing w:line="360" w:lineRule="auto"/>
        <w:rPr>
          <w:rFonts w:cs="Times New Roman"/>
          <w:lang w:val="de-CH"/>
        </w:rPr>
      </w:pPr>
    </w:p>
    <w:p w14:paraId="0AF7B951" w14:textId="77777777" w:rsidR="00AD66D0" w:rsidRPr="00091A98" w:rsidRDefault="00AD66D0" w:rsidP="00AD66D0">
      <w:pPr>
        <w:spacing w:line="360" w:lineRule="auto"/>
        <w:rPr>
          <w:rFonts w:cs="Times New Roman"/>
          <w:b/>
          <w:lang w:val="de-CH"/>
        </w:rPr>
      </w:pPr>
    </w:p>
    <w:p w14:paraId="51E3A9D5" w14:textId="77777777" w:rsidR="00D82672" w:rsidRDefault="00D82672" w:rsidP="00AD66D0">
      <w:pPr>
        <w:spacing w:line="360" w:lineRule="auto"/>
        <w:rPr>
          <w:rFonts w:cs="Times New Roman"/>
          <w:b/>
          <w:lang w:val="de-CH"/>
        </w:rPr>
      </w:pPr>
    </w:p>
    <w:p w14:paraId="5C8D065B" w14:textId="77777777" w:rsidR="00AD66D0" w:rsidRPr="00091A98" w:rsidRDefault="00AD66D0" w:rsidP="00AD66D0">
      <w:pPr>
        <w:spacing w:line="360" w:lineRule="auto"/>
        <w:rPr>
          <w:rFonts w:cs="Times New Roman"/>
          <w:lang w:val="de-CH"/>
        </w:rPr>
      </w:pPr>
      <w:r w:rsidRPr="00091A98">
        <w:rPr>
          <w:rFonts w:cs="Times New Roman"/>
          <w:b/>
          <w:lang w:val="de-CH"/>
        </w:rPr>
        <w:t>Tabelle 4:</w:t>
      </w:r>
      <w:r w:rsidRPr="00091A98">
        <w:rPr>
          <w:rFonts w:cs="Times New Roman"/>
          <w:lang w:val="de-CH"/>
        </w:rPr>
        <w:t xml:space="preserve"> Auswirkungen von Wettbewerb auf Lobbystrategien</w:t>
      </w:r>
    </w:p>
    <w:tbl>
      <w:tblPr>
        <w:tblStyle w:val="HelleSchattierung"/>
        <w:tblW w:w="10403" w:type="dxa"/>
        <w:jc w:val="center"/>
        <w:tblInd w:w="-345" w:type="dxa"/>
        <w:tblLook w:val="04A0" w:firstRow="1" w:lastRow="0" w:firstColumn="1" w:lastColumn="0" w:noHBand="0" w:noVBand="1"/>
      </w:tblPr>
      <w:tblGrid>
        <w:gridCol w:w="3312"/>
        <w:gridCol w:w="1519"/>
        <w:gridCol w:w="14"/>
        <w:gridCol w:w="1233"/>
        <w:gridCol w:w="14"/>
        <w:gridCol w:w="1172"/>
        <w:gridCol w:w="14"/>
        <w:gridCol w:w="1112"/>
        <w:gridCol w:w="14"/>
        <w:gridCol w:w="1985"/>
        <w:gridCol w:w="14"/>
      </w:tblGrid>
      <w:tr w:rsidR="00AD66D0" w:rsidRPr="00091A98" w14:paraId="0590C01C" w14:textId="77777777" w:rsidTr="00D826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bottom w:val="nil"/>
            </w:tcBorders>
            <w:shd w:val="clear" w:color="auto" w:fill="auto"/>
          </w:tcPr>
          <w:p w14:paraId="2939B829" w14:textId="77777777" w:rsidR="00AD66D0" w:rsidRPr="00091A98" w:rsidRDefault="00AD66D0" w:rsidP="00AD66D0">
            <w:pPr>
              <w:rPr>
                <w:rFonts w:cs="Times New Roman"/>
                <w:color w:val="auto"/>
                <w:lang w:val="de-CH"/>
              </w:rPr>
            </w:pPr>
          </w:p>
        </w:tc>
        <w:tc>
          <w:tcPr>
            <w:tcW w:w="7091" w:type="dxa"/>
            <w:gridSpan w:val="10"/>
            <w:tcBorders>
              <w:top w:val="single" w:sz="4" w:space="0" w:color="auto"/>
              <w:bottom w:val="single" w:sz="4" w:space="0" w:color="auto"/>
            </w:tcBorders>
            <w:shd w:val="clear" w:color="auto" w:fill="auto"/>
          </w:tcPr>
          <w:p w14:paraId="265AD456" w14:textId="77777777" w:rsidR="00AD66D0" w:rsidRPr="00091A98" w:rsidRDefault="00AD66D0" w:rsidP="00AD66D0">
            <w:pPr>
              <w:ind w:left="93" w:hanging="93"/>
              <w:jc w:val="center"/>
              <w:cnfStyle w:val="100000000000" w:firstRow="1" w:lastRow="0" w:firstColumn="0" w:lastColumn="0" w:oddVBand="0" w:evenVBand="0" w:oddHBand="0" w:evenHBand="0" w:firstRowFirstColumn="0" w:firstRowLastColumn="0" w:lastRowFirstColumn="0" w:lastRowLastColumn="0"/>
              <w:rPr>
                <w:rFonts w:cs="Times New Roman"/>
                <w:b w:val="0"/>
                <w:i/>
                <w:color w:val="auto"/>
                <w:lang w:val="de-CH"/>
              </w:rPr>
            </w:pPr>
            <w:r w:rsidRPr="00091A98">
              <w:rPr>
                <w:rFonts w:cs="Times New Roman"/>
                <w:b w:val="0"/>
                <w:i/>
                <w:color w:val="auto"/>
                <w:lang w:val="de-CH"/>
              </w:rPr>
              <w:t>Abhängige Variable</w:t>
            </w:r>
          </w:p>
        </w:tc>
      </w:tr>
      <w:tr w:rsidR="00AD66D0" w:rsidRPr="00091A98" w14:paraId="429FC989"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tcBorders>
              <w:top w:val="nil"/>
            </w:tcBorders>
            <w:shd w:val="clear" w:color="auto" w:fill="auto"/>
          </w:tcPr>
          <w:p w14:paraId="1D26B5FC" w14:textId="77777777" w:rsidR="00AD66D0" w:rsidRPr="00091A98" w:rsidRDefault="00AD66D0" w:rsidP="00AD66D0">
            <w:pPr>
              <w:rPr>
                <w:rFonts w:cs="Times New Roman"/>
                <w:color w:val="auto"/>
                <w:lang w:val="de-CH"/>
              </w:rPr>
            </w:pPr>
          </w:p>
        </w:tc>
        <w:tc>
          <w:tcPr>
            <w:tcW w:w="1533" w:type="dxa"/>
            <w:gridSpan w:val="2"/>
            <w:tcBorders>
              <w:top w:val="single" w:sz="4" w:space="0" w:color="auto"/>
              <w:bottom w:val="single" w:sz="4" w:space="0" w:color="auto"/>
            </w:tcBorders>
            <w:shd w:val="clear" w:color="auto" w:fill="auto"/>
          </w:tcPr>
          <w:p w14:paraId="712046C8" w14:textId="77777777" w:rsidR="00AD66D0" w:rsidRPr="00091A98" w:rsidRDefault="00AD66D0" w:rsidP="00AD66D0">
            <w:pPr>
              <w:ind w:left="-12" w:firstLine="12"/>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b/>
                <w:color w:val="auto"/>
                <w:lang w:val="de-CH"/>
              </w:rPr>
              <w:t>Regierungs-modell</w:t>
            </w:r>
          </w:p>
          <w:p w14:paraId="7E48565F" w14:textId="77777777" w:rsidR="00AD66D0" w:rsidRPr="00091A98" w:rsidRDefault="00AD66D0" w:rsidP="00AD66D0">
            <w:pPr>
              <w:ind w:left="-12" w:firstLine="12"/>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i/>
                <w:color w:val="auto"/>
                <w:lang w:val="de-CH"/>
              </w:rPr>
              <w:t>Ordered logit</w:t>
            </w:r>
          </w:p>
          <w:p w14:paraId="3826741F" w14:textId="77777777" w:rsidR="00AD66D0" w:rsidRPr="00091A98" w:rsidRDefault="00AD66D0" w:rsidP="00AD66D0">
            <w:pPr>
              <w:ind w:left="-12" w:firstLine="12"/>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p>
        </w:tc>
        <w:tc>
          <w:tcPr>
            <w:tcW w:w="1247" w:type="dxa"/>
            <w:gridSpan w:val="2"/>
            <w:tcBorders>
              <w:top w:val="single" w:sz="4" w:space="0" w:color="auto"/>
              <w:bottom w:val="single" w:sz="4" w:space="0" w:color="auto"/>
            </w:tcBorders>
            <w:shd w:val="clear" w:color="auto" w:fill="auto"/>
          </w:tcPr>
          <w:p w14:paraId="36419B9C" w14:textId="77777777" w:rsidR="00AD66D0" w:rsidRPr="00091A98" w:rsidRDefault="00AD66D0" w:rsidP="00AD66D0">
            <w:pPr>
              <w:ind w:firstLine="12"/>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b/>
                <w:color w:val="auto"/>
                <w:lang w:val="de-CH"/>
              </w:rPr>
              <w:t>Parteien-modell</w:t>
            </w:r>
          </w:p>
          <w:p w14:paraId="0DFB7B0E" w14:textId="77777777" w:rsidR="00AD66D0" w:rsidRPr="00091A98" w:rsidRDefault="00AD66D0" w:rsidP="00AD66D0">
            <w:pPr>
              <w:ind w:firstLine="12"/>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i/>
                <w:color w:val="auto"/>
                <w:lang w:val="de-CH"/>
              </w:rPr>
              <w:t>Ordered logit</w:t>
            </w:r>
          </w:p>
          <w:p w14:paraId="03AC713A" w14:textId="77777777" w:rsidR="00AD66D0" w:rsidRPr="00091A98" w:rsidRDefault="00AD66D0" w:rsidP="00AD66D0">
            <w:pPr>
              <w:ind w:firstLine="12"/>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w:t>
            </w:r>
          </w:p>
        </w:tc>
        <w:tc>
          <w:tcPr>
            <w:tcW w:w="1186" w:type="dxa"/>
            <w:gridSpan w:val="2"/>
            <w:tcBorders>
              <w:top w:val="single" w:sz="4" w:space="0" w:color="auto"/>
              <w:bottom w:val="single" w:sz="4" w:space="0" w:color="auto"/>
            </w:tcBorders>
            <w:shd w:val="clear" w:color="auto" w:fill="auto"/>
          </w:tcPr>
          <w:p w14:paraId="098066D6"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b/>
                <w:color w:val="auto"/>
                <w:lang w:val="de-CH"/>
              </w:rPr>
              <w:t>Medien-modell</w:t>
            </w:r>
          </w:p>
          <w:p w14:paraId="1DF5CC07"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i/>
                <w:color w:val="auto"/>
                <w:lang w:val="de-CH"/>
              </w:rPr>
              <w:t>Ordered logit</w:t>
            </w:r>
          </w:p>
          <w:p w14:paraId="79A0E96D"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color w:val="auto"/>
                <w:lang w:val="de-CH"/>
              </w:rPr>
              <w:t>(3)</w:t>
            </w:r>
          </w:p>
        </w:tc>
        <w:tc>
          <w:tcPr>
            <w:tcW w:w="1126" w:type="dxa"/>
            <w:gridSpan w:val="2"/>
            <w:tcBorders>
              <w:top w:val="single" w:sz="4" w:space="0" w:color="auto"/>
              <w:bottom w:val="single" w:sz="4" w:space="0" w:color="auto"/>
            </w:tcBorders>
            <w:shd w:val="clear" w:color="auto" w:fill="auto"/>
          </w:tcPr>
          <w:p w14:paraId="2D280657" w14:textId="77777777" w:rsidR="00AD66D0" w:rsidRPr="00091A98" w:rsidRDefault="00AD66D0" w:rsidP="00AD66D0">
            <w:pPr>
              <w:ind w:left="-24" w:hanging="27"/>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b/>
                <w:color w:val="auto"/>
                <w:lang w:val="de-CH"/>
              </w:rPr>
              <w:t>Bürger-modell</w:t>
            </w:r>
          </w:p>
          <w:p w14:paraId="7388084D" w14:textId="77777777" w:rsidR="00AD66D0" w:rsidRPr="00091A98" w:rsidRDefault="00AD66D0" w:rsidP="00AD66D0">
            <w:pPr>
              <w:ind w:left="-24" w:hanging="27"/>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i/>
                <w:color w:val="auto"/>
                <w:lang w:val="de-CH"/>
              </w:rPr>
              <w:t>Ordered logit</w:t>
            </w:r>
          </w:p>
          <w:p w14:paraId="44B363DD" w14:textId="77777777" w:rsidR="00AD66D0" w:rsidRPr="00091A98" w:rsidRDefault="00AD66D0" w:rsidP="00AD66D0">
            <w:pPr>
              <w:ind w:left="-24" w:hanging="27"/>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color w:val="auto"/>
                <w:lang w:val="de-CH"/>
              </w:rPr>
              <w:t>(4)</w:t>
            </w:r>
          </w:p>
        </w:tc>
        <w:tc>
          <w:tcPr>
            <w:tcW w:w="1999" w:type="dxa"/>
            <w:gridSpan w:val="2"/>
            <w:tcBorders>
              <w:top w:val="single" w:sz="4" w:space="0" w:color="auto"/>
              <w:bottom w:val="single" w:sz="4" w:space="0" w:color="auto"/>
            </w:tcBorders>
            <w:shd w:val="clear" w:color="auto" w:fill="auto"/>
          </w:tcPr>
          <w:p w14:paraId="310AF2B9" w14:textId="77777777" w:rsidR="00AD66D0" w:rsidRPr="00091A98" w:rsidRDefault="00AD66D0" w:rsidP="00AD66D0">
            <w:pPr>
              <w:ind w:left="-17" w:firstLine="17"/>
              <w:jc w:val="center"/>
              <w:cnfStyle w:val="000000100000" w:firstRow="0" w:lastRow="0" w:firstColumn="0" w:lastColumn="0" w:oddVBand="0" w:evenVBand="0" w:oddHBand="1" w:evenHBand="0" w:firstRowFirstColumn="0" w:firstRowLastColumn="0" w:lastRowFirstColumn="0" w:lastRowLastColumn="0"/>
              <w:rPr>
                <w:rFonts w:cs="Times New Roman"/>
                <w:b/>
                <w:color w:val="auto"/>
                <w:lang w:val="de-CH"/>
              </w:rPr>
            </w:pPr>
            <w:r w:rsidRPr="00091A98">
              <w:rPr>
                <w:rFonts w:cs="Times New Roman"/>
                <w:b/>
                <w:color w:val="auto"/>
                <w:lang w:val="de-CH"/>
              </w:rPr>
              <w:t>Inside - Outside Lobbying-Modell</w:t>
            </w:r>
          </w:p>
          <w:p w14:paraId="0C0E6A18" w14:textId="77777777" w:rsidR="00AD66D0" w:rsidRPr="00091A98" w:rsidRDefault="00AD66D0" w:rsidP="00AD66D0">
            <w:pPr>
              <w:ind w:left="-17" w:firstLine="17"/>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r w:rsidRPr="00091A98">
              <w:rPr>
                <w:rFonts w:cs="Times New Roman"/>
                <w:i/>
                <w:color w:val="auto"/>
                <w:lang w:val="de-CH"/>
              </w:rPr>
              <w:t>OLS</w:t>
            </w:r>
          </w:p>
          <w:p w14:paraId="2008C7C1" w14:textId="77777777" w:rsidR="00AD66D0" w:rsidRPr="00091A98" w:rsidRDefault="00AD66D0" w:rsidP="00AD66D0">
            <w:pPr>
              <w:ind w:left="-17" w:firstLine="17"/>
              <w:jc w:val="center"/>
              <w:cnfStyle w:val="000000100000" w:firstRow="0" w:lastRow="0" w:firstColumn="0" w:lastColumn="0" w:oddVBand="0" w:evenVBand="0" w:oddHBand="1" w:evenHBand="0" w:firstRowFirstColumn="0" w:firstRowLastColumn="0" w:lastRowFirstColumn="0" w:lastRowLastColumn="0"/>
              <w:rPr>
                <w:rFonts w:cs="Times New Roman"/>
                <w:i/>
                <w:color w:val="auto"/>
                <w:lang w:val="de-CH"/>
              </w:rPr>
            </w:pPr>
          </w:p>
          <w:p w14:paraId="0BE3F0F6" w14:textId="77777777" w:rsidR="00AD66D0" w:rsidRPr="00091A98" w:rsidRDefault="00AD66D0" w:rsidP="00AD66D0">
            <w:pPr>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(5)</w:t>
            </w:r>
          </w:p>
        </w:tc>
      </w:tr>
      <w:tr w:rsidR="00AD66D0" w:rsidRPr="00091A98" w14:paraId="0FBB8643" w14:textId="77777777" w:rsidTr="00D82672">
        <w:trPr>
          <w:gridAfter w:val="1"/>
          <w:wAfter w:w="14" w:type="dxa"/>
          <w:jc w:val="center"/>
        </w:trPr>
        <w:tc>
          <w:tcPr>
            <w:cnfStyle w:val="001000000000" w:firstRow="0" w:lastRow="0" w:firstColumn="1" w:lastColumn="0" w:oddVBand="0" w:evenVBand="0" w:oddHBand="0" w:evenHBand="0" w:firstRowFirstColumn="0" w:firstRowLastColumn="0" w:lastRowFirstColumn="0" w:lastRowLastColumn="0"/>
            <w:tcW w:w="4831" w:type="dxa"/>
            <w:gridSpan w:val="2"/>
            <w:tcBorders>
              <w:bottom w:val="nil"/>
            </w:tcBorders>
            <w:shd w:val="clear" w:color="auto" w:fill="auto"/>
          </w:tcPr>
          <w:p w14:paraId="07036125" w14:textId="77777777" w:rsidR="00AD66D0" w:rsidRPr="00091A98" w:rsidRDefault="00AD66D0" w:rsidP="00AD66D0">
            <w:pPr>
              <w:spacing w:before="120"/>
              <w:ind w:left="93" w:hanging="93"/>
              <w:rPr>
                <w:rFonts w:cs="Times New Roman"/>
                <w:color w:val="auto"/>
                <w:lang w:val="de-CH"/>
              </w:rPr>
            </w:pPr>
            <w:r w:rsidRPr="00091A98">
              <w:rPr>
                <w:rFonts w:cs="Times New Roman"/>
                <w:b w:val="0"/>
                <w:color w:val="auto"/>
                <w:lang w:val="de-CH"/>
              </w:rPr>
              <w:t>Wettbewerb (Ref. = Sehr gering)</w:t>
            </w:r>
          </w:p>
        </w:tc>
        <w:tc>
          <w:tcPr>
            <w:tcW w:w="1247" w:type="dxa"/>
            <w:gridSpan w:val="2"/>
            <w:tcBorders>
              <w:top w:val="single" w:sz="4" w:space="0" w:color="auto"/>
              <w:bottom w:val="nil"/>
            </w:tcBorders>
            <w:shd w:val="clear" w:color="auto" w:fill="auto"/>
          </w:tcPr>
          <w:p w14:paraId="27B269C9" w14:textId="77777777" w:rsidR="00AD66D0" w:rsidRPr="00091A98" w:rsidRDefault="00AD66D0" w:rsidP="00AD66D0">
            <w:pPr>
              <w:spacing w:before="120"/>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86" w:type="dxa"/>
            <w:gridSpan w:val="2"/>
            <w:tcBorders>
              <w:top w:val="single" w:sz="4" w:space="0" w:color="auto"/>
              <w:bottom w:val="nil"/>
            </w:tcBorders>
            <w:shd w:val="clear" w:color="auto" w:fill="auto"/>
          </w:tcPr>
          <w:p w14:paraId="02911758" w14:textId="77777777" w:rsidR="00AD66D0" w:rsidRPr="00091A98" w:rsidRDefault="00AD66D0" w:rsidP="00AD66D0">
            <w:pPr>
              <w:spacing w:before="120"/>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26" w:type="dxa"/>
            <w:gridSpan w:val="2"/>
            <w:tcBorders>
              <w:top w:val="single" w:sz="4" w:space="0" w:color="auto"/>
              <w:bottom w:val="nil"/>
            </w:tcBorders>
            <w:shd w:val="clear" w:color="auto" w:fill="auto"/>
          </w:tcPr>
          <w:p w14:paraId="13393DD9" w14:textId="77777777" w:rsidR="00AD66D0" w:rsidRPr="00091A98" w:rsidRDefault="00AD66D0" w:rsidP="00AD66D0">
            <w:pPr>
              <w:spacing w:before="120"/>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999" w:type="dxa"/>
            <w:gridSpan w:val="2"/>
            <w:tcBorders>
              <w:top w:val="single" w:sz="4" w:space="0" w:color="auto"/>
              <w:bottom w:val="nil"/>
            </w:tcBorders>
            <w:shd w:val="clear" w:color="auto" w:fill="auto"/>
          </w:tcPr>
          <w:p w14:paraId="16066E20" w14:textId="77777777" w:rsidR="00AD66D0" w:rsidRPr="00091A98" w:rsidRDefault="00AD66D0" w:rsidP="00AD66D0">
            <w:pPr>
              <w:spacing w:before="120"/>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r>
      <w:tr w:rsidR="00AD66D0" w:rsidRPr="00091A98" w14:paraId="597C5DCC"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tcBorders>
              <w:top w:val="nil"/>
            </w:tcBorders>
            <w:shd w:val="clear" w:color="auto" w:fill="auto"/>
          </w:tcPr>
          <w:p w14:paraId="281A7A81" w14:textId="77777777" w:rsidR="00AD66D0" w:rsidRPr="00091A98" w:rsidRDefault="00AD66D0" w:rsidP="00AD66D0">
            <w:pPr>
              <w:tabs>
                <w:tab w:val="left" w:pos="609"/>
              </w:tabs>
              <w:rPr>
                <w:rFonts w:cs="Times New Roman"/>
                <w:b w:val="0"/>
                <w:color w:val="auto"/>
                <w:lang w:val="de-CH"/>
              </w:rPr>
            </w:pPr>
            <w:r w:rsidRPr="00091A98">
              <w:rPr>
                <w:rFonts w:cs="Times New Roman"/>
                <w:b w:val="0"/>
                <w:color w:val="auto"/>
                <w:lang w:val="de-CH"/>
              </w:rPr>
              <w:t xml:space="preserve">      Geringer Wettbewerb</w:t>
            </w:r>
          </w:p>
        </w:tc>
        <w:tc>
          <w:tcPr>
            <w:tcW w:w="1533" w:type="dxa"/>
            <w:gridSpan w:val="2"/>
            <w:tcBorders>
              <w:top w:val="nil"/>
            </w:tcBorders>
            <w:shd w:val="clear" w:color="auto" w:fill="auto"/>
          </w:tcPr>
          <w:p w14:paraId="1ADA6941" w14:textId="54E8891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25</w:t>
            </w:r>
          </w:p>
        </w:tc>
        <w:tc>
          <w:tcPr>
            <w:tcW w:w="1247" w:type="dxa"/>
            <w:gridSpan w:val="2"/>
            <w:tcBorders>
              <w:top w:val="nil"/>
            </w:tcBorders>
            <w:shd w:val="clear" w:color="auto" w:fill="auto"/>
          </w:tcPr>
          <w:p w14:paraId="4804938B" w14:textId="7A70BF80"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 xml:space="preserve">41** </w:t>
            </w:r>
          </w:p>
        </w:tc>
        <w:tc>
          <w:tcPr>
            <w:tcW w:w="1186" w:type="dxa"/>
            <w:gridSpan w:val="2"/>
            <w:tcBorders>
              <w:top w:val="nil"/>
            </w:tcBorders>
            <w:shd w:val="clear" w:color="auto" w:fill="auto"/>
          </w:tcPr>
          <w:p w14:paraId="729D066C" w14:textId="1BA30A3F"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 xml:space="preserve">12 </w:t>
            </w:r>
          </w:p>
        </w:tc>
        <w:tc>
          <w:tcPr>
            <w:tcW w:w="1126" w:type="dxa"/>
            <w:gridSpan w:val="2"/>
            <w:tcBorders>
              <w:top w:val="nil"/>
            </w:tcBorders>
            <w:shd w:val="clear" w:color="auto" w:fill="auto"/>
          </w:tcPr>
          <w:p w14:paraId="0D0C4FA7" w14:textId="4416419F"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10</w:t>
            </w:r>
          </w:p>
        </w:tc>
        <w:tc>
          <w:tcPr>
            <w:tcW w:w="1999" w:type="dxa"/>
            <w:gridSpan w:val="2"/>
            <w:tcBorders>
              <w:top w:val="nil"/>
            </w:tcBorders>
            <w:shd w:val="clear" w:color="auto" w:fill="auto"/>
          </w:tcPr>
          <w:p w14:paraId="2C587B3B" w14:textId="48B2491D"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16</w:t>
            </w:r>
          </w:p>
        </w:tc>
      </w:tr>
      <w:tr w:rsidR="00AD66D0" w:rsidRPr="00091A98" w14:paraId="1B61369F"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327535F" w14:textId="77777777" w:rsidR="00AD66D0" w:rsidRPr="00091A98" w:rsidRDefault="00AD66D0" w:rsidP="00AD66D0">
            <w:pPr>
              <w:spacing w:line="276" w:lineRule="auto"/>
              <w:rPr>
                <w:rFonts w:cs="Times New Roman"/>
                <w:b w:val="0"/>
                <w:color w:val="auto"/>
                <w:lang w:val="de-CH"/>
              </w:rPr>
            </w:pPr>
          </w:p>
        </w:tc>
        <w:tc>
          <w:tcPr>
            <w:tcW w:w="1533" w:type="dxa"/>
            <w:gridSpan w:val="2"/>
            <w:shd w:val="clear" w:color="auto" w:fill="auto"/>
          </w:tcPr>
          <w:p w14:paraId="66B62B71" w14:textId="278FDC18" w:rsidR="00AD66D0" w:rsidRPr="00091A98" w:rsidRDefault="00AD66D0" w:rsidP="00AD66D0">
            <w:pPr>
              <w:spacing w:line="276"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20)</w:t>
            </w:r>
          </w:p>
        </w:tc>
        <w:tc>
          <w:tcPr>
            <w:tcW w:w="1247" w:type="dxa"/>
            <w:gridSpan w:val="2"/>
            <w:shd w:val="clear" w:color="auto" w:fill="auto"/>
          </w:tcPr>
          <w:p w14:paraId="75AD7646" w14:textId="47034CAD" w:rsidR="00AD66D0" w:rsidRPr="00091A98" w:rsidRDefault="00AD66D0" w:rsidP="00AD66D0">
            <w:pPr>
              <w:spacing w:line="276"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20)</w:t>
            </w:r>
          </w:p>
        </w:tc>
        <w:tc>
          <w:tcPr>
            <w:tcW w:w="1186" w:type="dxa"/>
            <w:gridSpan w:val="2"/>
            <w:shd w:val="clear" w:color="auto" w:fill="auto"/>
          </w:tcPr>
          <w:p w14:paraId="1A9F4EAC" w14:textId="20CC2F29" w:rsidR="00AD66D0" w:rsidRPr="00091A98" w:rsidRDefault="00AD66D0" w:rsidP="00AD66D0">
            <w:pPr>
              <w:spacing w:line="276"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19)</w:t>
            </w:r>
          </w:p>
        </w:tc>
        <w:tc>
          <w:tcPr>
            <w:tcW w:w="1126" w:type="dxa"/>
            <w:gridSpan w:val="2"/>
            <w:shd w:val="clear" w:color="auto" w:fill="auto"/>
          </w:tcPr>
          <w:p w14:paraId="6C99DE0B" w14:textId="4F1295A5" w:rsidR="00AD66D0" w:rsidRPr="00091A98" w:rsidRDefault="00AD66D0" w:rsidP="00AD66D0">
            <w:pPr>
              <w:spacing w:line="276"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19)</w:t>
            </w:r>
          </w:p>
        </w:tc>
        <w:tc>
          <w:tcPr>
            <w:tcW w:w="1999" w:type="dxa"/>
            <w:gridSpan w:val="2"/>
            <w:shd w:val="clear" w:color="auto" w:fill="auto"/>
          </w:tcPr>
          <w:p w14:paraId="65E849B9" w14:textId="06BF115D" w:rsidR="00AD66D0" w:rsidRPr="00091A98" w:rsidRDefault="00AD66D0" w:rsidP="00AD66D0">
            <w:pPr>
              <w:spacing w:line="276"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15)</w:t>
            </w:r>
          </w:p>
        </w:tc>
      </w:tr>
      <w:tr w:rsidR="00AD66D0" w:rsidRPr="00091A98" w14:paraId="2C3B9A97"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7B792143" w14:textId="7BCBBB76" w:rsidR="00AD66D0" w:rsidRPr="00091A98" w:rsidRDefault="00AD66D0" w:rsidP="00D82672">
            <w:pPr>
              <w:rPr>
                <w:rFonts w:cs="Times New Roman"/>
                <w:b w:val="0"/>
                <w:color w:val="auto"/>
                <w:lang w:val="de-CH"/>
              </w:rPr>
            </w:pPr>
            <w:r w:rsidRPr="00091A98">
              <w:rPr>
                <w:rFonts w:cs="Times New Roman"/>
                <w:b w:val="0"/>
                <w:color w:val="auto"/>
                <w:lang w:val="de-CH"/>
              </w:rPr>
              <w:t xml:space="preserve">      Mittelstarker </w:t>
            </w:r>
            <w:r w:rsidR="00D82672">
              <w:rPr>
                <w:rFonts w:cs="Times New Roman"/>
                <w:b w:val="0"/>
                <w:color w:val="auto"/>
                <w:lang w:val="de-CH"/>
              </w:rPr>
              <w:t>W</w:t>
            </w:r>
            <w:r w:rsidRPr="00091A98">
              <w:rPr>
                <w:rFonts w:cs="Times New Roman"/>
                <w:b w:val="0"/>
                <w:color w:val="auto"/>
                <w:lang w:val="de-CH"/>
              </w:rPr>
              <w:t>ettbewerb</w:t>
            </w:r>
          </w:p>
        </w:tc>
        <w:tc>
          <w:tcPr>
            <w:tcW w:w="1533" w:type="dxa"/>
            <w:gridSpan w:val="2"/>
            <w:shd w:val="clear" w:color="auto" w:fill="auto"/>
          </w:tcPr>
          <w:p w14:paraId="70FE0DAF" w14:textId="721A30EC"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98***</w:t>
            </w:r>
          </w:p>
        </w:tc>
        <w:tc>
          <w:tcPr>
            <w:tcW w:w="1247" w:type="dxa"/>
            <w:gridSpan w:val="2"/>
            <w:shd w:val="clear" w:color="auto" w:fill="auto"/>
          </w:tcPr>
          <w:p w14:paraId="5D5FE6A3" w14:textId="65F7BD4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A37304">
              <w:rPr>
                <w:rFonts w:cs="Times New Roman"/>
                <w:color w:val="auto"/>
                <w:lang w:val="de-CH"/>
              </w:rPr>
              <w:t>.</w:t>
            </w:r>
            <w:r w:rsidRPr="00091A98">
              <w:rPr>
                <w:rFonts w:cs="Times New Roman"/>
                <w:color w:val="auto"/>
                <w:lang w:val="de-CH"/>
              </w:rPr>
              <w:t xml:space="preserve">23*** </w:t>
            </w:r>
          </w:p>
        </w:tc>
        <w:tc>
          <w:tcPr>
            <w:tcW w:w="1186" w:type="dxa"/>
            <w:gridSpan w:val="2"/>
            <w:shd w:val="clear" w:color="auto" w:fill="auto"/>
          </w:tcPr>
          <w:p w14:paraId="431FE2FE" w14:textId="6A085259"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47**</w:t>
            </w:r>
          </w:p>
        </w:tc>
        <w:tc>
          <w:tcPr>
            <w:tcW w:w="1126" w:type="dxa"/>
            <w:gridSpan w:val="2"/>
            <w:shd w:val="clear" w:color="auto" w:fill="auto"/>
          </w:tcPr>
          <w:p w14:paraId="3953F3B4" w14:textId="6B222C23"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32*</w:t>
            </w:r>
          </w:p>
        </w:tc>
        <w:tc>
          <w:tcPr>
            <w:tcW w:w="1999" w:type="dxa"/>
            <w:gridSpan w:val="2"/>
            <w:shd w:val="clear" w:color="auto" w:fill="auto"/>
          </w:tcPr>
          <w:p w14:paraId="64B91A87" w14:textId="4D2516DE"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57***</w:t>
            </w:r>
          </w:p>
        </w:tc>
      </w:tr>
      <w:tr w:rsidR="00AD66D0" w:rsidRPr="00091A98" w14:paraId="198F82AB"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5A65BC4"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5A1B1790" w14:textId="2F88A667"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20)</w:t>
            </w:r>
          </w:p>
        </w:tc>
        <w:tc>
          <w:tcPr>
            <w:tcW w:w="1247" w:type="dxa"/>
            <w:gridSpan w:val="2"/>
            <w:shd w:val="clear" w:color="auto" w:fill="auto"/>
          </w:tcPr>
          <w:p w14:paraId="5C63D357" w14:textId="36592D28"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20)</w:t>
            </w:r>
          </w:p>
        </w:tc>
        <w:tc>
          <w:tcPr>
            <w:tcW w:w="1186" w:type="dxa"/>
            <w:gridSpan w:val="2"/>
            <w:shd w:val="clear" w:color="auto" w:fill="auto"/>
          </w:tcPr>
          <w:p w14:paraId="7CAF9D40" w14:textId="52C2355D"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19)</w:t>
            </w:r>
          </w:p>
        </w:tc>
        <w:tc>
          <w:tcPr>
            <w:tcW w:w="1126" w:type="dxa"/>
            <w:gridSpan w:val="2"/>
            <w:shd w:val="clear" w:color="auto" w:fill="auto"/>
          </w:tcPr>
          <w:p w14:paraId="7830889F" w14:textId="5535839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19)</w:t>
            </w:r>
          </w:p>
        </w:tc>
        <w:tc>
          <w:tcPr>
            <w:tcW w:w="1999" w:type="dxa"/>
            <w:gridSpan w:val="2"/>
            <w:shd w:val="clear" w:color="auto" w:fill="auto"/>
          </w:tcPr>
          <w:p w14:paraId="78F63D03" w14:textId="5288109D"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15)</w:t>
            </w:r>
          </w:p>
        </w:tc>
      </w:tr>
      <w:tr w:rsidR="00AD66D0" w:rsidRPr="00091A98" w14:paraId="2096E103"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194A739"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Starker Wettbewerb</w:t>
            </w:r>
          </w:p>
        </w:tc>
        <w:tc>
          <w:tcPr>
            <w:tcW w:w="1533" w:type="dxa"/>
            <w:gridSpan w:val="2"/>
            <w:shd w:val="clear" w:color="auto" w:fill="auto"/>
          </w:tcPr>
          <w:p w14:paraId="2EE00C07" w14:textId="0FDC4C69"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A37304">
              <w:rPr>
                <w:rFonts w:cs="Times New Roman"/>
                <w:color w:val="auto"/>
                <w:lang w:val="de-CH"/>
              </w:rPr>
              <w:t>.</w:t>
            </w:r>
            <w:r w:rsidRPr="00091A98">
              <w:rPr>
                <w:rFonts w:cs="Times New Roman"/>
                <w:color w:val="auto"/>
                <w:lang w:val="de-CH"/>
              </w:rPr>
              <w:t>36***</w:t>
            </w:r>
          </w:p>
        </w:tc>
        <w:tc>
          <w:tcPr>
            <w:tcW w:w="1247" w:type="dxa"/>
            <w:gridSpan w:val="2"/>
            <w:shd w:val="clear" w:color="auto" w:fill="auto"/>
          </w:tcPr>
          <w:p w14:paraId="643A259C" w14:textId="778855A1"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A37304">
              <w:rPr>
                <w:rFonts w:cs="Times New Roman"/>
                <w:color w:val="auto"/>
                <w:lang w:val="de-CH"/>
              </w:rPr>
              <w:t>.</w:t>
            </w:r>
            <w:r w:rsidRPr="00091A98">
              <w:rPr>
                <w:rFonts w:cs="Times New Roman"/>
                <w:color w:val="auto"/>
                <w:lang w:val="de-CH"/>
              </w:rPr>
              <w:t xml:space="preserve">55*** </w:t>
            </w:r>
          </w:p>
        </w:tc>
        <w:tc>
          <w:tcPr>
            <w:tcW w:w="1186" w:type="dxa"/>
            <w:gridSpan w:val="2"/>
            <w:shd w:val="clear" w:color="auto" w:fill="auto"/>
          </w:tcPr>
          <w:p w14:paraId="25C1ACF0" w14:textId="67C502BC"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 xml:space="preserve">75*** </w:t>
            </w:r>
          </w:p>
        </w:tc>
        <w:tc>
          <w:tcPr>
            <w:tcW w:w="1126" w:type="dxa"/>
            <w:gridSpan w:val="2"/>
            <w:shd w:val="clear" w:color="auto" w:fill="auto"/>
          </w:tcPr>
          <w:p w14:paraId="12142FCF" w14:textId="7EDCB8A5"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53**</w:t>
            </w:r>
          </w:p>
        </w:tc>
        <w:tc>
          <w:tcPr>
            <w:tcW w:w="1999" w:type="dxa"/>
            <w:gridSpan w:val="2"/>
            <w:shd w:val="clear" w:color="auto" w:fill="auto"/>
          </w:tcPr>
          <w:p w14:paraId="2B7AC9A7" w14:textId="66BE5BAD"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63***</w:t>
            </w:r>
          </w:p>
        </w:tc>
      </w:tr>
      <w:tr w:rsidR="00AD66D0" w:rsidRPr="00091A98" w14:paraId="127797B0"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74305A8"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413CE881" w14:textId="53AD0DF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24)</w:t>
            </w:r>
          </w:p>
        </w:tc>
        <w:tc>
          <w:tcPr>
            <w:tcW w:w="1247" w:type="dxa"/>
            <w:gridSpan w:val="2"/>
            <w:shd w:val="clear" w:color="auto" w:fill="auto"/>
          </w:tcPr>
          <w:p w14:paraId="58B07AF9" w14:textId="7AF92F55"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23)</w:t>
            </w:r>
          </w:p>
        </w:tc>
        <w:tc>
          <w:tcPr>
            <w:tcW w:w="1186" w:type="dxa"/>
            <w:gridSpan w:val="2"/>
            <w:shd w:val="clear" w:color="auto" w:fill="auto"/>
          </w:tcPr>
          <w:p w14:paraId="056A81B2" w14:textId="5DB371A6"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23)</w:t>
            </w:r>
          </w:p>
        </w:tc>
        <w:tc>
          <w:tcPr>
            <w:tcW w:w="1126" w:type="dxa"/>
            <w:gridSpan w:val="2"/>
            <w:shd w:val="clear" w:color="auto" w:fill="auto"/>
          </w:tcPr>
          <w:p w14:paraId="61FE37F8" w14:textId="6D68BFF7"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23)</w:t>
            </w:r>
          </w:p>
        </w:tc>
        <w:tc>
          <w:tcPr>
            <w:tcW w:w="1999" w:type="dxa"/>
            <w:gridSpan w:val="2"/>
            <w:shd w:val="clear" w:color="auto" w:fill="auto"/>
          </w:tcPr>
          <w:p w14:paraId="70B608AC" w14:textId="2193C419"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17)</w:t>
            </w:r>
          </w:p>
        </w:tc>
      </w:tr>
      <w:tr w:rsidR="00AD66D0" w:rsidRPr="00091A98" w14:paraId="50DD729A"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102EF51"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Sehr starker Wettbewerb</w:t>
            </w:r>
          </w:p>
        </w:tc>
        <w:tc>
          <w:tcPr>
            <w:tcW w:w="1533" w:type="dxa"/>
            <w:gridSpan w:val="2"/>
            <w:shd w:val="clear" w:color="auto" w:fill="auto"/>
          </w:tcPr>
          <w:p w14:paraId="38A3A8A1" w14:textId="16A2F55E"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A37304">
              <w:rPr>
                <w:rFonts w:cs="Times New Roman"/>
                <w:color w:val="auto"/>
                <w:lang w:val="de-CH"/>
              </w:rPr>
              <w:t>.</w:t>
            </w:r>
            <w:r w:rsidRPr="00091A98">
              <w:rPr>
                <w:rFonts w:cs="Times New Roman"/>
                <w:color w:val="auto"/>
                <w:lang w:val="de-CH"/>
              </w:rPr>
              <w:t>29***</w:t>
            </w:r>
          </w:p>
        </w:tc>
        <w:tc>
          <w:tcPr>
            <w:tcW w:w="1247" w:type="dxa"/>
            <w:gridSpan w:val="2"/>
            <w:shd w:val="clear" w:color="auto" w:fill="auto"/>
          </w:tcPr>
          <w:p w14:paraId="7988F6C9" w14:textId="4F077C99"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w:t>
            </w:r>
            <w:r w:rsidR="00A37304">
              <w:rPr>
                <w:rFonts w:cs="Times New Roman"/>
                <w:color w:val="auto"/>
                <w:lang w:val="de-CH"/>
              </w:rPr>
              <w:t>.</w:t>
            </w:r>
            <w:r w:rsidRPr="00091A98">
              <w:rPr>
                <w:rFonts w:cs="Times New Roman"/>
                <w:color w:val="auto"/>
                <w:lang w:val="de-CH"/>
              </w:rPr>
              <w:t>24***</w:t>
            </w:r>
          </w:p>
        </w:tc>
        <w:tc>
          <w:tcPr>
            <w:tcW w:w="1186" w:type="dxa"/>
            <w:gridSpan w:val="2"/>
            <w:shd w:val="clear" w:color="auto" w:fill="auto"/>
          </w:tcPr>
          <w:p w14:paraId="1670761B" w14:textId="5C5ADBB1"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92**</w:t>
            </w:r>
          </w:p>
        </w:tc>
        <w:tc>
          <w:tcPr>
            <w:tcW w:w="1126" w:type="dxa"/>
            <w:gridSpan w:val="2"/>
            <w:shd w:val="clear" w:color="auto" w:fill="auto"/>
          </w:tcPr>
          <w:p w14:paraId="736FB1A9" w14:textId="4F17AD8E"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A37304">
              <w:rPr>
                <w:rFonts w:cs="Times New Roman"/>
                <w:color w:val="auto"/>
                <w:lang w:val="de-CH"/>
              </w:rPr>
              <w:t>.</w:t>
            </w:r>
            <w:r w:rsidRPr="00091A98">
              <w:rPr>
                <w:rFonts w:cs="Times New Roman"/>
                <w:color w:val="auto"/>
                <w:lang w:val="de-CH"/>
              </w:rPr>
              <w:t>28***</w:t>
            </w:r>
          </w:p>
        </w:tc>
        <w:tc>
          <w:tcPr>
            <w:tcW w:w="1999" w:type="dxa"/>
            <w:gridSpan w:val="2"/>
            <w:shd w:val="clear" w:color="auto" w:fill="auto"/>
          </w:tcPr>
          <w:p w14:paraId="1EFFA804" w14:textId="32005382"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87***</w:t>
            </w:r>
          </w:p>
        </w:tc>
      </w:tr>
      <w:tr w:rsidR="00AD66D0" w:rsidRPr="00091A98" w14:paraId="7A8D147A"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A824CEB"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53CDBE71" w14:textId="2CC6C2F0"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39)</w:t>
            </w:r>
          </w:p>
        </w:tc>
        <w:tc>
          <w:tcPr>
            <w:tcW w:w="1247" w:type="dxa"/>
            <w:gridSpan w:val="2"/>
            <w:shd w:val="clear" w:color="auto" w:fill="auto"/>
          </w:tcPr>
          <w:p w14:paraId="170FE48C" w14:textId="5D1B2898"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42)</w:t>
            </w:r>
          </w:p>
        </w:tc>
        <w:tc>
          <w:tcPr>
            <w:tcW w:w="1186" w:type="dxa"/>
            <w:gridSpan w:val="2"/>
            <w:shd w:val="clear" w:color="auto" w:fill="auto"/>
          </w:tcPr>
          <w:p w14:paraId="57BF8D20" w14:textId="424A98E5"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39)</w:t>
            </w:r>
          </w:p>
        </w:tc>
        <w:tc>
          <w:tcPr>
            <w:tcW w:w="1126" w:type="dxa"/>
            <w:gridSpan w:val="2"/>
            <w:shd w:val="clear" w:color="auto" w:fill="auto"/>
          </w:tcPr>
          <w:p w14:paraId="6A95DC4A" w14:textId="00B28EB9"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39)</w:t>
            </w:r>
          </w:p>
        </w:tc>
        <w:tc>
          <w:tcPr>
            <w:tcW w:w="1999" w:type="dxa"/>
            <w:gridSpan w:val="2"/>
            <w:shd w:val="clear" w:color="auto" w:fill="auto"/>
          </w:tcPr>
          <w:p w14:paraId="1230F0A8" w14:textId="493F0CBF"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A37304">
              <w:rPr>
                <w:rFonts w:cs="Times New Roman"/>
                <w:color w:val="auto"/>
                <w:lang w:val="de-CH"/>
              </w:rPr>
              <w:t>.</w:t>
            </w:r>
            <w:r w:rsidRPr="00091A98">
              <w:rPr>
                <w:rFonts w:cs="Times New Roman"/>
                <w:color w:val="auto"/>
                <w:lang w:val="de-CH"/>
              </w:rPr>
              <w:t>32)</w:t>
            </w:r>
          </w:p>
        </w:tc>
      </w:tr>
      <w:tr w:rsidR="00AD66D0" w:rsidRPr="00091A98" w14:paraId="553FB5E6"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157760C" w14:textId="77777777" w:rsidR="00AD66D0" w:rsidRPr="00091A98" w:rsidRDefault="00AD66D0" w:rsidP="00AD66D0">
            <w:pPr>
              <w:rPr>
                <w:rFonts w:cs="Times New Roman"/>
                <w:b w:val="0"/>
                <w:color w:val="auto"/>
                <w:lang w:val="de-CH"/>
              </w:rPr>
            </w:pPr>
            <w:r w:rsidRPr="00091A98">
              <w:rPr>
                <w:rFonts w:cs="Times New Roman"/>
                <w:b w:val="0"/>
                <w:color w:val="auto"/>
                <w:lang w:val="de-CH"/>
              </w:rPr>
              <w:t>Budget</w:t>
            </w:r>
          </w:p>
        </w:tc>
        <w:tc>
          <w:tcPr>
            <w:tcW w:w="1533" w:type="dxa"/>
            <w:gridSpan w:val="2"/>
            <w:shd w:val="clear" w:color="auto" w:fill="auto"/>
          </w:tcPr>
          <w:p w14:paraId="63586939" w14:textId="69C091C9"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24***</w:t>
            </w:r>
          </w:p>
        </w:tc>
        <w:tc>
          <w:tcPr>
            <w:tcW w:w="1247" w:type="dxa"/>
            <w:gridSpan w:val="2"/>
            <w:shd w:val="clear" w:color="auto" w:fill="auto"/>
          </w:tcPr>
          <w:p w14:paraId="51C998C1" w14:textId="3E1D8BFB"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17***</w:t>
            </w:r>
          </w:p>
        </w:tc>
        <w:tc>
          <w:tcPr>
            <w:tcW w:w="1186" w:type="dxa"/>
            <w:gridSpan w:val="2"/>
            <w:shd w:val="clear" w:color="auto" w:fill="auto"/>
          </w:tcPr>
          <w:p w14:paraId="3DF61747" w14:textId="4300BFCF"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16***</w:t>
            </w:r>
          </w:p>
        </w:tc>
        <w:tc>
          <w:tcPr>
            <w:tcW w:w="1126" w:type="dxa"/>
            <w:gridSpan w:val="2"/>
            <w:shd w:val="clear" w:color="auto" w:fill="auto"/>
          </w:tcPr>
          <w:p w14:paraId="24E7DF9A" w14:textId="282F9A1B"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01</w:t>
            </w:r>
          </w:p>
        </w:tc>
        <w:tc>
          <w:tcPr>
            <w:tcW w:w="1999" w:type="dxa"/>
            <w:gridSpan w:val="2"/>
            <w:shd w:val="clear" w:color="auto" w:fill="auto"/>
          </w:tcPr>
          <w:p w14:paraId="6E79E47E" w14:textId="08A100C4"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10***</w:t>
            </w:r>
          </w:p>
        </w:tc>
      </w:tr>
      <w:tr w:rsidR="00AD66D0" w:rsidRPr="00091A98" w14:paraId="336C144E"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83229C6"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07795604" w14:textId="5DF432D1"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c>
          <w:tcPr>
            <w:tcW w:w="1247" w:type="dxa"/>
            <w:gridSpan w:val="2"/>
            <w:shd w:val="clear" w:color="auto" w:fill="auto"/>
          </w:tcPr>
          <w:p w14:paraId="54E59D10" w14:textId="682284FF"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c>
          <w:tcPr>
            <w:tcW w:w="1186" w:type="dxa"/>
            <w:gridSpan w:val="2"/>
            <w:shd w:val="clear" w:color="auto" w:fill="auto"/>
          </w:tcPr>
          <w:p w14:paraId="07C73ED7" w14:textId="4FB59EA9"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c>
          <w:tcPr>
            <w:tcW w:w="1126" w:type="dxa"/>
            <w:gridSpan w:val="2"/>
            <w:shd w:val="clear" w:color="auto" w:fill="auto"/>
          </w:tcPr>
          <w:p w14:paraId="01C27149" w14:textId="2DFE4C32"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c>
          <w:tcPr>
            <w:tcW w:w="1999" w:type="dxa"/>
            <w:gridSpan w:val="2"/>
            <w:shd w:val="clear" w:color="auto" w:fill="auto"/>
          </w:tcPr>
          <w:p w14:paraId="1B80B352" w14:textId="057A59B6"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r>
      <w:tr w:rsidR="00AD66D0" w:rsidRPr="00091A98" w14:paraId="461A8019"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453B1B4" w14:textId="77777777" w:rsidR="00AD66D0" w:rsidRPr="00091A98" w:rsidRDefault="00AD66D0" w:rsidP="00AD66D0">
            <w:pPr>
              <w:rPr>
                <w:rFonts w:cs="Times New Roman"/>
                <w:b w:val="0"/>
                <w:color w:val="auto"/>
                <w:lang w:val="de-CH"/>
              </w:rPr>
            </w:pPr>
            <w:r w:rsidRPr="00091A98">
              <w:rPr>
                <w:rFonts w:cs="Times New Roman"/>
                <w:b w:val="0"/>
                <w:color w:val="auto"/>
                <w:lang w:val="de-CH"/>
              </w:rPr>
              <w:t>Einzelmitglieder</w:t>
            </w:r>
          </w:p>
        </w:tc>
        <w:tc>
          <w:tcPr>
            <w:tcW w:w="1533" w:type="dxa"/>
            <w:gridSpan w:val="2"/>
            <w:shd w:val="clear" w:color="auto" w:fill="auto"/>
          </w:tcPr>
          <w:p w14:paraId="29D5172A" w14:textId="6FB46B44"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05***</w:t>
            </w:r>
          </w:p>
        </w:tc>
        <w:tc>
          <w:tcPr>
            <w:tcW w:w="1247" w:type="dxa"/>
            <w:gridSpan w:val="2"/>
            <w:shd w:val="clear" w:color="auto" w:fill="auto"/>
          </w:tcPr>
          <w:p w14:paraId="6EE678C0" w14:textId="20464A53"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01</w:t>
            </w:r>
          </w:p>
        </w:tc>
        <w:tc>
          <w:tcPr>
            <w:tcW w:w="1186" w:type="dxa"/>
            <w:gridSpan w:val="2"/>
            <w:shd w:val="clear" w:color="auto" w:fill="auto"/>
          </w:tcPr>
          <w:p w14:paraId="1AB35D6E" w14:textId="21B4F2DE"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26" w:type="dxa"/>
            <w:gridSpan w:val="2"/>
            <w:shd w:val="clear" w:color="auto" w:fill="auto"/>
          </w:tcPr>
          <w:p w14:paraId="6E140C37" w14:textId="6BEB994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c>
          <w:tcPr>
            <w:tcW w:w="1999" w:type="dxa"/>
            <w:gridSpan w:val="2"/>
            <w:shd w:val="clear" w:color="auto" w:fill="auto"/>
          </w:tcPr>
          <w:p w14:paraId="12259038" w14:textId="598C555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03**</w:t>
            </w:r>
          </w:p>
        </w:tc>
      </w:tr>
      <w:tr w:rsidR="00AD66D0" w:rsidRPr="00091A98" w14:paraId="3511F950"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1B10B10"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00021F56" w14:textId="2320D8D1"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247" w:type="dxa"/>
            <w:gridSpan w:val="2"/>
            <w:shd w:val="clear" w:color="auto" w:fill="auto"/>
          </w:tcPr>
          <w:p w14:paraId="6C78D466" w14:textId="021C076F"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86" w:type="dxa"/>
            <w:gridSpan w:val="2"/>
            <w:shd w:val="clear" w:color="auto" w:fill="auto"/>
          </w:tcPr>
          <w:p w14:paraId="727939B1" w14:textId="62C31CF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26" w:type="dxa"/>
            <w:gridSpan w:val="2"/>
            <w:shd w:val="clear" w:color="auto" w:fill="auto"/>
          </w:tcPr>
          <w:p w14:paraId="2FA73942" w14:textId="504BD892"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999" w:type="dxa"/>
            <w:gridSpan w:val="2"/>
            <w:shd w:val="clear" w:color="auto" w:fill="auto"/>
          </w:tcPr>
          <w:p w14:paraId="3D4C597E" w14:textId="51CB63A2"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01)</w:t>
            </w:r>
          </w:p>
        </w:tc>
      </w:tr>
      <w:tr w:rsidR="00AD66D0" w:rsidRPr="00091A98" w14:paraId="0B00EA5A"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D9630EE" w14:textId="77777777" w:rsidR="00AD66D0" w:rsidRPr="00091A98" w:rsidRDefault="00AD66D0" w:rsidP="00AD66D0">
            <w:pPr>
              <w:rPr>
                <w:rFonts w:cs="Times New Roman"/>
                <w:b w:val="0"/>
                <w:color w:val="auto"/>
                <w:lang w:val="de-CH"/>
              </w:rPr>
            </w:pPr>
            <w:r w:rsidRPr="00091A98">
              <w:rPr>
                <w:rFonts w:cs="Times New Roman"/>
                <w:b w:val="0"/>
                <w:color w:val="auto"/>
                <w:lang w:val="de-CH"/>
              </w:rPr>
              <w:t>Gruppenmitglieder</w:t>
            </w:r>
          </w:p>
        </w:tc>
        <w:tc>
          <w:tcPr>
            <w:tcW w:w="1533" w:type="dxa"/>
            <w:gridSpan w:val="2"/>
            <w:shd w:val="clear" w:color="auto" w:fill="auto"/>
          </w:tcPr>
          <w:p w14:paraId="55DFDD25" w14:textId="377F3ABC"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247" w:type="dxa"/>
            <w:gridSpan w:val="2"/>
            <w:shd w:val="clear" w:color="auto" w:fill="auto"/>
          </w:tcPr>
          <w:p w14:paraId="0833C79C" w14:textId="535244E5"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08***</w:t>
            </w:r>
          </w:p>
        </w:tc>
        <w:tc>
          <w:tcPr>
            <w:tcW w:w="1186" w:type="dxa"/>
            <w:gridSpan w:val="2"/>
            <w:shd w:val="clear" w:color="auto" w:fill="auto"/>
          </w:tcPr>
          <w:p w14:paraId="457D661E" w14:textId="5ED12DE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26" w:type="dxa"/>
            <w:gridSpan w:val="2"/>
            <w:shd w:val="clear" w:color="auto" w:fill="auto"/>
          </w:tcPr>
          <w:p w14:paraId="76C35A72" w14:textId="0D397CD3"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01</w:t>
            </w:r>
          </w:p>
        </w:tc>
        <w:tc>
          <w:tcPr>
            <w:tcW w:w="1999" w:type="dxa"/>
            <w:gridSpan w:val="2"/>
            <w:shd w:val="clear" w:color="auto" w:fill="auto"/>
          </w:tcPr>
          <w:p w14:paraId="3F71C78B" w14:textId="65C680FE"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04**</w:t>
            </w:r>
          </w:p>
        </w:tc>
      </w:tr>
      <w:tr w:rsidR="00AD66D0" w:rsidRPr="00091A98" w14:paraId="5AB712D7"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D2B43C8"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3FD41544" w14:textId="0535B7B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247" w:type="dxa"/>
            <w:gridSpan w:val="2"/>
            <w:shd w:val="clear" w:color="auto" w:fill="auto"/>
          </w:tcPr>
          <w:p w14:paraId="4640A1BA" w14:textId="268F287E"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86" w:type="dxa"/>
            <w:gridSpan w:val="2"/>
            <w:shd w:val="clear" w:color="auto" w:fill="auto"/>
          </w:tcPr>
          <w:p w14:paraId="3889361C" w14:textId="76B8599B"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126" w:type="dxa"/>
            <w:gridSpan w:val="2"/>
            <w:shd w:val="clear" w:color="auto" w:fill="auto"/>
          </w:tcPr>
          <w:p w14:paraId="02EDAC56" w14:textId="0E27B40C"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c>
          <w:tcPr>
            <w:tcW w:w="1999" w:type="dxa"/>
            <w:gridSpan w:val="2"/>
            <w:shd w:val="clear" w:color="auto" w:fill="auto"/>
          </w:tcPr>
          <w:p w14:paraId="72F922C0" w14:textId="528E958E"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02)</w:t>
            </w:r>
          </w:p>
        </w:tc>
      </w:tr>
      <w:tr w:rsidR="00AD66D0" w:rsidRPr="00091A98" w14:paraId="245E62BB"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C5AB306" w14:textId="77777777" w:rsidR="00AD66D0" w:rsidRPr="00091A98" w:rsidRDefault="00AD66D0" w:rsidP="00AD66D0">
            <w:pPr>
              <w:rPr>
                <w:rFonts w:cs="Times New Roman"/>
                <w:b w:val="0"/>
                <w:color w:val="auto"/>
                <w:lang w:val="de-CH"/>
              </w:rPr>
            </w:pPr>
            <w:r w:rsidRPr="00091A98">
              <w:rPr>
                <w:rFonts w:cs="Times New Roman"/>
                <w:b w:val="0"/>
                <w:color w:val="auto"/>
                <w:lang w:val="de-CH"/>
              </w:rPr>
              <w:t>Lobbykoalition</w:t>
            </w:r>
          </w:p>
        </w:tc>
        <w:tc>
          <w:tcPr>
            <w:tcW w:w="1533" w:type="dxa"/>
            <w:gridSpan w:val="2"/>
            <w:shd w:val="clear" w:color="auto" w:fill="auto"/>
          </w:tcPr>
          <w:p w14:paraId="7E92BCC0" w14:textId="4A822891"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48***</w:t>
            </w:r>
          </w:p>
        </w:tc>
        <w:tc>
          <w:tcPr>
            <w:tcW w:w="1247" w:type="dxa"/>
            <w:gridSpan w:val="2"/>
            <w:shd w:val="clear" w:color="auto" w:fill="auto"/>
          </w:tcPr>
          <w:p w14:paraId="5E600E34" w14:textId="0B168676"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29***</w:t>
            </w:r>
          </w:p>
        </w:tc>
        <w:tc>
          <w:tcPr>
            <w:tcW w:w="1186" w:type="dxa"/>
            <w:gridSpan w:val="2"/>
            <w:shd w:val="clear" w:color="auto" w:fill="auto"/>
          </w:tcPr>
          <w:p w14:paraId="260DD5DB" w14:textId="47E24AE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13***</w:t>
            </w:r>
          </w:p>
        </w:tc>
        <w:tc>
          <w:tcPr>
            <w:tcW w:w="1126" w:type="dxa"/>
            <w:gridSpan w:val="2"/>
            <w:shd w:val="clear" w:color="auto" w:fill="auto"/>
          </w:tcPr>
          <w:p w14:paraId="7BD1FAC9" w14:textId="51F5579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21***</w:t>
            </w:r>
          </w:p>
        </w:tc>
        <w:tc>
          <w:tcPr>
            <w:tcW w:w="1999" w:type="dxa"/>
            <w:gridSpan w:val="2"/>
            <w:shd w:val="clear" w:color="auto" w:fill="auto"/>
          </w:tcPr>
          <w:p w14:paraId="418EF51E" w14:textId="33F6EE04"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20***</w:t>
            </w:r>
          </w:p>
        </w:tc>
      </w:tr>
      <w:tr w:rsidR="00AD66D0" w:rsidRPr="00091A98" w14:paraId="4637EBAF"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3FE69D0"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622E2E25" w14:textId="17FD5271"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07)</w:t>
            </w:r>
          </w:p>
        </w:tc>
        <w:tc>
          <w:tcPr>
            <w:tcW w:w="1247" w:type="dxa"/>
            <w:gridSpan w:val="2"/>
            <w:shd w:val="clear" w:color="auto" w:fill="auto"/>
          </w:tcPr>
          <w:p w14:paraId="20AD3CA0" w14:textId="66547236"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07)</w:t>
            </w:r>
          </w:p>
        </w:tc>
        <w:tc>
          <w:tcPr>
            <w:tcW w:w="1186" w:type="dxa"/>
            <w:gridSpan w:val="2"/>
            <w:shd w:val="clear" w:color="auto" w:fill="auto"/>
          </w:tcPr>
          <w:p w14:paraId="30FB9148" w14:textId="4DAC5585"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07)</w:t>
            </w:r>
          </w:p>
        </w:tc>
        <w:tc>
          <w:tcPr>
            <w:tcW w:w="1126" w:type="dxa"/>
            <w:gridSpan w:val="2"/>
            <w:shd w:val="clear" w:color="auto" w:fill="auto"/>
          </w:tcPr>
          <w:p w14:paraId="3E0131C0" w14:textId="73C70BB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107</w:t>
            </w:r>
          </w:p>
        </w:tc>
        <w:tc>
          <w:tcPr>
            <w:tcW w:w="1999" w:type="dxa"/>
            <w:gridSpan w:val="2"/>
            <w:shd w:val="clear" w:color="auto" w:fill="auto"/>
          </w:tcPr>
          <w:p w14:paraId="4EDE6E3D" w14:textId="752E462C"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05)</w:t>
            </w:r>
          </w:p>
        </w:tc>
      </w:tr>
      <w:tr w:rsidR="00AD66D0" w:rsidRPr="00091A98" w14:paraId="13783361"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6A596406" w14:textId="77777777" w:rsidR="00AD66D0" w:rsidRPr="00091A98" w:rsidRDefault="00AD66D0" w:rsidP="00AD66D0">
            <w:pPr>
              <w:rPr>
                <w:rFonts w:cs="Times New Roman"/>
                <w:b w:val="0"/>
                <w:color w:val="auto"/>
                <w:lang w:val="de-CH"/>
              </w:rPr>
            </w:pPr>
            <w:r w:rsidRPr="00091A98">
              <w:rPr>
                <w:rFonts w:cs="Times New Roman"/>
                <w:b w:val="0"/>
                <w:color w:val="auto"/>
                <w:lang w:val="de-CH"/>
              </w:rPr>
              <w:t>Länderdummy (Ref. = CH)</w:t>
            </w:r>
          </w:p>
        </w:tc>
        <w:tc>
          <w:tcPr>
            <w:tcW w:w="1533" w:type="dxa"/>
            <w:gridSpan w:val="2"/>
            <w:shd w:val="clear" w:color="auto" w:fill="auto"/>
          </w:tcPr>
          <w:p w14:paraId="025F3704" w14:textId="3D8BDF5B"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43***</w:t>
            </w:r>
          </w:p>
        </w:tc>
        <w:tc>
          <w:tcPr>
            <w:tcW w:w="1247" w:type="dxa"/>
            <w:gridSpan w:val="2"/>
            <w:shd w:val="clear" w:color="auto" w:fill="auto"/>
          </w:tcPr>
          <w:p w14:paraId="19CE3919" w14:textId="5A04883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78***</w:t>
            </w:r>
          </w:p>
        </w:tc>
        <w:tc>
          <w:tcPr>
            <w:tcW w:w="1186" w:type="dxa"/>
            <w:gridSpan w:val="2"/>
            <w:shd w:val="clear" w:color="auto" w:fill="auto"/>
          </w:tcPr>
          <w:p w14:paraId="177120BF" w14:textId="14FF2162"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49***</w:t>
            </w:r>
          </w:p>
        </w:tc>
        <w:tc>
          <w:tcPr>
            <w:tcW w:w="1126" w:type="dxa"/>
            <w:gridSpan w:val="2"/>
            <w:shd w:val="clear" w:color="auto" w:fill="auto"/>
          </w:tcPr>
          <w:p w14:paraId="6A01ED64" w14:textId="7A2C3EE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37***</w:t>
            </w:r>
          </w:p>
        </w:tc>
        <w:tc>
          <w:tcPr>
            <w:tcW w:w="1999" w:type="dxa"/>
            <w:gridSpan w:val="2"/>
            <w:shd w:val="clear" w:color="auto" w:fill="auto"/>
          </w:tcPr>
          <w:p w14:paraId="66FD0365" w14:textId="62F8E62A"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04</w:t>
            </w:r>
          </w:p>
        </w:tc>
      </w:tr>
      <w:tr w:rsidR="00AD66D0" w:rsidRPr="00091A98" w14:paraId="29D6D3E2"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557C31E"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12E51631" w14:textId="5DEDC784"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11)</w:t>
            </w:r>
          </w:p>
        </w:tc>
        <w:tc>
          <w:tcPr>
            <w:tcW w:w="1247" w:type="dxa"/>
            <w:gridSpan w:val="2"/>
            <w:shd w:val="clear" w:color="auto" w:fill="auto"/>
          </w:tcPr>
          <w:p w14:paraId="7991036E" w14:textId="12122A30"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11)</w:t>
            </w:r>
          </w:p>
        </w:tc>
        <w:tc>
          <w:tcPr>
            <w:tcW w:w="1186" w:type="dxa"/>
            <w:gridSpan w:val="2"/>
            <w:shd w:val="clear" w:color="auto" w:fill="auto"/>
          </w:tcPr>
          <w:p w14:paraId="4B3D848D" w14:textId="5594E486"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11)</w:t>
            </w:r>
          </w:p>
        </w:tc>
        <w:tc>
          <w:tcPr>
            <w:tcW w:w="1126" w:type="dxa"/>
            <w:gridSpan w:val="2"/>
            <w:shd w:val="clear" w:color="auto" w:fill="auto"/>
          </w:tcPr>
          <w:p w14:paraId="1212FD27" w14:textId="1305413C"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11)</w:t>
            </w:r>
          </w:p>
        </w:tc>
        <w:tc>
          <w:tcPr>
            <w:tcW w:w="1999" w:type="dxa"/>
            <w:gridSpan w:val="2"/>
            <w:shd w:val="clear" w:color="auto" w:fill="auto"/>
          </w:tcPr>
          <w:p w14:paraId="7D86722B" w14:textId="796164D7" w:rsidR="00AD66D0" w:rsidRPr="00091A98" w:rsidRDefault="00AD66D0" w:rsidP="00AD66D0">
            <w:pPr>
              <w:spacing w:line="360" w:lineRule="auto"/>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09)</w:t>
            </w:r>
          </w:p>
        </w:tc>
      </w:tr>
      <w:tr w:rsidR="00AD66D0" w:rsidRPr="00091A98" w14:paraId="7ED7A262" w14:textId="77777777" w:rsidTr="00D82672">
        <w:trPr>
          <w:gridAfter w:val="1"/>
          <w:cnfStyle w:val="000000100000" w:firstRow="0" w:lastRow="0" w:firstColumn="0" w:lastColumn="0" w:oddVBand="0" w:evenVBand="0" w:oddHBand="1"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831" w:type="dxa"/>
            <w:gridSpan w:val="2"/>
            <w:shd w:val="clear" w:color="auto" w:fill="auto"/>
          </w:tcPr>
          <w:p w14:paraId="318B4D1C" w14:textId="77777777" w:rsidR="00AD66D0" w:rsidRPr="00091A98" w:rsidRDefault="00AD66D0" w:rsidP="00AD66D0">
            <w:pPr>
              <w:ind w:left="93" w:hanging="93"/>
              <w:rPr>
                <w:rFonts w:cs="Times New Roman"/>
                <w:color w:val="auto"/>
                <w:lang w:val="de-CH"/>
              </w:rPr>
            </w:pPr>
            <w:r w:rsidRPr="00091A98">
              <w:rPr>
                <w:rFonts w:cs="Times New Roman"/>
                <w:b w:val="0"/>
                <w:color w:val="auto"/>
                <w:lang w:val="de-CH"/>
              </w:rPr>
              <w:t>Gruppentyp (Ref. = Gemeinnützige Org.)</w:t>
            </w:r>
          </w:p>
        </w:tc>
        <w:tc>
          <w:tcPr>
            <w:tcW w:w="1247" w:type="dxa"/>
            <w:gridSpan w:val="2"/>
            <w:shd w:val="clear" w:color="auto" w:fill="auto"/>
          </w:tcPr>
          <w:p w14:paraId="4819F40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86" w:type="dxa"/>
            <w:gridSpan w:val="2"/>
            <w:shd w:val="clear" w:color="auto" w:fill="auto"/>
          </w:tcPr>
          <w:p w14:paraId="26B2931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26" w:type="dxa"/>
            <w:gridSpan w:val="2"/>
            <w:shd w:val="clear" w:color="auto" w:fill="auto"/>
          </w:tcPr>
          <w:p w14:paraId="2BC2CE0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999" w:type="dxa"/>
            <w:gridSpan w:val="2"/>
            <w:shd w:val="clear" w:color="auto" w:fill="auto"/>
          </w:tcPr>
          <w:p w14:paraId="6B678EA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r>
      <w:tr w:rsidR="00AD66D0" w:rsidRPr="00091A98" w14:paraId="5750FDAB"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17D7905"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Spezifische Org.</w:t>
            </w:r>
          </w:p>
        </w:tc>
        <w:tc>
          <w:tcPr>
            <w:tcW w:w="1533" w:type="dxa"/>
            <w:gridSpan w:val="2"/>
            <w:shd w:val="clear" w:color="auto" w:fill="auto"/>
          </w:tcPr>
          <w:p w14:paraId="3598928D"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-0.04</w:t>
            </w:r>
          </w:p>
        </w:tc>
        <w:tc>
          <w:tcPr>
            <w:tcW w:w="1247" w:type="dxa"/>
            <w:gridSpan w:val="2"/>
            <w:shd w:val="clear" w:color="auto" w:fill="auto"/>
          </w:tcPr>
          <w:p w14:paraId="393B0DFB" w14:textId="7FD41372"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21</w:t>
            </w:r>
          </w:p>
        </w:tc>
        <w:tc>
          <w:tcPr>
            <w:tcW w:w="1186" w:type="dxa"/>
            <w:gridSpan w:val="2"/>
            <w:shd w:val="clear" w:color="auto" w:fill="auto"/>
          </w:tcPr>
          <w:p w14:paraId="29941919" w14:textId="069AC3AB"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49***</w:t>
            </w:r>
          </w:p>
        </w:tc>
        <w:tc>
          <w:tcPr>
            <w:tcW w:w="1126" w:type="dxa"/>
            <w:gridSpan w:val="2"/>
            <w:shd w:val="clear" w:color="auto" w:fill="auto"/>
          </w:tcPr>
          <w:p w14:paraId="31938F6D"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-0.97***</w:t>
            </w:r>
          </w:p>
        </w:tc>
        <w:tc>
          <w:tcPr>
            <w:tcW w:w="1999" w:type="dxa"/>
            <w:gridSpan w:val="2"/>
            <w:shd w:val="clear" w:color="auto" w:fill="auto"/>
          </w:tcPr>
          <w:p w14:paraId="04F21D0C" w14:textId="14DF3826"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53***</w:t>
            </w:r>
          </w:p>
        </w:tc>
      </w:tr>
      <w:tr w:rsidR="00AD66D0" w:rsidRPr="00091A98" w14:paraId="06304B6C"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9207EAF"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4EA8D930"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(0.15)</w:t>
            </w:r>
          </w:p>
        </w:tc>
        <w:tc>
          <w:tcPr>
            <w:tcW w:w="1247" w:type="dxa"/>
            <w:gridSpan w:val="2"/>
            <w:shd w:val="clear" w:color="auto" w:fill="auto"/>
          </w:tcPr>
          <w:p w14:paraId="3EA0E99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(0.14)</w:t>
            </w:r>
          </w:p>
        </w:tc>
        <w:tc>
          <w:tcPr>
            <w:tcW w:w="1186" w:type="dxa"/>
            <w:gridSpan w:val="2"/>
            <w:shd w:val="clear" w:color="auto" w:fill="auto"/>
          </w:tcPr>
          <w:p w14:paraId="3E2D456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(0.14)</w:t>
            </w:r>
          </w:p>
        </w:tc>
        <w:tc>
          <w:tcPr>
            <w:tcW w:w="1126" w:type="dxa"/>
            <w:gridSpan w:val="2"/>
            <w:shd w:val="clear" w:color="auto" w:fill="auto"/>
          </w:tcPr>
          <w:p w14:paraId="69CD5A0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(0.14)</w:t>
            </w:r>
          </w:p>
        </w:tc>
        <w:tc>
          <w:tcPr>
            <w:tcW w:w="1999" w:type="dxa"/>
            <w:gridSpan w:val="2"/>
            <w:shd w:val="clear" w:color="auto" w:fill="auto"/>
          </w:tcPr>
          <w:p w14:paraId="0604EE22"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(0.11)</w:t>
            </w:r>
          </w:p>
        </w:tc>
      </w:tr>
      <w:tr w:rsidR="00AD66D0" w:rsidRPr="00091A98" w14:paraId="27C7220A"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5CA2323"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Andere </w:t>
            </w:r>
          </w:p>
        </w:tc>
        <w:tc>
          <w:tcPr>
            <w:tcW w:w="1533" w:type="dxa"/>
            <w:gridSpan w:val="2"/>
            <w:shd w:val="clear" w:color="auto" w:fill="auto"/>
          </w:tcPr>
          <w:p w14:paraId="36B2B255"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-0.12</w:t>
            </w:r>
          </w:p>
        </w:tc>
        <w:tc>
          <w:tcPr>
            <w:tcW w:w="1247" w:type="dxa"/>
            <w:gridSpan w:val="2"/>
            <w:shd w:val="clear" w:color="auto" w:fill="auto"/>
          </w:tcPr>
          <w:p w14:paraId="00703EB3"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-0.77***</w:t>
            </w:r>
          </w:p>
        </w:tc>
        <w:tc>
          <w:tcPr>
            <w:tcW w:w="1186" w:type="dxa"/>
            <w:gridSpan w:val="2"/>
            <w:shd w:val="clear" w:color="auto" w:fill="auto"/>
          </w:tcPr>
          <w:p w14:paraId="6D22080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-0.36</w:t>
            </w:r>
          </w:p>
        </w:tc>
        <w:tc>
          <w:tcPr>
            <w:tcW w:w="1126" w:type="dxa"/>
            <w:gridSpan w:val="2"/>
            <w:shd w:val="clear" w:color="auto" w:fill="auto"/>
          </w:tcPr>
          <w:p w14:paraId="4D9A0A4C"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-0.55**</w:t>
            </w:r>
          </w:p>
        </w:tc>
        <w:tc>
          <w:tcPr>
            <w:tcW w:w="1999" w:type="dxa"/>
            <w:gridSpan w:val="2"/>
            <w:shd w:val="clear" w:color="auto" w:fill="auto"/>
          </w:tcPr>
          <w:p w14:paraId="2989D543"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0.05</w:t>
            </w:r>
          </w:p>
        </w:tc>
      </w:tr>
      <w:tr w:rsidR="00AD66D0" w:rsidRPr="00091A98" w14:paraId="69771306"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D71A40A" w14:textId="77777777" w:rsidR="00AD66D0" w:rsidRPr="00091A98" w:rsidRDefault="00AD66D0" w:rsidP="00AD66D0">
            <w:pPr>
              <w:spacing w:line="360" w:lineRule="auto"/>
              <w:rPr>
                <w:rFonts w:cs="Times New Roman"/>
                <w:b w:val="0"/>
                <w:color w:val="auto"/>
                <w:lang w:val="de-CH"/>
              </w:rPr>
            </w:pPr>
          </w:p>
        </w:tc>
        <w:tc>
          <w:tcPr>
            <w:tcW w:w="1533" w:type="dxa"/>
            <w:gridSpan w:val="2"/>
            <w:shd w:val="clear" w:color="auto" w:fill="auto"/>
          </w:tcPr>
          <w:p w14:paraId="2BAED546" w14:textId="77777777" w:rsidR="00AD66D0" w:rsidRPr="00091A98" w:rsidRDefault="00AD66D0" w:rsidP="00AD66D0">
            <w:pPr>
              <w:spacing w:line="360" w:lineRule="auto"/>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247" w:type="dxa"/>
            <w:gridSpan w:val="2"/>
            <w:shd w:val="clear" w:color="auto" w:fill="auto"/>
          </w:tcPr>
          <w:p w14:paraId="6D389666" w14:textId="77777777" w:rsidR="00AD66D0" w:rsidRPr="00091A98" w:rsidRDefault="00AD66D0" w:rsidP="00AD66D0">
            <w:pPr>
              <w:spacing w:line="360" w:lineRule="auto"/>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186" w:type="dxa"/>
            <w:gridSpan w:val="2"/>
            <w:shd w:val="clear" w:color="auto" w:fill="auto"/>
          </w:tcPr>
          <w:p w14:paraId="2EEEBB32" w14:textId="77777777" w:rsidR="00AD66D0" w:rsidRPr="00091A98" w:rsidRDefault="00AD66D0" w:rsidP="00AD66D0">
            <w:pPr>
              <w:spacing w:line="360" w:lineRule="auto"/>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(0.22)</w:t>
            </w:r>
          </w:p>
        </w:tc>
        <w:tc>
          <w:tcPr>
            <w:tcW w:w="1126" w:type="dxa"/>
            <w:gridSpan w:val="2"/>
            <w:shd w:val="clear" w:color="auto" w:fill="auto"/>
          </w:tcPr>
          <w:p w14:paraId="1790359F" w14:textId="77777777" w:rsidR="00AD66D0" w:rsidRPr="00091A98" w:rsidRDefault="00AD66D0" w:rsidP="00AD66D0">
            <w:pPr>
              <w:spacing w:line="360" w:lineRule="auto"/>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999" w:type="dxa"/>
            <w:gridSpan w:val="2"/>
            <w:shd w:val="clear" w:color="auto" w:fill="auto"/>
          </w:tcPr>
          <w:p w14:paraId="1265E10B" w14:textId="77777777" w:rsidR="00AD66D0" w:rsidRPr="00091A98" w:rsidRDefault="00AD66D0" w:rsidP="00AD66D0">
            <w:pPr>
              <w:spacing w:line="360" w:lineRule="auto"/>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(0.17)</w:t>
            </w:r>
          </w:p>
        </w:tc>
      </w:tr>
      <w:tr w:rsidR="00AD66D0" w:rsidRPr="00091A98" w14:paraId="615349F1"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821B795" w14:textId="77777777" w:rsidR="00AD66D0" w:rsidRPr="00091A98" w:rsidRDefault="00AD66D0" w:rsidP="00AD66D0">
            <w:pPr>
              <w:rPr>
                <w:rFonts w:cs="Times New Roman"/>
                <w:b w:val="0"/>
                <w:color w:val="auto"/>
                <w:lang w:val="de-CH"/>
              </w:rPr>
            </w:pPr>
            <w:r w:rsidRPr="00091A98">
              <w:rPr>
                <w:rFonts w:cs="Times New Roman"/>
                <w:b w:val="0"/>
                <w:color w:val="auto"/>
                <w:lang w:val="de-CH"/>
              </w:rPr>
              <w:t>Themengebiet (Ref. = Politik)</w:t>
            </w:r>
          </w:p>
        </w:tc>
        <w:tc>
          <w:tcPr>
            <w:tcW w:w="1533" w:type="dxa"/>
            <w:gridSpan w:val="2"/>
            <w:shd w:val="clear" w:color="auto" w:fill="auto"/>
          </w:tcPr>
          <w:p w14:paraId="608C7FE8"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247" w:type="dxa"/>
            <w:gridSpan w:val="2"/>
            <w:shd w:val="clear" w:color="auto" w:fill="auto"/>
          </w:tcPr>
          <w:p w14:paraId="0913CAA4"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86" w:type="dxa"/>
            <w:gridSpan w:val="2"/>
            <w:shd w:val="clear" w:color="auto" w:fill="auto"/>
          </w:tcPr>
          <w:p w14:paraId="5751A38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26" w:type="dxa"/>
            <w:gridSpan w:val="2"/>
            <w:shd w:val="clear" w:color="auto" w:fill="auto"/>
          </w:tcPr>
          <w:p w14:paraId="71FA9953"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999" w:type="dxa"/>
            <w:gridSpan w:val="2"/>
            <w:shd w:val="clear" w:color="auto" w:fill="auto"/>
          </w:tcPr>
          <w:p w14:paraId="35D902F5"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r>
      <w:tr w:rsidR="00AD66D0" w:rsidRPr="00091A98" w14:paraId="77684816"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34893B1"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Wirtschaft und Arbeit</w:t>
            </w:r>
          </w:p>
        </w:tc>
        <w:tc>
          <w:tcPr>
            <w:tcW w:w="1533" w:type="dxa"/>
            <w:gridSpan w:val="2"/>
            <w:shd w:val="clear" w:color="auto" w:fill="auto"/>
          </w:tcPr>
          <w:p w14:paraId="2256D1C8"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-0.65***</w:t>
            </w:r>
          </w:p>
        </w:tc>
        <w:tc>
          <w:tcPr>
            <w:tcW w:w="1247" w:type="dxa"/>
            <w:gridSpan w:val="2"/>
            <w:shd w:val="clear" w:color="auto" w:fill="auto"/>
          </w:tcPr>
          <w:p w14:paraId="77BAAF62"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-1.20***</w:t>
            </w:r>
          </w:p>
        </w:tc>
        <w:tc>
          <w:tcPr>
            <w:tcW w:w="1186" w:type="dxa"/>
            <w:gridSpan w:val="2"/>
            <w:shd w:val="clear" w:color="auto" w:fill="auto"/>
          </w:tcPr>
          <w:p w14:paraId="4FE7389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-0.17</w:t>
            </w:r>
          </w:p>
        </w:tc>
        <w:tc>
          <w:tcPr>
            <w:tcW w:w="1126" w:type="dxa"/>
            <w:gridSpan w:val="2"/>
            <w:shd w:val="clear" w:color="auto" w:fill="auto"/>
          </w:tcPr>
          <w:p w14:paraId="7473BC2B"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-0.49**</w:t>
            </w:r>
          </w:p>
        </w:tc>
        <w:tc>
          <w:tcPr>
            <w:tcW w:w="1999" w:type="dxa"/>
            <w:gridSpan w:val="2"/>
            <w:shd w:val="clear" w:color="auto" w:fill="auto"/>
          </w:tcPr>
          <w:p w14:paraId="1706B55C"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-0.25</w:t>
            </w:r>
          </w:p>
        </w:tc>
      </w:tr>
      <w:tr w:rsidR="00AD66D0" w:rsidRPr="00091A98" w14:paraId="11587600"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76A260A3"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4E6235BD"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(0.22)</w:t>
            </w:r>
          </w:p>
        </w:tc>
        <w:tc>
          <w:tcPr>
            <w:tcW w:w="1247" w:type="dxa"/>
            <w:gridSpan w:val="2"/>
            <w:shd w:val="clear" w:color="auto" w:fill="auto"/>
          </w:tcPr>
          <w:p w14:paraId="28B47C7D"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(0.22)</w:t>
            </w:r>
          </w:p>
        </w:tc>
        <w:tc>
          <w:tcPr>
            <w:tcW w:w="1186" w:type="dxa"/>
            <w:gridSpan w:val="2"/>
            <w:shd w:val="clear" w:color="auto" w:fill="auto"/>
          </w:tcPr>
          <w:p w14:paraId="2F187F4F"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(0.21)</w:t>
            </w:r>
          </w:p>
        </w:tc>
        <w:tc>
          <w:tcPr>
            <w:tcW w:w="1126" w:type="dxa"/>
            <w:gridSpan w:val="2"/>
            <w:shd w:val="clear" w:color="auto" w:fill="auto"/>
          </w:tcPr>
          <w:p w14:paraId="59D8C08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(0.21)</w:t>
            </w:r>
          </w:p>
        </w:tc>
        <w:tc>
          <w:tcPr>
            <w:tcW w:w="1999" w:type="dxa"/>
            <w:gridSpan w:val="2"/>
            <w:shd w:val="clear" w:color="auto" w:fill="auto"/>
          </w:tcPr>
          <w:p w14:paraId="6B5E07A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(0.16)</w:t>
            </w:r>
          </w:p>
        </w:tc>
      </w:tr>
      <w:tr w:rsidR="00AD66D0" w:rsidRPr="00091A98" w14:paraId="2A056E76"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9B399DF"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Soziales Leben</w:t>
            </w:r>
          </w:p>
        </w:tc>
        <w:tc>
          <w:tcPr>
            <w:tcW w:w="1533" w:type="dxa"/>
            <w:gridSpan w:val="2"/>
            <w:shd w:val="clear" w:color="auto" w:fill="auto"/>
          </w:tcPr>
          <w:p w14:paraId="4A22B882"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-0.85***</w:t>
            </w:r>
          </w:p>
        </w:tc>
        <w:tc>
          <w:tcPr>
            <w:tcW w:w="1247" w:type="dxa"/>
            <w:gridSpan w:val="2"/>
            <w:shd w:val="clear" w:color="auto" w:fill="auto"/>
          </w:tcPr>
          <w:p w14:paraId="310D2B6B"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-1.27***</w:t>
            </w:r>
          </w:p>
        </w:tc>
        <w:tc>
          <w:tcPr>
            <w:tcW w:w="1186" w:type="dxa"/>
            <w:gridSpan w:val="2"/>
            <w:shd w:val="clear" w:color="auto" w:fill="auto"/>
          </w:tcPr>
          <w:p w14:paraId="614779B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-0.64**</w:t>
            </w:r>
          </w:p>
        </w:tc>
        <w:tc>
          <w:tcPr>
            <w:tcW w:w="1126" w:type="dxa"/>
            <w:gridSpan w:val="2"/>
            <w:shd w:val="clear" w:color="auto" w:fill="auto"/>
          </w:tcPr>
          <w:p w14:paraId="0E1462A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-0.12</w:t>
            </w:r>
          </w:p>
        </w:tc>
        <w:tc>
          <w:tcPr>
            <w:tcW w:w="1999" w:type="dxa"/>
            <w:gridSpan w:val="2"/>
            <w:shd w:val="clear" w:color="auto" w:fill="auto"/>
          </w:tcPr>
          <w:p w14:paraId="3F188079"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-0.42**</w:t>
            </w:r>
          </w:p>
        </w:tc>
      </w:tr>
      <w:tr w:rsidR="00AD66D0" w:rsidRPr="00091A98" w14:paraId="5EB10CD4"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2D6B69CD"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0CC6BB83"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(0.24)</w:t>
            </w:r>
          </w:p>
        </w:tc>
        <w:tc>
          <w:tcPr>
            <w:tcW w:w="1247" w:type="dxa"/>
            <w:gridSpan w:val="2"/>
            <w:shd w:val="clear" w:color="auto" w:fill="auto"/>
          </w:tcPr>
          <w:p w14:paraId="3F14427E"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(0.24)</w:t>
            </w:r>
          </w:p>
        </w:tc>
        <w:tc>
          <w:tcPr>
            <w:tcW w:w="1186" w:type="dxa"/>
            <w:gridSpan w:val="2"/>
            <w:shd w:val="clear" w:color="auto" w:fill="auto"/>
          </w:tcPr>
          <w:p w14:paraId="0747B49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126" w:type="dxa"/>
            <w:gridSpan w:val="2"/>
            <w:shd w:val="clear" w:color="auto" w:fill="auto"/>
          </w:tcPr>
          <w:p w14:paraId="64E6DB84"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(0.22)</w:t>
            </w:r>
          </w:p>
        </w:tc>
        <w:tc>
          <w:tcPr>
            <w:tcW w:w="1999" w:type="dxa"/>
            <w:gridSpan w:val="2"/>
            <w:shd w:val="clear" w:color="auto" w:fill="auto"/>
          </w:tcPr>
          <w:p w14:paraId="078043AE"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(0.20)</w:t>
            </w:r>
          </w:p>
        </w:tc>
      </w:tr>
      <w:tr w:rsidR="00AD66D0" w:rsidRPr="00091A98" w14:paraId="55DCD104"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4945F7B5"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Gesundheit</w:t>
            </w:r>
          </w:p>
        </w:tc>
        <w:tc>
          <w:tcPr>
            <w:tcW w:w="1533" w:type="dxa"/>
            <w:gridSpan w:val="2"/>
            <w:shd w:val="clear" w:color="auto" w:fill="auto"/>
          </w:tcPr>
          <w:p w14:paraId="1C3CBAA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-0.85***</w:t>
            </w:r>
          </w:p>
        </w:tc>
        <w:tc>
          <w:tcPr>
            <w:tcW w:w="1247" w:type="dxa"/>
            <w:gridSpan w:val="2"/>
            <w:shd w:val="clear" w:color="auto" w:fill="auto"/>
          </w:tcPr>
          <w:p w14:paraId="60D1D26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-1.29***</w:t>
            </w:r>
          </w:p>
        </w:tc>
        <w:tc>
          <w:tcPr>
            <w:tcW w:w="1186" w:type="dxa"/>
            <w:gridSpan w:val="2"/>
            <w:shd w:val="clear" w:color="auto" w:fill="auto"/>
          </w:tcPr>
          <w:p w14:paraId="6C82115C"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-0.43*</w:t>
            </w:r>
          </w:p>
        </w:tc>
        <w:tc>
          <w:tcPr>
            <w:tcW w:w="1126" w:type="dxa"/>
            <w:gridSpan w:val="2"/>
            <w:shd w:val="clear" w:color="auto" w:fill="auto"/>
          </w:tcPr>
          <w:p w14:paraId="54E0E2F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0.01</w:t>
            </w:r>
          </w:p>
        </w:tc>
        <w:tc>
          <w:tcPr>
            <w:tcW w:w="1999" w:type="dxa"/>
            <w:gridSpan w:val="2"/>
            <w:shd w:val="clear" w:color="auto" w:fill="auto"/>
          </w:tcPr>
          <w:p w14:paraId="52710BC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-0.59***</w:t>
            </w:r>
          </w:p>
        </w:tc>
      </w:tr>
      <w:tr w:rsidR="00AD66D0" w:rsidRPr="00091A98" w14:paraId="48AF620A"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34B617E"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4DE7ECD9"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247" w:type="dxa"/>
            <w:gridSpan w:val="2"/>
            <w:shd w:val="clear" w:color="auto" w:fill="auto"/>
          </w:tcPr>
          <w:p w14:paraId="55762503"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186" w:type="dxa"/>
            <w:gridSpan w:val="2"/>
            <w:shd w:val="clear" w:color="auto" w:fill="auto"/>
          </w:tcPr>
          <w:p w14:paraId="3076B84F"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c>
          <w:tcPr>
            <w:tcW w:w="1126" w:type="dxa"/>
            <w:gridSpan w:val="2"/>
            <w:shd w:val="clear" w:color="auto" w:fill="auto"/>
          </w:tcPr>
          <w:p w14:paraId="55898ED5"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(0.22)</w:t>
            </w:r>
          </w:p>
        </w:tc>
        <w:tc>
          <w:tcPr>
            <w:tcW w:w="1999" w:type="dxa"/>
            <w:gridSpan w:val="2"/>
            <w:shd w:val="clear" w:color="auto" w:fill="auto"/>
          </w:tcPr>
          <w:p w14:paraId="19395CF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(0.17)</w:t>
            </w:r>
          </w:p>
        </w:tc>
      </w:tr>
      <w:tr w:rsidR="00AD66D0" w:rsidRPr="00091A98" w14:paraId="5EE507FE"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B510755"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Freizeit</w:t>
            </w:r>
          </w:p>
        </w:tc>
        <w:tc>
          <w:tcPr>
            <w:tcW w:w="1533" w:type="dxa"/>
            <w:gridSpan w:val="2"/>
            <w:shd w:val="clear" w:color="auto" w:fill="auto"/>
          </w:tcPr>
          <w:p w14:paraId="3E92F85C"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-1.06***</w:t>
            </w:r>
          </w:p>
        </w:tc>
        <w:tc>
          <w:tcPr>
            <w:tcW w:w="1247" w:type="dxa"/>
            <w:gridSpan w:val="2"/>
            <w:shd w:val="clear" w:color="auto" w:fill="auto"/>
          </w:tcPr>
          <w:p w14:paraId="274EA8E8"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-1.74***</w:t>
            </w:r>
          </w:p>
        </w:tc>
        <w:tc>
          <w:tcPr>
            <w:tcW w:w="1186" w:type="dxa"/>
            <w:gridSpan w:val="2"/>
            <w:shd w:val="clear" w:color="auto" w:fill="auto"/>
          </w:tcPr>
          <w:p w14:paraId="0FB28AB3"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-0.08</w:t>
            </w:r>
          </w:p>
        </w:tc>
        <w:tc>
          <w:tcPr>
            <w:tcW w:w="1126" w:type="dxa"/>
            <w:gridSpan w:val="2"/>
            <w:shd w:val="clear" w:color="auto" w:fill="auto"/>
          </w:tcPr>
          <w:p w14:paraId="4F7FB444"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-0.20***</w:t>
            </w:r>
          </w:p>
        </w:tc>
        <w:tc>
          <w:tcPr>
            <w:tcW w:w="1999" w:type="dxa"/>
            <w:gridSpan w:val="2"/>
            <w:shd w:val="clear" w:color="auto" w:fill="auto"/>
          </w:tcPr>
          <w:p w14:paraId="71337A3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-0.70***</w:t>
            </w:r>
          </w:p>
        </w:tc>
      </w:tr>
      <w:tr w:rsidR="00AD66D0" w:rsidRPr="00091A98" w14:paraId="16C12614"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13707E1B"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5DA29BB0"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(0.30)</w:t>
            </w:r>
          </w:p>
        </w:tc>
        <w:tc>
          <w:tcPr>
            <w:tcW w:w="1247" w:type="dxa"/>
            <w:gridSpan w:val="2"/>
            <w:shd w:val="clear" w:color="auto" w:fill="auto"/>
          </w:tcPr>
          <w:p w14:paraId="423B8C86"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(0.30)</w:t>
            </w:r>
          </w:p>
        </w:tc>
        <w:tc>
          <w:tcPr>
            <w:tcW w:w="1186" w:type="dxa"/>
            <w:gridSpan w:val="2"/>
            <w:shd w:val="clear" w:color="auto" w:fill="auto"/>
          </w:tcPr>
          <w:p w14:paraId="018AC58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(0.30)</w:t>
            </w:r>
          </w:p>
        </w:tc>
        <w:tc>
          <w:tcPr>
            <w:tcW w:w="1126" w:type="dxa"/>
            <w:gridSpan w:val="2"/>
            <w:shd w:val="clear" w:color="auto" w:fill="auto"/>
          </w:tcPr>
          <w:p w14:paraId="43C78AA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(0.30)</w:t>
            </w:r>
          </w:p>
        </w:tc>
        <w:tc>
          <w:tcPr>
            <w:tcW w:w="1999" w:type="dxa"/>
            <w:gridSpan w:val="2"/>
            <w:shd w:val="clear" w:color="auto" w:fill="auto"/>
          </w:tcPr>
          <w:p w14:paraId="591F09A0"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r>
      <w:tr w:rsidR="00AD66D0" w:rsidRPr="00091A98" w14:paraId="28B2A836"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ADE96C6"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Kultur</w:t>
            </w:r>
          </w:p>
        </w:tc>
        <w:tc>
          <w:tcPr>
            <w:tcW w:w="1533" w:type="dxa"/>
            <w:gridSpan w:val="2"/>
            <w:shd w:val="clear" w:color="auto" w:fill="auto"/>
          </w:tcPr>
          <w:p w14:paraId="184AE4A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-0.80**</w:t>
            </w:r>
          </w:p>
        </w:tc>
        <w:tc>
          <w:tcPr>
            <w:tcW w:w="1247" w:type="dxa"/>
            <w:gridSpan w:val="2"/>
            <w:shd w:val="clear" w:color="auto" w:fill="auto"/>
          </w:tcPr>
          <w:p w14:paraId="0C3383E9"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-1.21***</w:t>
            </w:r>
          </w:p>
        </w:tc>
        <w:tc>
          <w:tcPr>
            <w:tcW w:w="1186" w:type="dxa"/>
            <w:gridSpan w:val="2"/>
            <w:shd w:val="clear" w:color="auto" w:fill="auto"/>
          </w:tcPr>
          <w:p w14:paraId="2F584AE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-0.09</w:t>
            </w:r>
          </w:p>
        </w:tc>
        <w:tc>
          <w:tcPr>
            <w:tcW w:w="1126" w:type="dxa"/>
            <w:gridSpan w:val="2"/>
            <w:shd w:val="clear" w:color="auto" w:fill="auto"/>
          </w:tcPr>
          <w:p w14:paraId="693F324C"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0.16</w:t>
            </w:r>
          </w:p>
        </w:tc>
        <w:tc>
          <w:tcPr>
            <w:tcW w:w="1999" w:type="dxa"/>
            <w:gridSpan w:val="2"/>
            <w:shd w:val="clear" w:color="auto" w:fill="auto"/>
          </w:tcPr>
          <w:p w14:paraId="38798366"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-0.68***</w:t>
            </w:r>
          </w:p>
        </w:tc>
      </w:tr>
      <w:tr w:rsidR="00AD66D0" w:rsidRPr="00091A98" w14:paraId="4503AE57"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68EBF662"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3F57F47A"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(0.29)</w:t>
            </w:r>
          </w:p>
        </w:tc>
        <w:tc>
          <w:tcPr>
            <w:tcW w:w="1247" w:type="dxa"/>
            <w:gridSpan w:val="2"/>
            <w:shd w:val="clear" w:color="auto" w:fill="auto"/>
          </w:tcPr>
          <w:p w14:paraId="2C4AD539"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(0.28)</w:t>
            </w:r>
          </w:p>
        </w:tc>
        <w:tc>
          <w:tcPr>
            <w:tcW w:w="1186" w:type="dxa"/>
            <w:gridSpan w:val="2"/>
            <w:shd w:val="clear" w:color="auto" w:fill="auto"/>
          </w:tcPr>
          <w:p w14:paraId="4DE2AA9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(0.28)</w:t>
            </w:r>
          </w:p>
        </w:tc>
        <w:tc>
          <w:tcPr>
            <w:tcW w:w="1126" w:type="dxa"/>
            <w:gridSpan w:val="2"/>
            <w:shd w:val="clear" w:color="auto" w:fill="auto"/>
          </w:tcPr>
          <w:p w14:paraId="0BB68C18"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(0.28)</w:t>
            </w:r>
          </w:p>
        </w:tc>
        <w:tc>
          <w:tcPr>
            <w:tcW w:w="1999" w:type="dxa"/>
            <w:gridSpan w:val="2"/>
            <w:shd w:val="clear" w:color="auto" w:fill="auto"/>
          </w:tcPr>
          <w:p w14:paraId="75291B2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(0.22)</w:t>
            </w:r>
          </w:p>
        </w:tc>
      </w:tr>
      <w:tr w:rsidR="00AD66D0" w:rsidRPr="00091A98" w14:paraId="0D86077C"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9440D28" w14:textId="77777777" w:rsidR="00AD66D0" w:rsidRPr="00091A98" w:rsidRDefault="00AD66D0" w:rsidP="00AD66D0">
            <w:pPr>
              <w:rPr>
                <w:rFonts w:cs="Times New Roman"/>
                <w:b w:val="0"/>
                <w:color w:val="auto"/>
                <w:lang w:val="de-CH"/>
              </w:rPr>
            </w:pPr>
            <w:r w:rsidRPr="00091A98">
              <w:rPr>
                <w:rFonts w:cs="Times New Roman"/>
                <w:b w:val="0"/>
                <w:color w:val="auto"/>
                <w:lang w:val="de-CH"/>
              </w:rPr>
              <w:lastRenderedPageBreak/>
              <w:t xml:space="preserve">      Bildung</w:t>
            </w:r>
          </w:p>
        </w:tc>
        <w:tc>
          <w:tcPr>
            <w:tcW w:w="1533" w:type="dxa"/>
            <w:gridSpan w:val="2"/>
            <w:shd w:val="clear" w:color="auto" w:fill="auto"/>
          </w:tcPr>
          <w:p w14:paraId="02B9914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-0.56**</w:t>
            </w:r>
          </w:p>
        </w:tc>
        <w:tc>
          <w:tcPr>
            <w:tcW w:w="1247" w:type="dxa"/>
            <w:gridSpan w:val="2"/>
            <w:shd w:val="clear" w:color="auto" w:fill="auto"/>
          </w:tcPr>
          <w:p w14:paraId="2407DB5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-1.47***</w:t>
            </w:r>
          </w:p>
        </w:tc>
        <w:tc>
          <w:tcPr>
            <w:tcW w:w="1186" w:type="dxa"/>
            <w:gridSpan w:val="2"/>
            <w:shd w:val="clear" w:color="auto" w:fill="auto"/>
          </w:tcPr>
          <w:p w14:paraId="5C756993"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-0.64**</w:t>
            </w:r>
          </w:p>
        </w:tc>
        <w:tc>
          <w:tcPr>
            <w:tcW w:w="1126" w:type="dxa"/>
            <w:gridSpan w:val="2"/>
            <w:shd w:val="clear" w:color="auto" w:fill="auto"/>
          </w:tcPr>
          <w:p w14:paraId="1F601142"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-0.48**</w:t>
            </w:r>
          </w:p>
        </w:tc>
        <w:tc>
          <w:tcPr>
            <w:tcW w:w="1999" w:type="dxa"/>
            <w:gridSpan w:val="2"/>
            <w:shd w:val="clear" w:color="auto" w:fill="auto"/>
          </w:tcPr>
          <w:p w14:paraId="4382D72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-0.23</w:t>
            </w:r>
          </w:p>
        </w:tc>
      </w:tr>
      <w:tr w:rsidR="00AD66D0" w:rsidRPr="00091A98" w14:paraId="5C169AD5"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69D9D89E"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6558048E"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(0.26)</w:t>
            </w:r>
          </w:p>
        </w:tc>
        <w:tc>
          <w:tcPr>
            <w:tcW w:w="1247" w:type="dxa"/>
            <w:gridSpan w:val="2"/>
            <w:shd w:val="clear" w:color="auto" w:fill="auto"/>
          </w:tcPr>
          <w:p w14:paraId="7CB3AFA5"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(0.26)</w:t>
            </w:r>
          </w:p>
        </w:tc>
        <w:tc>
          <w:tcPr>
            <w:tcW w:w="1186" w:type="dxa"/>
            <w:gridSpan w:val="2"/>
            <w:shd w:val="clear" w:color="auto" w:fill="auto"/>
          </w:tcPr>
          <w:p w14:paraId="14665B0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(0.25)</w:t>
            </w:r>
          </w:p>
        </w:tc>
        <w:tc>
          <w:tcPr>
            <w:tcW w:w="1126" w:type="dxa"/>
            <w:gridSpan w:val="2"/>
            <w:shd w:val="clear" w:color="auto" w:fill="auto"/>
          </w:tcPr>
          <w:p w14:paraId="35BE1E30"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(0.24)</w:t>
            </w:r>
          </w:p>
        </w:tc>
        <w:tc>
          <w:tcPr>
            <w:tcW w:w="1999" w:type="dxa"/>
            <w:gridSpan w:val="2"/>
            <w:shd w:val="clear" w:color="auto" w:fill="auto"/>
          </w:tcPr>
          <w:p w14:paraId="5998F5B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(0.19)</w:t>
            </w:r>
          </w:p>
        </w:tc>
      </w:tr>
      <w:tr w:rsidR="00AD66D0" w:rsidRPr="00091A98" w14:paraId="6AE66039"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6A3ED02B"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Wissenschaft</w:t>
            </w:r>
          </w:p>
        </w:tc>
        <w:tc>
          <w:tcPr>
            <w:tcW w:w="1533" w:type="dxa"/>
            <w:gridSpan w:val="2"/>
            <w:shd w:val="clear" w:color="auto" w:fill="auto"/>
          </w:tcPr>
          <w:p w14:paraId="06C4E5F4"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-1.34***</w:t>
            </w:r>
          </w:p>
        </w:tc>
        <w:tc>
          <w:tcPr>
            <w:tcW w:w="1247" w:type="dxa"/>
            <w:gridSpan w:val="2"/>
            <w:shd w:val="clear" w:color="auto" w:fill="auto"/>
          </w:tcPr>
          <w:p w14:paraId="4AB67D6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-2.09***</w:t>
            </w:r>
          </w:p>
        </w:tc>
        <w:tc>
          <w:tcPr>
            <w:tcW w:w="1186" w:type="dxa"/>
            <w:gridSpan w:val="2"/>
            <w:shd w:val="clear" w:color="auto" w:fill="auto"/>
          </w:tcPr>
          <w:p w14:paraId="55F6E337"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-0.91***</w:t>
            </w:r>
          </w:p>
        </w:tc>
        <w:tc>
          <w:tcPr>
            <w:tcW w:w="1126" w:type="dxa"/>
            <w:gridSpan w:val="2"/>
            <w:shd w:val="clear" w:color="auto" w:fill="auto"/>
          </w:tcPr>
          <w:p w14:paraId="7B77914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-0.77**</w:t>
            </w:r>
          </w:p>
        </w:tc>
        <w:tc>
          <w:tcPr>
            <w:tcW w:w="1999" w:type="dxa"/>
            <w:gridSpan w:val="2"/>
            <w:shd w:val="clear" w:color="auto" w:fill="auto"/>
          </w:tcPr>
          <w:p w14:paraId="350DBBB2"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-0.69***</w:t>
            </w:r>
          </w:p>
        </w:tc>
      </w:tr>
      <w:tr w:rsidR="00AD66D0" w:rsidRPr="00091A98" w14:paraId="72034FA3"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23064C44"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43A8935C"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(0.32)</w:t>
            </w:r>
          </w:p>
        </w:tc>
        <w:tc>
          <w:tcPr>
            <w:tcW w:w="1247" w:type="dxa"/>
            <w:gridSpan w:val="2"/>
            <w:shd w:val="clear" w:color="auto" w:fill="auto"/>
          </w:tcPr>
          <w:p w14:paraId="352A154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(0.32)</w:t>
            </w:r>
          </w:p>
        </w:tc>
        <w:tc>
          <w:tcPr>
            <w:tcW w:w="1186" w:type="dxa"/>
            <w:gridSpan w:val="2"/>
            <w:shd w:val="clear" w:color="auto" w:fill="auto"/>
          </w:tcPr>
          <w:p w14:paraId="2A7F0B0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(0.31)</w:t>
            </w:r>
          </w:p>
        </w:tc>
        <w:tc>
          <w:tcPr>
            <w:tcW w:w="1126" w:type="dxa"/>
            <w:gridSpan w:val="2"/>
            <w:shd w:val="clear" w:color="auto" w:fill="auto"/>
          </w:tcPr>
          <w:p w14:paraId="66D5E068"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(0.31)</w:t>
            </w:r>
          </w:p>
        </w:tc>
        <w:tc>
          <w:tcPr>
            <w:tcW w:w="1999" w:type="dxa"/>
            <w:gridSpan w:val="2"/>
            <w:shd w:val="clear" w:color="auto" w:fill="auto"/>
          </w:tcPr>
          <w:p w14:paraId="360ED4B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r>
      <w:tr w:rsidR="00AD66D0" w:rsidRPr="00091A98" w14:paraId="1CE98C53"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4131448"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Religion</w:t>
            </w:r>
          </w:p>
        </w:tc>
        <w:tc>
          <w:tcPr>
            <w:tcW w:w="1533" w:type="dxa"/>
            <w:gridSpan w:val="2"/>
            <w:shd w:val="clear" w:color="auto" w:fill="auto"/>
          </w:tcPr>
          <w:p w14:paraId="6AFDCF91"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-1.50***</w:t>
            </w:r>
          </w:p>
        </w:tc>
        <w:tc>
          <w:tcPr>
            <w:tcW w:w="1247" w:type="dxa"/>
            <w:gridSpan w:val="2"/>
            <w:shd w:val="clear" w:color="auto" w:fill="auto"/>
          </w:tcPr>
          <w:p w14:paraId="2610DD78"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-1.29***</w:t>
            </w:r>
          </w:p>
        </w:tc>
        <w:tc>
          <w:tcPr>
            <w:tcW w:w="1186" w:type="dxa"/>
            <w:gridSpan w:val="2"/>
            <w:shd w:val="clear" w:color="auto" w:fill="auto"/>
          </w:tcPr>
          <w:p w14:paraId="700D1EBB"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-0.21</w:t>
            </w:r>
          </w:p>
        </w:tc>
        <w:tc>
          <w:tcPr>
            <w:tcW w:w="1126" w:type="dxa"/>
            <w:gridSpan w:val="2"/>
            <w:shd w:val="clear" w:color="auto" w:fill="auto"/>
          </w:tcPr>
          <w:p w14:paraId="4260D97B"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-0.12</w:t>
            </w:r>
          </w:p>
        </w:tc>
        <w:tc>
          <w:tcPr>
            <w:tcW w:w="1999" w:type="dxa"/>
            <w:gridSpan w:val="2"/>
            <w:shd w:val="clear" w:color="auto" w:fill="auto"/>
          </w:tcPr>
          <w:p w14:paraId="18840CB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-0.69*</w:t>
            </w:r>
          </w:p>
        </w:tc>
      </w:tr>
      <w:tr w:rsidR="00AD66D0" w:rsidRPr="00091A98" w14:paraId="01C9CB49"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46B90193"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427E51CC"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(0.47)</w:t>
            </w:r>
          </w:p>
        </w:tc>
        <w:tc>
          <w:tcPr>
            <w:tcW w:w="1247" w:type="dxa"/>
            <w:gridSpan w:val="2"/>
            <w:shd w:val="clear" w:color="auto" w:fill="auto"/>
          </w:tcPr>
          <w:p w14:paraId="0314E07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(0.47)</w:t>
            </w:r>
          </w:p>
        </w:tc>
        <w:tc>
          <w:tcPr>
            <w:tcW w:w="1186" w:type="dxa"/>
            <w:gridSpan w:val="2"/>
            <w:shd w:val="clear" w:color="auto" w:fill="auto"/>
          </w:tcPr>
          <w:p w14:paraId="52F32704"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(0.43)</w:t>
            </w:r>
          </w:p>
        </w:tc>
        <w:tc>
          <w:tcPr>
            <w:tcW w:w="1126" w:type="dxa"/>
            <w:gridSpan w:val="2"/>
            <w:shd w:val="clear" w:color="auto" w:fill="auto"/>
          </w:tcPr>
          <w:p w14:paraId="552CA7BC"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(0.44)</w:t>
            </w:r>
          </w:p>
        </w:tc>
        <w:tc>
          <w:tcPr>
            <w:tcW w:w="1999" w:type="dxa"/>
            <w:gridSpan w:val="2"/>
            <w:shd w:val="clear" w:color="auto" w:fill="auto"/>
          </w:tcPr>
          <w:p w14:paraId="2D2BBBA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(0.35)</w:t>
            </w:r>
          </w:p>
        </w:tc>
      </w:tr>
      <w:tr w:rsidR="00AD66D0" w:rsidRPr="00091A98" w14:paraId="4BD5A56A"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3588610C"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Umwelt</w:t>
            </w:r>
          </w:p>
        </w:tc>
        <w:tc>
          <w:tcPr>
            <w:tcW w:w="1533" w:type="dxa"/>
            <w:gridSpan w:val="2"/>
            <w:shd w:val="clear" w:color="auto" w:fill="auto"/>
          </w:tcPr>
          <w:p w14:paraId="4BFFE5AC"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-0.11</w:t>
            </w:r>
          </w:p>
        </w:tc>
        <w:tc>
          <w:tcPr>
            <w:tcW w:w="1247" w:type="dxa"/>
            <w:gridSpan w:val="2"/>
            <w:shd w:val="clear" w:color="auto" w:fill="auto"/>
          </w:tcPr>
          <w:p w14:paraId="331ADFE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-1.21***</w:t>
            </w:r>
          </w:p>
        </w:tc>
        <w:tc>
          <w:tcPr>
            <w:tcW w:w="1186" w:type="dxa"/>
            <w:gridSpan w:val="2"/>
            <w:shd w:val="clear" w:color="auto" w:fill="auto"/>
          </w:tcPr>
          <w:p w14:paraId="290DB59B"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-0.09</w:t>
            </w:r>
          </w:p>
        </w:tc>
        <w:tc>
          <w:tcPr>
            <w:tcW w:w="1126" w:type="dxa"/>
            <w:gridSpan w:val="2"/>
            <w:shd w:val="clear" w:color="auto" w:fill="auto"/>
          </w:tcPr>
          <w:p w14:paraId="0DFCD6B9"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-0.12</w:t>
            </w:r>
          </w:p>
        </w:tc>
        <w:tc>
          <w:tcPr>
            <w:tcW w:w="1999" w:type="dxa"/>
            <w:gridSpan w:val="2"/>
            <w:shd w:val="clear" w:color="auto" w:fill="auto"/>
          </w:tcPr>
          <w:p w14:paraId="37C641C3"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-0.33</w:t>
            </w:r>
          </w:p>
        </w:tc>
      </w:tr>
      <w:tr w:rsidR="00AD66D0" w:rsidRPr="00091A98" w14:paraId="69D791FE"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5E37A999"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18724779"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(0.31)</w:t>
            </w:r>
          </w:p>
        </w:tc>
        <w:tc>
          <w:tcPr>
            <w:tcW w:w="1247" w:type="dxa"/>
            <w:gridSpan w:val="2"/>
            <w:shd w:val="clear" w:color="auto" w:fill="auto"/>
          </w:tcPr>
          <w:p w14:paraId="732CAE3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(0.31)</w:t>
            </w:r>
          </w:p>
        </w:tc>
        <w:tc>
          <w:tcPr>
            <w:tcW w:w="1186" w:type="dxa"/>
            <w:gridSpan w:val="2"/>
            <w:shd w:val="clear" w:color="auto" w:fill="auto"/>
          </w:tcPr>
          <w:p w14:paraId="14247C34"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(0.30)</w:t>
            </w:r>
          </w:p>
        </w:tc>
        <w:tc>
          <w:tcPr>
            <w:tcW w:w="1126" w:type="dxa"/>
            <w:gridSpan w:val="2"/>
            <w:shd w:val="clear" w:color="auto" w:fill="auto"/>
          </w:tcPr>
          <w:p w14:paraId="56BD930F"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(0.29)</w:t>
            </w:r>
          </w:p>
        </w:tc>
        <w:tc>
          <w:tcPr>
            <w:tcW w:w="1999" w:type="dxa"/>
            <w:gridSpan w:val="2"/>
            <w:shd w:val="clear" w:color="auto" w:fill="auto"/>
          </w:tcPr>
          <w:p w14:paraId="41BF7AD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(0.23)</w:t>
            </w:r>
          </w:p>
        </w:tc>
      </w:tr>
      <w:tr w:rsidR="00AD66D0" w:rsidRPr="00091A98" w14:paraId="7F8DFC20"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E08B6F6" w14:textId="77777777" w:rsidR="00AD66D0" w:rsidRPr="00091A98" w:rsidRDefault="00AD66D0" w:rsidP="00AD66D0">
            <w:pPr>
              <w:rPr>
                <w:rFonts w:cs="Times New Roman"/>
                <w:b w:val="0"/>
                <w:color w:val="auto"/>
                <w:lang w:val="de-CH"/>
              </w:rPr>
            </w:pPr>
            <w:r w:rsidRPr="00091A98">
              <w:rPr>
                <w:rFonts w:cs="Times New Roman"/>
                <w:b w:val="0"/>
                <w:color w:val="auto"/>
                <w:lang w:val="de-CH"/>
              </w:rPr>
              <w:t xml:space="preserve">      Andere</w:t>
            </w:r>
          </w:p>
        </w:tc>
        <w:tc>
          <w:tcPr>
            <w:tcW w:w="1533" w:type="dxa"/>
            <w:gridSpan w:val="2"/>
            <w:shd w:val="clear" w:color="auto" w:fill="auto"/>
          </w:tcPr>
          <w:p w14:paraId="7F5FAE3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-0.82</w:t>
            </w:r>
          </w:p>
        </w:tc>
        <w:tc>
          <w:tcPr>
            <w:tcW w:w="1247" w:type="dxa"/>
            <w:gridSpan w:val="2"/>
            <w:shd w:val="clear" w:color="auto" w:fill="auto"/>
          </w:tcPr>
          <w:p w14:paraId="14AC672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-1.88*</w:t>
            </w:r>
          </w:p>
        </w:tc>
        <w:tc>
          <w:tcPr>
            <w:tcW w:w="1186" w:type="dxa"/>
            <w:gridSpan w:val="2"/>
            <w:shd w:val="clear" w:color="auto" w:fill="auto"/>
          </w:tcPr>
          <w:p w14:paraId="34FEFD7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-1.13</w:t>
            </w:r>
          </w:p>
        </w:tc>
        <w:tc>
          <w:tcPr>
            <w:tcW w:w="1126" w:type="dxa"/>
            <w:gridSpan w:val="2"/>
            <w:shd w:val="clear" w:color="auto" w:fill="auto"/>
          </w:tcPr>
          <w:p w14:paraId="354FA3F0"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-2.42**</w:t>
            </w:r>
          </w:p>
        </w:tc>
        <w:tc>
          <w:tcPr>
            <w:tcW w:w="1999" w:type="dxa"/>
            <w:gridSpan w:val="2"/>
            <w:shd w:val="clear" w:color="auto" w:fill="auto"/>
          </w:tcPr>
          <w:p w14:paraId="4B510DDF"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-0.55</w:t>
            </w:r>
          </w:p>
        </w:tc>
      </w:tr>
      <w:tr w:rsidR="00AD66D0" w:rsidRPr="00091A98" w14:paraId="02E9FFF8"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050E48D8" w14:textId="77777777" w:rsidR="00AD66D0" w:rsidRPr="00091A98" w:rsidRDefault="00AD66D0" w:rsidP="00AD66D0">
            <w:pPr>
              <w:rPr>
                <w:rFonts w:cs="Times New Roman"/>
                <w:b w:val="0"/>
                <w:color w:val="auto"/>
                <w:lang w:val="de-CH"/>
              </w:rPr>
            </w:pPr>
          </w:p>
        </w:tc>
        <w:tc>
          <w:tcPr>
            <w:tcW w:w="1533" w:type="dxa"/>
            <w:gridSpan w:val="2"/>
            <w:shd w:val="clear" w:color="auto" w:fill="auto"/>
          </w:tcPr>
          <w:p w14:paraId="100D4BA1"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(0.92)</w:t>
            </w:r>
          </w:p>
        </w:tc>
        <w:tc>
          <w:tcPr>
            <w:tcW w:w="1247" w:type="dxa"/>
            <w:gridSpan w:val="2"/>
            <w:shd w:val="clear" w:color="auto" w:fill="auto"/>
          </w:tcPr>
          <w:p w14:paraId="691B2C10"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(1.05)</w:t>
            </w:r>
          </w:p>
        </w:tc>
        <w:tc>
          <w:tcPr>
            <w:tcW w:w="1186" w:type="dxa"/>
            <w:gridSpan w:val="2"/>
            <w:shd w:val="clear" w:color="auto" w:fill="auto"/>
          </w:tcPr>
          <w:p w14:paraId="52765414"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(1.09)</w:t>
            </w:r>
          </w:p>
        </w:tc>
        <w:tc>
          <w:tcPr>
            <w:tcW w:w="1126" w:type="dxa"/>
            <w:gridSpan w:val="2"/>
            <w:shd w:val="clear" w:color="auto" w:fill="auto"/>
          </w:tcPr>
          <w:p w14:paraId="20845D2F"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(1.20)</w:t>
            </w:r>
          </w:p>
        </w:tc>
        <w:tc>
          <w:tcPr>
            <w:tcW w:w="1999" w:type="dxa"/>
            <w:gridSpan w:val="2"/>
            <w:shd w:val="clear" w:color="auto" w:fill="auto"/>
          </w:tcPr>
          <w:p w14:paraId="10F7865B"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(0.81)</w:t>
            </w:r>
          </w:p>
        </w:tc>
      </w:tr>
      <w:tr w:rsidR="00AD66D0" w:rsidRPr="00091A98" w14:paraId="142EE59F"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660D7554" w14:textId="77777777" w:rsidR="00AD66D0" w:rsidRPr="00091A98" w:rsidRDefault="00AD66D0" w:rsidP="00AD66D0">
            <w:pPr>
              <w:rPr>
                <w:rFonts w:cs="Times New Roman"/>
                <w:b w:val="0"/>
                <w:color w:val="auto"/>
                <w:lang w:val="de-CH"/>
              </w:rPr>
            </w:pPr>
            <w:r w:rsidRPr="00091A98">
              <w:rPr>
                <w:rFonts w:cs="Times New Roman"/>
                <w:b w:val="0"/>
                <w:color w:val="auto"/>
                <w:lang w:val="de-CH"/>
              </w:rPr>
              <w:t>Konstante</w:t>
            </w:r>
          </w:p>
        </w:tc>
        <w:tc>
          <w:tcPr>
            <w:tcW w:w="1533" w:type="dxa"/>
            <w:gridSpan w:val="2"/>
            <w:shd w:val="clear" w:color="auto" w:fill="auto"/>
          </w:tcPr>
          <w:p w14:paraId="2D5B061D"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247" w:type="dxa"/>
            <w:gridSpan w:val="2"/>
            <w:shd w:val="clear" w:color="auto" w:fill="auto"/>
          </w:tcPr>
          <w:p w14:paraId="180654E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86" w:type="dxa"/>
            <w:gridSpan w:val="2"/>
            <w:shd w:val="clear" w:color="auto" w:fill="auto"/>
          </w:tcPr>
          <w:p w14:paraId="45F44855"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26" w:type="dxa"/>
            <w:gridSpan w:val="2"/>
            <w:shd w:val="clear" w:color="auto" w:fill="auto"/>
          </w:tcPr>
          <w:p w14:paraId="4787CEF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999" w:type="dxa"/>
            <w:gridSpan w:val="2"/>
            <w:shd w:val="clear" w:color="auto" w:fill="auto"/>
          </w:tcPr>
          <w:p w14:paraId="401C2E74" w14:textId="23650492"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-1</w:t>
            </w:r>
            <w:r w:rsidR="00D82672">
              <w:rPr>
                <w:rFonts w:cs="Times New Roman"/>
                <w:color w:val="auto"/>
                <w:lang w:val="de-CH"/>
              </w:rPr>
              <w:t>.</w:t>
            </w:r>
            <w:r w:rsidRPr="00091A98">
              <w:rPr>
                <w:rFonts w:cs="Times New Roman"/>
                <w:color w:val="auto"/>
                <w:lang w:val="de-CH"/>
              </w:rPr>
              <w:t>51***</w:t>
            </w:r>
          </w:p>
        </w:tc>
      </w:tr>
      <w:tr w:rsidR="00AD66D0" w:rsidRPr="00091A98" w14:paraId="2A6BBB56"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tcBorders>
              <w:bottom w:val="single" w:sz="4" w:space="0" w:color="auto"/>
            </w:tcBorders>
            <w:shd w:val="clear" w:color="auto" w:fill="auto"/>
          </w:tcPr>
          <w:p w14:paraId="662BB131" w14:textId="77777777" w:rsidR="00AD66D0" w:rsidRPr="00091A98" w:rsidRDefault="00AD66D0" w:rsidP="00AD66D0">
            <w:pPr>
              <w:rPr>
                <w:rFonts w:cs="Times New Roman"/>
                <w:b w:val="0"/>
                <w:color w:val="auto"/>
                <w:lang w:val="de-CH"/>
              </w:rPr>
            </w:pPr>
          </w:p>
        </w:tc>
        <w:tc>
          <w:tcPr>
            <w:tcW w:w="1533" w:type="dxa"/>
            <w:gridSpan w:val="2"/>
            <w:tcBorders>
              <w:bottom w:val="single" w:sz="4" w:space="0" w:color="auto"/>
            </w:tcBorders>
            <w:shd w:val="clear" w:color="auto" w:fill="auto"/>
          </w:tcPr>
          <w:p w14:paraId="353999FD"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247" w:type="dxa"/>
            <w:gridSpan w:val="2"/>
            <w:tcBorders>
              <w:bottom w:val="single" w:sz="4" w:space="0" w:color="auto"/>
            </w:tcBorders>
            <w:shd w:val="clear" w:color="auto" w:fill="auto"/>
          </w:tcPr>
          <w:p w14:paraId="7DD55C0B"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86" w:type="dxa"/>
            <w:gridSpan w:val="2"/>
            <w:tcBorders>
              <w:bottom w:val="single" w:sz="4" w:space="0" w:color="auto"/>
            </w:tcBorders>
            <w:shd w:val="clear" w:color="auto" w:fill="auto"/>
          </w:tcPr>
          <w:p w14:paraId="7D3909BA"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26" w:type="dxa"/>
            <w:gridSpan w:val="2"/>
            <w:tcBorders>
              <w:bottom w:val="single" w:sz="4" w:space="0" w:color="auto"/>
            </w:tcBorders>
            <w:shd w:val="clear" w:color="auto" w:fill="auto"/>
          </w:tcPr>
          <w:p w14:paraId="10372EF7"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999" w:type="dxa"/>
            <w:gridSpan w:val="2"/>
            <w:tcBorders>
              <w:bottom w:val="single" w:sz="4" w:space="0" w:color="auto"/>
            </w:tcBorders>
            <w:shd w:val="clear" w:color="auto" w:fill="auto"/>
          </w:tcPr>
          <w:p w14:paraId="30118017" w14:textId="775ECE69"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32)</w:t>
            </w:r>
          </w:p>
        </w:tc>
      </w:tr>
      <w:tr w:rsidR="00AD66D0" w:rsidRPr="00091A98" w14:paraId="2F888E0F"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bottom w:val="nil"/>
            </w:tcBorders>
            <w:shd w:val="clear" w:color="auto" w:fill="auto"/>
          </w:tcPr>
          <w:p w14:paraId="01FEA8F0" w14:textId="77777777" w:rsidR="00AD66D0" w:rsidRPr="00091A98" w:rsidRDefault="00AD66D0" w:rsidP="00AD66D0">
            <w:pPr>
              <w:rPr>
                <w:rFonts w:cs="Times New Roman"/>
                <w:b w:val="0"/>
                <w:color w:val="auto"/>
                <w:lang w:val="de-CH"/>
              </w:rPr>
            </w:pPr>
            <w:r w:rsidRPr="00091A98">
              <w:rPr>
                <w:rFonts w:cs="Times New Roman"/>
                <w:b w:val="0"/>
                <w:color w:val="auto"/>
                <w:lang w:val="de-CH"/>
              </w:rPr>
              <w:t>Beobachtungen</w:t>
            </w:r>
          </w:p>
        </w:tc>
        <w:tc>
          <w:tcPr>
            <w:tcW w:w="1533" w:type="dxa"/>
            <w:gridSpan w:val="2"/>
            <w:tcBorders>
              <w:top w:val="single" w:sz="4" w:space="0" w:color="auto"/>
              <w:bottom w:val="nil"/>
            </w:tcBorders>
            <w:shd w:val="clear" w:color="auto" w:fill="auto"/>
          </w:tcPr>
          <w:p w14:paraId="21A3B8BC" w14:textId="184F15DC" w:rsidR="00AD66D0" w:rsidRPr="00091A98" w:rsidRDefault="00A16653"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128</w:t>
            </w:r>
          </w:p>
        </w:tc>
        <w:tc>
          <w:tcPr>
            <w:tcW w:w="1247" w:type="dxa"/>
            <w:gridSpan w:val="2"/>
            <w:tcBorders>
              <w:top w:val="single" w:sz="4" w:space="0" w:color="auto"/>
              <w:bottom w:val="nil"/>
            </w:tcBorders>
            <w:shd w:val="clear" w:color="auto" w:fill="auto"/>
          </w:tcPr>
          <w:p w14:paraId="20F2CAF5" w14:textId="37A02C66" w:rsidR="00AD66D0" w:rsidRPr="00091A98" w:rsidRDefault="00A16653"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128</w:t>
            </w:r>
          </w:p>
        </w:tc>
        <w:tc>
          <w:tcPr>
            <w:tcW w:w="1186" w:type="dxa"/>
            <w:gridSpan w:val="2"/>
            <w:tcBorders>
              <w:top w:val="single" w:sz="4" w:space="0" w:color="auto"/>
              <w:bottom w:val="nil"/>
            </w:tcBorders>
            <w:shd w:val="clear" w:color="auto" w:fill="auto"/>
          </w:tcPr>
          <w:p w14:paraId="1D60EE80" w14:textId="7439771B" w:rsidR="00AD66D0" w:rsidRPr="00091A98" w:rsidRDefault="00A16653"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128</w:t>
            </w:r>
          </w:p>
        </w:tc>
        <w:tc>
          <w:tcPr>
            <w:tcW w:w="1126" w:type="dxa"/>
            <w:gridSpan w:val="2"/>
            <w:tcBorders>
              <w:top w:val="single" w:sz="4" w:space="0" w:color="auto"/>
              <w:bottom w:val="nil"/>
            </w:tcBorders>
            <w:shd w:val="clear" w:color="auto" w:fill="auto"/>
          </w:tcPr>
          <w:p w14:paraId="2AAA61A5" w14:textId="5087B7A0" w:rsidR="00AD66D0" w:rsidRPr="00091A98" w:rsidRDefault="00A16653"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128</w:t>
            </w:r>
          </w:p>
        </w:tc>
        <w:tc>
          <w:tcPr>
            <w:tcW w:w="1999" w:type="dxa"/>
            <w:gridSpan w:val="2"/>
            <w:tcBorders>
              <w:top w:val="single" w:sz="4" w:space="0" w:color="auto"/>
              <w:bottom w:val="nil"/>
            </w:tcBorders>
            <w:shd w:val="clear" w:color="auto" w:fill="auto"/>
          </w:tcPr>
          <w:p w14:paraId="6570B2CF" w14:textId="4C8D2DA9" w:rsidR="00AD66D0" w:rsidRPr="00091A98" w:rsidRDefault="00A16653"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Pr>
                <w:rFonts w:cs="Times New Roman"/>
                <w:color w:val="auto"/>
                <w:lang w:val="de-CH"/>
              </w:rPr>
              <w:t>1’</w:t>
            </w:r>
            <w:r w:rsidR="00AD66D0" w:rsidRPr="00091A98">
              <w:rPr>
                <w:rFonts w:cs="Times New Roman"/>
                <w:color w:val="auto"/>
                <w:lang w:val="de-CH"/>
              </w:rPr>
              <w:t>119</w:t>
            </w:r>
          </w:p>
        </w:tc>
      </w:tr>
      <w:tr w:rsidR="00AD66D0" w:rsidRPr="00091A98" w14:paraId="2687C313"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tcBorders>
              <w:top w:val="nil"/>
            </w:tcBorders>
            <w:shd w:val="clear" w:color="auto" w:fill="auto"/>
          </w:tcPr>
          <w:p w14:paraId="24BEADA4" w14:textId="77777777" w:rsidR="00AD66D0" w:rsidRPr="00091A98" w:rsidRDefault="00AD66D0" w:rsidP="00AD66D0">
            <w:pPr>
              <w:rPr>
                <w:rFonts w:cs="Times New Roman"/>
                <w:b w:val="0"/>
                <w:color w:val="auto"/>
                <w:lang w:val="de-CH"/>
              </w:rPr>
            </w:pPr>
            <w:r w:rsidRPr="00091A98">
              <w:rPr>
                <w:rFonts w:cs="Times New Roman"/>
                <w:b w:val="0"/>
                <w:color w:val="auto"/>
                <w:lang w:val="de-CH"/>
              </w:rPr>
              <w:t>R</w:t>
            </w:r>
            <w:r w:rsidRPr="00091A98">
              <w:rPr>
                <w:rFonts w:cs="Times New Roman"/>
                <w:b w:val="0"/>
                <w:color w:val="auto"/>
                <w:vertAlign w:val="superscript"/>
                <w:lang w:val="de-CH"/>
              </w:rPr>
              <w:t>2</w:t>
            </w:r>
          </w:p>
        </w:tc>
        <w:tc>
          <w:tcPr>
            <w:tcW w:w="1533" w:type="dxa"/>
            <w:gridSpan w:val="2"/>
            <w:tcBorders>
              <w:top w:val="nil"/>
            </w:tcBorders>
            <w:shd w:val="clear" w:color="auto" w:fill="auto"/>
          </w:tcPr>
          <w:p w14:paraId="42183E66"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247" w:type="dxa"/>
            <w:gridSpan w:val="2"/>
            <w:tcBorders>
              <w:top w:val="nil"/>
            </w:tcBorders>
            <w:shd w:val="clear" w:color="auto" w:fill="auto"/>
          </w:tcPr>
          <w:p w14:paraId="371EB662"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86" w:type="dxa"/>
            <w:gridSpan w:val="2"/>
            <w:tcBorders>
              <w:top w:val="nil"/>
            </w:tcBorders>
            <w:shd w:val="clear" w:color="auto" w:fill="auto"/>
          </w:tcPr>
          <w:p w14:paraId="30479396"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126" w:type="dxa"/>
            <w:gridSpan w:val="2"/>
            <w:tcBorders>
              <w:top w:val="nil"/>
            </w:tcBorders>
            <w:shd w:val="clear" w:color="auto" w:fill="auto"/>
          </w:tcPr>
          <w:p w14:paraId="44F5ADFE"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c>
          <w:tcPr>
            <w:tcW w:w="1999" w:type="dxa"/>
            <w:gridSpan w:val="2"/>
            <w:tcBorders>
              <w:top w:val="nil"/>
            </w:tcBorders>
            <w:shd w:val="clear" w:color="auto" w:fill="auto"/>
          </w:tcPr>
          <w:p w14:paraId="2020D493" w14:textId="1ED3564B"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0</w:t>
            </w:r>
            <w:r w:rsidR="00D82672">
              <w:rPr>
                <w:rFonts w:cs="Times New Roman"/>
                <w:color w:val="auto"/>
                <w:lang w:val="de-CH"/>
              </w:rPr>
              <w:t>.</w:t>
            </w:r>
            <w:r w:rsidRPr="00091A98">
              <w:rPr>
                <w:rFonts w:cs="Times New Roman"/>
                <w:color w:val="auto"/>
                <w:lang w:val="de-CH"/>
              </w:rPr>
              <w:t>18</w:t>
            </w:r>
          </w:p>
        </w:tc>
      </w:tr>
      <w:tr w:rsidR="00AD66D0" w:rsidRPr="00091A98" w14:paraId="4BE818A2" w14:textId="77777777" w:rsidTr="00D826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4153882B" w14:textId="77777777" w:rsidR="00AD66D0" w:rsidRPr="00091A98" w:rsidRDefault="00AD66D0" w:rsidP="00AD66D0">
            <w:pPr>
              <w:rPr>
                <w:rFonts w:cs="Times New Roman"/>
                <w:b w:val="0"/>
                <w:color w:val="auto"/>
                <w:lang w:val="de-CH"/>
              </w:rPr>
            </w:pPr>
            <w:r w:rsidRPr="00091A98">
              <w:rPr>
                <w:rFonts w:cs="Times New Roman"/>
                <w:b w:val="0"/>
                <w:color w:val="auto"/>
                <w:lang w:val="de-CH"/>
              </w:rPr>
              <w:t>Adj. R</w:t>
            </w:r>
            <w:r w:rsidRPr="00091A98">
              <w:rPr>
                <w:rFonts w:cs="Times New Roman"/>
                <w:b w:val="0"/>
                <w:color w:val="auto"/>
                <w:vertAlign w:val="superscript"/>
                <w:lang w:val="de-CH"/>
              </w:rPr>
              <w:t>2</w:t>
            </w:r>
          </w:p>
        </w:tc>
        <w:tc>
          <w:tcPr>
            <w:tcW w:w="1533" w:type="dxa"/>
            <w:gridSpan w:val="2"/>
            <w:shd w:val="clear" w:color="auto" w:fill="auto"/>
          </w:tcPr>
          <w:p w14:paraId="3C9BB269"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247" w:type="dxa"/>
            <w:gridSpan w:val="2"/>
            <w:shd w:val="clear" w:color="auto" w:fill="auto"/>
          </w:tcPr>
          <w:p w14:paraId="3C18495A"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86" w:type="dxa"/>
            <w:gridSpan w:val="2"/>
            <w:shd w:val="clear" w:color="auto" w:fill="auto"/>
          </w:tcPr>
          <w:p w14:paraId="0AC2C80E"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126" w:type="dxa"/>
            <w:gridSpan w:val="2"/>
            <w:shd w:val="clear" w:color="auto" w:fill="auto"/>
          </w:tcPr>
          <w:p w14:paraId="6D818A10" w14:textId="7777777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p>
        </w:tc>
        <w:tc>
          <w:tcPr>
            <w:tcW w:w="1999" w:type="dxa"/>
            <w:gridSpan w:val="2"/>
            <w:shd w:val="clear" w:color="auto" w:fill="auto"/>
          </w:tcPr>
          <w:p w14:paraId="1D9A84DF" w14:textId="3B2F76F7" w:rsidR="00AD66D0" w:rsidRPr="00091A98" w:rsidRDefault="00AD66D0" w:rsidP="00AD66D0">
            <w:pPr>
              <w:ind w:left="93" w:hanging="93"/>
              <w:jc w:val="center"/>
              <w:cnfStyle w:val="000000100000" w:firstRow="0" w:lastRow="0" w:firstColumn="0" w:lastColumn="0" w:oddVBand="0" w:evenVBand="0" w:oddHBand="1" w:evenHBand="0" w:firstRowFirstColumn="0" w:firstRowLastColumn="0" w:lastRowFirstColumn="0" w:lastRowLastColumn="0"/>
              <w:rPr>
                <w:rFonts w:cs="Times New Roman"/>
                <w:color w:val="auto"/>
                <w:lang w:val="de-CH"/>
              </w:rPr>
            </w:pPr>
            <w:r w:rsidRPr="00091A98">
              <w:rPr>
                <w:rFonts w:cs="Times New Roman"/>
                <w:color w:val="auto"/>
                <w:lang w:val="de-CH"/>
              </w:rPr>
              <w:t>0</w:t>
            </w:r>
            <w:r w:rsidR="00A16653">
              <w:rPr>
                <w:rFonts w:cs="Times New Roman"/>
                <w:color w:val="auto"/>
                <w:lang w:val="de-CH"/>
              </w:rPr>
              <w:t>.</w:t>
            </w:r>
            <w:r w:rsidRPr="00091A98">
              <w:rPr>
                <w:rFonts w:cs="Times New Roman"/>
                <w:color w:val="auto"/>
                <w:lang w:val="de-CH"/>
              </w:rPr>
              <w:t>16</w:t>
            </w:r>
          </w:p>
        </w:tc>
      </w:tr>
      <w:tr w:rsidR="00AD66D0" w:rsidRPr="00091A98" w14:paraId="0033A85C" w14:textId="77777777" w:rsidTr="00D82672">
        <w:trPr>
          <w:jc w:val="center"/>
        </w:trPr>
        <w:tc>
          <w:tcPr>
            <w:cnfStyle w:val="001000000000" w:firstRow="0" w:lastRow="0" w:firstColumn="1" w:lastColumn="0" w:oddVBand="0" w:evenVBand="0" w:oddHBand="0" w:evenHBand="0" w:firstRowFirstColumn="0" w:firstRowLastColumn="0" w:lastRowFirstColumn="0" w:lastRowLastColumn="0"/>
            <w:tcW w:w="3312" w:type="dxa"/>
            <w:shd w:val="clear" w:color="auto" w:fill="auto"/>
          </w:tcPr>
          <w:p w14:paraId="2205CC7B" w14:textId="77777777" w:rsidR="00AD66D0" w:rsidRPr="00091A98" w:rsidRDefault="00AD66D0" w:rsidP="00AD66D0">
            <w:pPr>
              <w:rPr>
                <w:rFonts w:cs="Times New Roman"/>
                <w:b w:val="0"/>
                <w:color w:val="auto"/>
                <w:lang w:val="de-CH"/>
              </w:rPr>
            </w:pPr>
            <w:r w:rsidRPr="00091A98">
              <w:rPr>
                <w:rFonts w:cs="Times New Roman"/>
                <w:b w:val="0"/>
                <w:color w:val="auto"/>
                <w:lang w:val="de-CH"/>
              </w:rPr>
              <w:t>Log Likelihood</w:t>
            </w:r>
          </w:p>
        </w:tc>
        <w:tc>
          <w:tcPr>
            <w:tcW w:w="1533" w:type="dxa"/>
            <w:gridSpan w:val="2"/>
            <w:shd w:val="clear" w:color="auto" w:fill="auto"/>
          </w:tcPr>
          <w:p w14:paraId="5382450D" w14:textId="240E046A"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w:t>
            </w:r>
            <w:r w:rsidR="00A16653">
              <w:rPr>
                <w:rFonts w:cs="Times New Roman"/>
                <w:color w:val="auto"/>
                <w:lang w:val="de-CH"/>
              </w:rPr>
              <w:t>1’</w:t>
            </w:r>
            <w:r w:rsidRPr="00091A98">
              <w:rPr>
                <w:rFonts w:cs="Times New Roman"/>
                <w:color w:val="auto"/>
                <w:lang w:val="de-CH"/>
              </w:rPr>
              <w:t>477</w:t>
            </w:r>
            <w:r w:rsidR="00A16653">
              <w:rPr>
                <w:rFonts w:cs="Times New Roman"/>
                <w:color w:val="auto"/>
                <w:lang w:val="de-CH"/>
              </w:rPr>
              <w:t>.</w:t>
            </w:r>
            <w:r w:rsidRPr="00091A98">
              <w:rPr>
                <w:rFonts w:cs="Times New Roman"/>
                <w:color w:val="auto"/>
                <w:lang w:val="de-CH"/>
              </w:rPr>
              <w:t>5</w:t>
            </w:r>
          </w:p>
        </w:tc>
        <w:tc>
          <w:tcPr>
            <w:tcW w:w="1247" w:type="dxa"/>
            <w:gridSpan w:val="2"/>
            <w:shd w:val="clear" w:color="auto" w:fill="auto"/>
          </w:tcPr>
          <w:p w14:paraId="479FF0AB" w14:textId="3293862B"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w:t>
            </w:r>
            <w:r w:rsidR="00A16653">
              <w:rPr>
                <w:rFonts w:cs="Times New Roman"/>
                <w:color w:val="auto"/>
                <w:lang w:val="de-CH"/>
              </w:rPr>
              <w:t>1’</w:t>
            </w:r>
            <w:r w:rsidRPr="00091A98">
              <w:rPr>
                <w:rFonts w:cs="Times New Roman"/>
                <w:color w:val="auto"/>
                <w:lang w:val="de-CH"/>
              </w:rPr>
              <w:t>603</w:t>
            </w:r>
            <w:r w:rsidR="00A16653">
              <w:rPr>
                <w:rFonts w:cs="Times New Roman"/>
                <w:color w:val="auto"/>
                <w:lang w:val="de-CH"/>
              </w:rPr>
              <w:t>.</w:t>
            </w:r>
            <w:r w:rsidRPr="00091A98">
              <w:rPr>
                <w:rFonts w:cs="Times New Roman"/>
                <w:color w:val="auto"/>
                <w:lang w:val="de-CH"/>
              </w:rPr>
              <w:t>1</w:t>
            </w:r>
          </w:p>
        </w:tc>
        <w:tc>
          <w:tcPr>
            <w:tcW w:w="1186" w:type="dxa"/>
            <w:gridSpan w:val="2"/>
            <w:shd w:val="clear" w:color="auto" w:fill="auto"/>
          </w:tcPr>
          <w:p w14:paraId="5DE0AE01" w14:textId="0803B839"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w:t>
            </w:r>
            <w:r w:rsidR="00A16653">
              <w:rPr>
                <w:rFonts w:cs="Times New Roman"/>
                <w:color w:val="auto"/>
                <w:lang w:val="de-CH"/>
              </w:rPr>
              <w:t>1’</w:t>
            </w:r>
            <w:r w:rsidRPr="00091A98">
              <w:rPr>
                <w:rFonts w:cs="Times New Roman"/>
                <w:color w:val="auto"/>
                <w:lang w:val="de-CH"/>
              </w:rPr>
              <w:t>578</w:t>
            </w:r>
            <w:r w:rsidR="00A16653">
              <w:rPr>
                <w:rFonts w:cs="Times New Roman"/>
                <w:color w:val="auto"/>
                <w:lang w:val="de-CH"/>
              </w:rPr>
              <w:t>.</w:t>
            </w:r>
            <w:r w:rsidRPr="00091A98">
              <w:rPr>
                <w:rFonts w:cs="Times New Roman"/>
                <w:color w:val="auto"/>
                <w:lang w:val="de-CH"/>
              </w:rPr>
              <w:t>8</w:t>
            </w:r>
          </w:p>
        </w:tc>
        <w:tc>
          <w:tcPr>
            <w:tcW w:w="1126" w:type="dxa"/>
            <w:gridSpan w:val="2"/>
            <w:shd w:val="clear" w:color="auto" w:fill="auto"/>
          </w:tcPr>
          <w:p w14:paraId="0F804D0F" w14:textId="0D2A28A8"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r w:rsidRPr="00091A98">
              <w:rPr>
                <w:rFonts w:cs="Times New Roman"/>
                <w:color w:val="auto"/>
                <w:lang w:val="de-CH"/>
              </w:rPr>
              <w:t>−</w:t>
            </w:r>
            <w:r w:rsidR="00A16653">
              <w:rPr>
                <w:rFonts w:cs="Times New Roman"/>
                <w:color w:val="auto"/>
                <w:lang w:val="de-CH"/>
              </w:rPr>
              <w:t>1’</w:t>
            </w:r>
            <w:r w:rsidRPr="00091A98">
              <w:rPr>
                <w:rFonts w:cs="Times New Roman"/>
                <w:color w:val="auto"/>
                <w:lang w:val="de-CH"/>
              </w:rPr>
              <w:t>594</w:t>
            </w:r>
            <w:r w:rsidR="00A16653">
              <w:rPr>
                <w:rFonts w:cs="Times New Roman"/>
                <w:color w:val="auto"/>
                <w:lang w:val="de-CH"/>
              </w:rPr>
              <w:t>.</w:t>
            </w:r>
            <w:r w:rsidRPr="00091A98">
              <w:rPr>
                <w:rFonts w:cs="Times New Roman"/>
                <w:color w:val="auto"/>
                <w:lang w:val="de-CH"/>
              </w:rPr>
              <w:t>7</w:t>
            </w:r>
          </w:p>
        </w:tc>
        <w:tc>
          <w:tcPr>
            <w:tcW w:w="1999" w:type="dxa"/>
            <w:gridSpan w:val="2"/>
            <w:shd w:val="clear" w:color="auto" w:fill="auto"/>
          </w:tcPr>
          <w:p w14:paraId="4818F31E" w14:textId="77777777" w:rsidR="00AD66D0" w:rsidRPr="00091A98" w:rsidRDefault="00AD66D0" w:rsidP="00AD66D0">
            <w:pPr>
              <w:ind w:left="93" w:hanging="93"/>
              <w:jc w:val="center"/>
              <w:cnfStyle w:val="000000000000" w:firstRow="0" w:lastRow="0" w:firstColumn="0" w:lastColumn="0" w:oddVBand="0" w:evenVBand="0" w:oddHBand="0" w:evenHBand="0" w:firstRowFirstColumn="0" w:firstRowLastColumn="0" w:lastRowFirstColumn="0" w:lastRowLastColumn="0"/>
              <w:rPr>
                <w:rFonts w:cs="Times New Roman"/>
                <w:color w:val="auto"/>
                <w:lang w:val="de-CH"/>
              </w:rPr>
            </w:pPr>
          </w:p>
        </w:tc>
      </w:tr>
    </w:tbl>
    <w:p w14:paraId="58CE7875" w14:textId="449A8EF0" w:rsidR="00AD66D0" w:rsidRPr="00091A98" w:rsidRDefault="00AD66D0" w:rsidP="00AD66D0">
      <w:pPr>
        <w:spacing w:line="360" w:lineRule="auto"/>
        <w:ind w:left="-426" w:right="-432"/>
        <w:rPr>
          <w:rFonts w:cs="Times New Roman"/>
          <w:sz w:val="22"/>
          <w:szCs w:val="22"/>
          <w:lang w:val="de-CH"/>
        </w:rPr>
      </w:pPr>
      <w:r w:rsidRPr="00091A98">
        <w:rPr>
          <w:rFonts w:cs="Times New Roman"/>
          <w:i/>
          <w:sz w:val="22"/>
          <w:szCs w:val="22"/>
          <w:lang w:val="de-CH"/>
        </w:rPr>
        <w:t xml:space="preserve">Anm: </w:t>
      </w:r>
      <w:r w:rsidRPr="00091A98">
        <w:rPr>
          <w:rFonts w:cs="Times New Roman"/>
          <w:sz w:val="22"/>
          <w:szCs w:val="22"/>
          <w:lang w:val="de-CH"/>
        </w:rPr>
        <w:t>Standardfehler in Klammern                                                                            *p&lt;0</w:t>
      </w:r>
      <w:r w:rsidR="00A16653">
        <w:rPr>
          <w:rFonts w:cs="Times New Roman"/>
          <w:sz w:val="22"/>
          <w:szCs w:val="22"/>
          <w:lang w:val="de-CH"/>
        </w:rPr>
        <w:t>.</w:t>
      </w:r>
      <w:r w:rsidRPr="00091A98">
        <w:rPr>
          <w:rFonts w:cs="Times New Roman"/>
          <w:sz w:val="22"/>
          <w:szCs w:val="22"/>
          <w:lang w:val="de-CH"/>
        </w:rPr>
        <w:t>1; **p&lt;0</w:t>
      </w:r>
      <w:r w:rsidR="00A16653">
        <w:rPr>
          <w:rFonts w:cs="Times New Roman"/>
          <w:sz w:val="22"/>
          <w:szCs w:val="22"/>
          <w:lang w:val="de-CH"/>
        </w:rPr>
        <w:t>.</w:t>
      </w:r>
      <w:r w:rsidRPr="00091A98">
        <w:rPr>
          <w:rFonts w:cs="Times New Roman"/>
          <w:sz w:val="22"/>
          <w:szCs w:val="22"/>
          <w:lang w:val="de-CH"/>
        </w:rPr>
        <w:t>05; ***p&lt;0</w:t>
      </w:r>
      <w:r w:rsidR="00A16653">
        <w:rPr>
          <w:rFonts w:cs="Times New Roman"/>
          <w:sz w:val="22"/>
          <w:szCs w:val="22"/>
          <w:lang w:val="de-CH"/>
        </w:rPr>
        <w:t>.</w:t>
      </w:r>
      <w:r w:rsidRPr="00091A98">
        <w:rPr>
          <w:rFonts w:cs="Times New Roman"/>
          <w:sz w:val="22"/>
          <w:szCs w:val="22"/>
          <w:lang w:val="de-CH"/>
        </w:rPr>
        <w:t>01</w:t>
      </w:r>
    </w:p>
    <w:p w14:paraId="03F012B3" w14:textId="77777777" w:rsidR="00AD66D0" w:rsidRPr="00091A98" w:rsidRDefault="00AD66D0" w:rsidP="00AD66D0">
      <w:pPr>
        <w:rPr>
          <w:lang w:val="de-CH"/>
        </w:rPr>
      </w:pPr>
    </w:p>
    <w:p w14:paraId="1A47699B" w14:textId="77777777" w:rsidR="00AD66D0" w:rsidRPr="00091A98" w:rsidRDefault="00AD66D0" w:rsidP="00EF7448">
      <w:pPr>
        <w:tabs>
          <w:tab w:val="left" w:pos="6647"/>
        </w:tabs>
        <w:rPr>
          <w:rFonts w:cs="Times New Roman"/>
          <w:lang w:val="de-CH"/>
        </w:rPr>
      </w:pPr>
    </w:p>
    <w:p w14:paraId="40AB1C3A" w14:textId="77777777" w:rsidR="00AD66D0" w:rsidRPr="00091A98" w:rsidRDefault="00AD66D0" w:rsidP="00EF7448">
      <w:pPr>
        <w:tabs>
          <w:tab w:val="left" w:pos="6647"/>
        </w:tabs>
        <w:rPr>
          <w:rFonts w:cs="Times New Roman"/>
          <w:lang w:val="de-CH"/>
        </w:rPr>
      </w:pPr>
    </w:p>
    <w:p w14:paraId="7F66AA65" w14:textId="77777777" w:rsidR="00AD66D0" w:rsidRPr="00091A98" w:rsidRDefault="00AD66D0" w:rsidP="00EF7448">
      <w:pPr>
        <w:tabs>
          <w:tab w:val="left" w:pos="6647"/>
        </w:tabs>
        <w:rPr>
          <w:rFonts w:cs="Times New Roman"/>
          <w:lang w:val="de-CH"/>
        </w:rPr>
      </w:pPr>
    </w:p>
    <w:p w14:paraId="20A3CFEB" w14:textId="77777777" w:rsidR="00AD66D0" w:rsidRPr="00091A98" w:rsidRDefault="00AD66D0" w:rsidP="00EF7448">
      <w:pPr>
        <w:tabs>
          <w:tab w:val="left" w:pos="6647"/>
        </w:tabs>
        <w:rPr>
          <w:rFonts w:cs="Times New Roman"/>
          <w:lang w:val="de-CH"/>
        </w:rPr>
      </w:pPr>
    </w:p>
    <w:p w14:paraId="476C1B26" w14:textId="77777777" w:rsidR="00AD66D0" w:rsidRPr="00091A98" w:rsidRDefault="00AD66D0" w:rsidP="00EF7448">
      <w:pPr>
        <w:tabs>
          <w:tab w:val="left" w:pos="6647"/>
        </w:tabs>
        <w:rPr>
          <w:rFonts w:cs="Times New Roman"/>
          <w:lang w:val="de-CH"/>
        </w:rPr>
      </w:pPr>
    </w:p>
    <w:p w14:paraId="195A642A" w14:textId="77777777" w:rsidR="00AD66D0" w:rsidRPr="00091A98" w:rsidRDefault="00AD66D0" w:rsidP="00EF7448">
      <w:pPr>
        <w:tabs>
          <w:tab w:val="left" w:pos="6647"/>
        </w:tabs>
        <w:rPr>
          <w:rFonts w:cs="Times New Roman"/>
          <w:lang w:val="de-CH"/>
        </w:rPr>
      </w:pPr>
    </w:p>
    <w:p w14:paraId="3BC14D30" w14:textId="77777777" w:rsidR="00AD66D0" w:rsidRPr="00091A98" w:rsidRDefault="00AD66D0" w:rsidP="00EF7448">
      <w:pPr>
        <w:tabs>
          <w:tab w:val="left" w:pos="6647"/>
        </w:tabs>
        <w:rPr>
          <w:rFonts w:cs="Times New Roman"/>
          <w:lang w:val="de-CH"/>
        </w:rPr>
      </w:pPr>
    </w:p>
    <w:p w14:paraId="01BB118B" w14:textId="77777777" w:rsidR="00AD66D0" w:rsidRPr="00091A98" w:rsidRDefault="00AD66D0" w:rsidP="00EF7448">
      <w:pPr>
        <w:tabs>
          <w:tab w:val="left" w:pos="6647"/>
        </w:tabs>
        <w:rPr>
          <w:rFonts w:cs="Times New Roman"/>
          <w:lang w:val="de-CH"/>
        </w:rPr>
      </w:pPr>
    </w:p>
    <w:p w14:paraId="009CB294" w14:textId="77777777" w:rsidR="00AD66D0" w:rsidRPr="00091A98" w:rsidRDefault="00AD66D0" w:rsidP="00EF7448">
      <w:pPr>
        <w:tabs>
          <w:tab w:val="left" w:pos="6647"/>
        </w:tabs>
        <w:rPr>
          <w:rFonts w:cs="Times New Roman"/>
          <w:lang w:val="de-CH"/>
        </w:rPr>
      </w:pPr>
    </w:p>
    <w:p w14:paraId="167B8A46" w14:textId="77777777" w:rsidR="00AD66D0" w:rsidRPr="00091A98" w:rsidRDefault="00AD66D0" w:rsidP="00EF7448">
      <w:pPr>
        <w:tabs>
          <w:tab w:val="left" w:pos="6647"/>
        </w:tabs>
        <w:rPr>
          <w:rFonts w:cs="Times New Roman"/>
          <w:lang w:val="de-CH"/>
        </w:rPr>
      </w:pPr>
    </w:p>
    <w:p w14:paraId="1C7453E0" w14:textId="77777777" w:rsidR="00AD66D0" w:rsidRPr="00091A98" w:rsidRDefault="00AD66D0" w:rsidP="00EF7448">
      <w:pPr>
        <w:tabs>
          <w:tab w:val="left" w:pos="6647"/>
        </w:tabs>
        <w:rPr>
          <w:rFonts w:cs="Times New Roman"/>
          <w:lang w:val="de-CH"/>
        </w:rPr>
      </w:pPr>
    </w:p>
    <w:p w14:paraId="35C284C9" w14:textId="77777777" w:rsidR="00AD66D0" w:rsidRPr="00091A98" w:rsidRDefault="00AD66D0" w:rsidP="00EF7448">
      <w:pPr>
        <w:tabs>
          <w:tab w:val="left" w:pos="6647"/>
        </w:tabs>
        <w:rPr>
          <w:rFonts w:cs="Times New Roman"/>
          <w:lang w:val="de-CH"/>
        </w:rPr>
      </w:pPr>
    </w:p>
    <w:p w14:paraId="026CD8DB" w14:textId="77777777" w:rsidR="00AD66D0" w:rsidRPr="00091A98" w:rsidRDefault="00AD66D0" w:rsidP="00EF7448">
      <w:pPr>
        <w:tabs>
          <w:tab w:val="left" w:pos="6647"/>
        </w:tabs>
        <w:rPr>
          <w:rFonts w:cs="Times New Roman"/>
          <w:lang w:val="de-CH"/>
        </w:rPr>
      </w:pPr>
    </w:p>
    <w:p w14:paraId="24C80820" w14:textId="77777777" w:rsidR="00AD66D0" w:rsidRPr="00091A98" w:rsidRDefault="00AD66D0" w:rsidP="00EF7448">
      <w:pPr>
        <w:tabs>
          <w:tab w:val="left" w:pos="6647"/>
        </w:tabs>
        <w:rPr>
          <w:rFonts w:cs="Times New Roman"/>
          <w:lang w:val="de-CH"/>
        </w:rPr>
      </w:pPr>
    </w:p>
    <w:p w14:paraId="28EC80CE" w14:textId="77777777" w:rsidR="00AD66D0" w:rsidRPr="00091A98" w:rsidRDefault="00AD66D0" w:rsidP="00EF7448">
      <w:pPr>
        <w:tabs>
          <w:tab w:val="left" w:pos="6647"/>
        </w:tabs>
        <w:rPr>
          <w:rFonts w:cs="Times New Roman"/>
          <w:lang w:val="de-CH"/>
        </w:rPr>
      </w:pPr>
    </w:p>
    <w:p w14:paraId="14162CC4" w14:textId="77777777" w:rsidR="00AD66D0" w:rsidRPr="00091A98" w:rsidRDefault="00AD66D0" w:rsidP="00EF7448">
      <w:pPr>
        <w:tabs>
          <w:tab w:val="left" w:pos="6647"/>
        </w:tabs>
        <w:rPr>
          <w:rFonts w:cs="Times New Roman"/>
          <w:lang w:val="de-CH"/>
        </w:rPr>
      </w:pPr>
    </w:p>
    <w:p w14:paraId="31C00B15" w14:textId="77777777" w:rsidR="00AD66D0" w:rsidRPr="00091A98" w:rsidRDefault="00AD66D0" w:rsidP="00EF7448">
      <w:pPr>
        <w:tabs>
          <w:tab w:val="left" w:pos="6647"/>
        </w:tabs>
        <w:rPr>
          <w:rFonts w:cs="Times New Roman"/>
          <w:lang w:val="de-CH"/>
        </w:rPr>
      </w:pPr>
    </w:p>
    <w:p w14:paraId="2F760117" w14:textId="77777777" w:rsidR="00AD66D0" w:rsidRPr="00091A98" w:rsidRDefault="00AD66D0" w:rsidP="00EF7448">
      <w:pPr>
        <w:tabs>
          <w:tab w:val="left" w:pos="6647"/>
        </w:tabs>
        <w:rPr>
          <w:rFonts w:cs="Times New Roman"/>
          <w:lang w:val="de-CH"/>
        </w:rPr>
      </w:pPr>
    </w:p>
    <w:p w14:paraId="5D14AEBD" w14:textId="77777777" w:rsidR="00AD66D0" w:rsidRPr="00091A98" w:rsidRDefault="00AD66D0" w:rsidP="00EF7448">
      <w:pPr>
        <w:tabs>
          <w:tab w:val="left" w:pos="6647"/>
        </w:tabs>
        <w:rPr>
          <w:rFonts w:cs="Times New Roman"/>
          <w:lang w:val="de-CH"/>
        </w:rPr>
      </w:pPr>
    </w:p>
    <w:p w14:paraId="7D806B43" w14:textId="77777777" w:rsidR="00AD66D0" w:rsidRPr="00091A98" w:rsidRDefault="00AD66D0" w:rsidP="00EF7448">
      <w:pPr>
        <w:tabs>
          <w:tab w:val="left" w:pos="6647"/>
        </w:tabs>
        <w:rPr>
          <w:rFonts w:cs="Times New Roman"/>
          <w:lang w:val="de-CH"/>
        </w:rPr>
      </w:pPr>
    </w:p>
    <w:p w14:paraId="429FEB0A" w14:textId="77777777" w:rsidR="00AD66D0" w:rsidRPr="00091A98" w:rsidRDefault="00AD66D0" w:rsidP="00EF7448">
      <w:pPr>
        <w:tabs>
          <w:tab w:val="left" w:pos="6647"/>
        </w:tabs>
        <w:rPr>
          <w:rFonts w:cs="Times New Roman"/>
          <w:lang w:val="de-CH"/>
        </w:rPr>
      </w:pPr>
    </w:p>
    <w:p w14:paraId="0C08C8A9" w14:textId="77777777" w:rsidR="00AD66D0" w:rsidRPr="00091A98" w:rsidRDefault="00AD66D0" w:rsidP="00EF7448">
      <w:pPr>
        <w:tabs>
          <w:tab w:val="left" w:pos="6647"/>
        </w:tabs>
        <w:rPr>
          <w:rFonts w:cs="Times New Roman"/>
          <w:lang w:val="de-CH"/>
        </w:rPr>
      </w:pPr>
    </w:p>
    <w:p w14:paraId="4806AFB2" w14:textId="77777777" w:rsidR="00AD66D0" w:rsidRPr="00091A98" w:rsidRDefault="00AD66D0" w:rsidP="00EF7448">
      <w:pPr>
        <w:tabs>
          <w:tab w:val="left" w:pos="6647"/>
        </w:tabs>
        <w:rPr>
          <w:rFonts w:cs="Times New Roman"/>
          <w:lang w:val="de-CH"/>
        </w:rPr>
      </w:pPr>
    </w:p>
    <w:p w14:paraId="438F1143" w14:textId="77777777" w:rsidR="00AD66D0" w:rsidRPr="00091A98" w:rsidRDefault="00AD66D0" w:rsidP="00EF7448">
      <w:pPr>
        <w:tabs>
          <w:tab w:val="left" w:pos="6647"/>
        </w:tabs>
        <w:rPr>
          <w:rFonts w:cs="Times New Roman"/>
          <w:lang w:val="de-CH"/>
        </w:rPr>
      </w:pPr>
    </w:p>
    <w:p w14:paraId="629609C2" w14:textId="77777777" w:rsidR="00AD66D0" w:rsidRPr="00091A98" w:rsidRDefault="00AD66D0" w:rsidP="00EF7448">
      <w:pPr>
        <w:tabs>
          <w:tab w:val="left" w:pos="6647"/>
        </w:tabs>
        <w:rPr>
          <w:rFonts w:cs="Times New Roman"/>
          <w:lang w:val="de-CH"/>
        </w:rPr>
      </w:pPr>
    </w:p>
    <w:p w14:paraId="31015030" w14:textId="77777777" w:rsidR="00AD66D0" w:rsidRPr="00091A98" w:rsidRDefault="00AD66D0" w:rsidP="00EF7448">
      <w:pPr>
        <w:tabs>
          <w:tab w:val="left" w:pos="6647"/>
        </w:tabs>
        <w:rPr>
          <w:rFonts w:cs="Times New Roman"/>
          <w:lang w:val="de-CH"/>
        </w:rPr>
      </w:pPr>
    </w:p>
    <w:p w14:paraId="1A6E0CD1" w14:textId="77777777" w:rsidR="00AD66D0" w:rsidRPr="00091A98" w:rsidRDefault="00AD66D0" w:rsidP="00EF7448">
      <w:pPr>
        <w:tabs>
          <w:tab w:val="left" w:pos="6647"/>
        </w:tabs>
        <w:rPr>
          <w:rFonts w:cs="Times New Roman"/>
          <w:lang w:val="de-CH"/>
        </w:rPr>
      </w:pPr>
    </w:p>
    <w:p w14:paraId="0AEE7D6E" w14:textId="77777777" w:rsidR="00AD66D0" w:rsidRDefault="00AD66D0" w:rsidP="00EF7448">
      <w:pPr>
        <w:tabs>
          <w:tab w:val="left" w:pos="6647"/>
        </w:tabs>
        <w:rPr>
          <w:rFonts w:cs="Times New Roman"/>
          <w:lang w:val="de-CH"/>
        </w:rPr>
      </w:pPr>
    </w:p>
    <w:p w14:paraId="25F735E9" w14:textId="77777777" w:rsidR="00D82672" w:rsidRPr="00091A98" w:rsidRDefault="00D82672" w:rsidP="00EF7448">
      <w:pPr>
        <w:tabs>
          <w:tab w:val="left" w:pos="6647"/>
        </w:tabs>
        <w:rPr>
          <w:rFonts w:cs="Times New Roman"/>
          <w:lang w:val="de-CH"/>
        </w:rPr>
      </w:pPr>
    </w:p>
    <w:p w14:paraId="2D7FC8AA" w14:textId="77777777" w:rsidR="00AD66D0" w:rsidRPr="00091A98" w:rsidRDefault="00AD66D0" w:rsidP="00EF7448">
      <w:pPr>
        <w:tabs>
          <w:tab w:val="left" w:pos="6647"/>
        </w:tabs>
        <w:rPr>
          <w:rFonts w:cs="Times New Roman"/>
          <w:lang w:val="de-CH"/>
        </w:rPr>
      </w:pPr>
    </w:p>
    <w:p w14:paraId="5B61C11D" w14:textId="2DFE266C" w:rsidR="00D90E3E" w:rsidRPr="00091A98" w:rsidRDefault="00D90E3E" w:rsidP="00D90E3E">
      <w:pPr>
        <w:spacing w:after="200" w:line="276" w:lineRule="auto"/>
        <w:rPr>
          <w:rFonts w:ascii="Calibri" w:eastAsia="Calibri" w:hAnsi="Calibri" w:cs="Times New Roman"/>
          <w:b/>
          <w:lang w:val="de-CH" w:eastAsia="en-US"/>
        </w:rPr>
      </w:pPr>
      <w:r w:rsidRPr="00091A98">
        <w:rPr>
          <w:rFonts w:ascii="Calibri" w:eastAsia="Calibri" w:hAnsi="Calibri" w:cs="Times New Roman"/>
          <w:b/>
          <w:lang w:val="de-CH" w:eastAsia="en-US"/>
        </w:rPr>
        <w:lastRenderedPageBreak/>
        <w:t>Appendix 1: Für die Studie relevante Fragen des Online-Surveys</w:t>
      </w:r>
      <w:r w:rsidR="00076C5C" w:rsidRPr="00091A98">
        <w:rPr>
          <w:rFonts w:ascii="Calibri" w:eastAsia="Calibri" w:hAnsi="Calibri" w:cs="Times New Roman"/>
          <w:b/>
          <w:lang w:val="de-CH" w:eastAsia="en-US"/>
        </w:rPr>
        <w:t xml:space="preserve"> (bzw. </w:t>
      </w:r>
      <w:r w:rsidRPr="00091A98">
        <w:rPr>
          <w:rFonts w:ascii="Calibri" w:eastAsia="Calibri" w:hAnsi="Calibri" w:cs="Times New Roman"/>
          <w:b/>
          <w:lang w:val="de-CH" w:eastAsia="en-US"/>
        </w:rPr>
        <w:t>Kodierung</w:t>
      </w:r>
      <w:r w:rsidR="00076C5C" w:rsidRPr="00091A98">
        <w:rPr>
          <w:rFonts w:ascii="Calibri" w:eastAsia="Calibri" w:hAnsi="Calibri" w:cs="Times New Roman"/>
          <w:b/>
          <w:lang w:val="de-CH" w:eastAsia="en-US"/>
        </w:rPr>
        <w:t xml:space="preserve"> für Variable Gruppentyp)</w:t>
      </w:r>
    </w:p>
    <w:p w14:paraId="503A5B10" w14:textId="77777777" w:rsidR="00D90E3E" w:rsidRPr="00091A98" w:rsidRDefault="00D90E3E" w:rsidP="00D90E3E">
      <w:pPr>
        <w:spacing w:after="200" w:line="276" w:lineRule="auto"/>
        <w:rPr>
          <w:rFonts w:ascii="Calibri" w:eastAsia="Calibri" w:hAnsi="Calibri" w:cs="Times New Roman"/>
          <w:sz w:val="22"/>
          <w:szCs w:val="22"/>
          <w:lang w:val="de-CH" w:eastAsia="en-US"/>
        </w:rPr>
      </w:pPr>
      <w:r w:rsidRPr="00091A98">
        <w:rPr>
          <w:rFonts w:ascii="Calibri" w:eastAsia="Calibri" w:hAnsi="Calibri" w:cs="Times New Roman"/>
          <w:b/>
          <w:sz w:val="22"/>
          <w:szCs w:val="22"/>
          <w:lang w:val="de-CH" w:eastAsia="en-US"/>
        </w:rPr>
        <w:t xml:space="preserve">Tabelle A1: </w:t>
      </w:r>
      <w:r w:rsidRPr="00091A98">
        <w:rPr>
          <w:rFonts w:ascii="Calibri" w:eastAsia="Calibri" w:hAnsi="Calibri" w:cs="Times New Roman"/>
          <w:sz w:val="22"/>
          <w:szCs w:val="22"/>
          <w:lang w:val="de-CH" w:eastAsia="en-US"/>
        </w:rPr>
        <w:t>Verwendete Variablen der Studie</w:t>
      </w:r>
    </w:p>
    <w:tbl>
      <w:tblPr>
        <w:tblStyle w:val="Tabellenraster1"/>
        <w:tblW w:w="0" w:type="auto"/>
        <w:tblLook w:val="04A0" w:firstRow="1" w:lastRow="0" w:firstColumn="1" w:lastColumn="0" w:noHBand="0" w:noVBand="1"/>
      </w:tblPr>
      <w:tblGrid>
        <w:gridCol w:w="2093"/>
        <w:gridCol w:w="4111"/>
        <w:gridCol w:w="3071"/>
      </w:tblGrid>
      <w:tr w:rsidR="00D90E3E" w:rsidRPr="00091A98" w14:paraId="3BE1F9A3" w14:textId="77777777" w:rsidTr="00D90E3E">
        <w:tc>
          <w:tcPr>
            <w:tcW w:w="2093" w:type="dxa"/>
          </w:tcPr>
          <w:p w14:paraId="69C4535F" w14:textId="77777777" w:rsidR="00D90E3E" w:rsidRPr="00091A98" w:rsidRDefault="00D90E3E" w:rsidP="00D90E3E">
            <w:pPr>
              <w:jc w:val="both"/>
              <w:rPr>
                <w:rFonts w:ascii="Calibri" w:hAnsi="Calibri" w:cs="Times New Roman"/>
                <w:b/>
                <w:lang w:val="de-CH"/>
              </w:rPr>
            </w:pPr>
            <w:r w:rsidRPr="00091A98">
              <w:rPr>
                <w:rFonts w:ascii="Calibri" w:hAnsi="Calibri" w:cs="Times New Roman"/>
                <w:b/>
                <w:lang w:val="de-CH"/>
              </w:rPr>
              <w:t>Variable</w:t>
            </w:r>
          </w:p>
        </w:tc>
        <w:tc>
          <w:tcPr>
            <w:tcW w:w="4111" w:type="dxa"/>
          </w:tcPr>
          <w:p w14:paraId="2BBF4632" w14:textId="77777777" w:rsidR="00D90E3E" w:rsidRPr="00091A98" w:rsidRDefault="00D90E3E" w:rsidP="00D90E3E">
            <w:pPr>
              <w:jc w:val="both"/>
              <w:rPr>
                <w:rFonts w:ascii="Calibri" w:hAnsi="Calibri" w:cs="Times New Roman"/>
                <w:b/>
                <w:lang w:val="de-CH"/>
              </w:rPr>
            </w:pPr>
            <w:r w:rsidRPr="00091A98">
              <w:rPr>
                <w:rFonts w:ascii="Calibri" w:hAnsi="Calibri" w:cs="Times New Roman"/>
                <w:b/>
                <w:lang w:val="de-CH"/>
              </w:rPr>
              <w:t>Frage/Kodierung</w:t>
            </w:r>
          </w:p>
        </w:tc>
        <w:tc>
          <w:tcPr>
            <w:tcW w:w="3071" w:type="dxa"/>
          </w:tcPr>
          <w:p w14:paraId="63F4A81B" w14:textId="77777777" w:rsidR="00D90E3E" w:rsidRPr="00091A98" w:rsidRDefault="00D90E3E" w:rsidP="00D90E3E">
            <w:pPr>
              <w:jc w:val="both"/>
              <w:rPr>
                <w:rFonts w:ascii="Calibri" w:hAnsi="Calibri" w:cs="Times New Roman"/>
                <w:b/>
                <w:lang w:val="de-CH"/>
              </w:rPr>
            </w:pPr>
            <w:r w:rsidRPr="00091A98">
              <w:rPr>
                <w:rFonts w:ascii="Calibri" w:hAnsi="Calibri" w:cs="Times New Roman"/>
                <w:b/>
                <w:lang w:val="de-CH"/>
              </w:rPr>
              <w:t>Antwortkategorien</w:t>
            </w:r>
          </w:p>
        </w:tc>
      </w:tr>
      <w:tr w:rsidR="00D90E3E" w:rsidRPr="00091A98" w14:paraId="2A6AE97A" w14:textId="77777777" w:rsidTr="00D90E3E">
        <w:tc>
          <w:tcPr>
            <w:tcW w:w="2093" w:type="dxa"/>
          </w:tcPr>
          <w:p w14:paraId="6732B648"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Regierung</w:t>
            </w:r>
          </w:p>
        </w:tc>
        <w:tc>
          <w:tcPr>
            <w:tcW w:w="4111" w:type="dxa"/>
          </w:tcPr>
          <w:p w14:paraId="1F87E0B8"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Wenn Sie an Personen oder Einrichtungen denken, mit denen Sie im politischen Alltag kommunizieren, wie wichtig sind folgende Adressaten: Regierung</w:t>
            </w:r>
          </w:p>
        </w:tc>
        <w:tc>
          <w:tcPr>
            <w:tcW w:w="3071" w:type="dxa"/>
          </w:tcPr>
          <w:p w14:paraId="3AC4B049"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Unwichtig</w:t>
            </w:r>
          </w:p>
          <w:p w14:paraId="26ABB843"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Weniger wichtig</w:t>
            </w:r>
          </w:p>
          <w:p w14:paraId="24C8B0B8"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Wichtig</w:t>
            </w:r>
          </w:p>
          <w:p w14:paraId="4230362B"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wichtig</w:t>
            </w:r>
          </w:p>
          <w:p w14:paraId="4E9AF9B8" w14:textId="44BDC8A8"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Äu</w:t>
            </w:r>
            <w:r w:rsidR="002F624D" w:rsidRPr="00091A98">
              <w:rPr>
                <w:rFonts w:ascii="Calibri" w:hAnsi="Calibri" w:cs="Times New Roman"/>
                <w:lang w:val="de-CH"/>
              </w:rPr>
              <w:t>ss</w:t>
            </w:r>
            <w:r w:rsidRPr="00091A98">
              <w:rPr>
                <w:rFonts w:ascii="Calibri" w:hAnsi="Calibri" w:cs="Times New Roman"/>
                <w:lang w:val="de-CH"/>
              </w:rPr>
              <w:t>erst wichtig</w:t>
            </w:r>
          </w:p>
        </w:tc>
      </w:tr>
      <w:tr w:rsidR="00D90E3E" w:rsidRPr="00091A98" w14:paraId="585E8091" w14:textId="77777777" w:rsidTr="00D90E3E">
        <w:tc>
          <w:tcPr>
            <w:tcW w:w="2093" w:type="dxa"/>
          </w:tcPr>
          <w:p w14:paraId="628BBACB"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Parteien</w:t>
            </w:r>
          </w:p>
        </w:tc>
        <w:tc>
          <w:tcPr>
            <w:tcW w:w="4111" w:type="dxa"/>
          </w:tcPr>
          <w:p w14:paraId="2589F6E8"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Wenn Sie an Personen oder Einrichtungen denken, mit denen Sie im politischen Alltag kommunizieren, wie wichtig sind folgende Adressaten: Politische Parteien, Parlamentsfraktionen</w:t>
            </w:r>
          </w:p>
          <w:p w14:paraId="38D1F11B" w14:textId="77777777" w:rsidR="00D90E3E" w:rsidRPr="00091A98" w:rsidRDefault="00D90E3E" w:rsidP="00D90E3E">
            <w:pPr>
              <w:rPr>
                <w:rFonts w:ascii="Calibri" w:hAnsi="Calibri" w:cs="Times New Roman"/>
                <w:lang w:val="de-CH"/>
              </w:rPr>
            </w:pPr>
          </w:p>
        </w:tc>
        <w:tc>
          <w:tcPr>
            <w:tcW w:w="3071" w:type="dxa"/>
          </w:tcPr>
          <w:p w14:paraId="691B75F1"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Unwichtig</w:t>
            </w:r>
          </w:p>
          <w:p w14:paraId="5D889649"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Weniger wichtig</w:t>
            </w:r>
          </w:p>
          <w:p w14:paraId="5BFA5266"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Wichtig</w:t>
            </w:r>
          </w:p>
          <w:p w14:paraId="2D37F1C4"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wichtig</w:t>
            </w:r>
          </w:p>
          <w:p w14:paraId="5642B675" w14:textId="6D04D63B"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Äu</w:t>
            </w:r>
            <w:r w:rsidR="002F624D" w:rsidRPr="00091A98">
              <w:rPr>
                <w:rFonts w:ascii="Calibri" w:hAnsi="Calibri" w:cs="Times New Roman"/>
                <w:lang w:val="de-CH"/>
              </w:rPr>
              <w:t>ss</w:t>
            </w:r>
            <w:r w:rsidRPr="00091A98">
              <w:rPr>
                <w:rFonts w:ascii="Calibri" w:hAnsi="Calibri" w:cs="Times New Roman"/>
                <w:lang w:val="de-CH"/>
              </w:rPr>
              <w:t>erst wichtig</w:t>
            </w:r>
          </w:p>
        </w:tc>
      </w:tr>
      <w:tr w:rsidR="00D90E3E" w:rsidRPr="00091A98" w14:paraId="3BFA8C3E" w14:textId="77777777" w:rsidTr="00D90E3E">
        <w:tc>
          <w:tcPr>
            <w:tcW w:w="2093" w:type="dxa"/>
          </w:tcPr>
          <w:p w14:paraId="3C772141"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Medien</w:t>
            </w:r>
          </w:p>
        </w:tc>
        <w:tc>
          <w:tcPr>
            <w:tcW w:w="4111" w:type="dxa"/>
          </w:tcPr>
          <w:p w14:paraId="414387A4"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Wenn Sie an Personen oder Einrichtungen denken, mit denen Sie im politischen Alltag kommunizieren, wie wichtig sind folgende Adressaten: Medien</w:t>
            </w:r>
          </w:p>
        </w:tc>
        <w:tc>
          <w:tcPr>
            <w:tcW w:w="3071" w:type="dxa"/>
          </w:tcPr>
          <w:p w14:paraId="56B76DED"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Unwichtig</w:t>
            </w:r>
          </w:p>
          <w:p w14:paraId="560104A6"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Weniger wichtig</w:t>
            </w:r>
          </w:p>
          <w:p w14:paraId="001C2F32"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Wichtig</w:t>
            </w:r>
          </w:p>
          <w:p w14:paraId="544B514D"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wichtig</w:t>
            </w:r>
          </w:p>
          <w:p w14:paraId="687AE365" w14:textId="0113CAA5"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Äu</w:t>
            </w:r>
            <w:r w:rsidR="002F624D" w:rsidRPr="00091A98">
              <w:rPr>
                <w:rFonts w:ascii="Calibri" w:hAnsi="Calibri" w:cs="Times New Roman"/>
                <w:lang w:val="de-CH"/>
              </w:rPr>
              <w:t>ss</w:t>
            </w:r>
            <w:r w:rsidRPr="00091A98">
              <w:rPr>
                <w:rFonts w:ascii="Calibri" w:hAnsi="Calibri" w:cs="Times New Roman"/>
                <w:lang w:val="de-CH"/>
              </w:rPr>
              <w:t>erst wichtig</w:t>
            </w:r>
          </w:p>
          <w:p w14:paraId="4D727B8C" w14:textId="77777777" w:rsidR="00D90E3E" w:rsidRPr="00091A98" w:rsidRDefault="00D90E3E" w:rsidP="00D90E3E">
            <w:pPr>
              <w:ind w:left="563"/>
              <w:contextualSpacing/>
              <w:rPr>
                <w:rFonts w:ascii="Calibri" w:hAnsi="Calibri" w:cs="Times New Roman"/>
                <w:lang w:val="de-CH"/>
              </w:rPr>
            </w:pPr>
          </w:p>
        </w:tc>
      </w:tr>
      <w:tr w:rsidR="00D90E3E" w:rsidRPr="00091A98" w14:paraId="3A18AEBD" w14:textId="77777777" w:rsidTr="00D90E3E">
        <w:tc>
          <w:tcPr>
            <w:tcW w:w="2093" w:type="dxa"/>
          </w:tcPr>
          <w:p w14:paraId="15E2ECF5"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Bürger</w:t>
            </w:r>
          </w:p>
        </w:tc>
        <w:tc>
          <w:tcPr>
            <w:tcW w:w="4111" w:type="dxa"/>
          </w:tcPr>
          <w:p w14:paraId="3DA942F4"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Wenn Sie an Personen oder Einrichtungen denken, mit denen Sie im politischen Alltag kommunizieren, wie wichtig sind folgende Adressaten: Bürgerinnen und Bürger</w:t>
            </w:r>
          </w:p>
          <w:p w14:paraId="217A5D37" w14:textId="77777777" w:rsidR="00D90E3E" w:rsidRPr="00091A98" w:rsidRDefault="00D90E3E" w:rsidP="00D90E3E">
            <w:pPr>
              <w:rPr>
                <w:rFonts w:ascii="Calibri" w:hAnsi="Calibri" w:cs="Times New Roman"/>
                <w:lang w:val="de-CH"/>
              </w:rPr>
            </w:pPr>
          </w:p>
          <w:p w14:paraId="6E56C0E6" w14:textId="77777777" w:rsidR="00D90E3E" w:rsidRPr="00091A98" w:rsidRDefault="00D90E3E" w:rsidP="00D90E3E">
            <w:pPr>
              <w:rPr>
                <w:rFonts w:ascii="Calibri" w:hAnsi="Calibri" w:cs="Times New Roman"/>
                <w:lang w:val="de-CH"/>
              </w:rPr>
            </w:pPr>
          </w:p>
        </w:tc>
        <w:tc>
          <w:tcPr>
            <w:tcW w:w="3071" w:type="dxa"/>
          </w:tcPr>
          <w:p w14:paraId="1133210F"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Unwichtig</w:t>
            </w:r>
          </w:p>
          <w:p w14:paraId="7187E655"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Weniger wichtig</w:t>
            </w:r>
          </w:p>
          <w:p w14:paraId="059C3954"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Wichtig</w:t>
            </w:r>
          </w:p>
          <w:p w14:paraId="554FF51A"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wichtig</w:t>
            </w:r>
          </w:p>
          <w:p w14:paraId="777AB903" w14:textId="2E6166A2"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Äu</w:t>
            </w:r>
            <w:r w:rsidR="002F624D" w:rsidRPr="00091A98">
              <w:rPr>
                <w:rFonts w:ascii="Calibri" w:hAnsi="Calibri" w:cs="Times New Roman"/>
                <w:lang w:val="de-CH"/>
              </w:rPr>
              <w:t>ss</w:t>
            </w:r>
            <w:r w:rsidRPr="00091A98">
              <w:rPr>
                <w:rFonts w:ascii="Calibri" w:hAnsi="Calibri" w:cs="Times New Roman"/>
                <w:lang w:val="de-CH"/>
              </w:rPr>
              <w:t>erst wichtig</w:t>
            </w:r>
          </w:p>
        </w:tc>
      </w:tr>
      <w:tr w:rsidR="00D90E3E" w:rsidRPr="00091A98" w14:paraId="0B4F9F00" w14:textId="77777777" w:rsidTr="00D90E3E">
        <w:tc>
          <w:tcPr>
            <w:tcW w:w="2093" w:type="dxa"/>
          </w:tcPr>
          <w:p w14:paraId="5FF44BDF"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Wettbewerb</w:t>
            </w:r>
          </w:p>
        </w:tc>
        <w:tc>
          <w:tcPr>
            <w:tcW w:w="4111" w:type="dxa"/>
          </w:tcPr>
          <w:p w14:paraId="3A0F813B"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Wenn Sie an die Auseinandersetzung mit anderen Verbänden und Interessengruppen denken, die sich im gleichen Bereich bewegen wie Ihre Organisation: Für wie stark halten Sie den politischen Wettbewerb?</w:t>
            </w:r>
          </w:p>
          <w:p w14:paraId="7FDD7864" w14:textId="77777777" w:rsidR="00D90E3E" w:rsidRPr="00091A98" w:rsidRDefault="00D90E3E" w:rsidP="00D90E3E">
            <w:pPr>
              <w:rPr>
                <w:rFonts w:ascii="Calibri" w:hAnsi="Calibri" w:cs="Times New Roman"/>
                <w:lang w:val="de-CH"/>
              </w:rPr>
            </w:pPr>
          </w:p>
        </w:tc>
        <w:tc>
          <w:tcPr>
            <w:tcW w:w="3071" w:type="dxa"/>
          </w:tcPr>
          <w:p w14:paraId="6E608ADD"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schwach</w:t>
            </w:r>
          </w:p>
          <w:p w14:paraId="08BC27EA"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Schwach</w:t>
            </w:r>
          </w:p>
          <w:p w14:paraId="3553F794"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Mittelstark</w:t>
            </w:r>
          </w:p>
          <w:p w14:paraId="714DABC0"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Stark</w:t>
            </w:r>
          </w:p>
          <w:p w14:paraId="4BC2CD6D"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Sehr stark</w:t>
            </w:r>
          </w:p>
        </w:tc>
      </w:tr>
      <w:tr w:rsidR="00D90E3E" w:rsidRPr="00091A98" w14:paraId="1F98367C" w14:textId="77777777" w:rsidTr="00D90E3E">
        <w:tc>
          <w:tcPr>
            <w:tcW w:w="2093" w:type="dxa"/>
          </w:tcPr>
          <w:p w14:paraId="089372A8"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Budget</w:t>
            </w:r>
          </w:p>
        </w:tc>
        <w:tc>
          <w:tcPr>
            <w:tcW w:w="4111" w:type="dxa"/>
          </w:tcPr>
          <w:p w14:paraId="1BA25E97"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Im Folgenden möchten wir Ihnen ein paar Fragen zu den finanziellen Ressourcen stellen, die Ihrer Organisation zur Verfügung stehen: Wie hoch ist das Jahresbudget Ihrer Organisation?</w:t>
            </w:r>
          </w:p>
          <w:p w14:paraId="3F138C3D" w14:textId="77777777" w:rsidR="00D90E3E" w:rsidRPr="00091A98" w:rsidRDefault="00D90E3E" w:rsidP="00D90E3E">
            <w:pPr>
              <w:rPr>
                <w:rFonts w:ascii="Calibri" w:hAnsi="Calibri" w:cs="Times New Roman"/>
                <w:lang w:val="de-CH"/>
              </w:rPr>
            </w:pPr>
          </w:p>
        </w:tc>
        <w:tc>
          <w:tcPr>
            <w:tcW w:w="3071" w:type="dxa"/>
          </w:tcPr>
          <w:p w14:paraId="6BF7E1A4"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Offene Frage – Direkte Eingabe durch Teilnehmer</w:t>
            </w:r>
          </w:p>
        </w:tc>
      </w:tr>
      <w:tr w:rsidR="00D90E3E" w:rsidRPr="00091A98" w14:paraId="646BE200" w14:textId="77777777" w:rsidTr="00D90E3E">
        <w:tc>
          <w:tcPr>
            <w:tcW w:w="2093" w:type="dxa"/>
          </w:tcPr>
          <w:p w14:paraId="2D6EE7B9"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Mitglieder (Einzelpersonen)</w:t>
            </w:r>
          </w:p>
        </w:tc>
        <w:tc>
          <w:tcPr>
            <w:tcW w:w="4111" w:type="dxa"/>
          </w:tcPr>
          <w:p w14:paraId="12BC7249"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Wie viele Mitglieder hat Ihre Organisation insgesamt – Mitgliedschaft von Einzelpersonen?</w:t>
            </w:r>
          </w:p>
          <w:p w14:paraId="62791855" w14:textId="77777777" w:rsidR="00D90E3E" w:rsidRPr="00091A98" w:rsidRDefault="00D90E3E" w:rsidP="00D90E3E">
            <w:pPr>
              <w:rPr>
                <w:rFonts w:ascii="Calibri" w:hAnsi="Calibri" w:cs="Times New Roman"/>
                <w:lang w:val="de-CH"/>
              </w:rPr>
            </w:pPr>
          </w:p>
        </w:tc>
        <w:tc>
          <w:tcPr>
            <w:tcW w:w="3071" w:type="dxa"/>
          </w:tcPr>
          <w:p w14:paraId="5AA76F76"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Offene Frage – Direkte Eingabe durch Teilnehmer</w:t>
            </w:r>
          </w:p>
        </w:tc>
      </w:tr>
      <w:tr w:rsidR="00D90E3E" w:rsidRPr="00091A98" w14:paraId="16233BB7" w14:textId="77777777" w:rsidTr="00D90E3E">
        <w:tc>
          <w:tcPr>
            <w:tcW w:w="2093" w:type="dxa"/>
          </w:tcPr>
          <w:p w14:paraId="19C9F591"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Mitglieder (Organisationen)</w:t>
            </w:r>
          </w:p>
        </w:tc>
        <w:tc>
          <w:tcPr>
            <w:tcW w:w="4111" w:type="dxa"/>
          </w:tcPr>
          <w:p w14:paraId="73DE6DCD"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Wie viele Mitglieder hat Ihre Organisation insgesamt – Mitgliedschaft von Organisationen?</w:t>
            </w:r>
          </w:p>
          <w:p w14:paraId="37273F2B" w14:textId="77777777" w:rsidR="00D90E3E" w:rsidRPr="00091A98" w:rsidRDefault="00D90E3E" w:rsidP="00D90E3E">
            <w:pPr>
              <w:rPr>
                <w:rFonts w:ascii="Calibri" w:hAnsi="Calibri" w:cs="Times New Roman"/>
                <w:lang w:val="de-CH"/>
              </w:rPr>
            </w:pPr>
          </w:p>
        </w:tc>
        <w:tc>
          <w:tcPr>
            <w:tcW w:w="3071" w:type="dxa"/>
          </w:tcPr>
          <w:p w14:paraId="77AF2B76"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Offene Frage – Direkte Eingabe durch Teilnehmer</w:t>
            </w:r>
          </w:p>
        </w:tc>
      </w:tr>
      <w:tr w:rsidR="00D90E3E" w:rsidRPr="00091A98" w14:paraId="221984DC" w14:textId="77777777" w:rsidTr="00D90E3E">
        <w:tc>
          <w:tcPr>
            <w:tcW w:w="2093" w:type="dxa"/>
          </w:tcPr>
          <w:p w14:paraId="60B69A0B"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t>Themengebiet</w:t>
            </w:r>
          </w:p>
        </w:tc>
        <w:tc>
          <w:tcPr>
            <w:tcW w:w="4111" w:type="dxa"/>
          </w:tcPr>
          <w:p w14:paraId="58408B89"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 xml:space="preserve">In welchem Bereich ist Ihre Organisation hauptsächlich tätig? Bitte klicken Sie den </w:t>
            </w:r>
            <w:r w:rsidRPr="00091A98">
              <w:rPr>
                <w:rFonts w:ascii="Calibri" w:hAnsi="Calibri" w:cs="Times New Roman"/>
                <w:lang w:val="de-CH"/>
              </w:rPr>
              <w:lastRenderedPageBreak/>
              <w:t>entsprechenden Bereich an.</w:t>
            </w:r>
          </w:p>
        </w:tc>
        <w:tc>
          <w:tcPr>
            <w:tcW w:w="3071" w:type="dxa"/>
          </w:tcPr>
          <w:p w14:paraId="3F35E40E"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lastRenderedPageBreak/>
              <w:t>Wirtschaft und Arbeit</w:t>
            </w:r>
          </w:p>
          <w:p w14:paraId="117ACC66"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Soziales Leben</w:t>
            </w:r>
          </w:p>
          <w:p w14:paraId="2F001A54"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lastRenderedPageBreak/>
              <w:t>Gesundheit</w:t>
            </w:r>
          </w:p>
          <w:p w14:paraId="31FEE7FA"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Freizeit und Erholung</w:t>
            </w:r>
          </w:p>
          <w:p w14:paraId="1B162509"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Kultur</w:t>
            </w:r>
          </w:p>
          <w:p w14:paraId="3B977B20"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Bildung/Erziehung</w:t>
            </w:r>
          </w:p>
          <w:p w14:paraId="3D5B3E96"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Wissenschaft</w:t>
            </w:r>
          </w:p>
          <w:p w14:paraId="707CD0AA"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Religion/Weltansch.</w:t>
            </w:r>
          </w:p>
          <w:p w14:paraId="7F5DF13B"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Politik</w:t>
            </w:r>
          </w:p>
          <w:p w14:paraId="51FC5ECA"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Umwelt</w:t>
            </w:r>
          </w:p>
          <w:p w14:paraId="59CD5D0C" w14:textId="77777777" w:rsidR="00D90E3E" w:rsidRPr="00091A98" w:rsidRDefault="00D90E3E" w:rsidP="00D90E3E">
            <w:pPr>
              <w:numPr>
                <w:ilvl w:val="0"/>
                <w:numId w:val="1"/>
              </w:numPr>
              <w:ind w:left="563"/>
              <w:contextualSpacing/>
              <w:rPr>
                <w:rFonts w:ascii="Calibri" w:hAnsi="Calibri" w:cs="Times New Roman"/>
                <w:lang w:val="de-CH"/>
              </w:rPr>
            </w:pPr>
            <w:r w:rsidRPr="00091A98">
              <w:rPr>
                <w:rFonts w:ascii="Calibri" w:hAnsi="Calibri" w:cs="Times New Roman"/>
                <w:lang w:val="de-CH"/>
              </w:rPr>
              <w:t>Anderer Bereich</w:t>
            </w:r>
          </w:p>
          <w:p w14:paraId="36778441" w14:textId="77777777" w:rsidR="00D90E3E" w:rsidRPr="00091A98" w:rsidRDefault="00D90E3E" w:rsidP="00D90E3E">
            <w:pPr>
              <w:ind w:left="563"/>
              <w:contextualSpacing/>
              <w:rPr>
                <w:rFonts w:ascii="Calibri" w:hAnsi="Calibri" w:cs="Times New Roman"/>
                <w:lang w:val="de-CH"/>
              </w:rPr>
            </w:pPr>
          </w:p>
        </w:tc>
      </w:tr>
      <w:tr w:rsidR="00D90E3E" w:rsidRPr="00091A98" w14:paraId="0B1C3FA2" w14:textId="77777777" w:rsidTr="00D90E3E">
        <w:tc>
          <w:tcPr>
            <w:tcW w:w="2093" w:type="dxa"/>
          </w:tcPr>
          <w:p w14:paraId="480ABE31" w14:textId="77777777" w:rsidR="00D90E3E" w:rsidRPr="00091A98" w:rsidRDefault="00D90E3E" w:rsidP="00D90E3E">
            <w:pPr>
              <w:rPr>
                <w:rFonts w:ascii="Calibri" w:hAnsi="Calibri" w:cs="Times New Roman"/>
                <w:b/>
                <w:lang w:val="de-CH"/>
              </w:rPr>
            </w:pPr>
            <w:r w:rsidRPr="00091A98">
              <w:rPr>
                <w:rFonts w:ascii="Calibri" w:hAnsi="Calibri" w:cs="Times New Roman"/>
                <w:b/>
                <w:lang w:val="de-CH"/>
              </w:rPr>
              <w:lastRenderedPageBreak/>
              <w:t>Land</w:t>
            </w:r>
          </w:p>
          <w:p w14:paraId="5F2F4892" w14:textId="77777777" w:rsidR="00D90E3E" w:rsidRPr="00091A98" w:rsidRDefault="00D90E3E" w:rsidP="00D90E3E">
            <w:pPr>
              <w:rPr>
                <w:rFonts w:ascii="Calibri" w:hAnsi="Calibri" w:cs="Times New Roman"/>
                <w:b/>
                <w:lang w:val="de-CH"/>
              </w:rPr>
            </w:pPr>
          </w:p>
        </w:tc>
        <w:tc>
          <w:tcPr>
            <w:tcW w:w="4111" w:type="dxa"/>
          </w:tcPr>
          <w:p w14:paraId="34000306"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Zuordnung nach Register</w:t>
            </w:r>
          </w:p>
        </w:tc>
        <w:tc>
          <w:tcPr>
            <w:tcW w:w="3071" w:type="dxa"/>
          </w:tcPr>
          <w:p w14:paraId="7F80CBED" w14:textId="77777777" w:rsidR="00D90E3E" w:rsidRPr="00091A98" w:rsidRDefault="00D90E3E" w:rsidP="00D90E3E">
            <w:pPr>
              <w:rPr>
                <w:rFonts w:ascii="Calibri" w:hAnsi="Calibri" w:cs="Times New Roman"/>
                <w:lang w:val="de-CH"/>
              </w:rPr>
            </w:pPr>
            <w:r w:rsidRPr="00091A98">
              <w:rPr>
                <w:rFonts w:ascii="Calibri" w:hAnsi="Calibri" w:cs="Times New Roman"/>
                <w:lang w:val="de-CH"/>
              </w:rPr>
              <w:t>Deutschland oder Schweiz</w:t>
            </w:r>
          </w:p>
        </w:tc>
      </w:tr>
      <w:tr w:rsidR="00D70854" w:rsidRPr="00091A98" w14:paraId="3A906216" w14:textId="77777777" w:rsidTr="00D70854">
        <w:tc>
          <w:tcPr>
            <w:tcW w:w="2093" w:type="dxa"/>
          </w:tcPr>
          <w:p w14:paraId="25742C56" w14:textId="77777777" w:rsidR="00D70854" w:rsidRPr="00091A98" w:rsidRDefault="00D70854" w:rsidP="00D70854">
            <w:pPr>
              <w:rPr>
                <w:rFonts w:ascii="Calibri" w:hAnsi="Calibri" w:cs="Times New Roman"/>
                <w:b/>
                <w:lang w:val="de-CH"/>
              </w:rPr>
            </w:pPr>
            <w:r w:rsidRPr="00091A98">
              <w:rPr>
                <w:rFonts w:ascii="Calibri" w:hAnsi="Calibri" w:cs="Times New Roman"/>
                <w:b/>
                <w:lang w:val="de-CH"/>
              </w:rPr>
              <w:t>Gruppentyp</w:t>
            </w:r>
          </w:p>
        </w:tc>
        <w:tc>
          <w:tcPr>
            <w:tcW w:w="4111" w:type="dxa"/>
          </w:tcPr>
          <w:p w14:paraId="74D59590" w14:textId="77777777" w:rsidR="00D70854" w:rsidRPr="00091A98" w:rsidRDefault="00D70854" w:rsidP="00D70854">
            <w:pPr>
              <w:rPr>
                <w:rFonts w:ascii="Calibri" w:hAnsi="Calibri" w:cs="Times New Roman"/>
                <w:lang w:val="de-CH"/>
              </w:rPr>
            </w:pPr>
            <w:r w:rsidRPr="00091A98">
              <w:rPr>
                <w:rFonts w:ascii="Calibri" w:hAnsi="Calibri" w:cs="Times New Roman"/>
                <w:lang w:val="de-CH"/>
              </w:rPr>
              <w:t>Handkodierung aller Organisationen, die an der Befragung teilgenommen haben und alle für die Studie relevanten Fragen beantwortet haben</w:t>
            </w:r>
          </w:p>
          <w:p w14:paraId="40D7A99A" w14:textId="77777777" w:rsidR="00D70854" w:rsidRPr="00091A98" w:rsidRDefault="00D70854" w:rsidP="00D70854">
            <w:pPr>
              <w:rPr>
                <w:rFonts w:ascii="Calibri" w:hAnsi="Calibri" w:cs="Times New Roman"/>
                <w:lang w:val="de-CH"/>
              </w:rPr>
            </w:pPr>
          </w:p>
        </w:tc>
        <w:tc>
          <w:tcPr>
            <w:tcW w:w="3071" w:type="dxa"/>
          </w:tcPr>
          <w:p w14:paraId="2C924F30" w14:textId="77777777" w:rsidR="00D70854" w:rsidRPr="00091A98" w:rsidRDefault="00D70854" w:rsidP="00D70854">
            <w:pPr>
              <w:numPr>
                <w:ilvl w:val="0"/>
                <w:numId w:val="1"/>
              </w:numPr>
              <w:ind w:left="600"/>
              <w:contextualSpacing/>
              <w:rPr>
                <w:rFonts w:ascii="Calibri" w:hAnsi="Calibri" w:cs="Times New Roman"/>
                <w:lang w:val="de-CH"/>
              </w:rPr>
            </w:pPr>
            <w:r w:rsidRPr="00091A98">
              <w:rPr>
                <w:rFonts w:ascii="Calibri" w:hAnsi="Calibri" w:cs="Times New Roman"/>
                <w:lang w:val="de-CH"/>
              </w:rPr>
              <w:t>Gemeinnützige Verbände (cause groups)</w:t>
            </w:r>
          </w:p>
          <w:p w14:paraId="03F4C0E7" w14:textId="77777777" w:rsidR="00D70854" w:rsidRPr="00091A98" w:rsidRDefault="00D70854" w:rsidP="00D70854">
            <w:pPr>
              <w:numPr>
                <w:ilvl w:val="0"/>
                <w:numId w:val="1"/>
              </w:numPr>
              <w:ind w:left="600"/>
              <w:contextualSpacing/>
              <w:rPr>
                <w:rFonts w:ascii="Calibri" w:hAnsi="Calibri" w:cs="Times New Roman"/>
                <w:lang w:val="de-CH"/>
              </w:rPr>
            </w:pPr>
            <w:r w:rsidRPr="00091A98">
              <w:rPr>
                <w:rFonts w:ascii="Calibri" w:hAnsi="Calibri" w:cs="Times New Roman"/>
                <w:lang w:val="de-CH"/>
              </w:rPr>
              <w:t>Spezifische Interessen-vertreter (specific interest groups)</w:t>
            </w:r>
          </w:p>
          <w:p w14:paraId="5F9916F0" w14:textId="77777777" w:rsidR="00D70854" w:rsidRPr="00091A98" w:rsidRDefault="00D70854" w:rsidP="00D70854">
            <w:pPr>
              <w:numPr>
                <w:ilvl w:val="0"/>
                <w:numId w:val="1"/>
              </w:numPr>
              <w:ind w:left="600"/>
              <w:contextualSpacing/>
              <w:rPr>
                <w:rFonts w:ascii="Calibri" w:hAnsi="Calibri" w:cs="Times New Roman"/>
                <w:lang w:val="de-CH"/>
              </w:rPr>
            </w:pPr>
            <w:r w:rsidRPr="00091A98">
              <w:rPr>
                <w:rFonts w:ascii="Calibri" w:hAnsi="Calibri" w:cs="Times New Roman"/>
                <w:lang w:val="de-CH"/>
              </w:rPr>
              <w:t>Andere</w:t>
            </w:r>
          </w:p>
          <w:p w14:paraId="0F11D7CC" w14:textId="77777777" w:rsidR="00D70854" w:rsidRPr="00091A98" w:rsidRDefault="00D70854" w:rsidP="00D70854">
            <w:pPr>
              <w:ind w:left="600"/>
              <w:contextualSpacing/>
              <w:rPr>
                <w:rFonts w:ascii="Calibri" w:hAnsi="Calibri" w:cs="Times New Roman"/>
                <w:lang w:val="de-CH"/>
              </w:rPr>
            </w:pPr>
          </w:p>
        </w:tc>
      </w:tr>
      <w:tr w:rsidR="00D70854" w:rsidRPr="00091A98" w14:paraId="6EFA00D6" w14:textId="77777777" w:rsidTr="00D90E3E">
        <w:tc>
          <w:tcPr>
            <w:tcW w:w="2093" w:type="dxa"/>
          </w:tcPr>
          <w:p w14:paraId="7294558B" w14:textId="6C83428E" w:rsidR="00D70854" w:rsidRPr="00091A98" w:rsidRDefault="00F32129" w:rsidP="00D90E3E">
            <w:pPr>
              <w:rPr>
                <w:rFonts w:ascii="Calibri" w:hAnsi="Calibri" w:cs="Times New Roman"/>
                <w:b/>
                <w:lang w:val="de-CH"/>
              </w:rPr>
            </w:pPr>
            <w:r w:rsidRPr="00091A98">
              <w:rPr>
                <w:rFonts w:ascii="Calibri" w:hAnsi="Calibri" w:cs="Times New Roman"/>
                <w:b/>
                <w:lang w:val="de-CH"/>
              </w:rPr>
              <w:t>Lobbykoalition</w:t>
            </w:r>
          </w:p>
        </w:tc>
        <w:tc>
          <w:tcPr>
            <w:tcW w:w="4111" w:type="dxa"/>
          </w:tcPr>
          <w:p w14:paraId="3FA2A2D1" w14:textId="656570D2" w:rsidR="00D70854" w:rsidRPr="00091A98" w:rsidRDefault="00F32129" w:rsidP="00D90E3E">
            <w:pPr>
              <w:rPr>
                <w:rFonts w:ascii="Calibri" w:hAnsi="Calibri" w:cs="Times New Roman"/>
                <w:lang w:val="de-CH"/>
              </w:rPr>
            </w:pPr>
            <w:r w:rsidRPr="00091A98">
              <w:rPr>
                <w:rFonts w:ascii="Calibri" w:hAnsi="Calibri" w:cs="Times New Roman"/>
                <w:lang w:val="de-CH"/>
              </w:rPr>
              <w:t xml:space="preserve">Ergibt sich aus dem dritten Faktor der Faktorenanalyse </w:t>
            </w:r>
            <w:r w:rsidR="00FF352C" w:rsidRPr="00091A98">
              <w:rPr>
                <w:rFonts w:ascii="Calibri" w:hAnsi="Calibri" w:cs="Times New Roman"/>
                <w:lang w:val="de-CH"/>
              </w:rPr>
              <w:t>(siehe Tabelle 1 des Haupttexts). Aus dem Survey sind für diese Variable vor allem die Fragen nach der Wichtigkeit der eigenen Mitglieder, anderer Organisationen, sowie wissenschaftlicher Einrichtungen mit nebenstehenden Antwortkategorien relevant.</w:t>
            </w:r>
          </w:p>
        </w:tc>
        <w:tc>
          <w:tcPr>
            <w:tcW w:w="3071" w:type="dxa"/>
          </w:tcPr>
          <w:p w14:paraId="016A7239" w14:textId="77777777" w:rsidR="00FF352C" w:rsidRPr="00091A98" w:rsidRDefault="00FF352C" w:rsidP="00FF352C">
            <w:pPr>
              <w:numPr>
                <w:ilvl w:val="0"/>
                <w:numId w:val="1"/>
              </w:numPr>
              <w:ind w:left="563"/>
              <w:contextualSpacing/>
              <w:rPr>
                <w:rFonts w:ascii="Calibri" w:hAnsi="Calibri" w:cs="Times New Roman"/>
                <w:lang w:val="de-CH"/>
              </w:rPr>
            </w:pPr>
            <w:r w:rsidRPr="00091A98">
              <w:rPr>
                <w:rFonts w:ascii="Calibri" w:hAnsi="Calibri" w:cs="Times New Roman"/>
                <w:lang w:val="de-CH"/>
              </w:rPr>
              <w:t>Unwichtig</w:t>
            </w:r>
          </w:p>
          <w:p w14:paraId="6BACA87B" w14:textId="77777777" w:rsidR="00FF352C" w:rsidRPr="00091A98" w:rsidRDefault="00FF352C" w:rsidP="00FF352C">
            <w:pPr>
              <w:numPr>
                <w:ilvl w:val="0"/>
                <w:numId w:val="1"/>
              </w:numPr>
              <w:ind w:left="563"/>
              <w:contextualSpacing/>
              <w:rPr>
                <w:rFonts w:ascii="Calibri" w:hAnsi="Calibri" w:cs="Times New Roman"/>
                <w:lang w:val="de-CH"/>
              </w:rPr>
            </w:pPr>
            <w:r w:rsidRPr="00091A98">
              <w:rPr>
                <w:rFonts w:ascii="Calibri" w:hAnsi="Calibri" w:cs="Times New Roman"/>
                <w:lang w:val="de-CH"/>
              </w:rPr>
              <w:t>Weniger wichtig</w:t>
            </w:r>
          </w:p>
          <w:p w14:paraId="59C8643B" w14:textId="77777777" w:rsidR="00FF352C" w:rsidRPr="00091A98" w:rsidRDefault="00FF352C" w:rsidP="00FF352C">
            <w:pPr>
              <w:numPr>
                <w:ilvl w:val="0"/>
                <w:numId w:val="1"/>
              </w:numPr>
              <w:ind w:left="563"/>
              <w:contextualSpacing/>
              <w:rPr>
                <w:rFonts w:ascii="Calibri" w:hAnsi="Calibri" w:cs="Times New Roman"/>
                <w:lang w:val="de-CH"/>
              </w:rPr>
            </w:pPr>
            <w:r w:rsidRPr="00091A98">
              <w:rPr>
                <w:rFonts w:ascii="Calibri" w:hAnsi="Calibri" w:cs="Times New Roman"/>
                <w:lang w:val="de-CH"/>
              </w:rPr>
              <w:t>Wichtig</w:t>
            </w:r>
          </w:p>
          <w:p w14:paraId="77B9FFE0" w14:textId="77777777" w:rsidR="00FF352C" w:rsidRPr="00091A98" w:rsidRDefault="00FF352C" w:rsidP="00FF352C">
            <w:pPr>
              <w:numPr>
                <w:ilvl w:val="0"/>
                <w:numId w:val="1"/>
              </w:numPr>
              <w:ind w:left="563"/>
              <w:contextualSpacing/>
              <w:rPr>
                <w:rFonts w:ascii="Calibri" w:hAnsi="Calibri" w:cs="Times New Roman"/>
                <w:lang w:val="de-CH"/>
              </w:rPr>
            </w:pPr>
            <w:r w:rsidRPr="00091A98">
              <w:rPr>
                <w:rFonts w:ascii="Calibri" w:hAnsi="Calibri" w:cs="Times New Roman"/>
                <w:lang w:val="de-CH"/>
              </w:rPr>
              <w:t>Sehr wichtig</w:t>
            </w:r>
          </w:p>
          <w:p w14:paraId="5D4D065D" w14:textId="359A296A" w:rsidR="00D70854" w:rsidRPr="00091A98" w:rsidRDefault="00FF352C" w:rsidP="00FF352C">
            <w:pPr>
              <w:numPr>
                <w:ilvl w:val="0"/>
                <w:numId w:val="1"/>
              </w:numPr>
              <w:ind w:left="600"/>
              <w:contextualSpacing/>
              <w:rPr>
                <w:rFonts w:ascii="Calibri" w:hAnsi="Calibri" w:cs="Times New Roman"/>
                <w:lang w:val="de-CH"/>
              </w:rPr>
            </w:pPr>
            <w:r w:rsidRPr="00091A98">
              <w:rPr>
                <w:rFonts w:ascii="Calibri" w:hAnsi="Calibri" w:cs="Times New Roman"/>
                <w:lang w:val="de-CH"/>
              </w:rPr>
              <w:t>Äusserst wichtig</w:t>
            </w:r>
          </w:p>
        </w:tc>
      </w:tr>
    </w:tbl>
    <w:p w14:paraId="39979193" w14:textId="77777777" w:rsidR="00D90E3E" w:rsidRPr="00091A98" w:rsidRDefault="00D90E3E" w:rsidP="00D90E3E">
      <w:pPr>
        <w:spacing w:after="200" w:line="276" w:lineRule="auto"/>
        <w:rPr>
          <w:rFonts w:ascii="Calibri" w:eastAsia="Calibri" w:hAnsi="Calibri" w:cs="Times New Roman"/>
          <w:sz w:val="22"/>
          <w:szCs w:val="22"/>
          <w:lang w:val="de-CH" w:eastAsia="en-US"/>
        </w:rPr>
      </w:pPr>
    </w:p>
    <w:p w14:paraId="06B88C13" w14:textId="77777777" w:rsidR="00D90E3E" w:rsidRPr="00091A98" w:rsidRDefault="00D90E3E" w:rsidP="00D90E3E">
      <w:pPr>
        <w:spacing w:after="200" w:line="276" w:lineRule="auto"/>
        <w:rPr>
          <w:rFonts w:ascii="Calibri" w:eastAsia="Calibri" w:hAnsi="Calibri" w:cs="Times New Roman"/>
          <w:sz w:val="22"/>
          <w:szCs w:val="22"/>
          <w:lang w:val="de-CH" w:eastAsia="en-US"/>
        </w:rPr>
      </w:pPr>
    </w:p>
    <w:p w14:paraId="70E255F1" w14:textId="77777777" w:rsidR="00D90E3E" w:rsidRPr="00091A98" w:rsidRDefault="00D90E3E" w:rsidP="00D90E3E">
      <w:pPr>
        <w:spacing w:after="200" w:line="276" w:lineRule="auto"/>
        <w:rPr>
          <w:rFonts w:ascii="Calibri" w:eastAsia="Calibri" w:hAnsi="Calibri" w:cs="Times New Roman"/>
          <w:sz w:val="22"/>
          <w:szCs w:val="22"/>
          <w:lang w:val="de-CH" w:eastAsia="en-US"/>
        </w:rPr>
      </w:pPr>
    </w:p>
    <w:p w14:paraId="42FDC685" w14:textId="1CB5C1C6" w:rsidR="009F5188" w:rsidRPr="00091A98" w:rsidRDefault="00EF7448" w:rsidP="00EF7448">
      <w:pPr>
        <w:tabs>
          <w:tab w:val="left" w:pos="6647"/>
        </w:tabs>
        <w:rPr>
          <w:rFonts w:cs="Times New Roman"/>
          <w:lang w:val="de-CH"/>
        </w:rPr>
      </w:pPr>
      <w:r w:rsidRPr="00091A98">
        <w:rPr>
          <w:rFonts w:cs="Times New Roman"/>
          <w:lang w:val="de-CH"/>
        </w:rPr>
        <w:tab/>
      </w:r>
    </w:p>
    <w:p w14:paraId="5607366B" w14:textId="77777777" w:rsidR="00076C5C" w:rsidRPr="00091A98" w:rsidRDefault="00076C5C" w:rsidP="00EF7448">
      <w:pPr>
        <w:tabs>
          <w:tab w:val="left" w:pos="6647"/>
        </w:tabs>
        <w:rPr>
          <w:rFonts w:cs="Times New Roman"/>
          <w:lang w:val="de-CH"/>
        </w:rPr>
      </w:pPr>
    </w:p>
    <w:p w14:paraId="6DBF99CF" w14:textId="77777777" w:rsidR="00076C5C" w:rsidRPr="00091A98" w:rsidRDefault="00076C5C" w:rsidP="00EF7448">
      <w:pPr>
        <w:tabs>
          <w:tab w:val="left" w:pos="6647"/>
        </w:tabs>
        <w:rPr>
          <w:rFonts w:cs="Times New Roman"/>
          <w:lang w:val="de-CH"/>
        </w:rPr>
      </w:pPr>
    </w:p>
    <w:p w14:paraId="6A7C8C76" w14:textId="77777777" w:rsidR="00076C5C" w:rsidRPr="00091A98" w:rsidRDefault="00076C5C" w:rsidP="00EF7448">
      <w:pPr>
        <w:tabs>
          <w:tab w:val="left" w:pos="6647"/>
        </w:tabs>
        <w:rPr>
          <w:rFonts w:cs="Times New Roman"/>
          <w:lang w:val="de-CH"/>
        </w:rPr>
      </w:pPr>
    </w:p>
    <w:p w14:paraId="47258B38" w14:textId="77777777" w:rsidR="00076C5C" w:rsidRPr="00091A98" w:rsidRDefault="00076C5C" w:rsidP="00EF7448">
      <w:pPr>
        <w:tabs>
          <w:tab w:val="left" w:pos="6647"/>
        </w:tabs>
        <w:rPr>
          <w:rFonts w:cs="Times New Roman"/>
          <w:lang w:val="de-CH"/>
        </w:rPr>
      </w:pPr>
    </w:p>
    <w:p w14:paraId="065AC2F5" w14:textId="77777777" w:rsidR="00076C5C" w:rsidRPr="00091A98" w:rsidRDefault="00076C5C" w:rsidP="00EF7448">
      <w:pPr>
        <w:tabs>
          <w:tab w:val="left" w:pos="6647"/>
        </w:tabs>
        <w:rPr>
          <w:rFonts w:cs="Times New Roman"/>
          <w:lang w:val="de-CH"/>
        </w:rPr>
      </w:pPr>
    </w:p>
    <w:p w14:paraId="62F5DBC9" w14:textId="77777777" w:rsidR="00076C5C" w:rsidRPr="00091A98" w:rsidRDefault="00076C5C" w:rsidP="00EF7448">
      <w:pPr>
        <w:tabs>
          <w:tab w:val="left" w:pos="6647"/>
        </w:tabs>
        <w:rPr>
          <w:rFonts w:cs="Times New Roman"/>
          <w:lang w:val="de-CH"/>
        </w:rPr>
      </w:pPr>
    </w:p>
    <w:p w14:paraId="0CFDA35C" w14:textId="77777777" w:rsidR="00076C5C" w:rsidRPr="00091A98" w:rsidRDefault="00076C5C" w:rsidP="00EF7448">
      <w:pPr>
        <w:tabs>
          <w:tab w:val="left" w:pos="6647"/>
        </w:tabs>
        <w:rPr>
          <w:rFonts w:cs="Times New Roman"/>
          <w:lang w:val="de-CH"/>
        </w:rPr>
      </w:pPr>
    </w:p>
    <w:p w14:paraId="7970C521" w14:textId="77777777" w:rsidR="00076C5C" w:rsidRPr="00091A98" w:rsidRDefault="00076C5C" w:rsidP="00EF7448">
      <w:pPr>
        <w:tabs>
          <w:tab w:val="left" w:pos="6647"/>
        </w:tabs>
        <w:rPr>
          <w:rFonts w:cs="Times New Roman"/>
          <w:lang w:val="de-CH"/>
        </w:rPr>
      </w:pPr>
    </w:p>
    <w:p w14:paraId="7647727B" w14:textId="77777777" w:rsidR="00076C5C" w:rsidRPr="00091A98" w:rsidRDefault="00076C5C" w:rsidP="00EF7448">
      <w:pPr>
        <w:tabs>
          <w:tab w:val="left" w:pos="6647"/>
        </w:tabs>
        <w:rPr>
          <w:rFonts w:cs="Times New Roman"/>
          <w:lang w:val="de-CH"/>
        </w:rPr>
      </w:pPr>
    </w:p>
    <w:p w14:paraId="2DFFBD50" w14:textId="77777777" w:rsidR="00076C5C" w:rsidRPr="00091A98" w:rsidRDefault="00076C5C" w:rsidP="00EF7448">
      <w:pPr>
        <w:tabs>
          <w:tab w:val="left" w:pos="6647"/>
        </w:tabs>
        <w:rPr>
          <w:rFonts w:cs="Times New Roman"/>
          <w:lang w:val="de-CH"/>
        </w:rPr>
      </w:pPr>
    </w:p>
    <w:p w14:paraId="470E7DCE" w14:textId="77777777" w:rsidR="00076C5C" w:rsidRPr="00091A98" w:rsidRDefault="00076C5C" w:rsidP="00EF7448">
      <w:pPr>
        <w:tabs>
          <w:tab w:val="left" w:pos="6647"/>
        </w:tabs>
        <w:rPr>
          <w:rFonts w:cs="Times New Roman"/>
          <w:lang w:val="de-CH"/>
        </w:rPr>
      </w:pPr>
    </w:p>
    <w:p w14:paraId="11FD1637" w14:textId="77777777" w:rsidR="00076C5C" w:rsidRPr="00091A98" w:rsidRDefault="00076C5C" w:rsidP="00EF7448">
      <w:pPr>
        <w:tabs>
          <w:tab w:val="left" w:pos="6647"/>
        </w:tabs>
        <w:rPr>
          <w:rFonts w:cs="Times New Roman"/>
          <w:lang w:val="de-CH"/>
        </w:rPr>
      </w:pPr>
    </w:p>
    <w:p w14:paraId="6CD7A247" w14:textId="77777777" w:rsidR="00E72EFA" w:rsidRPr="00091A98" w:rsidRDefault="00E72EFA" w:rsidP="00EF7448">
      <w:pPr>
        <w:tabs>
          <w:tab w:val="left" w:pos="6647"/>
        </w:tabs>
        <w:rPr>
          <w:rFonts w:cs="Times New Roman"/>
          <w:lang w:val="de-CH"/>
        </w:rPr>
      </w:pPr>
    </w:p>
    <w:p w14:paraId="271BB30E" w14:textId="77777777" w:rsidR="009C67CE" w:rsidRPr="00091A98" w:rsidRDefault="009C67CE" w:rsidP="00EF7448">
      <w:pPr>
        <w:tabs>
          <w:tab w:val="left" w:pos="6647"/>
        </w:tabs>
        <w:rPr>
          <w:rFonts w:cs="Times New Roman"/>
          <w:lang w:val="de-CH"/>
        </w:rPr>
      </w:pPr>
    </w:p>
    <w:p w14:paraId="4AD0E8EB" w14:textId="77777777" w:rsidR="00076C5C" w:rsidRPr="00091A98" w:rsidRDefault="00076C5C" w:rsidP="00EF7448">
      <w:pPr>
        <w:tabs>
          <w:tab w:val="left" w:pos="6647"/>
        </w:tabs>
        <w:rPr>
          <w:rFonts w:cs="Times New Roman"/>
          <w:lang w:val="de-CH"/>
        </w:rPr>
      </w:pPr>
    </w:p>
    <w:p w14:paraId="4B8454A4" w14:textId="77777777" w:rsidR="00076C5C" w:rsidRPr="00091A98" w:rsidRDefault="00076C5C" w:rsidP="00EF7448">
      <w:pPr>
        <w:tabs>
          <w:tab w:val="left" w:pos="6647"/>
        </w:tabs>
        <w:rPr>
          <w:rFonts w:cs="Times New Roman"/>
          <w:lang w:val="de-CH"/>
        </w:rPr>
      </w:pPr>
    </w:p>
    <w:p w14:paraId="0715D691" w14:textId="77777777" w:rsidR="00076C5C" w:rsidRPr="00091A98" w:rsidRDefault="00076C5C" w:rsidP="00076C5C">
      <w:pPr>
        <w:spacing w:after="200" w:line="276" w:lineRule="auto"/>
        <w:rPr>
          <w:rFonts w:ascii="Calibri" w:eastAsia="Calibri" w:hAnsi="Calibri" w:cs="Times New Roman"/>
          <w:b/>
          <w:lang w:val="de-CH" w:eastAsia="en-US"/>
        </w:rPr>
      </w:pPr>
      <w:r w:rsidRPr="00091A98">
        <w:rPr>
          <w:rFonts w:ascii="Calibri" w:eastAsia="Calibri" w:hAnsi="Calibri" w:cs="Times New Roman"/>
          <w:b/>
          <w:lang w:val="de-CH" w:eastAsia="en-US"/>
        </w:rPr>
        <w:lastRenderedPageBreak/>
        <w:t xml:space="preserve">Appendix 2: Repräsentativität des Samples </w:t>
      </w:r>
    </w:p>
    <w:p w14:paraId="6BD534E1" w14:textId="5C8ABC93" w:rsidR="00076C5C" w:rsidRPr="00091A98" w:rsidRDefault="00076C5C" w:rsidP="00076C5C">
      <w:pPr>
        <w:spacing w:after="200" w:line="276" w:lineRule="auto"/>
        <w:rPr>
          <w:rFonts w:ascii="Calibri" w:eastAsia="Calibri" w:hAnsi="Calibri" w:cs="Times New Roman"/>
          <w:lang w:val="de-CH" w:eastAsia="en-US"/>
        </w:rPr>
      </w:pPr>
      <w:r w:rsidRPr="00091A98">
        <w:rPr>
          <w:rFonts w:ascii="Calibri" w:eastAsia="Calibri" w:hAnsi="Calibri" w:cs="Times New Roman"/>
          <w:lang w:val="de-CH" w:eastAsia="en-US"/>
        </w:rPr>
        <w:t>Dieser Teil des Appendixe</w:t>
      </w:r>
      <w:r w:rsidR="001C0A9C">
        <w:rPr>
          <w:rFonts w:ascii="Calibri" w:eastAsia="Calibri" w:hAnsi="Calibri" w:cs="Times New Roman"/>
          <w:lang w:val="de-CH" w:eastAsia="en-US"/>
        </w:rPr>
        <w:t>s geht der Frage nach, ob die 1’</w:t>
      </w:r>
      <w:r w:rsidRPr="00091A98">
        <w:rPr>
          <w:rFonts w:ascii="Calibri" w:eastAsia="Calibri" w:hAnsi="Calibri" w:cs="Times New Roman"/>
          <w:lang w:val="de-CH" w:eastAsia="en-US"/>
        </w:rPr>
        <w:t xml:space="preserve">128 im Datensatz verbliebenen Beobachtungen tatsächlich repräsentativ </w:t>
      </w:r>
      <w:r w:rsidR="008034F5" w:rsidRPr="00091A98">
        <w:rPr>
          <w:rFonts w:ascii="Calibri" w:eastAsia="Calibri" w:hAnsi="Calibri" w:cs="Times New Roman"/>
          <w:lang w:val="de-CH" w:eastAsia="en-US"/>
        </w:rPr>
        <w:t>sind</w:t>
      </w:r>
      <w:r w:rsidRPr="00091A98">
        <w:rPr>
          <w:rFonts w:ascii="Calibri" w:eastAsia="Calibri" w:hAnsi="Calibri" w:cs="Times New Roman"/>
          <w:lang w:val="de-CH" w:eastAsia="en-US"/>
        </w:rPr>
        <w:t>. In der Tabelle A2 werden die Verteilungen der vier abhängigen Variablen Regierung, Partien, Medien und Bürger der im Haupttext besprochenen Modelle der Verteilung derselben Variablen des gesamten Datensatzes gegenübergestellt. D</w:t>
      </w:r>
      <w:r w:rsidR="001C0A9C">
        <w:rPr>
          <w:rFonts w:ascii="Calibri" w:eastAsia="Calibri" w:hAnsi="Calibri" w:cs="Times New Roman"/>
          <w:lang w:val="de-CH" w:eastAsia="en-US"/>
        </w:rPr>
        <w:t>er gesamten Datensatz umfasst 2’</w:t>
      </w:r>
      <w:r w:rsidRPr="00091A98">
        <w:rPr>
          <w:rFonts w:ascii="Calibri" w:eastAsia="Calibri" w:hAnsi="Calibri" w:cs="Times New Roman"/>
          <w:lang w:val="de-CH" w:eastAsia="en-US"/>
        </w:rPr>
        <w:t>201 Einträgen</w:t>
      </w:r>
      <w:r w:rsidR="00CD3A62" w:rsidRPr="00091A98">
        <w:rPr>
          <w:rFonts w:ascii="Calibri" w:eastAsia="Calibri" w:hAnsi="Calibri" w:cs="Times New Roman"/>
          <w:lang w:val="de-CH" w:eastAsia="en-US"/>
        </w:rPr>
        <w:t xml:space="preserve"> – um </w:t>
      </w:r>
      <w:r w:rsidRPr="00091A98">
        <w:rPr>
          <w:rFonts w:ascii="Calibri" w:eastAsia="Calibri" w:hAnsi="Calibri" w:cs="Times New Roman"/>
          <w:lang w:val="de-CH" w:eastAsia="en-US"/>
        </w:rPr>
        <w:t>über tausend Beobachtungen mehr, als die im Text besprochene Stichprobe. Der Grund dafür ist, dass viele Organisationen entweder die Befragung abgebrochen haben, oder einzelne sensible, aber für die Studie wichtige Fragen</w:t>
      </w:r>
      <w:r w:rsidR="009E0677" w:rsidRPr="00091A98">
        <w:rPr>
          <w:rFonts w:ascii="Calibri" w:eastAsia="Calibri" w:hAnsi="Calibri" w:cs="Times New Roman"/>
          <w:lang w:val="de-CH" w:eastAsia="en-US"/>
        </w:rPr>
        <w:t>,</w:t>
      </w:r>
      <w:r w:rsidRPr="00091A98">
        <w:rPr>
          <w:rFonts w:ascii="Calibri" w:eastAsia="Calibri" w:hAnsi="Calibri" w:cs="Times New Roman"/>
          <w:lang w:val="de-CH" w:eastAsia="en-US"/>
        </w:rPr>
        <w:t xml:space="preserve"> nicht beantwortet haben (etwa die Frage nach dem Budge</w:t>
      </w:r>
      <w:r w:rsidR="004A3489" w:rsidRPr="00091A98">
        <w:rPr>
          <w:rFonts w:ascii="Calibri" w:eastAsia="Calibri" w:hAnsi="Calibri" w:cs="Times New Roman"/>
          <w:lang w:val="de-CH" w:eastAsia="en-US"/>
        </w:rPr>
        <w:t>t). Somit erlaubt die Tabelle A2</w:t>
      </w:r>
      <w:r w:rsidRPr="00091A98">
        <w:rPr>
          <w:rFonts w:ascii="Calibri" w:eastAsia="Calibri" w:hAnsi="Calibri" w:cs="Times New Roman"/>
          <w:lang w:val="de-CH" w:eastAsia="en-US"/>
        </w:rPr>
        <w:t xml:space="preserve"> Rückschlüsse darüber, ob es sich bei den Beobachtungen, die an der Befragung teilgenommen haben, aber aufgrund von fehlenden Werten nicht in die Analyse aufgenommen wurden, um zufällig fehlende Werte (missing at random) handelt, oder ob den fehlenden Werten ein Muster zugrunde liegt (missing not at random). Letzteres könnte ein Hinweis darauf sein, dass die Stichprobe nicht repräsentativ ist und die Schätzer der Modelle im Haupttext daher verzerrt sind.</w:t>
      </w:r>
    </w:p>
    <w:p w14:paraId="6D5A86C5" w14:textId="26A75106" w:rsidR="00076C5C" w:rsidRPr="00091A98" w:rsidRDefault="00076C5C" w:rsidP="00076C5C">
      <w:pPr>
        <w:spacing w:after="200" w:line="276" w:lineRule="auto"/>
        <w:rPr>
          <w:rFonts w:ascii="Calibri" w:eastAsia="Calibri" w:hAnsi="Calibri" w:cs="Times New Roman"/>
          <w:lang w:val="de-CH" w:eastAsia="en-US"/>
        </w:rPr>
      </w:pPr>
      <w:r w:rsidRPr="00091A98">
        <w:rPr>
          <w:rFonts w:ascii="Calibri" w:eastAsia="Calibri" w:hAnsi="Calibri" w:cs="Times New Roman"/>
          <w:lang w:val="de-CH" w:eastAsia="en-US"/>
        </w:rPr>
        <w:t xml:space="preserve">Wie die Tabelle A2 zeigt, sind die Verteilung der vier Variablen für die volle und </w:t>
      </w:r>
      <w:r w:rsidR="00995020" w:rsidRPr="00091A98">
        <w:rPr>
          <w:rFonts w:ascii="Calibri" w:eastAsia="Calibri" w:hAnsi="Calibri" w:cs="Times New Roman"/>
          <w:lang w:val="de-CH" w:eastAsia="en-US"/>
        </w:rPr>
        <w:t>die</w:t>
      </w:r>
      <w:r w:rsidRPr="00091A98">
        <w:rPr>
          <w:rFonts w:ascii="Calibri" w:eastAsia="Calibri" w:hAnsi="Calibri" w:cs="Times New Roman"/>
          <w:lang w:val="de-CH" w:eastAsia="en-US"/>
        </w:rPr>
        <w:t xml:space="preserve"> Teilstichprobe sehr ähnlich. Dies gilt auch für die anderen in dieser Studie verwendeten Daten. Es ist daher anzunehmen, dass es aufgrund der fehlenden Werte zu keiner systematischen Verzerrung kommt. Idealerweise sollten in einem solchen Test die Daten der Stichprobe denen der gesamten Population gegenüber gestellt werden. Dies ist jedoch nicht möglich, da hierfür die Daten nicht zur Verfügung stehen. Als letzter Kontrolle dient daher ein Vergleich mit einer anderen Studie. In einer Untersuchung von Dür und Mateo (2013) in fünf Europäischen Ländern (darunter Deutschland) waren ca. 70% der Interessengruppen Berufs- oder Wirtschaftsverbände (also spezifische Interessengruppen) und nur 30% Bürgergruppen (gemeinnützige Organisationen). Gruppen, die nicht in dieses Schema passen, wurden nicht befragt, müssen für einen Vergleich also auch hie</w:t>
      </w:r>
      <w:r w:rsidR="000B6154" w:rsidRPr="00091A98">
        <w:rPr>
          <w:rFonts w:ascii="Calibri" w:eastAsia="Calibri" w:hAnsi="Calibri" w:cs="Times New Roman"/>
          <w:lang w:val="de-CH" w:eastAsia="en-US"/>
        </w:rPr>
        <w:t>r ignoriert werden. In der Stich</w:t>
      </w:r>
      <w:r w:rsidRPr="00091A98">
        <w:rPr>
          <w:rFonts w:ascii="Calibri" w:eastAsia="Calibri" w:hAnsi="Calibri" w:cs="Times New Roman"/>
          <w:lang w:val="de-CH" w:eastAsia="en-US"/>
        </w:rPr>
        <w:t xml:space="preserve">probe </w:t>
      </w:r>
      <w:r w:rsidR="000B6154" w:rsidRPr="00091A98">
        <w:rPr>
          <w:rFonts w:ascii="Calibri" w:eastAsia="Calibri" w:hAnsi="Calibri" w:cs="Times New Roman"/>
          <w:lang w:val="de-CH" w:eastAsia="en-US"/>
        </w:rPr>
        <w:t>die vorliegende</w:t>
      </w:r>
      <w:r w:rsidRPr="00091A98">
        <w:rPr>
          <w:rFonts w:ascii="Calibri" w:eastAsia="Calibri" w:hAnsi="Calibri" w:cs="Times New Roman"/>
          <w:lang w:val="de-CH" w:eastAsia="en-US"/>
        </w:rPr>
        <w:t xml:space="preserve"> Studie finden sich 632 spezifische (65%) und 338 gemeinnützige Interessengruppen (35%). Dies zeigt, dass die Stichprobe denen ähnlicher Studien entspricht. Daher kann die Stichprobe, nach Meinung des Autors, als repräsentativ für die Interessengruppenpopulationen in Deutschland und der Schweiz angesehen werden.</w:t>
      </w:r>
    </w:p>
    <w:p w14:paraId="44F132DF" w14:textId="77777777" w:rsidR="00076C5C" w:rsidRPr="00091A98" w:rsidRDefault="00076C5C" w:rsidP="00076C5C">
      <w:pPr>
        <w:spacing w:after="200" w:line="276" w:lineRule="auto"/>
        <w:rPr>
          <w:rFonts w:ascii="Calibri" w:eastAsia="Calibri" w:hAnsi="Calibri" w:cs="Times New Roman"/>
          <w:lang w:val="de-CH" w:eastAsia="en-US"/>
        </w:rPr>
      </w:pPr>
      <w:r w:rsidRPr="00091A98">
        <w:rPr>
          <w:rFonts w:ascii="Calibri" w:eastAsia="Calibri" w:hAnsi="Calibri" w:cs="Times New Roman"/>
          <w:b/>
          <w:lang w:val="de-CH" w:eastAsia="en-US"/>
        </w:rPr>
        <w:t>Tabelle A2:</w:t>
      </w:r>
      <w:r w:rsidRPr="00091A98">
        <w:rPr>
          <w:rFonts w:ascii="Calibri" w:eastAsia="Calibri" w:hAnsi="Calibri" w:cs="Times New Roman"/>
          <w:lang w:val="de-CH" w:eastAsia="en-US"/>
        </w:rPr>
        <w:t xml:space="preserve"> Vergleich der Verteilung der vier abhängigen Variablen für die in der Studie verwendete Stickprobe (Teil) mit dem Gesamtsample (Voll)</w:t>
      </w:r>
    </w:p>
    <w:tbl>
      <w:tblPr>
        <w:tblStyle w:val="HelleSchattierung2"/>
        <w:tblW w:w="8709" w:type="dxa"/>
        <w:tblLayout w:type="fixed"/>
        <w:tblLook w:val="04A0" w:firstRow="1" w:lastRow="0" w:firstColumn="1" w:lastColumn="0" w:noHBand="0" w:noVBand="1"/>
      </w:tblPr>
      <w:tblGrid>
        <w:gridCol w:w="1809"/>
        <w:gridCol w:w="947"/>
        <w:gridCol w:w="850"/>
        <w:gridCol w:w="851"/>
        <w:gridCol w:w="850"/>
        <w:gridCol w:w="851"/>
        <w:gridCol w:w="850"/>
        <w:gridCol w:w="851"/>
        <w:gridCol w:w="850"/>
      </w:tblGrid>
      <w:tr w:rsidR="00076C5C" w:rsidRPr="00091A98" w14:paraId="4CD00804" w14:textId="77777777" w:rsidTr="00076C5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nil"/>
              <w:right w:val="single" w:sz="4" w:space="0" w:color="auto"/>
            </w:tcBorders>
            <w:shd w:val="clear" w:color="auto" w:fill="auto"/>
            <w:noWrap/>
            <w:hideMark/>
          </w:tcPr>
          <w:p w14:paraId="74395FDD" w14:textId="77777777" w:rsidR="00076C5C" w:rsidRPr="00091A98" w:rsidRDefault="00076C5C" w:rsidP="00076C5C">
            <w:pPr>
              <w:jc w:val="center"/>
              <w:rPr>
                <w:rFonts w:ascii="Calibri" w:eastAsia="Times New Roman" w:hAnsi="Calibri" w:cs="Times New Roman"/>
                <w:color w:val="auto"/>
                <w:lang w:val="de-CH"/>
              </w:rPr>
            </w:pPr>
          </w:p>
        </w:tc>
        <w:tc>
          <w:tcPr>
            <w:tcW w:w="1797" w:type="dxa"/>
            <w:gridSpan w:val="2"/>
            <w:tcBorders>
              <w:left w:val="single" w:sz="4" w:space="0" w:color="auto"/>
              <w:bottom w:val="nil"/>
              <w:right w:val="single" w:sz="4" w:space="0" w:color="auto"/>
            </w:tcBorders>
            <w:shd w:val="clear" w:color="auto" w:fill="auto"/>
            <w:noWrap/>
            <w:hideMark/>
          </w:tcPr>
          <w:p w14:paraId="581F8CBB" w14:textId="77777777" w:rsidR="00076C5C" w:rsidRPr="00091A98" w:rsidRDefault="00076C5C" w:rsidP="00076C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Regierung</w:t>
            </w:r>
          </w:p>
        </w:tc>
        <w:tc>
          <w:tcPr>
            <w:tcW w:w="1701" w:type="dxa"/>
            <w:gridSpan w:val="2"/>
            <w:tcBorders>
              <w:top w:val="single" w:sz="4" w:space="0" w:color="auto"/>
              <w:left w:val="single" w:sz="4" w:space="0" w:color="auto"/>
              <w:bottom w:val="nil"/>
              <w:right w:val="single" w:sz="4" w:space="0" w:color="auto"/>
            </w:tcBorders>
            <w:shd w:val="clear" w:color="auto" w:fill="auto"/>
            <w:noWrap/>
            <w:hideMark/>
          </w:tcPr>
          <w:p w14:paraId="4D66CE0E" w14:textId="77777777" w:rsidR="00076C5C" w:rsidRPr="00091A98" w:rsidRDefault="00076C5C" w:rsidP="00076C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Parteien</w:t>
            </w:r>
          </w:p>
        </w:tc>
        <w:tc>
          <w:tcPr>
            <w:tcW w:w="1701" w:type="dxa"/>
            <w:gridSpan w:val="2"/>
            <w:tcBorders>
              <w:top w:val="single" w:sz="4" w:space="0" w:color="auto"/>
              <w:left w:val="single" w:sz="4" w:space="0" w:color="auto"/>
              <w:bottom w:val="nil"/>
              <w:right w:val="single" w:sz="4" w:space="0" w:color="auto"/>
            </w:tcBorders>
            <w:shd w:val="clear" w:color="auto" w:fill="auto"/>
            <w:noWrap/>
            <w:hideMark/>
          </w:tcPr>
          <w:p w14:paraId="7BFBCD0B" w14:textId="77777777" w:rsidR="00076C5C" w:rsidRPr="00091A98" w:rsidRDefault="00076C5C" w:rsidP="00076C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Medien</w:t>
            </w:r>
          </w:p>
        </w:tc>
        <w:tc>
          <w:tcPr>
            <w:tcW w:w="1701" w:type="dxa"/>
            <w:gridSpan w:val="2"/>
            <w:tcBorders>
              <w:top w:val="single" w:sz="4" w:space="0" w:color="auto"/>
              <w:left w:val="single" w:sz="4" w:space="0" w:color="auto"/>
              <w:bottom w:val="nil"/>
              <w:right w:val="single" w:sz="4" w:space="0" w:color="auto"/>
            </w:tcBorders>
            <w:shd w:val="clear" w:color="auto" w:fill="auto"/>
            <w:noWrap/>
            <w:hideMark/>
          </w:tcPr>
          <w:p w14:paraId="05F616A9" w14:textId="77777777" w:rsidR="00076C5C" w:rsidRPr="00091A98" w:rsidRDefault="00076C5C" w:rsidP="00076C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Bürger</w:t>
            </w:r>
          </w:p>
        </w:tc>
      </w:tr>
      <w:tr w:rsidR="00076C5C" w:rsidRPr="00091A98" w14:paraId="0E699190" w14:textId="77777777" w:rsidTr="00076C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tcBorders>
              <w:top w:val="nil"/>
              <w:left w:val="single" w:sz="4" w:space="0" w:color="auto"/>
              <w:bottom w:val="single" w:sz="4" w:space="0" w:color="auto"/>
              <w:right w:val="single" w:sz="4" w:space="0" w:color="auto"/>
            </w:tcBorders>
            <w:shd w:val="clear" w:color="auto" w:fill="auto"/>
            <w:noWrap/>
            <w:hideMark/>
          </w:tcPr>
          <w:p w14:paraId="63D06B40" w14:textId="77777777" w:rsidR="00076C5C" w:rsidRPr="00091A98" w:rsidRDefault="00076C5C" w:rsidP="00076C5C">
            <w:pPr>
              <w:jc w:val="right"/>
              <w:rPr>
                <w:rFonts w:ascii="Calibri" w:eastAsia="Times New Roman" w:hAnsi="Calibri" w:cs="Times New Roman"/>
                <w:color w:val="auto"/>
                <w:lang w:val="de-CH"/>
              </w:rPr>
            </w:pPr>
          </w:p>
        </w:tc>
        <w:tc>
          <w:tcPr>
            <w:tcW w:w="947" w:type="dxa"/>
            <w:tcBorders>
              <w:top w:val="nil"/>
              <w:left w:val="single" w:sz="4" w:space="0" w:color="auto"/>
              <w:bottom w:val="single" w:sz="4" w:space="0" w:color="auto"/>
            </w:tcBorders>
            <w:shd w:val="clear" w:color="auto" w:fill="auto"/>
            <w:noWrap/>
            <w:hideMark/>
          </w:tcPr>
          <w:p w14:paraId="4DAF625F"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Voll</w:t>
            </w:r>
          </w:p>
        </w:tc>
        <w:tc>
          <w:tcPr>
            <w:tcW w:w="850" w:type="dxa"/>
            <w:tcBorders>
              <w:top w:val="nil"/>
              <w:bottom w:val="single" w:sz="4" w:space="0" w:color="auto"/>
              <w:right w:val="single" w:sz="4" w:space="0" w:color="auto"/>
            </w:tcBorders>
            <w:shd w:val="clear" w:color="auto" w:fill="auto"/>
            <w:noWrap/>
            <w:hideMark/>
          </w:tcPr>
          <w:p w14:paraId="5C5DB478"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Teil</w:t>
            </w:r>
          </w:p>
        </w:tc>
        <w:tc>
          <w:tcPr>
            <w:tcW w:w="851" w:type="dxa"/>
            <w:tcBorders>
              <w:top w:val="nil"/>
              <w:left w:val="single" w:sz="4" w:space="0" w:color="auto"/>
              <w:bottom w:val="single" w:sz="4" w:space="0" w:color="auto"/>
            </w:tcBorders>
            <w:shd w:val="clear" w:color="auto" w:fill="auto"/>
            <w:noWrap/>
            <w:hideMark/>
          </w:tcPr>
          <w:p w14:paraId="11E15742"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Voll</w:t>
            </w:r>
          </w:p>
        </w:tc>
        <w:tc>
          <w:tcPr>
            <w:tcW w:w="850" w:type="dxa"/>
            <w:tcBorders>
              <w:top w:val="nil"/>
              <w:bottom w:val="single" w:sz="4" w:space="0" w:color="auto"/>
              <w:right w:val="single" w:sz="4" w:space="0" w:color="auto"/>
            </w:tcBorders>
            <w:shd w:val="clear" w:color="auto" w:fill="auto"/>
            <w:noWrap/>
            <w:hideMark/>
          </w:tcPr>
          <w:p w14:paraId="0CDD3587"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Teil</w:t>
            </w:r>
          </w:p>
        </w:tc>
        <w:tc>
          <w:tcPr>
            <w:tcW w:w="851" w:type="dxa"/>
            <w:tcBorders>
              <w:top w:val="nil"/>
              <w:left w:val="single" w:sz="4" w:space="0" w:color="auto"/>
              <w:bottom w:val="single" w:sz="4" w:space="0" w:color="auto"/>
            </w:tcBorders>
            <w:shd w:val="clear" w:color="auto" w:fill="auto"/>
            <w:noWrap/>
            <w:hideMark/>
          </w:tcPr>
          <w:p w14:paraId="1D5B3883"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Voll</w:t>
            </w:r>
          </w:p>
        </w:tc>
        <w:tc>
          <w:tcPr>
            <w:tcW w:w="850" w:type="dxa"/>
            <w:tcBorders>
              <w:top w:val="nil"/>
              <w:bottom w:val="single" w:sz="4" w:space="0" w:color="auto"/>
              <w:right w:val="single" w:sz="4" w:space="0" w:color="auto"/>
            </w:tcBorders>
            <w:shd w:val="clear" w:color="auto" w:fill="auto"/>
            <w:noWrap/>
            <w:hideMark/>
          </w:tcPr>
          <w:p w14:paraId="4F93C378"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Teil</w:t>
            </w:r>
          </w:p>
        </w:tc>
        <w:tc>
          <w:tcPr>
            <w:tcW w:w="851" w:type="dxa"/>
            <w:tcBorders>
              <w:top w:val="nil"/>
              <w:left w:val="single" w:sz="4" w:space="0" w:color="auto"/>
              <w:bottom w:val="single" w:sz="4" w:space="0" w:color="auto"/>
            </w:tcBorders>
            <w:shd w:val="clear" w:color="auto" w:fill="auto"/>
            <w:noWrap/>
            <w:hideMark/>
          </w:tcPr>
          <w:p w14:paraId="72BEB02D"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Voll</w:t>
            </w:r>
          </w:p>
        </w:tc>
        <w:tc>
          <w:tcPr>
            <w:tcW w:w="850" w:type="dxa"/>
            <w:tcBorders>
              <w:top w:val="nil"/>
              <w:bottom w:val="single" w:sz="4" w:space="0" w:color="auto"/>
              <w:right w:val="single" w:sz="4" w:space="0" w:color="auto"/>
            </w:tcBorders>
            <w:shd w:val="clear" w:color="auto" w:fill="auto"/>
            <w:noWrap/>
            <w:hideMark/>
          </w:tcPr>
          <w:p w14:paraId="1879A988"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Teil</w:t>
            </w:r>
          </w:p>
        </w:tc>
      </w:tr>
      <w:tr w:rsidR="00076C5C" w:rsidRPr="00091A98" w14:paraId="4920DC0C" w14:textId="77777777" w:rsidTr="00076C5C">
        <w:trPr>
          <w:trHeight w:val="28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right w:val="single" w:sz="4" w:space="0" w:color="auto"/>
            </w:tcBorders>
            <w:shd w:val="clear" w:color="auto" w:fill="auto"/>
            <w:noWrap/>
            <w:hideMark/>
          </w:tcPr>
          <w:p w14:paraId="0301FBE9" w14:textId="77777777" w:rsidR="00076C5C" w:rsidRPr="00091A98" w:rsidRDefault="00076C5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Unwichtig</w:t>
            </w:r>
          </w:p>
        </w:tc>
        <w:tc>
          <w:tcPr>
            <w:tcW w:w="947" w:type="dxa"/>
            <w:tcBorders>
              <w:top w:val="single" w:sz="4" w:space="0" w:color="auto"/>
              <w:left w:val="single" w:sz="4" w:space="0" w:color="auto"/>
            </w:tcBorders>
            <w:shd w:val="clear" w:color="auto" w:fill="auto"/>
            <w:noWrap/>
            <w:hideMark/>
          </w:tcPr>
          <w:p w14:paraId="7E29CEC4" w14:textId="77777777" w:rsidR="00076C5C" w:rsidRPr="00091A98" w:rsidRDefault="00076C5C" w:rsidP="00076C5C">
            <w:pPr>
              <w:ind w:left="-250" w:firstLine="25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6.3%</w:t>
            </w:r>
          </w:p>
        </w:tc>
        <w:tc>
          <w:tcPr>
            <w:tcW w:w="850" w:type="dxa"/>
            <w:tcBorders>
              <w:top w:val="single" w:sz="4" w:space="0" w:color="auto"/>
              <w:right w:val="single" w:sz="4" w:space="0" w:color="auto"/>
            </w:tcBorders>
            <w:shd w:val="clear" w:color="auto" w:fill="auto"/>
            <w:noWrap/>
            <w:hideMark/>
          </w:tcPr>
          <w:p w14:paraId="24EE2D18"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5.7%</w:t>
            </w:r>
          </w:p>
        </w:tc>
        <w:tc>
          <w:tcPr>
            <w:tcW w:w="851" w:type="dxa"/>
            <w:tcBorders>
              <w:top w:val="single" w:sz="4" w:space="0" w:color="auto"/>
              <w:left w:val="single" w:sz="4" w:space="0" w:color="auto"/>
            </w:tcBorders>
            <w:shd w:val="clear" w:color="auto" w:fill="auto"/>
            <w:noWrap/>
            <w:hideMark/>
          </w:tcPr>
          <w:p w14:paraId="6044ADE2"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13.4%</w:t>
            </w:r>
          </w:p>
        </w:tc>
        <w:tc>
          <w:tcPr>
            <w:tcW w:w="850" w:type="dxa"/>
            <w:tcBorders>
              <w:top w:val="single" w:sz="4" w:space="0" w:color="auto"/>
              <w:right w:val="single" w:sz="4" w:space="0" w:color="auto"/>
            </w:tcBorders>
            <w:shd w:val="clear" w:color="auto" w:fill="auto"/>
            <w:noWrap/>
            <w:hideMark/>
          </w:tcPr>
          <w:p w14:paraId="45CFB1D6"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13.7%</w:t>
            </w:r>
          </w:p>
        </w:tc>
        <w:tc>
          <w:tcPr>
            <w:tcW w:w="851" w:type="dxa"/>
            <w:tcBorders>
              <w:top w:val="single" w:sz="4" w:space="0" w:color="auto"/>
              <w:left w:val="single" w:sz="4" w:space="0" w:color="auto"/>
            </w:tcBorders>
            <w:shd w:val="clear" w:color="auto" w:fill="auto"/>
            <w:noWrap/>
            <w:hideMark/>
          </w:tcPr>
          <w:p w14:paraId="4BE62673"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5.1%</w:t>
            </w:r>
          </w:p>
        </w:tc>
        <w:tc>
          <w:tcPr>
            <w:tcW w:w="850" w:type="dxa"/>
            <w:tcBorders>
              <w:top w:val="single" w:sz="4" w:space="0" w:color="auto"/>
              <w:right w:val="single" w:sz="4" w:space="0" w:color="auto"/>
            </w:tcBorders>
            <w:shd w:val="clear" w:color="auto" w:fill="auto"/>
            <w:noWrap/>
            <w:hideMark/>
          </w:tcPr>
          <w:p w14:paraId="575DDD19"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5.1%</w:t>
            </w:r>
          </w:p>
        </w:tc>
        <w:tc>
          <w:tcPr>
            <w:tcW w:w="851" w:type="dxa"/>
            <w:tcBorders>
              <w:top w:val="single" w:sz="4" w:space="0" w:color="auto"/>
              <w:left w:val="single" w:sz="4" w:space="0" w:color="auto"/>
            </w:tcBorders>
            <w:shd w:val="clear" w:color="auto" w:fill="auto"/>
            <w:noWrap/>
            <w:hideMark/>
          </w:tcPr>
          <w:p w14:paraId="46F7E152"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12.9%</w:t>
            </w:r>
          </w:p>
        </w:tc>
        <w:tc>
          <w:tcPr>
            <w:tcW w:w="850" w:type="dxa"/>
            <w:tcBorders>
              <w:top w:val="single" w:sz="4" w:space="0" w:color="auto"/>
              <w:right w:val="single" w:sz="4" w:space="0" w:color="auto"/>
            </w:tcBorders>
            <w:shd w:val="clear" w:color="auto" w:fill="auto"/>
            <w:noWrap/>
            <w:hideMark/>
          </w:tcPr>
          <w:p w14:paraId="2E8BED71"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13.8%</w:t>
            </w:r>
          </w:p>
        </w:tc>
      </w:tr>
      <w:tr w:rsidR="00076C5C" w:rsidRPr="00091A98" w14:paraId="316FBF55" w14:textId="77777777" w:rsidTr="00076C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noWrap/>
            <w:hideMark/>
          </w:tcPr>
          <w:p w14:paraId="0CA68397" w14:textId="77777777" w:rsidR="00076C5C" w:rsidRPr="00091A98" w:rsidRDefault="00076C5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Weniger wichtig</w:t>
            </w:r>
          </w:p>
        </w:tc>
        <w:tc>
          <w:tcPr>
            <w:tcW w:w="947" w:type="dxa"/>
            <w:tcBorders>
              <w:left w:val="single" w:sz="4" w:space="0" w:color="auto"/>
            </w:tcBorders>
            <w:shd w:val="clear" w:color="auto" w:fill="auto"/>
            <w:noWrap/>
            <w:hideMark/>
          </w:tcPr>
          <w:p w14:paraId="6B12F96A"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8.3%</w:t>
            </w:r>
          </w:p>
        </w:tc>
        <w:tc>
          <w:tcPr>
            <w:tcW w:w="850" w:type="dxa"/>
            <w:tcBorders>
              <w:right w:val="single" w:sz="4" w:space="0" w:color="auto"/>
            </w:tcBorders>
            <w:shd w:val="clear" w:color="auto" w:fill="auto"/>
            <w:noWrap/>
            <w:hideMark/>
          </w:tcPr>
          <w:p w14:paraId="51F7553D"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8.3%</w:t>
            </w:r>
          </w:p>
        </w:tc>
        <w:tc>
          <w:tcPr>
            <w:tcW w:w="851" w:type="dxa"/>
            <w:tcBorders>
              <w:left w:val="single" w:sz="4" w:space="0" w:color="auto"/>
            </w:tcBorders>
            <w:shd w:val="clear" w:color="auto" w:fill="auto"/>
            <w:noWrap/>
            <w:hideMark/>
          </w:tcPr>
          <w:p w14:paraId="188DD736"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17.9%</w:t>
            </w:r>
          </w:p>
        </w:tc>
        <w:tc>
          <w:tcPr>
            <w:tcW w:w="850" w:type="dxa"/>
            <w:tcBorders>
              <w:right w:val="single" w:sz="4" w:space="0" w:color="auto"/>
            </w:tcBorders>
            <w:shd w:val="clear" w:color="auto" w:fill="auto"/>
            <w:noWrap/>
            <w:hideMark/>
          </w:tcPr>
          <w:p w14:paraId="1485E220"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17.9%</w:t>
            </w:r>
          </w:p>
        </w:tc>
        <w:tc>
          <w:tcPr>
            <w:tcW w:w="851" w:type="dxa"/>
            <w:tcBorders>
              <w:left w:val="single" w:sz="4" w:space="0" w:color="auto"/>
            </w:tcBorders>
            <w:shd w:val="clear" w:color="auto" w:fill="auto"/>
            <w:noWrap/>
            <w:hideMark/>
          </w:tcPr>
          <w:p w14:paraId="6F409F3E"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10.7%</w:t>
            </w:r>
          </w:p>
        </w:tc>
        <w:tc>
          <w:tcPr>
            <w:tcW w:w="850" w:type="dxa"/>
            <w:tcBorders>
              <w:right w:val="single" w:sz="4" w:space="0" w:color="auto"/>
            </w:tcBorders>
            <w:shd w:val="clear" w:color="auto" w:fill="auto"/>
            <w:noWrap/>
            <w:hideMark/>
          </w:tcPr>
          <w:p w14:paraId="1D2A0184"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12.0%</w:t>
            </w:r>
          </w:p>
        </w:tc>
        <w:tc>
          <w:tcPr>
            <w:tcW w:w="851" w:type="dxa"/>
            <w:tcBorders>
              <w:left w:val="single" w:sz="4" w:space="0" w:color="auto"/>
            </w:tcBorders>
            <w:shd w:val="clear" w:color="auto" w:fill="auto"/>
            <w:noWrap/>
            <w:hideMark/>
          </w:tcPr>
          <w:p w14:paraId="6F88DF52"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30.7%</w:t>
            </w:r>
          </w:p>
        </w:tc>
        <w:tc>
          <w:tcPr>
            <w:tcW w:w="850" w:type="dxa"/>
            <w:tcBorders>
              <w:right w:val="single" w:sz="4" w:space="0" w:color="auto"/>
            </w:tcBorders>
            <w:shd w:val="clear" w:color="auto" w:fill="auto"/>
            <w:noWrap/>
            <w:hideMark/>
          </w:tcPr>
          <w:p w14:paraId="70EC39BB"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32.3%</w:t>
            </w:r>
          </w:p>
        </w:tc>
      </w:tr>
      <w:tr w:rsidR="00076C5C" w:rsidRPr="00091A98" w14:paraId="0AF88A04" w14:textId="77777777" w:rsidTr="00076C5C">
        <w:trPr>
          <w:trHeight w:val="28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noWrap/>
            <w:hideMark/>
          </w:tcPr>
          <w:p w14:paraId="270BF839" w14:textId="77777777" w:rsidR="00076C5C" w:rsidRPr="00091A98" w:rsidRDefault="00076C5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Wichtig</w:t>
            </w:r>
          </w:p>
        </w:tc>
        <w:tc>
          <w:tcPr>
            <w:tcW w:w="947" w:type="dxa"/>
            <w:tcBorders>
              <w:left w:val="single" w:sz="4" w:space="0" w:color="auto"/>
            </w:tcBorders>
            <w:shd w:val="clear" w:color="auto" w:fill="auto"/>
            <w:noWrap/>
            <w:hideMark/>
          </w:tcPr>
          <w:p w14:paraId="113E5C1B"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21.4%</w:t>
            </w:r>
          </w:p>
        </w:tc>
        <w:tc>
          <w:tcPr>
            <w:tcW w:w="850" w:type="dxa"/>
            <w:tcBorders>
              <w:right w:val="single" w:sz="4" w:space="0" w:color="auto"/>
            </w:tcBorders>
            <w:shd w:val="clear" w:color="auto" w:fill="auto"/>
            <w:noWrap/>
            <w:hideMark/>
          </w:tcPr>
          <w:p w14:paraId="20603088"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22.6%</w:t>
            </w:r>
          </w:p>
        </w:tc>
        <w:tc>
          <w:tcPr>
            <w:tcW w:w="851" w:type="dxa"/>
            <w:tcBorders>
              <w:left w:val="single" w:sz="4" w:space="0" w:color="auto"/>
            </w:tcBorders>
            <w:shd w:val="clear" w:color="auto" w:fill="auto"/>
            <w:noWrap/>
            <w:hideMark/>
          </w:tcPr>
          <w:p w14:paraId="25329824"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22.8%</w:t>
            </w:r>
          </w:p>
        </w:tc>
        <w:tc>
          <w:tcPr>
            <w:tcW w:w="850" w:type="dxa"/>
            <w:tcBorders>
              <w:right w:val="single" w:sz="4" w:space="0" w:color="auto"/>
            </w:tcBorders>
            <w:shd w:val="clear" w:color="auto" w:fill="auto"/>
            <w:noWrap/>
            <w:hideMark/>
          </w:tcPr>
          <w:p w14:paraId="2103628A"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23.6%</w:t>
            </w:r>
          </w:p>
        </w:tc>
        <w:tc>
          <w:tcPr>
            <w:tcW w:w="851" w:type="dxa"/>
            <w:tcBorders>
              <w:left w:val="single" w:sz="4" w:space="0" w:color="auto"/>
            </w:tcBorders>
            <w:shd w:val="clear" w:color="auto" w:fill="auto"/>
            <w:noWrap/>
            <w:hideMark/>
          </w:tcPr>
          <w:p w14:paraId="19E80A39"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29.5%</w:t>
            </w:r>
          </w:p>
        </w:tc>
        <w:tc>
          <w:tcPr>
            <w:tcW w:w="850" w:type="dxa"/>
            <w:tcBorders>
              <w:right w:val="single" w:sz="4" w:space="0" w:color="auto"/>
            </w:tcBorders>
            <w:shd w:val="clear" w:color="auto" w:fill="auto"/>
            <w:noWrap/>
            <w:hideMark/>
          </w:tcPr>
          <w:p w14:paraId="75DCE81F"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31.5%</w:t>
            </w:r>
          </w:p>
        </w:tc>
        <w:tc>
          <w:tcPr>
            <w:tcW w:w="851" w:type="dxa"/>
            <w:tcBorders>
              <w:left w:val="single" w:sz="4" w:space="0" w:color="auto"/>
            </w:tcBorders>
            <w:shd w:val="clear" w:color="auto" w:fill="auto"/>
            <w:noWrap/>
            <w:hideMark/>
          </w:tcPr>
          <w:p w14:paraId="36C1EF0A"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31.9%</w:t>
            </w:r>
          </w:p>
        </w:tc>
        <w:tc>
          <w:tcPr>
            <w:tcW w:w="850" w:type="dxa"/>
            <w:tcBorders>
              <w:right w:val="single" w:sz="4" w:space="0" w:color="auto"/>
            </w:tcBorders>
            <w:shd w:val="clear" w:color="auto" w:fill="auto"/>
            <w:noWrap/>
            <w:hideMark/>
          </w:tcPr>
          <w:p w14:paraId="48FC1D30"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30.9%</w:t>
            </w:r>
          </w:p>
        </w:tc>
      </w:tr>
      <w:tr w:rsidR="00076C5C" w:rsidRPr="00091A98" w14:paraId="1D199F46" w14:textId="77777777" w:rsidTr="00076C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noWrap/>
            <w:hideMark/>
          </w:tcPr>
          <w:p w14:paraId="7BD36B2E" w14:textId="77777777" w:rsidR="00076C5C" w:rsidRPr="00091A98" w:rsidRDefault="00076C5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Sehr wichtig</w:t>
            </w:r>
          </w:p>
        </w:tc>
        <w:tc>
          <w:tcPr>
            <w:tcW w:w="947" w:type="dxa"/>
            <w:tcBorders>
              <w:left w:val="single" w:sz="4" w:space="0" w:color="auto"/>
            </w:tcBorders>
            <w:shd w:val="clear" w:color="auto" w:fill="auto"/>
            <w:noWrap/>
            <w:hideMark/>
          </w:tcPr>
          <w:p w14:paraId="78C3B899"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30.9%</w:t>
            </w:r>
          </w:p>
        </w:tc>
        <w:tc>
          <w:tcPr>
            <w:tcW w:w="850" w:type="dxa"/>
            <w:tcBorders>
              <w:right w:val="single" w:sz="4" w:space="0" w:color="auto"/>
            </w:tcBorders>
            <w:shd w:val="clear" w:color="auto" w:fill="auto"/>
            <w:noWrap/>
            <w:hideMark/>
          </w:tcPr>
          <w:p w14:paraId="078DAD36"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31.3%</w:t>
            </w:r>
          </w:p>
        </w:tc>
        <w:tc>
          <w:tcPr>
            <w:tcW w:w="851" w:type="dxa"/>
            <w:tcBorders>
              <w:left w:val="single" w:sz="4" w:space="0" w:color="auto"/>
            </w:tcBorders>
            <w:shd w:val="clear" w:color="auto" w:fill="auto"/>
            <w:noWrap/>
            <w:hideMark/>
          </w:tcPr>
          <w:p w14:paraId="613AAC2F"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25.7%</w:t>
            </w:r>
          </w:p>
        </w:tc>
        <w:tc>
          <w:tcPr>
            <w:tcW w:w="850" w:type="dxa"/>
            <w:tcBorders>
              <w:right w:val="single" w:sz="4" w:space="0" w:color="auto"/>
            </w:tcBorders>
            <w:shd w:val="clear" w:color="auto" w:fill="auto"/>
            <w:noWrap/>
            <w:hideMark/>
          </w:tcPr>
          <w:p w14:paraId="22EC706D"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26.2%</w:t>
            </w:r>
          </w:p>
        </w:tc>
        <w:tc>
          <w:tcPr>
            <w:tcW w:w="851" w:type="dxa"/>
            <w:tcBorders>
              <w:left w:val="single" w:sz="4" w:space="0" w:color="auto"/>
            </w:tcBorders>
            <w:shd w:val="clear" w:color="auto" w:fill="auto"/>
            <w:noWrap/>
            <w:hideMark/>
          </w:tcPr>
          <w:p w14:paraId="63A1C7E8"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31.9%</w:t>
            </w:r>
          </w:p>
        </w:tc>
        <w:tc>
          <w:tcPr>
            <w:tcW w:w="850" w:type="dxa"/>
            <w:tcBorders>
              <w:right w:val="single" w:sz="4" w:space="0" w:color="auto"/>
            </w:tcBorders>
            <w:shd w:val="clear" w:color="auto" w:fill="auto"/>
            <w:noWrap/>
            <w:hideMark/>
          </w:tcPr>
          <w:p w14:paraId="507F05F8"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30.7%</w:t>
            </w:r>
          </w:p>
        </w:tc>
        <w:tc>
          <w:tcPr>
            <w:tcW w:w="851" w:type="dxa"/>
            <w:tcBorders>
              <w:left w:val="single" w:sz="4" w:space="0" w:color="auto"/>
            </w:tcBorders>
            <w:shd w:val="clear" w:color="auto" w:fill="auto"/>
            <w:noWrap/>
            <w:hideMark/>
          </w:tcPr>
          <w:p w14:paraId="3414CA25"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16.4%</w:t>
            </w:r>
          </w:p>
        </w:tc>
        <w:tc>
          <w:tcPr>
            <w:tcW w:w="850" w:type="dxa"/>
            <w:tcBorders>
              <w:right w:val="single" w:sz="4" w:space="0" w:color="auto"/>
            </w:tcBorders>
            <w:shd w:val="clear" w:color="auto" w:fill="auto"/>
            <w:noWrap/>
            <w:hideMark/>
          </w:tcPr>
          <w:p w14:paraId="1C9BB91F" w14:textId="77777777" w:rsidR="00076C5C" w:rsidRPr="00091A98" w:rsidRDefault="00076C5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15.2%</w:t>
            </w:r>
          </w:p>
        </w:tc>
      </w:tr>
      <w:tr w:rsidR="00076C5C" w:rsidRPr="00091A98" w14:paraId="1016EB01" w14:textId="77777777" w:rsidTr="00076C5C">
        <w:trPr>
          <w:trHeight w:val="28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noWrap/>
            <w:hideMark/>
          </w:tcPr>
          <w:p w14:paraId="7AFFFF11" w14:textId="67E8C56F" w:rsidR="00076C5C" w:rsidRPr="00091A98" w:rsidRDefault="00076C5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Äu</w:t>
            </w:r>
            <w:r w:rsidR="002F624D" w:rsidRPr="00091A98">
              <w:rPr>
                <w:rFonts w:ascii="Calibri" w:eastAsia="Times New Roman" w:hAnsi="Calibri" w:cs="Times New Roman"/>
                <w:color w:val="auto"/>
                <w:lang w:val="de-CH"/>
              </w:rPr>
              <w:t>ss</w:t>
            </w:r>
            <w:r w:rsidRPr="00091A98">
              <w:rPr>
                <w:rFonts w:ascii="Calibri" w:eastAsia="Times New Roman" w:hAnsi="Calibri" w:cs="Times New Roman"/>
                <w:color w:val="auto"/>
                <w:lang w:val="de-CH"/>
              </w:rPr>
              <w:t>erst wichtig</w:t>
            </w:r>
          </w:p>
        </w:tc>
        <w:tc>
          <w:tcPr>
            <w:tcW w:w="947" w:type="dxa"/>
            <w:tcBorders>
              <w:left w:val="single" w:sz="4" w:space="0" w:color="auto"/>
              <w:bottom w:val="single" w:sz="4" w:space="0" w:color="auto"/>
            </w:tcBorders>
            <w:shd w:val="clear" w:color="auto" w:fill="auto"/>
            <w:noWrap/>
            <w:hideMark/>
          </w:tcPr>
          <w:p w14:paraId="49E929AF"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33.1%</w:t>
            </w:r>
          </w:p>
        </w:tc>
        <w:tc>
          <w:tcPr>
            <w:tcW w:w="850" w:type="dxa"/>
            <w:tcBorders>
              <w:bottom w:val="single" w:sz="4" w:space="0" w:color="auto"/>
              <w:right w:val="single" w:sz="4" w:space="0" w:color="auto"/>
            </w:tcBorders>
            <w:shd w:val="clear" w:color="auto" w:fill="auto"/>
            <w:noWrap/>
            <w:hideMark/>
          </w:tcPr>
          <w:p w14:paraId="10F0F7D1"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32.1%</w:t>
            </w:r>
          </w:p>
        </w:tc>
        <w:tc>
          <w:tcPr>
            <w:tcW w:w="851" w:type="dxa"/>
            <w:tcBorders>
              <w:left w:val="single" w:sz="4" w:space="0" w:color="auto"/>
              <w:bottom w:val="single" w:sz="4" w:space="0" w:color="auto"/>
            </w:tcBorders>
            <w:shd w:val="clear" w:color="auto" w:fill="auto"/>
            <w:noWrap/>
            <w:hideMark/>
          </w:tcPr>
          <w:p w14:paraId="075FCD38"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20.1%</w:t>
            </w:r>
          </w:p>
        </w:tc>
        <w:tc>
          <w:tcPr>
            <w:tcW w:w="850" w:type="dxa"/>
            <w:tcBorders>
              <w:bottom w:val="single" w:sz="4" w:space="0" w:color="auto"/>
              <w:right w:val="single" w:sz="4" w:space="0" w:color="auto"/>
            </w:tcBorders>
            <w:shd w:val="clear" w:color="auto" w:fill="auto"/>
            <w:noWrap/>
            <w:hideMark/>
          </w:tcPr>
          <w:p w14:paraId="01508AFB"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18.5%</w:t>
            </w:r>
          </w:p>
        </w:tc>
        <w:tc>
          <w:tcPr>
            <w:tcW w:w="851" w:type="dxa"/>
            <w:tcBorders>
              <w:left w:val="single" w:sz="4" w:space="0" w:color="auto"/>
              <w:bottom w:val="single" w:sz="4" w:space="0" w:color="auto"/>
            </w:tcBorders>
            <w:shd w:val="clear" w:color="auto" w:fill="auto"/>
            <w:noWrap/>
            <w:hideMark/>
          </w:tcPr>
          <w:p w14:paraId="09F0640D"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22.9%</w:t>
            </w:r>
          </w:p>
        </w:tc>
        <w:tc>
          <w:tcPr>
            <w:tcW w:w="850" w:type="dxa"/>
            <w:tcBorders>
              <w:bottom w:val="single" w:sz="4" w:space="0" w:color="auto"/>
              <w:right w:val="single" w:sz="4" w:space="0" w:color="auto"/>
            </w:tcBorders>
            <w:shd w:val="clear" w:color="auto" w:fill="auto"/>
            <w:noWrap/>
            <w:hideMark/>
          </w:tcPr>
          <w:p w14:paraId="663B0849"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20.8%</w:t>
            </w:r>
          </w:p>
        </w:tc>
        <w:tc>
          <w:tcPr>
            <w:tcW w:w="851" w:type="dxa"/>
            <w:tcBorders>
              <w:left w:val="single" w:sz="4" w:space="0" w:color="auto"/>
              <w:bottom w:val="single" w:sz="4" w:space="0" w:color="auto"/>
            </w:tcBorders>
            <w:shd w:val="clear" w:color="auto" w:fill="auto"/>
            <w:noWrap/>
            <w:hideMark/>
          </w:tcPr>
          <w:p w14:paraId="01B9BB64"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8.0%</w:t>
            </w:r>
          </w:p>
        </w:tc>
        <w:tc>
          <w:tcPr>
            <w:tcW w:w="850" w:type="dxa"/>
            <w:tcBorders>
              <w:bottom w:val="single" w:sz="4" w:space="0" w:color="auto"/>
              <w:right w:val="single" w:sz="4" w:space="0" w:color="auto"/>
            </w:tcBorders>
            <w:shd w:val="clear" w:color="auto" w:fill="auto"/>
            <w:noWrap/>
            <w:hideMark/>
          </w:tcPr>
          <w:p w14:paraId="4D56A579" w14:textId="77777777" w:rsidR="00076C5C" w:rsidRPr="00091A98" w:rsidRDefault="00076C5C" w:rsidP="00076C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7.9%</w:t>
            </w:r>
          </w:p>
        </w:tc>
      </w:tr>
      <w:tr w:rsidR="001C0A9C" w:rsidRPr="00091A98" w14:paraId="686C0CF3" w14:textId="77777777" w:rsidTr="00076C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8" w:space="0" w:color="000000"/>
              <w:right w:val="single" w:sz="4" w:space="0" w:color="auto"/>
            </w:tcBorders>
            <w:shd w:val="clear" w:color="auto" w:fill="auto"/>
            <w:noWrap/>
            <w:hideMark/>
          </w:tcPr>
          <w:p w14:paraId="5A4239E3" w14:textId="77777777" w:rsidR="001C0A9C" w:rsidRPr="00091A98" w:rsidRDefault="001C0A9C" w:rsidP="00076C5C">
            <w:pPr>
              <w:rPr>
                <w:rFonts w:ascii="Calibri" w:eastAsia="Times New Roman" w:hAnsi="Calibri" w:cs="Times New Roman"/>
                <w:color w:val="auto"/>
                <w:lang w:val="de-CH"/>
              </w:rPr>
            </w:pPr>
            <w:r w:rsidRPr="00091A98">
              <w:rPr>
                <w:rFonts w:ascii="Calibri" w:eastAsia="Times New Roman" w:hAnsi="Calibri" w:cs="Times New Roman"/>
                <w:color w:val="auto"/>
                <w:lang w:val="de-CH"/>
              </w:rPr>
              <w:t>Beobachtungen</w:t>
            </w:r>
          </w:p>
        </w:tc>
        <w:tc>
          <w:tcPr>
            <w:tcW w:w="947" w:type="dxa"/>
            <w:tcBorders>
              <w:top w:val="single" w:sz="4" w:space="0" w:color="auto"/>
              <w:left w:val="single" w:sz="4" w:space="0" w:color="auto"/>
              <w:bottom w:val="single" w:sz="8" w:space="0" w:color="000000"/>
            </w:tcBorders>
            <w:shd w:val="clear" w:color="auto" w:fill="auto"/>
            <w:noWrap/>
            <w:hideMark/>
          </w:tcPr>
          <w:p w14:paraId="39B39FF8" w14:textId="6EA7E67E"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201</w:t>
            </w:r>
          </w:p>
        </w:tc>
        <w:tc>
          <w:tcPr>
            <w:tcW w:w="850" w:type="dxa"/>
            <w:tcBorders>
              <w:top w:val="single" w:sz="4" w:space="0" w:color="auto"/>
              <w:bottom w:val="single" w:sz="8" w:space="0" w:color="000000"/>
              <w:right w:val="single" w:sz="4" w:space="0" w:color="auto"/>
            </w:tcBorders>
            <w:shd w:val="clear" w:color="auto" w:fill="auto"/>
            <w:noWrap/>
            <w:hideMark/>
          </w:tcPr>
          <w:p w14:paraId="3B0CB327" w14:textId="5189B48E"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128</w:t>
            </w:r>
          </w:p>
        </w:tc>
        <w:tc>
          <w:tcPr>
            <w:tcW w:w="851" w:type="dxa"/>
            <w:tcBorders>
              <w:top w:val="single" w:sz="4" w:space="0" w:color="auto"/>
              <w:left w:val="single" w:sz="4" w:space="0" w:color="auto"/>
              <w:bottom w:val="single" w:sz="4" w:space="0" w:color="auto"/>
            </w:tcBorders>
            <w:shd w:val="clear" w:color="auto" w:fill="auto"/>
            <w:noWrap/>
            <w:hideMark/>
          </w:tcPr>
          <w:p w14:paraId="7141B2A3" w14:textId="50DDA844"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201</w:t>
            </w:r>
          </w:p>
        </w:tc>
        <w:tc>
          <w:tcPr>
            <w:tcW w:w="850" w:type="dxa"/>
            <w:tcBorders>
              <w:top w:val="single" w:sz="4" w:space="0" w:color="auto"/>
              <w:bottom w:val="single" w:sz="4" w:space="0" w:color="auto"/>
              <w:right w:val="single" w:sz="4" w:space="0" w:color="auto"/>
            </w:tcBorders>
            <w:shd w:val="clear" w:color="auto" w:fill="auto"/>
            <w:noWrap/>
            <w:hideMark/>
          </w:tcPr>
          <w:p w14:paraId="006EFE65" w14:textId="5C7708DA"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128</w:t>
            </w:r>
          </w:p>
        </w:tc>
        <w:tc>
          <w:tcPr>
            <w:tcW w:w="851" w:type="dxa"/>
            <w:tcBorders>
              <w:top w:val="single" w:sz="4" w:space="0" w:color="auto"/>
              <w:left w:val="single" w:sz="4" w:space="0" w:color="auto"/>
              <w:bottom w:val="single" w:sz="4" w:space="0" w:color="auto"/>
            </w:tcBorders>
            <w:shd w:val="clear" w:color="auto" w:fill="auto"/>
            <w:noWrap/>
            <w:hideMark/>
          </w:tcPr>
          <w:p w14:paraId="3D2220D0" w14:textId="309B6DF5"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201</w:t>
            </w:r>
          </w:p>
        </w:tc>
        <w:tc>
          <w:tcPr>
            <w:tcW w:w="850" w:type="dxa"/>
            <w:tcBorders>
              <w:top w:val="single" w:sz="4" w:space="0" w:color="auto"/>
              <w:bottom w:val="single" w:sz="4" w:space="0" w:color="auto"/>
              <w:right w:val="single" w:sz="4" w:space="0" w:color="auto"/>
            </w:tcBorders>
            <w:shd w:val="clear" w:color="auto" w:fill="auto"/>
            <w:noWrap/>
            <w:hideMark/>
          </w:tcPr>
          <w:p w14:paraId="6151A746" w14:textId="127DA740"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128</w:t>
            </w:r>
          </w:p>
        </w:tc>
        <w:tc>
          <w:tcPr>
            <w:tcW w:w="851" w:type="dxa"/>
            <w:tcBorders>
              <w:top w:val="single" w:sz="4" w:space="0" w:color="auto"/>
              <w:left w:val="single" w:sz="4" w:space="0" w:color="auto"/>
              <w:bottom w:val="single" w:sz="4" w:space="0" w:color="auto"/>
            </w:tcBorders>
            <w:shd w:val="clear" w:color="auto" w:fill="auto"/>
            <w:noWrap/>
            <w:hideMark/>
          </w:tcPr>
          <w:p w14:paraId="148B1A53" w14:textId="2358F06F"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2</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201</w:t>
            </w:r>
          </w:p>
        </w:tc>
        <w:tc>
          <w:tcPr>
            <w:tcW w:w="850" w:type="dxa"/>
            <w:tcBorders>
              <w:top w:val="single" w:sz="4" w:space="0" w:color="auto"/>
              <w:bottom w:val="single" w:sz="4" w:space="0" w:color="auto"/>
              <w:right w:val="single" w:sz="4" w:space="0" w:color="auto"/>
            </w:tcBorders>
            <w:shd w:val="clear" w:color="auto" w:fill="auto"/>
            <w:noWrap/>
            <w:hideMark/>
          </w:tcPr>
          <w:p w14:paraId="377D993A" w14:textId="4C3EBB12" w:rsidR="001C0A9C" w:rsidRPr="00091A98" w:rsidRDefault="001C0A9C" w:rsidP="00076C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val="de-CH"/>
              </w:rPr>
            </w:pPr>
            <w:r w:rsidRPr="00091A98">
              <w:rPr>
                <w:rFonts w:ascii="Calibri" w:eastAsia="Times New Roman" w:hAnsi="Calibri" w:cs="Times New Roman"/>
                <w:color w:val="auto"/>
                <w:lang w:val="de-CH"/>
              </w:rPr>
              <w:t>1</w:t>
            </w:r>
            <w:r>
              <w:rPr>
                <w:rFonts w:ascii="Calibri" w:eastAsia="Times New Roman" w:hAnsi="Calibri" w:cs="Times New Roman"/>
                <w:color w:val="auto"/>
                <w:lang w:val="de-CH"/>
              </w:rPr>
              <w:t>’</w:t>
            </w:r>
            <w:r w:rsidRPr="00091A98">
              <w:rPr>
                <w:rFonts w:ascii="Calibri" w:eastAsia="Times New Roman" w:hAnsi="Calibri" w:cs="Times New Roman"/>
                <w:color w:val="auto"/>
                <w:lang w:val="de-CH"/>
              </w:rPr>
              <w:t>128</w:t>
            </w:r>
          </w:p>
        </w:tc>
      </w:tr>
    </w:tbl>
    <w:p w14:paraId="1439C00A" w14:textId="77777777" w:rsidR="00076C5C" w:rsidRPr="00091A98" w:rsidRDefault="00076C5C" w:rsidP="00076C5C">
      <w:pPr>
        <w:spacing w:after="200" w:line="276" w:lineRule="auto"/>
        <w:rPr>
          <w:rFonts w:ascii="Calibri" w:eastAsia="Calibri" w:hAnsi="Calibri" w:cs="Times New Roman"/>
          <w:b/>
          <w:lang w:val="de-CH" w:eastAsia="en-US"/>
        </w:rPr>
      </w:pPr>
      <w:r w:rsidRPr="00091A98">
        <w:rPr>
          <w:rFonts w:ascii="Calibri" w:eastAsia="Calibri" w:hAnsi="Calibri" w:cs="Times New Roman"/>
          <w:b/>
          <w:lang w:val="de-CH" w:eastAsia="en-US"/>
        </w:rPr>
        <w:lastRenderedPageBreak/>
        <w:t xml:space="preserve">Appendix 3: Signifikanzniveaus zwischen den einzelnen Wettbewerbskategorien </w:t>
      </w:r>
    </w:p>
    <w:p w14:paraId="0688F97B" w14:textId="3ECB6AB2" w:rsidR="00076C5C" w:rsidRPr="00091A98" w:rsidRDefault="00076C5C" w:rsidP="00076C5C">
      <w:pPr>
        <w:spacing w:after="200" w:line="360" w:lineRule="auto"/>
        <w:rPr>
          <w:rFonts w:ascii="Calibri" w:eastAsia="Calibri" w:hAnsi="Calibri" w:cs="Times New Roman"/>
          <w:sz w:val="22"/>
          <w:szCs w:val="22"/>
          <w:lang w:val="de-CH" w:eastAsia="en-US"/>
        </w:rPr>
      </w:pPr>
      <w:r w:rsidRPr="00091A98">
        <w:rPr>
          <w:rFonts w:ascii="Calibri" w:eastAsia="Calibri" w:hAnsi="Calibri" w:cs="Times New Roman"/>
          <w:sz w:val="22"/>
          <w:szCs w:val="22"/>
          <w:lang w:val="de-CH" w:eastAsia="en-US"/>
        </w:rPr>
        <w:t>Für eine bessere Vergleichbarkeit der einzelnen Kategorien untereinander sind in Tabelle A3 die Signifikanzniveaus so dargestellt, dass für alle vier Zielgruppen jede Kategorie jeder anderen direkt gegenübergestellt werden kann. In einem Gro</w:t>
      </w:r>
      <w:r w:rsidR="002F624D" w:rsidRPr="00091A98">
        <w:rPr>
          <w:rFonts w:ascii="Calibri" w:eastAsia="Calibri" w:hAnsi="Calibri" w:cs="Times New Roman"/>
          <w:sz w:val="22"/>
          <w:szCs w:val="22"/>
          <w:lang w:val="de-CH" w:eastAsia="en-US"/>
        </w:rPr>
        <w:t>ss</w:t>
      </w:r>
      <w:r w:rsidRPr="00091A98">
        <w:rPr>
          <w:rFonts w:ascii="Calibri" w:eastAsia="Calibri" w:hAnsi="Calibri" w:cs="Times New Roman"/>
          <w:sz w:val="22"/>
          <w:szCs w:val="22"/>
          <w:lang w:val="de-CH" w:eastAsia="en-US"/>
        </w:rPr>
        <w:t>teil der Fälle ist der Einfluss der unterschiedlichen Kategorien auf das Lobbyverhalten signifikant, und wo keine signifikanten Unterschiede festgestellt werden können, handelt es sich (mit einer zwei Ausnahme) um direkt nebeneinander liegende Kategorien. Das Lobbying politischer Parteien nimmt mit jeder einzelnen erhöhten Wettbewerbsstufe an Bedeutung zu, und zwischen allen Kategorien ist der Unterschied signifikant. Für die Regierung als Ziel des politischen Lobbyings kann kein Unterschied zwischen den beiden niedrigsten Stufen des Wettbewerbs festgestellt werden, ebenso kann die höchste Wettbewerbssituation nicht von den beiden darunter liegenden Stufen abgegrenzt werden (wobei sich diese beiden Stufen 3 und 4 sehr wohl voneinander Unterscheiden). Die Medien werden von Interessenorganisationen mit sehr geringem und geringem Wettbewerb als ähnlich wichtige Ansprechpartner wahrgenommen. Dies gilt auch für Gruppen mit mittelstarker bzw. starker Konkurrenzsituation, die sich nicht von solchen mit sehr starker Konkurrenzsituation unterscheiden (wohl aber untereinander). Schlie</w:t>
      </w:r>
      <w:r w:rsidR="002F624D" w:rsidRPr="00091A98">
        <w:rPr>
          <w:rFonts w:ascii="Calibri" w:eastAsia="Calibri" w:hAnsi="Calibri" w:cs="Times New Roman"/>
          <w:sz w:val="22"/>
          <w:szCs w:val="22"/>
          <w:lang w:val="de-CH" w:eastAsia="en-US"/>
        </w:rPr>
        <w:t>ss</w:t>
      </w:r>
      <w:r w:rsidRPr="00091A98">
        <w:rPr>
          <w:rFonts w:ascii="Calibri" w:eastAsia="Calibri" w:hAnsi="Calibri" w:cs="Times New Roman"/>
          <w:sz w:val="22"/>
          <w:szCs w:val="22"/>
          <w:lang w:val="de-CH" w:eastAsia="en-US"/>
        </w:rPr>
        <w:t>lich zeigt sich für die Bürger, dass wiederum Organisationen mit sehr geringem und geringem Wettbewerb sich kaum in ihrem Lobbyverhalten unterscheiden, ebenso wie Gruppen mit mittelstarkem und starkem Wettbewerb. Alle anderen Paare von Konkurrenzsituationen in den vier Modellen unterscheiden sich signifikant voneinander, und der Effekt zeigt jeweils in die durch Hypothese 1 erwartete Richtung.</w:t>
      </w:r>
    </w:p>
    <w:p w14:paraId="4FD79FDA" w14:textId="44E6A496" w:rsidR="00076C5C" w:rsidRPr="00091A98" w:rsidRDefault="00076C5C" w:rsidP="00076C5C">
      <w:pPr>
        <w:spacing w:after="200" w:line="360" w:lineRule="auto"/>
        <w:rPr>
          <w:rFonts w:ascii="Calibri" w:eastAsia="Calibri" w:hAnsi="Calibri" w:cs="Times New Roman"/>
          <w:sz w:val="22"/>
          <w:szCs w:val="22"/>
          <w:lang w:val="de-CH" w:eastAsia="en-US"/>
        </w:rPr>
      </w:pPr>
      <w:r w:rsidRPr="00091A98">
        <w:rPr>
          <w:rFonts w:ascii="Calibri" w:eastAsia="Calibri" w:hAnsi="Calibri" w:cs="Times New Roman"/>
          <w:sz w:val="22"/>
          <w:szCs w:val="22"/>
          <w:lang w:val="de-CH" w:eastAsia="en-US"/>
        </w:rPr>
        <w:t>Mithilfe der beiden Tabellen 3 aus dem Haupttext und  der Tabelle A3 in diesem Appendix können sowohl Signifikanz als auch Grö</w:t>
      </w:r>
      <w:r w:rsidR="002F624D" w:rsidRPr="00091A98">
        <w:rPr>
          <w:rFonts w:ascii="Calibri" w:eastAsia="Calibri" w:hAnsi="Calibri" w:cs="Times New Roman"/>
          <w:sz w:val="22"/>
          <w:szCs w:val="22"/>
          <w:lang w:val="de-CH" w:eastAsia="en-US"/>
        </w:rPr>
        <w:t>ss</w:t>
      </w:r>
      <w:r w:rsidRPr="00091A98">
        <w:rPr>
          <w:rFonts w:ascii="Calibri" w:eastAsia="Calibri" w:hAnsi="Calibri" w:cs="Times New Roman"/>
          <w:sz w:val="22"/>
          <w:szCs w:val="22"/>
          <w:lang w:val="de-CH" w:eastAsia="en-US"/>
        </w:rPr>
        <w:t xml:space="preserve">enordnung des Effekts zwischen zwei beliebigen Wettbewerbskategorien bestimmt werden. Zum Beispiel, um den Unterschied zwischen starkem und sehr starkem Wettbewerb auf das Parteienlobbying zu untersuchen, kann aus Tabelle 3, Modell 2 abgeleitet werden, dass der Koeffizient der zwischen den </w:t>
      </w:r>
      <w:r w:rsidR="009B72D7">
        <w:rPr>
          <w:rFonts w:ascii="Calibri" w:eastAsia="Calibri" w:hAnsi="Calibri" w:cs="Times New Roman"/>
          <w:sz w:val="22"/>
          <w:szCs w:val="22"/>
          <w:lang w:val="de-CH" w:eastAsia="en-US"/>
        </w:rPr>
        <w:t>beiden angeführten Kategorien 0.32 beträgt (1.55 – 1.</w:t>
      </w:r>
      <w:r w:rsidRPr="00091A98">
        <w:rPr>
          <w:rFonts w:ascii="Calibri" w:eastAsia="Calibri" w:hAnsi="Calibri" w:cs="Times New Roman"/>
          <w:sz w:val="22"/>
          <w:szCs w:val="22"/>
          <w:lang w:val="de-CH" w:eastAsia="en-US"/>
        </w:rPr>
        <w:t>23) und – laut Tabelle A3 – signifikant ist (p&lt;0,01). Um diesen Effekt, der nun als Log-Odds vorliegt, besser interpretieren zu können, muss im nächsten Schritt das Quotenverhältnis (Odds Ratio) errechnet werden, wofür die Exponentialfunktion verwendet wird: e</w:t>
      </w:r>
      <w:r w:rsidRPr="00091A98">
        <w:rPr>
          <w:rFonts w:ascii="Calibri" w:eastAsia="Calibri" w:hAnsi="Calibri" w:cs="Times New Roman"/>
          <w:sz w:val="22"/>
          <w:szCs w:val="22"/>
          <w:vertAlign w:val="superscript"/>
          <w:lang w:val="de-CH" w:eastAsia="en-US"/>
        </w:rPr>
        <w:t>0,32</w:t>
      </w:r>
      <w:r w:rsidR="009B72D7">
        <w:rPr>
          <w:rFonts w:ascii="Calibri" w:eastAsia="Calibri" w:hAnsi="Calibri" w:cs="Times New Roman"/>
          <w:sz w:val="22"/>
          <w:szCs w:val="22"/>
          <w:lang w:val="de-CH" w:eastAsia="en-US"/>
        </w:rPr>
        <w:t xml:space="preserve"> = 1.</w:t>
      </w:r>
      <w:r w:rsidRPr="00091A98">
        <w:rPr>
          <w:rFonts w:ascii="Calibri" w:eastAsia="Calibri" w:hAnsi="Calibri" w:cs="Times New Roman"/>
          <w:sz w:val="22"/>
          <w:szCs w:val="22"/>
          <w:lang w:val="de-CH" w:eastAsia="en-US"/>
        </w:rPr>
        <w:t>38. Dies bedeutet, dass die Chancen (Odds), dass eine Gruppe mit sehr starkem Wettbewerb den Parteien eine hohe oder sehr hohe Bedeutung für das eigenen Lobbying beimisst, um 38 Prozent höher sind, als dies für eine Gruppe der Fall ist, die „nur“ starkem Wettbewerb ausgesetzt ist. Je grö</w:t>
      </w:r>
      <w:r w:rsidR="002F624D" w:rsidRPr="00091A98">
        <w:rPr>
          <w:rFonts w:ascii="Calibri" w:eastAsia="Calibri" w:hAnsi="Calibri" w:cs="Times New Roman"/>
          <w:sz w:val="22"/>
          <w:szCs w:val="22"/>
          <w:lang w:val="de-CH" w:eastAsia="en-US"/>
        </w:rPr>
        <w:t>ss</w:t>
      </w:r>
      <w:r w:rsidRPr="00091A98">
        <w:rPr>
          <w:rFonts w:ascii="Calibri" w:eastAsia="Calibri" w:hAnsi="Calibri" w:cs="Times New Roman"/>
          <w:sz w:val="22"/>
          <w:szCs w:val="22"/>
          <w:lang w:val="de-CH" w:eastAsia="en-US"/>
        </w:rPr>
        <w:t xml:space="preserve">er der Koeffizient, um ausgeprägter ist der vorhergesagte Unterschied des Lobbyverhaltens. Am stärksten ist diese Differenz für Gruppen mit sehr geringem Wettbewerb im Vergleich zu solchen mit sehr starkem Wettbewerb für das Modell zu politischen </w:t>
      </w:r>
      <w:r w:rsidR="009B72D7">
        <w:rPr>
          <w:rFonts w:ascii="Calibri" w:eastAsia="Calibri" w:hAnsi="Calibri" w:cs="Times New Roman"/>
          <w:sz w:val="22"/>
          <w:szCs w:val="22"/>
          <w:lang w:val="de-CH" w:eastAsia="en-US"/>
        </w:rPr>
        <w:t>Parteien. Der Koeffizient von 2.</w:t>
      </w:r>
      <w:r w:rsidRPr="00091A98">
        <w:rPr>
          <w:rFonts w:ascii="Calibri" w:eastAsia="Calibri" w:hAnsi="Calibri" w:cs="Times New Roman"/>
          <w:sz w:val="22"/>
          <w:szCs w:val="22"/>
          <w:lang w:val="de-CH" w:eastAsia="en-US"/>
        </w:rPr>
        <w:t xml:space="preserve">235 wir bei der </w:t>
      </w:r>
      <w:r w:rsidRPr="00091A98">
        <w:rPr>
          <w:rFonts w:ascii="Calibri" w:eastAsia="Calibri" w:hAnsi="Calibri" w:cs="Times New Roman"/>
          <w:sz w:val="22"/>
          <w:szCs w:val="22"/>
          <w:lang w:val="de-CH" w:eastAsia="en-US"/>
        </w:rPr>
        <w:lastRenderedPageBreak/>
        <w:t>Um</w:t>
      </w:r>
      <w:r w:rsidR="009B72D7">
        <w:rPr>
          <w:rFonts w:ascii="Calibri" w:eastAsia="Calibri" w:hAnsi="Calibri" w:cs="Times New Roman"/>
          <w:sz w:val="22"/>
          <w:szCs w:val="22"/>
          <w:lang w:val="de-CH" w:eastAsia="en-US"/>
        </w:rPr>
        <w:t>wandlung in die Odds Ratio zu 9.</w:t>
      </w:r>
      <w:r w:rsidRPr="00091A98">
        <w:rPr>
          <w:rFonts w:ascii="Calibri" w:eastAsia="Calibri" w:hAnsi="Calibri" w:cs="Times New Roman"/>
          <w:sz w:val="22"/>
          <w:szCs w:val="22"/>
          <w:lang w:val="de-CH" w:eastAsia="en-US"/>
        </w:rPr>
        <w:t>35. Folglich sind die Odds, dass Gruppen mit sehr starkem Wettbewerb politischen Parteien eine hohe oder sehr hohe Bedeutung beimessen ca. neuneinhalb Mal höher, als Organisationen die einem sehr geringen Wettbewerb ausgeset</w:t>
      </w:r>
      <w:r w:rsidR="009B72D7">
        <w:rPr>
          <w:rFonts w:ascii="Calibri" w:eastAsia="Calibri" w:hAnsi="Calibri" w:cs="Times New Roman"/>
          <w:sz w:val="22"/>
          <w:szCs w:val="22"/>
          <w:lang w:val="de-CH" w:eastAsia="en-US"/>
        </w:rPr>
        <w:t>zt sind. Diese Odds Ratio von 9.</w:t>
      </w:r>
      <w:r w:rsidRPr="00091A98">
        <w:rPr>
          <w:rFonts w:ascii="Calibri" w:eastAsia="Calibri" w:hAnsi="Calibri" w:cs="Times New Roman"/>
          <w:sz w:val="22"/>
          <w:szCs w:val="22"/>
          <w:lang w:val="de-CH" w:eastAsia="en-US"/>
        </w:rPr>
        <w:t>35 wirkt sich wie folgt auf die Wahrscheinlichkeit aus, den Parteien eine bestimmte Wichtigkeit zuzuordnen (Beispiel für die höchste Stufe der Wichtigkeit der Regierung</w:t>
      </w:r>
      <w:r w:rsidR="009B72D7">
        <w:rPr>
          <w:rFonts w:ascii="Calibri" w:eastAsia="Calibri" w:hAnsi="Calibri" w:cs="Times New Roman"/>
          <w:sz w:val="22"/>
          <w:szCs w:val="22"/>
          <w:lang w:val="de-CH" w:eastAsia="en-US"/>
        </w:rPr>
        <w:t>): 37.</w:t>
      </w:r>
      <w:r w:rsidRPr="00091A98">
        <w:rPr>
          <w:rFonts w:ascii="Calibri" w:eastAsia="Calibri" w:hAnsi="Calibri" w:cs="Times New Roman"/>
          <w:sz w:val="22"/>
          <w:szCs w:val="22"/>
          <w:lang w:val="de-CH" w:eastAsia="en-US"/>
        </w:rPr>
        <w:t>74% der Organisationen mit sehr starkem Wettbewerb sehen die Regierung als sehr wic</w:t>
      </w:r>
      <w:r w:rsidR="009B72D7">
        <w:rPr>
          <w:rFonts w:ascii="Calibri" w:eastAsia="Calibri" w:hAnsi="Calibri" w:cs="Times New Roman"/>
          <w:sz w:val="22"/>
          <w:szCs w:val="22"/>
          <w:lang w:val="de-CH" w:eastAsia="en-US"/>
        </w:rPr>
        <w:t>htiges Lobbyziel an, aber nur 6.</w:t>
      </w:r>
      <w:r w:rsidRPr="00091A98">
        <w:rPr>
          <w:rFonts w:ascii="Calibri" w:eastAsia="Calibri" w:hAnsi="Calibri" w:cs="Times New Roman"/>
          <w:sz w:val="22"/>
          <w:szCs w:val="22"/>
          <w:lang w:val="de-CH" w:eastAsia="en-US"/>
        </w:rPr>
        <w:t>01% der Organisationen mit sehr geringem Wettbewerb messen der Regierung dieselbe Wichtigkeit bei. Die Odds der in starkem Wettbewerb stehenden Interessengruppen in diese K</w:t>
      </w:r>
      <w:r w:rsidR="00D62BB3">
        <w:rPr>
          <w:rFonts w:ascii="Calibri" w:eastAsia="Calibri" w:hAnsi="Calibri" w:cs="Times New Roman"/>
          <w:sz w:val="22"/>
          <w:szCs w:val="22"/>
          <w:lang w:val="de-CH" w:eastAsia="en-US"/>
        </w:rPr>
        <w:t>ategorie zu fallen sind daher 0.3773/(1-0.3773)=0.</w:t>
      </w:r>
      <w:r w:rsidRPr="00091A98">
        <w:rPr>
          <w:rFonts w:ascii="Calibri" w:eastAsia="Calibri" w:hAnsi="Calibri" w:cs="Times New Roman"/>
          <w:sz w:val="22"/>
          <w:szCs w:val="22"/>
          <w:lang w:val="de-CH" w:eastAsia="en-US"/>
        </w:rPr>
        <w:t>6062 (in Worten, di</w:t>
      </w:r>
      <w:r w:rsidR="00D62BB3">
        <w:rPr>
          <w:rFonts w:ascii="Calibri" w:eastAsia="Calibri" w:hAnsi="Calibri" w:cs="Times New Roman"/>
          <w:sz w:val="22"/>
          <w:szCs w:val="22"/>
          <w:lang w:val="de-CH" w:eastAsia="en-US"/>
        </w:rPr>
        <w:t>e Wahrscheinlichkeit ist 1 zu 0.</w:t>
      </w:r>
      <w:r w:rsidRPr="00091A98">
        <w:rPr>
          <w:rFonts w:ascii="Calibri" w:eastAsia="Calibri" w:hAnsi="Calibri" w:cs="Times New Roman"/>
          <w:sz w:val="22"/>
          <w:szCs w:val="22"/>
          <w:lang w:val="de-CH" w:eastAsia="en-US"/>
        </w:rPr>
        <w:t xml:space="preserve">6062). </w:t>
      </w:r>
      <w:r w:rsidR="00BF7325" w:rsidRPr="00091A98">
        <w:rPr>
          <w:rFonts w:ascii="Calibri" w:eastAsia="Calibri" w:hAnsi="Calibri" w:cs="Times New Roman"/>
          <w:sz w:val="22"/>
          <w:szCs w:val="22"/>
          <w:lang w:val="de-CH" w:eastAsia="en-US"/>
        </w:rPr>
        <w:t xml:space="preserve">Für Gruppen mit </w:t>
      </w:r>
      <w:r w:rsidR="002F624D" w:rsidRPr="00091A98">
        <w:rPr>
          <w:rFonts w:ascii="Calibri" w:eastAsia="Calibri" w:hAnsi="Calibri" w:cs="Times New Roman"/>
          <w:sz w:val="22"/>
          <w:szCs w:val="22"/>
          <w:lang w:val="de-CH" w:eastAsia="en-US"/>
        </w:rPr>
        <w:t>sehr geringem</w:t>
      </w:r>
      <w:r w:rsidR="00BF7325" w:rsidRPr="00091A98">
        <w:rPr>
          <w:rFonts w:ascii="Calibri" w:eastAsia="Calibri" w:hAnsi="Calibri" w:cs="Times New Roman"/>
          <w:sz w:val="22"/>
          <w:szCs w:val="22"/>
          <w:lang w:val="de-CH" w:eastAsia="en-US"/>
        </w:rPr>
        <w:t xml:space="preserve"> Wettbewerb</w:t>
      </w:r>
      <w:r w:rsidR="00D62BB3">
        <w:rPr>
          <w:rFonts w:ascii="Calibri" w:eastAsia="Calibri" w:hAnsi="Calibri" w:cs="Times New Roman"/>
          <w:sz w:val="22"/>
          <w:szCs w:val="22"/>
          <w:lang w:val="de-CH" w:eastAsia="en-US"/>
        </w:rPr>
        <w:t xml:space="preserve"> sind diese Odds 0.0609/(1-0.</w:t>
      </w:r>
      <w:r w:rsidRPr="00091A98">
        <w:rPr>
          <w:rFonts w:ascii="Calibri" w:eastAsia="Calibri" w:hAnsi="Calibri" w:cs="Times New Roman"/>
          <w:sz w:val="22"/>
          <w:szCs w:val="22"/>
          <w:lang w:val="de-CH" w:eastAsia="en-US"/>
        </w:rPr>
        <w:t>0609)=0.0648. Das Quotenverhältnis ist dah</w:t>
      </w:r>
      <w:r w:rsidR="00D62BB3">
        <w:rPr>
          <w:rFonts w:ascii="Calibri" w:eastAsia="Calibri" w:hAnsi="Calibri" w:cs="Times New Roman"/>
          <w:sz w:val="22"/>
          <w:szCs w:val="22"/>
          <w:lang w:val="de-CH" w:eastAsia="en-US"/>
        </w:rPr>
        <w:t>er 0.6062/0.0648=9.</w:t>
      </w:r>
      <w:r w:rsidRPr="00091A98">
        <w:rPr>
          <w:rFonts w:ascii="Calibri" w:eastAsia="Calibri" w:hAnsi="Calibri" w:cs="Times New Roman"/>
          <w:sz w:val="22"/>
          <w:szCs w:val="22"/>
          <w:lang w:val="de-CH" w:eastAsia="en-US"/>
        </w:rPr>
        <w:t>35.</w:t>
      </w:r>
    </w:p>
    <w:p w14:paraId="1E1C4291" w14:textId="77777777" w:rsidR="00076C5C" w:rsidRPr="00091A98" w:rsidRDefault="00076C5C" w:rsidP="00076C5C">
      <w:pPr>
        <w:spacing w:after="200" w:line="276" w:lineRule="auto"/>
        <w:rPr>
          <w:rFonts w:ascii="Calibri" w:eastAsia="Calibri" w:hAnsi="Calibri" w:cs="Times New Roman"/>
          <w:sz w:val="22"/>
          <w:szCs w:val="22"/>
          <w:lang w:val="de-CH" w:eastAsia="en-US"/>
        </w:rPr>
      </w:pPr>
      <w:r w:rsidRPr="00091A98">
        <w:rPr>
          <w:rFonts w:ascii="Calibri" w:eastAsia="Calibri" w:hAnsi="Calibri" w:cs="Times New Roman"/>
          <w:b/>
          <w:sz w:val="22"/>
          <w:szCs w:val="22"/>
          <w:lang w:val="de-CH" w:eastAsia="en-US"/>
        </w:rPr>
        <w:t>Tabelle A3:</w:t>
      </w:r>
      <w:r w:rsidRPr="00091A98">
        <w:rPr>
          <w:rFonts w:ascii="Calibri" w:eastAsia="Calibri" w:hAnsi="Calibri" w:cs="Times New Roman"/>
          <w:sz w:val="22"/>
          <w:szCs w:val="22"/>
          <w:lang w:val="de-CH" w:eastAsia="en-US"/>
        </w:rPr>
        <w:t xml:space="preserve"> Signifikanzniveaus zwischen den einzelnen Wettbewerbskategorien für vier Lobbystrategien36</w:t>
      </w:r>
    </w:p>
    <w:tbl>
      <w:tblPr>
        <w:tblStyle w:val="Tabellenraster2"/>
        <w:tblW w:w="8896" w:type="dxa"/>
        <w:tblInd w:w="392" w:type="dxa"/>
        <w:tblLook w:val="04A0" w:firstRow="1" w:lastRow="0" w:firstColumn="1" w:lastColumn="0" w:noHBand="0" w:noVBand="1"/>
      </w:tblPr>
      <w:tblGrid>
        <w:gridCol w:w="685"/>
        <w:gridCol w:w="685"/>
        <w:gridCol w:w="686"/>
        <w:gridCol w:w="686"/>
        <w:gridCol w:w="686"/>
        <w:gridCol w:w="686"/>
        <w:gridCol w:w="676"/>
        <w:gridCol w:w="676"/>
        <w:gridCol w:w="686"/>
        <w:gridCol w:w="686"/>
        <w:gridCol w:w="686"/>
        <w:gridCol w:w="686"/>
        <w:gridCol w:w="686"/>
      </w:tblGrid>
      <w:tr w:rsidR="00076C5C" w:rsidRPr="00091A98" w14:paraId="1029531D" w14:textId="77777777" w:rsidTr="00076C5C">
        <w:trPr>
          <w:trHeight w:val="227"/>
        </w:trPr>
        <w:tc>
          <w:tcPr>
            <w:tcW w:w="4114" w:type="dxa"/>
            <w:gridSpan w:val="6"/>
            <w:tcBorders>
              <w:top w:val="nil"/>
              <w:left w:val="nil"/>
              <w:right w:val="nil"/>
            </w:tcBorders>
          </w:tcPr>
          <w:p w14:paraId="3D327C62" w14:textId="77777777" w:rsidR="00076C5C" w:rsidRPr="00091A98" w:rsidRDefault="00076C5C" w:rsidP="00076C5C">
            <w:pPr>
              <w:jc w:val="center"/>
              <w:rPr>
                <w:rFonts w:ascii="Calibri" w:hAnsi="Calibri" w:cs="Times New Roman"/>
                <w:b/>
                <w:lang w:val="de-CH"/>
              </w:rPr>
            </w:pPr>
            <w:r w:rsidRPr="00091A98">
              <w:rPr>
                <w:rFonts w:ascii="Calibri" w:hAnsi="Calibri" w:cs="Times New Roman"/>
                <w:b/>
                <w:lang w:val="de-CH"/>
              </w:rPr>
              <w:t>Regierung</w:t>
            </w:r>
          </w:p>
        </w:tc>
        <w:tc>
          <w:tcPr>
            <w:tcW w:w="676" w:type="dxa"/>
            <w:tcBorders>
              <w:top w:val="nil"/>
              <w:left w:val="nil"/>
              <w:bottom w:val="nil"/>
              <w:right w:val="nil"/>
            </w:tcBorders>
          </w:tcPr>
          <w:p w14:paraId="54DA8EEC" w14:textId="77777777" w:rsidR="00076C5C" w:rsidRPr="00091A98" w:rsidRDefault="00076C5C" w:rsidP="00076C5C">
            <w:pPr>
              <w:jc w:val="center"/>
              <w:rPr>
                <w:rFonts w:ascii="Calibri" w:hAnsi="Calibri" w:cs="Times New Roman"/>
                <w:lang w:val="de-CH"/>
              </w:rPr>
            </w:pPr>
          </w:p>
        </w:tc>
        <w:tc>
          <w:tcPr>
            <w:tcW w:w="4106" w:type="dxa"/>
            <w:gridSpan w:val="6"/>
            <w:tcBorders>
              <w:top w:val="nil"/>
              <w:left w:val="nil"/>
              <w:right w:val="nil"/>
            </w:tcBorders>
          </w:tcPr>
          <w:p w14:paraId="5FA9CCF9" w14:textId="77777777" w:rsidR="00076C5C" w:rsidRPr="00091A98" w:rsidRDefault="00076C5C" w:rsidP="00076C5C">
            <w:pPr>
              <w:jc w:val="center"/>
              <w:rPr>
                <w:rFonts w:ascii="Calibri" w:hAnsi="Calibri" w:cs="Times New Roman"/>
                <w:b/>
                <w:lang w:val="de-CH"/>
              </w:rPr>
            </w:pPr>
            <w:r w:rsidRPr="00091A98">
              <w:rPr>
                <w:rFonts w:ascii="Calibri" w:hAnsi="Calibri" w:cs="Times New Roman"/>
                <w:b/>
                <w:lang w:val="de-CH"/>
              </w:rPr>
              <w:t>Parteien</w:t>
            </w:r>
          </w:p>
        </w:tc>
      </w:tr>
      <w:tr w:rsidR="00076C5C" w:rsidRPr="00091A98" w14:paraId="50B583C0" w14:textId="77777777" w:rsidTr="00076C5C">
        <w:trPr>
          <w:trHeight w:val="454"/>
        </w:trPr>
        <w:tc>
          <w:tcPr>
            <w:tcW w:w="685" w:type="dxa"/>
          </w:tcPr>
          <w:p w14:paraId="1C662D2B" w14:textId="77777777" w:rsidR="00076C5C" w:rsidRPr="00091A98" w:rsidRDefault="00076C5C" w:rsidP="00076C5C">
            <w:pPr>
              <w:spacing w:before="120"/>
              <w:jc w:val="center"/>
              <w:rPr>
                <w:rFonts w:ascii="Calibri" w:hAnsi="Calibri" w:cs="Times New Roman"/>
                <w:lang w:val="de-CH"/>
              </w:rPr>
            </w:pPr>
          </w:p>
        </w:tc>
        <w:tc>
          <w:tcPr>
            <w:tcW w:w="685" w:type="dxa"/>
            <w:tcBorders>
              <w:bottom w:val="single" w:sz="4" w:space="0" w:color="auto"/>
            </w:tcBorders>
          </w:tcPr>
          <w:p w14:paraId="16DF95D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Pr>
          <w:p w14:paraId="1A848DC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Pr>
          <w:p w14:paraId="6A3F22D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Pr>
          <w:p w14:paraId="13288A5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Borders>
              <w:right w:val="single" w:sz="4" w:space="0" w:color="auto"/>
            </w:tcBorders>
          </w:tcPr>
          <w:p w14:paraId="1551001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76" w:type="dxa"/>
            <w:tcBorders>
              <w:top w:val="nil"/>
              <w:left w:val="single" w:sz="4" w:space="0" w:color="auto"/>
              <w:bottom w:val="nil"/>
              <w:right w:val="single" w:sz="4" w:space="0" w:color="auto"/>
            </w:tcBorders>
          </w:tcPr>
          <w:p w14:paraId="5F7CE77D"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55C999A6" w14:textId="77777777" w:rsidR="00076C5C" w:rsidRPr="00091A98" w:rsidRDefault="00076C5C" w:rsidP="00076C5C">
            <w:pPr>
              <w:spacing w:before="120"/>
              <w:jc w:val="center"/>
              <w:rPr>
                <w:rFonts w:ascii="Calibri" w:hAnsi="Calibri" w:cs="Times New Roman"/>
                <w:lang w:val="de-CH"/>
              </w:rPr>
            </w:pPr>
          </w:p>
        </w:tc>
        <w:tc>
          <w:tcPr>
            <w:tcW w:w="686" w:type="dxa"/>
            <w:tcBorders>
              <w:left w:val="single" w:sz="4" w:space="0" w:color="auto"/>
              <w:bottom w:val="single" w:sz="4" w:space="0" w:color="auto"/>
            </w:tcBorders>
          </w:tcPr>
          <w:p w14:paraId="32185D1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Pr>
          <w:p w14:paraId="6BB7B80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Pr>
          <w:p w14:paraId="021CF19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Pr>
          <w:p w14:paraId="2B6CF51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Pr>
          <w:p w14:paraId="0E04296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r>
      <w:tr w:rsidR="00076C5C" w:rsidRPr="00091A98" w14:paraId="72E131F1" w14:textId="77777777" w:rsidTr="00076C5C">
        <w:trPr>
          <w:trHeight w:val="454"/>
        </w:trPr>
        <w:tc>
          <w:tcPr>
            <w:tcW w:w="685" w:type="dxa"/>
          </w:tcPr>
          <w:p w14:paraId="5E8C381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5" w:type="dxa"/>
            <w:tcBorders>
              <w:tl2br w:val="single" w:sz="4" w:space="0" w:color="auto"/>
              <w:tr2bl w:val="single" w:sz="4" w:space="0" w:color="auto"/>
            </w:tcBorders>
          </w:tcPr>
          <w:p w14:paraId="44508DF1"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61622A3E" w14:textId="77777777" w:rsidR="00076C5C" w:rsidRPr="00091A98" w:rsidRDefault="00076C5C" w:rsidP="00076C5C">
            <w:pPr>
              <w:spacing w:before="120"/>
              <w:jc w:val="center"/>
              <w:rPr>
                <w:rFonts w:ascii="Calibri" w:hAnsi="Calibri" w:cs="Times New Roman"/>
                <w:lang w:val="de-CH"/>
              </w:rPr>
            </w:pPr>
          </w:p>
        </w:tc>
        <w:tc>
          <w:tcPr>
            <w:tcW w:w="686" w:type="dxa"/>
          </w:tcPr>
          <w:p w14:paraId="0DFB889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05B4745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76E09CE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76" w:type="dxa"/>
            <w:tcBorders>
              <w:top w:val="nil"/>
              <w:left w:val="single" w:sz="4" w:space="0" w:color="auto"/>
              <w:bottom w:val="nil"/>
              <w:right w:val="single" w:sz="4" w:space="0" w:color="auto"/>
            </w:tcBorders>
          </w:tcPr>
          <w:p w14:paraId="21F11015"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3802C35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Borders>
              <w:left w:val="single" w:sz="4" w:space="0" w:color="auto"/>
              <w:tl2br w:val="single" w:sz="4" w:space="0" w:color="auto"/>
              <w:tr2bl w:val="single" w:sz="4" w:space="0" w:color="auto"/>
            </w:tcBorders>
          </w:tcPr>
          <w:p w14:paraId="5D0C5537"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3D2E07C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9EE481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3550ADE4"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732BD04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0501867C" w14:textId="77777777" w:rsidTr="00076C5C">
        <w:trPr>
          <w:trHeight w:val="454"/>
        </w:trPr>
        <w:tc>
          <w:tcPr>
            <w:tcW w:w="685" w:type="dxa"/>
          </w:tcPr>
          <w:p w14:paraId="4445CCC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5" w:type="dxa"/>
          </w:tcPr>
          <w:p w14:paraId="44CDF397" w14:textId="77777777" w:rsidR="00076C5C" w:rsidRPr="00091A98" w:rsidRDefault="00076C5C" w:rsidP="00076C5C">
            <w:pPr>
              <w:spacing w:before="120"/>
              <w:jc w:val="center"/>
              <w:rPr>
                <w:rFonts w:ascii="Calibri" w:hAnsi="Calibri" w:cs="Times New Roman"/>
                <w:lang w:val="de-CH"/>
              </w:rPr>
            </w:pPr>
          </w:p>
        </w:tc>
        <w:tc>
          <w:tcPr>
            <w:tcW w:w="686" w:type="dxa"/>
            <w:tcBorders>
              <w:tl2br w:val="single" w:sz="4" w:space="0" w:color="auto"/>
              <w:tr2bl w:val="single" w:sz="4" w:space="0" w:color="auto"/>
            </w:tcBorders>
          </w:tcPr>
          <w:p w14:paraId="2C06C704"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1B0DB22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777869D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6182527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76" w:type="dxa"/>
            <w:tcBorders>
              <w:top w:val="nil"/>
              <w:left w:val="single" w:sz="4" w:space="0" w:color="auto"/>
              <w:bottom w:val="nil"/>
              <w:right w:val="single" w:sz="4" w:space="0" w:color="auto"/>
            </w:tcBorders>
          </w:tcPr>
          <w:p w14:paraId="5FA2CA4A"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03376D0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Borders>
              <w:left w:val="single" w:sz="4" w:space="0" w:color="auto"/>
            </w:tcBorders>
          </w:tcPr>
          <w:p w14:paraId="005E477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3BE944C1"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7EFF6F6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860D2E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5889D2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3D6E676B" w14:textId="77777777" w:rsidTr="00076C5C">
        <w:trPr>
          <w:trHeight w:val="454"/>
        </w:trPr>
        <w:tc>
          <w:tcPr>
            <w:tcW w:w="685" w:type="dxa"/>
          </w:tcPr>
          <w:p w14:paraId="2691080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5" w:type="dxa"/>
          </w:tcPr>
          <w:p w14:paraId="24EEE61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7BFDD47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53CE0BAA"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22A2589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492D7EE8"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716A7341"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1BD470D0"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Borders>
              <w:left w:val="single" w:sz="4" w:space="0" w:color="auto"/>
            </w:tcBorders>
          </w:tcPr>
          <w:p w14:paraId="3FF89A2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3F3DB12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3CC2758B"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0B2434C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070A9E7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3955CC92" w14:textId="77777777" w:rsidTr="00076C5C">
        <w:trPr>
          <w:trHeight w:val="454"/>
        </w:trPr>
        <w:tc>
          <w:tcPr>
            <w:tcW w:w="685" w:type="dxa"/>
          </w:tcPr>
          <w:p w14:paraId="4F82371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5" w:type="dxa"/>
          </w:tcPr>
          <w:p w14:paraId="5187F7D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683C03C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616A52EB"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46FBE8D9"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right w:val="single" w:sz="4" w:space="0" w:color="auto"/>
            </w:tcBorders>
          </w:tcPr>
          <w:p w14:paraId="4920A0C0"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03C3D061"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0A1DB890"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Borders>
              <w:left w:val="single" w:sz="4" w:space="0" w:color="auto"/>
            </w:tcBorders>
          </w:tcPr>
          <w:p w14:paraId="313E1CF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36E91EF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855ECA2"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0363C2D8"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2536909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2E321427" w14:textId="77777777" w:rsidTr="00076C5C">
        <w:trPr>
          <w:trHeight w:val="454"/>
        </w:trPr>
        <w:tc>
          <w:tcPr>
            <w:tcW w:w="685" w:type="dxa"/>
            <w:tcBorders>
              <w:bottom w:val="single" w:sz="4" w:space="0" w:color="auto"/>
            </w:tcBorders>
          </w:tcPr>
          <w:p w14:paraId="2B95BD1B"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85" w:type="dxa"/>
            <w:tcBorders>
              <w:bottom w:val="single" w:sz="4" w:space="0" w:color="auto"/>
            </w:tcBorders>
          </w:tcPr>
          <w:p w14:paraId="2A8473E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cBorders>
          </w:tcPr>
          <w:p w14:paraId="365F162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cBorders>
          </w:tcPr>
          <w:p w14:paraId="78E1703D"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7B9BDC74"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right w:val="single" w:sz="4" w:space="0" w:color="auto"/>
              <w:tl2br w:val="single" w:sz="4" w:space="0" w:color="auto"/>
              <w:tr2bl w:val="single" w:sz="4" w:space="0" w:color="auto"/>
            </w:tcBorders>
          </w:tcPr>
          <w:p w14:paraId="25653791"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37117F08"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bottom w:val="single" w:sz="4" w:space="0" w:color="auto"/>
              <w:right w:val="single" w:sz="4" w:space="0" w:color="auto"/>
            </w:tcBorders>
          </w:tcPr>
          <w:p w14:paraId="35432914"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86" w:type="dxa"/>
            <w:tcBorders>
              <w:left w:val="single" w:sz="4" w:space="0" w:color="auto"/>
              <w:bottom w:val="single" w:sz="4" w:space="0" w:color="auto"/>
            </w:tcBorders>
          </w:tcPr>
          <w:p w14:paraId="6C8BAF9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cBorders>
          </w:tcPr>
          <w:p w14:paraId="45DB3C92"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cBorders>
          </w:tcPr>
          <w:p w14:paraId="06AF804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cBorders>
          </w:tcPr>
          <w:p w14:paraId="15D942CB"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bottom w:val="single" w:sz="4" w:space="0" w:color="auto"/>
              <w:tl2br w:val="single" w:sz="4" w:space="0" w:color="auto"/>
              <w:tr2bl w:val="single" w:sz="4" w:space="0" w:color="auto"/>
            </w:tcBorders>
          </w:tcPr>
          <w:p w14:paraId="4AE42A28" w14:textId="77777777" w:rsidR="00076C5C" w:rsidRPr="00091A98" w:rsidRDefault="00076C5C" w:rsidP="00076C5C">
            <w:pPr>
              <w:spacing w:before="120"/>
              <w:jc w:val="center"/>
              <w:rPr>
                <w:rFonts w:ascii="Calibri" w:hAnsi="Calibri" w:cs="Times New Roman"/>
                <w:lang w:val="de-CH"/>
              </w:rPr>
            </w:pPr>
          </w:p>
        </w:tc>
      </w:tr>
      <w:tr w:rsidR="00076C5C" w:rsidRPr="00091A98" w14:paraId="3D123BA1" w14:textId="77777777" w:rsidTr="00076C5C">
        <w:trPr>
          <w:trHeight w:val="454"/>
        </w:trPr>
        <w:tc>
          <w:tcPr>
            <w:tcW w:w="4114" w:type="dxa"/>
            <w:gridSpan w:val="6"/>
            <w:tcBorders>
              <w:left w:val="nil"/>
              <w:right w:val="nil"/>
            </w:tcBorders>
            <w:vAlign w:val="bottom"/>
          </w:tcPr>
          <w:p w14:paraId="523BEAEB" w14:textId="77777777" w:rsidR="00076C5C" w:rsidRPr="00091A98" w:rsidRDefault="00076C5C" w:rsidP="00076C5C">
            <w:pPr>
              <w:jc w:val="center"/>
              <w:rPr>
                <w:rFonts w:ascii="Calibri" w:hAnsi="Calibri" w:cs="Times New Roman"/>
                <w:b/>
                <w:lang w:val="de-CH"/>
              </w:rPr>
            </w:pPr>
            <w:r w:rsidRPr="00091A98">
              <w:rPr>
                <w:rFonts w:ascii="Calibri" w:hAnsi="Calibri" w:cs="Times New Roman"/>
                <w:b/>
                <w:lang w:val="de-CH"/>
              </w:rPr>
              <w:t>Medien</w:t>
            </w:r>
          </w:p>
        </w:tc>
        <w:tc>
          <w:tcPr>
            <w:tcW w:w="676" w:type="dxa"/>
            <w:tcBorders>
              <w:top w:val="nil"/>
              <w:left w:val="nil"/>
              <w:bottom w:val="nil"/>
              <w:right w:val="nil"/>
            </w:tcBorders>
            <w:vAlign w:val="bottom"/>
          </w:tcPr>
          <w:p w14:paraId="5FB00F89" w14:textId="77777777" w:rsidR="00076C5C" w:rsidRPr="00091A98" w:rsidRDefault="00076C5C" w:rsidP="00076C5C">
            <w:pPr>
              <w:jc w:val="center"/>
              <w:rPr>
                <w:rFonts w:ascii="Calibri" w:hAnsi="Calibri" w:cs="Times New Roman"/>
                <w:lang w:val="de-CH"/>
              </w:rPr>
            </w:pPr>
          </w:p>
        </w:tc>
        <w:tc>
          <w:tcPr>
            <w:tcW w:w="4106" w:type="dxa"/>
            <w:gridSpan w:val="6"/>
            <w:tcBorders>
              <w:top w:val="single" w:sz="4" w:space="0" w:color="auto"/>
              <w:left w:val="nil"/>
              <w:right w:val="nil"/>
            </w:tcBorders>
            <w:vAlign w:val="bottom"/>
          </w:tcPr>
          <w:p w14:paraId="0050F6A1" w14:textId="77777777" w:rsidR="00076C5C" w:rsidRPr="00091A98" w:rsidRDefault="00076C5C" w:rsidP="00076C5C">
            <w:pPr>
              <w:jc w:val="center"/>
              <w:rPr>
                <w:rFonts w:ascii="Calibri" w:hAnsi="Calibri" w:cs="Times New Roman"/>
                <w:b/>
                <w:lang w:val="de-CH"/>
              </w:rPr>
            </w:pPr>
            <w:r w:rsidRPr="00091A98">
              <w:rPr>
                <w:rFonts w:ascii="Calibri" w:hAnsi="Calibri" w:cs="Times New Roman"/>
                <w:b/>
                <w:lang w:val="de-CH"/>
              </w:rPr>
              <w:t>Bürger</w:t>
            </w:r>
          </w:p>
        </w:tc>
      </w:tr>
      <w:tr w:rsidR="00076C5C" w:rsidRPr="00091A98" w14:paraId="4F37FAED" w14:textId="77777777" w:rsidTr="00076C5C">
        <w:trPr>
          <w:trHeight w:val="454"/>
        </w:trPr>
        <w:tc>
          <w:tcPr>
            <w:tcW w:w="685" w:type="dxa"/>
          </w:tcPr>
          <w:p w14:paraId="7F8671B8" w14:textId="77777777" w:rsidR="00076C5C" w:rsidRPr="00091A98" w:rsidRDefault="00076C5C" w:rsidP="00076C5C">
            <w:pPr>
              <w:spacing w:before="120"/>
              <w:jc w:val="center"/>
              <w:rPr>
                <w:rFonts w:ascii="Calibri" w:hAnsi="Calibri" w:cs="Times New Roman"/>
                <w:lang w:val="de-CH"/>
              </w:rPr>
            </w:pPr>
          </w:p>
        </w:tc>
        <w:tc>
          <w:tcPr>
            <w:tcW w:w="685" w:type="dxa"/>
            <w:tcBorders>
              <w:bottom w:val="single" w:sz="4" w:space="0" w:color="auto"/>
            </w:tcBorders>
          </w:tcPr>
          <w:p w14:paraId="63C58D1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Pr>
          <w:p w14:paraId="2CC27EE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Pr>
          <w:p w14:paraId="3C8B2BB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Pr>
          <w:p w14:paraId="42184C5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Borders>
              <w:right w:val="single" w:sz="4" w:space="0" w:color="auto"/>
            </w:tcBorders>
          </w:tcPr>
          <w:p w14:paraId="3934948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76" w:type="dxa"/>
            <w:tcBorders>
              <w:top w:val="nil"/>
              <w:left w:val="single" w:sz="4" w:space="0" w:color="auto"/>
              <w:bottom w:val="nil"/>
              <w:right w:val="single" w:sz="4" w:space="0" w:color="auto"/>
            </w:tcBorders>
          </w:tcPr>
          <w:p w14:paraId="31337F86"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1FB00828" w14:textId="77777777" w:rsidR="00076C5C" w:rsidRPr="00091A98" w:rsidRDefault="00076C5C" w:rsidP="00076C5C">
            <w:pPr>
              <w:spacing w:before="120"/>
              <w:jc w:val="center"/>
              <w:rPr>
                <w:rFonts w:ascii="Calibri" w:hAnsi="Calibri" w:cs="Times New Roman"/>
                <w:lang w:val="de-CH"/>
              </w:rPr>
            </w:pPr>
          </w:p>
        </w:tc>
        <w:tc>
          <w:tcPr>
            <w:tcW w:w="686" w:type="dxa"/>
            <w:tcBorders>
              <w:left w:val="single" w:sz="4" w:space="0" w:color="auto"/>
              <w:bottom w:val="single" w:sz="4" w:space="0" w:color="auto"/>
            </w:tcBorders>
          </w:tcPr>
          <w:p w14:paraId="3F359D2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Pr>
          <w:p w14:paraId="06DACAF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Pr>
          <w:p w14:paraId="12A951DB"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Pr>
          <w:p w14:paraId="04B5F62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Pr>
          <w:p w14:paraId="53B12DD4"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r>
      <w:tr w:rsidR="00076C5C" w:rsidRPr="00091A98" w14:paraId="606F564F" w14:textId="77777777" w:rsidTr="00076C5C">
        <w:trPr>
          <w:trHeight w:val="454"/>
        </w:trPr>
        <w:tc>
          <w:tcPr>
            <w:tcW w:w="685" w:type="dxa"/>
          </w:tcPr>
          <w:p w14:paraId="31A238E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5" w:type="dxa"/>
            <w:tcBorders>
              <w:tl2br w:val="single" w:sz="4" w:space="0" w:color="auto"/>
              <w:tr2bl w:val="single" w:sz="4" w:space="0" w:color="auto"/>
            </w:tcBorders>
          </w:tcPr>
          <w:p w14:paraId="376ECC57"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30A20331" w14:textId="77777777" w:rsidR="00076C5C" w:rsidRPr="00091A98" w:rsidRDefault="00076C5C" w:rsidP="00076C5C">
            <w:pPr>
              <w:spacing w:before="120"/>
              <w:jc w:val="center"/>
              <w:rPr>
                <w:rFonts w:ascii="Calibri" w:hAnsi="Calibri" w:cs="Times New Roman"/>
                <w:lang w:val="de-CH"/>
              </w:rPr>
            </w:pPr>
          </w:p>
        </w:tc>
        <w:tc>
          <w:tcPr>
            <w:tcW w:w="686" w:type="dxa"/>
          </w:tcPr>
          <w:p w14:paraId="5261439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786BF5E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60C5F2F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76" w:type="dxa"/>
            <w:tcBorders>
              <w:top w:val="nil"/>
              <w:left w:val="single" w:sz="4" w:space="0" w:color="auto"/>
              <w:bottom w:val="nil"/>
              <w:right w:val="single" w:sz="4" w:space="0" w:color="auto"/>
            </w:tcBorders>
          </w:tcPr>
          <w:p w14:paraId="2506C95F"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1067FA9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1</w:t>
            </w:r>
          </w:p>
        </w:tc>
        <w:tc>
          <w:tcPr>
            <w:tcW w:w="686" w:type="dxa"/>
            <w:tcBorders>
              <w:left w:val="single" w:sz="4" w:space="0" w:color="auto"/>
              <w:tl2br w:val="single" w:sz="4" w:space="0" w:color="auto"/>
              <w:tr2bl w:val="single" w:sz="4" w:space="0" w:color="auto"/>
            </w:tcBorders>
          </w:tcPr>
          <w:p w14:paraId="0005F5E3"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7FB6B651" w14:textId="77777777" w:rsidR="00076C5C" w:rsidRPr="00091A98" w:rsidRDefault="00076C5C" w:rsidP="00076C5C">
            <w:pPr>
              <w:spacing w:before="120"/>
              <w:jc w:val="center"/>
              <w:rPr>
                <w:rFonts w:ascii="Calibri" w:hAnsi="Calibri" w:cs="Times New Roman"/>
                <w:lang w:val="de-CH"/>
              </w:rPr>
            </w:pPr>
          </w:p>
        </w:tc>
        <w:tc>
          <w:tcPr>
            <w:tcW w:w="686" w:type="dxa"/>
          </w:tcPr>
          <w:p w14:paraId="1F7D2BC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00442C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5E82F14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1282A415" w14:textId="77777777" w:rsidTr="00076C5C">
        <w:trPr>
          <w:trHeight w:val="454"/>
        </w:trPr>
        <w:tc>
          <w:tcPr>
            <w:tcW w:w="685" w:type="dxa"/>
          </w:tcPr>
          <w:p w14:paraId="2A4EF7E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5" w:type="dxa"/>
          </w:tcPr>
          <w:p w14:paraId="328945A4" w14:textId="77777777" w:rsidR="00076C5C" w:rsidRPr="00091A98" w:rsidRDefault="00076C5C" w:rsidP="00076C5C">
            <w:pPr>
              <w:spacing w:before="120"/>
              <w:jc w:val="center"/>
              <w:rPr>
                <w:rFonts w:ascii="Calibri" w:hAnsi="Calibri" w:cs="Times New Roman"/>
                <w:lang w:val="de-CH"/>
              </w:rPr>
            </w:pPr>
          </w:p>
        </w:tc>
        <w:tc>
          <w:tcPr>
            <w:tcW w:w="686" w:type="dxa"/>
            <w:tcBorders>
              <w:tl2br w:val="single" w:sz="4" w:space="0" w:color="auto"/>
              <w:tr2bl w:val="single" w:sz="4" w:space="0" w:color="auto"/>
            </w:tcBorders>
          </w:tcPr>
          <w:p w14:paraId="57416D8F"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0414DDA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2F87BC7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0556CE12"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76" w:type="dxa"/>
            <w:tcBorders>
              <w:top w:val="nil"/>
              <w:left w:val="single" w:sz="4" w:space="0" w:color="auto"/>
              <w:bottom w:val="nil"/>
              <w:right w:val="single" w:sz="4" w:space="0" w:color="auto"/>
            </w:tcBorders>
          </w:tcPr>
          <w:p w14:paraId="6E2C4707"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33ADC41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2</w:t>
            </w:r>
          </w:p>
        </w:tc>
        <w:tc>
          <w:tcPr>
            <w:tcW w:w="686" w:type="dxa"/>
            <w:tcBorders>
              <w:left w:val="single" w:sz="4" w:space="0" w:color="auto"/>
            </w:tcBorders>
          </w:tcPr>
          <w:p w14:paraId="2C496E05" w14:textId="77777777" w:rsidR="00076C5C" w:rsidRPr="00091A98" w:rsidRDefault="00076C5C" w:rsidP="00076C5C">
            <w:pPr>
              <w:spacing w:before="120"/>
              <w:jc w:val="center"/>
              <w:rPr>
                <w:rFonts w:ascii="Calibri" w:hAnsi="Calibri" w:cs="Times New Roman"/>
                <w:lang w:val="de-CH"/>
              </w:rPr>
            </w:pPr>
          </w:p>
        </w:tc>
        <w:tc>
          <w:tcPr>
            <w:tcW w:w="686" w:type="dxa"/>
            <w:tcBorders>
              <w:tl2br w:val="single" w:sz="4" w:space="0" w:color="auto"/>
              <w:tr2bl w:val="single" w:sz="4" w:space="0" w:color="auto"/>
            </w:tcBorders>
          </w:tcPr>
          <w:p w14:paraId="180E755C"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7DB8FF1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3D1F302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708752D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07B3079D" w14:textId="77777777" w:rsidTr="00076C5C">
        <w:trPr>
          <w:trHeight w:val="454"/>
        </w:trPr>
        <w:tc>
          <w:tcPr>
            <w:tcW w:w="685" w:type="dxa"/>
          </w:tcPr>
          <w:p w14:paraId="38DD6B4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5" w:type="dxa"/>
          </w:tcPr>
          <w:p w14:paraId="216A7996"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0CC738B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51D6F043"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3DCC0DE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right w:val="single" w:sz="4" w:space="0" w:color="auto"/>
            </w:tcBorders>
          </w:tcPr>
          <w:p w14:paraId="583D853F"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4B2D9C2D"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2FCD3F7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3</w:t>
            </w:r>
          </w:p>
        </w:tc>
        <w:tc>
          <w:tcPr>
            <w:tcW w:w="686" w:type="dxa"/>
            <w:tcBorders>
              <w:left w:val="single" w:sz="4" w:space="0" w:color="auto"/>
            </w:tcBorders>
          </w:tcPr>
          <w:p w14:paraId="70089F41"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15D27774"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463D53EA"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39C90961" w14:textId="77777777" w:rsidR="00076C5C" w:rsidRPr="00091A98" w:rsidRDefault="00076C5C" w:rsidP="00076C5C">
            <w:pPr>
              <w:spacing w:before="120"/>
              <w:jc w:val="center"/>
              <w:rPr>
                <w:rFonts w:ascii="Calibri" w:hAnsi="Calibri" w:cs="Times New Roman"/>
                <w:lang w:val="de-CH"/>
              </w:rPr>
            </w:pPr>
          </w:p>
        </w:tc>
        <w:tc>
          <w:tcPr>
            <w:tcW w:w="686" w:type="dxa"/>
          </w:tcPr>
          <w:p w14:paraId="7079B21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4D5EAFE8" w14:textId="77777777" w:rsidTr="00076C5C">
        <w:trPr>
          <w:trHeight w:val="454"/>
        </w:trPr>
        <w:tc>
          <w:tcPr>
            <w:tcW w:w="685" w:type="dxa"/>
          </w:tcPr>
          <w:p w14:paraId="7A37B5EC"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5" w:type="dxa"/>
          </w:tcPr>
          <w:p w14:paraId="464B1F2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4AF74E9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0C9004BA"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0C121AAE"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right w:val="single" w:sz="4" w:space="0" w:color="auto"/>
            </w:tcBorders>
          </w:tcPr>
          <w:p w14:paraId="2D964726"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793450A5"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6706D3F5"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4</w:t>
            </w:r>
          </w:p>
        </w:tc>
        <w:tc>
          <w:tcPr>
            <w:tcW w:w="686" w:type="dxa"/>
            <w:tcBorders>
              <w:left w:val="single" w:sz="4" w:space="0" w:color="auto"/>
            </w:tcBorders>
          </w:tcPr>
          <w:p w14:paraId="0BFE4E5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360F8458"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0C54F4AC" w14:textId="77777777" w:rsidR="00076C5C" w:rsidRPr="00091A98" w:rsidRDefault="00076C5C" w:rsidP="00076C5C">
            <w:pPr>
              <w:spacing w:before="120"/>
              <w:jc w:val="center"/>
              <w:rPr>
                <w:rFonts w:ascii="Calibri" w:hAnsi="Calibri" w:cs="Times New Roman"/>
                <w:lang w:val="de-CH"/>
              </w:rPr>
            </w:pPr>
          </w:p>
        </w:tc>
        <w:tc>
          <w:tcPr>
            <w:tcW w:w="686" w:type="dxa"/>
            <w:tcBorders>
              <w:tl2br w:val="single" w:sz="4" w:space="0" w:color="auto"/>
              <w:tr2bl w:val="single" w:sz="4" w:space="0" w:color="auto"/>
            </w:tcBorders>
          </w:tcPr>
          <w:p w14:paraId="323B0FA6" w14:textId="77777777" w:rsidR="00076C5C" w:rsidRPr="00091A98" w:rsidRDefault="00076C5C" w:rsidP="00076C5C">
            <w:pPr>
              <w:spacing w:before="120"/>
              <w:jc w:val="center"/>
              <w:rPr>
                <w:rFonts w:ascii="Calibri" w:hAnsi="Calibri" w:cs="Times New Roman"/>
                <w:lang w:val="de-CH"/>
              </w:rPr>
            </w:pPr>
          </w:p>
        </w:tc>
        <w:tc>
          <w:tcPr>
            <w:tcW w:w="686" w:type="dxa"/>
            <w:tcBorders>
              <w:bottom w:val="single" w:sz="4" w:space="0" w:color="auto"/>
            </w:tcBorders>
          </w:tcPr>
          <w:p w14:paraId="1ED430B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r>
      <w:tr w:rsidR="00076C5C" w:rsidRPr="00091A98" w14:paraId="788D99BB" w14:textId="77777777" w:rsidTr="00076C5C">
        <w:trPr>
          <w:trHeight w:val="454"/>
        </w:trPr>
        <w:tc>
          <w:tcPr>
            <w:tcW w:w="685" w:type="dxa"/>
          </w:tcPr>
          <w:p w14:paraId="448F2AAD"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85" w:type="dxa"/>
          </w:tcPr>
          <w:p w14:paraId="43650F0E"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16FF6E9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604377C4" w14:textId="77777777" w:rsidR="00076C5C" w:rsidRPr="00091A98" w:rsidRDefault="00076C5C" w:rsidP="00076C5C">
            <w:pPr>
              <w:spacing w:before="120"/>
              <w:jc w:val="center"/>
              <w:rPr>
                <w:rFonts w:ascii="Calibri" w:hAnsi="Calibri" w:cs="Times New Roman"/>
                <w:lang w:val="de-CH"/>
              </w:rPr>
            </w:pPr>
          </w:p>
        </w:tc>
        <w:tc>
          <w:tcPr>
            <w:tcW w:w="686" w:type="dxa"/>
          </w:tcPr>
          <w:p w14:paraId="17568847" w14:textId="77777777" w:rsidR="00076C5C" w:rsidRPr="00091A98" w:rsidRDefault="00076C5C" w:rsidP="00076C5C">
            <w:pPr>
              <w:spacing w:before="120"/>
              <w:jc w:val="center"/>
              <w:rPr>
                <w:rFonts w:ascii="Calibri" w:hAnsi="Calibri" w:cs="Times New Roman"/>
                <w:lang w:val="de-CH"/>
              </w:rPr>
            </w:pPr>
          </w:p>
        </w:tc>
        <w:tc>
          <w:tcPr>
            <w:tcW w:w="686" w:type="dxa"/>
            <w:tcBorders>
              <w:right w:val="single" w:sz="4" w:space="0" w:color="auto"/>
              <w:tl2br w:val="single" w:sz="4" w:space="0" w:color="auto"/>
              <w:tr2bl w:val="single" w:sz="4" w:space="0" w:color="auto"/>
            </w:tcBorders>
          </w:tcPr>
          <w:p w14:paraId="6DB6B8BF" w14:textId="77777777" w:rsidR="00076C5C" w:rsidRPr="00091A98" w:rsidRDefault="00076C5C" w:rsidP="00076C5C">
            <w:pPr>
              <w:spacing w:before="120"/>
              <w:jc w:val="center"/>
              <w:rPr>
                <w:rFonts w:ascii="Calibri" w:hAnsi="Calibri" w:cs="Times New Roman"/>
                <w:lang w:val="de-CH"/>
              </w:rPr>
            </w:pPr>
          </w:p>
        </w:tc>
        <w:tc>
          <w:tcPr>
            <w:tcW w:w="676" w:type="dxa"/>
            <w:tcBorders>
              <w:top w:val="nil"/>
              <w:left w:val="single" w:sz="4" w:space="0" w:color="auto"/>
              <w:bottom w:val="nil"/>
              <w:right w:val="single" w:sz="4" w:space="0" w:color="auto"/>
            </w:tcBorders>
          </w:tcPr>
          <w:p w14:paraId="15DA76FE" w14:textId="77777777" w:rsidR="00076C5C" w:rsidRPr="00091A98" w:rsidRDefault="00076C5C" w:rsidP="00076C5C">
            <w:pPr>
              <w:spacing w:before="120"/>
              <w:jc w:val="center"/>
              <w:rPr>
                <w:rFonts w:ascii="Calibri" w:hAnsi="Calibri" w:cs="Times New Roman"/>
                <w:lang w:val="de-CH"/>
              </w:rPr>
            </w:pPr>
          </w:p>
        </w:tc>
        <w:tc>
          <w:tcPr>
            <w:tcW w:w="676" w:type="dxa"/>
            <w:tcBorders>
              <w:left w:val="single" w:sz="4" w:space="0" w:color="auto"/>
              <w:right w:val="single" w:sz="4" w:space="0" w:color="auto"/>
            </w:tcBorders>
          </w:tcPr>
          <w:p w14:paraId="7913AEA2"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5</w:t>
            </w:r>
          </w:p>
        </w:tc>
        <w:tc>
          <w:tcPr>
            <w:tcW w:w="686" w:type="dxa"/>
            <w:tcBorders>
              <w:left w:val="single" w:sz="4" w:space="0" w:color="auto"/>
            </w:tcBorders>
          </w:tcPr>
          <w:p w14:paraId="031F7E2F"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6A3871F7"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127906F9"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Pr>
          <w:p w14:paraId="480D3AB3" w14:textId="77777777" w:rsidR="00076C5C" w:rsidRPr="00091A98" w:rsidRDefault="00076C5C" w:rsidP="00076C5C">
            <w:pPr>
              <w:spacing w:before="120"/>
              <w:jc w:val="center"/>
              <w:rPr>
                <w:rFonts w:ascii="Calibri" w:hAnsi="Calibri" w:cs="Times New Roman"/>
                <w:lang w:val="de-CH"/>
              </w:rPr>
            </w:pPr>
            <w:r w:rsidRPr="00091A98">
              <w:rPr>
                <w:rFonts w:ascii="Calibri" w:hAnsi="Calibri" w:cs="Times New Roman"/>
                <w:lang w:val="de-CH"/>
              </w:rPr>
              <w:t>**</w:t>
            </w:r>
          </w:p>
        </w:tc>
        <w:tc>
          <w:tcPr>
            <w:tcW w:w="686" w:type="dxa"/>
            <w:tcBorders>
              <w:tl2br w:val="single" w:sz="4" w:space="0" w:color="auto"/>
              <w:tr2bl w:val="single" w:sz="4" w:space="0" w:color="auto"/>
            </w:tcBorders>
          </w:tcPr>
          <w:p w14:paraId="3E91C05E" w14:textId="77777777" w:rsidR="00076C5C" w:rsidRPr="00091A98" w:rsidRDefault="00076C5C" w:rsidP="00076C5C">
            <w:pPr>
              <w:spacing w:before="120"/>
              <w:jc w:val="center"/>
              <w:rPr>
                <w:rFonts w:ascii="Calibri" w:hAnsi="Calibri" w:cs="Times New Roman"/>
                <w:lang w:val="de-CH"/>
              </w:rPr>
            </w:pPr>
          </w:p>
        </w:tc>
      </w:tr>
    </w:tbl>
    <w:p w14:paraId="6B4F94FD" w14:textId="79C40EBB" w:rsidR="00076C5C" w:rsidRPr="00091A98" w:rsidRDefault="00D62BB3" w:rsidP="00076C5C">
      <w:pPr>
        <w:spacing w:before="60" w:after="200" w:line="276" w:lineRule="auto"/>
        <w:ind w:left="284"/>
        <w:rPr>
          <w:rFonts w:ascii="Calibri" w:eastAsia="Calibri" w:hAnsi="Calibri" w:cs="Times New Roman"/>
          <w:sz w:val="22"/>
          <w:szCs w:val="22"/>
          <w:lang w:val="de-CH" w:eastAsia="en-US"/>
        </w:rPr>
      </w:pPr>
      <w:r>
        <w:rPr>
          <w:rFonts w:ascii="Calibri" w:eastAsia="Calibri" w:hAnsi="Calibri" w:cs="Times New Roman"/>
          <w:sz w:val="22"/>
          <w:szCs w:val="22"/>
          <w:lang w:val="de-CH" w:eastAsia="en-US"/>
        </w:rPr>
        <w:t>*p&lt;0.1; **p&lt;0.05; ***p&lt;0.</w:t>
      </w:r>
      <w:r w:rsidR="00076C5C" w:rsidRPr="00091A98">
        <w:rPr>
          <w:rFonts w:ascii="Calibri" w:eastAsia="Calibri" w:hAnsi="Calibri" w:cs="Times New Roman"/>
          <w:sz w:val="22"/>
          <w:szCs w:val="22"/>
          <w:lang w:val="de-CH" w:eastAsia="en-US"/>
        </w:rPr>
        <w:t>01</w:t>
      </w:r>
    </w:p>
    <w:p w14:paraId="6713AA10" w14:textId="77777777" w:rsidR="00076C5C" w:rsidRPr="00091A98" w:rsidRDefault="00076C5C" w:rsidP="00076C5C">
      <w:pPr>
        <w:spacing w:before="60" w:after="120" w:line="276" w:lineRule="auto"/>
        <w:ind w:left="284"/>
        <w:rPr>
          <w:rFonts w:ascii="Calibri" w:eastAsia="Calibri" w:hAnsi="Calibri" w:cs="Times New Roman"/>
          <w:sz w:val="22"/>
          <w:szCs w:val="22"/>
          <w:lang w:val="de-CH" w:eastAsia="en-US"/>
        </w:rPr>
      </w:pPr>
      <w:r w:rsidRPr="00091A98">
        <w:rPr>
          <w:rFonts w:ascii="Calibri" w:eastAsia="Calibri" w:hAnsi="Calibri" w:cs="Times New Roman"/>
          <w:i/>
          <w:sz w:val="22"/>
          <w:szCs w:val="22"/>
          <w:lang w:val="de-CH" w:eastAsia="en-US"/>
        </w:rPr>
        <w:t xml:space="preserve">Anm: </w:t>
      </w:r>
      <w:r w:rsidRPr="00091A98">
        <w:rPr>
          <w:rFonts w:ascii="Calibri" w:eastAsia="Calibri" w:hAnsi="Calibri" w:cs="Times New Roman"/>
          <w:sz w:val="22"/>
          <w:szCs w:val="22"/>
          <w:lang w:val="de-CH" w:eastAsia="en-US"/>
        </w:rPr>
        <w:t>Die Nummern in Spalten und Zeilen stehen für die fünf beschriebenen Kategorien der Wettbewerbsintensität. Damit lassen sich alle Kategorien für die ersten vier Modelle der Tabelle 3 direkt miteinander vergleichen. 1: Sehr schwacher Wettbewerb; 2: Schwacher Wettbewerb; 3: Mittelstarker Wettbewerb; 4: Starker Wettbewerb; 5: Sehr starker Wettbewerb.</w:t>
      </w:r>
    </w:p>
    <w:sectPr w:rsidR="00076C5C" w:rsidRPr="00091A98" w:rsidSect="002506CF">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1BDAE" w14:textId="77777777" w:rsidR="00D55E5A" w:rsidRDefault="00D55E5A" w:rsidP="009F5188">
      <w:r>
        <w:separator/>
      </w:r>
    </w:p>
  </w:endnote>
  <w:endnote w:type="continuationSeparator" w:id="0">
    <w:p w14:paraId="13677E76" w14:textId="77777777" w:rsidR="00D55E5A" w:rsidRDefault="00D55E5A" w:rsidP="009F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669293"/>
      <w:docPartObj>
        <w:docPartGallery w:val="Page Numbers (Bottom of Page)"/>
        <w:docPartUnique/>
      </w:docPartObj>
    </w:sdtPr>
    <w:sdtContent>
      <w:p w14:paraId="7D3B1980" w14:textId="77777777" w:rsidR="00D55E5A" w:rsidRDefault="00D55E5A">
        <w:pPr>
          <w:pStyle w:val="Fuzeile"/>
          <w:jc w:val="center"/>
        </w:pPr>
        <w:r>
          <w:fldChar w:fldCharType="begin"/>
        </w:r>
        <w:r>
          <w:instrText>PAGE   \* MERGEFORMAT</w:instrText>
        </w:r>
        <w:r>
          <w:fldChar w:fldCharType="separate"/>
        </w:r>
        <w:r w:rsidR="002A5776" w:rsidRPr="002A5776">
          <w:rPr>
            <w:noProof/>
            <w:lang w:val="de-DE"/>
          </w:rPr>
          <w:t>35</w:t>
        </w:r>
        <w:r>
          <w:fldChar w:fldCharType="end"/>
        </w:r>
      </w:p>
    </w:sdtContent>
  </w:sdt>
  <w:p w14:paraId="5F4E517D" w14:textId="77777777" w:rsidR="00D55E5A" w:rsidRDefault="00D55E5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73F8" w14:textId="77777777" w:rsidR="00D55E5A" w:rsidRDefault="00D55E5A" w:rsidP="009F5188">
      <w:r>
        <w:separator/>
      </w:r>
    </w:p>
  </w:footnote>
  <w:footnote w:type="continuationSeparator" w:id="0">
    <w:p w14:paraId="2BB9B6BC" w14:textId="77777777" w:rsidR="00D55E5A" w:rsidRDefault="00D55E5A" w:rsidP="009F5188">
      <w:r>
        <w:continuationSeparator/>
      </w:r>
    </w:p>
  </w:footnote>
  <w:footnote w:id="1">
    <w:p w14:paraId="0E45F5E2" w14:textId="5A514FCC" w:rsidR="00D55E5A" w:rsidRPr="001F6774" w:rsidRDefault="00D55E5A">
      <w:pPr>
        <w:pStyle w:val="Funotentext"/>
        <w:rPr>
          <w:lang w:val="de-CH"/>
        </w:rPr>
      </w:pPr>
      <w:r w:rsidRPr="001F6774">
        <w:rPr>
          <w:rStyle w:val="Funotenzeichen"/>
          <w:lang w:val="de-CH"/>
        </w:rPr>
        <w:footnoteRef/>
      </w:r>
      <w:r w:rsidRPr="001F6774">
        <w:rPr>
          <w:lang w:val="de-CH"/>
        </w:rPr>
        <w:t xml:space="preserve"> Die beiden Vereinfachungen eines Wettbewerbs von nur zwei Gruppen einerseits, eines Nullsummenspiels andererseits, wurden von Becker (1983) zum Zweck der mathematischen Beweisbarkeit seines Theorems eingeführt.</w:t>
      </w:r>
    </w:p>
  </w:footnote>
  <w:footnote w:id="2">
    <w:p w14:paraId="519F00C9" w14:textId="77777777" w:rsidR="00D55E5A" w:rsidRPr="001F6774" w:rsidRDefault="00D55E5A" w:rsidP="009F5188">
      <w:pPr>
        <w:pStyle w:val="Funotentext"/>
        <w:rPr>
          <w:lang w:val="de-CH"/>
        </w:rPr>
      </w:pPr>
      <w:r w:rsidRPr="001F6774">
        <w:rPr>
          <w:rStyle w:val="Funotenzeichen"/>
          <w:lang w:val="de-CH"/>
        </w:rPr>
        <w:footnoteRef/>
      </w:r>
      <w:r w:rsidRPr="001F6774">
        <w:rPr>
          <w:lang w:val="de-CH"/>
        </w:rPr>
        <w:t xml:space="preserve"> Wenn Politiker einen guten Überblick über die Unterschiedlichen Interessen haben, folgen sie laut Bernhager (2013) eher dem Allgemeininteresse. Partikularinteressen sind demzufolge eher durchsetzbar, wenn die Informationen, die Entscheidungsträgern zur Verfügung stehen, nicht vollständig sind.</w:t>
      </w:r>
    </w:p>
  </w:footnote>
  <w:footnote w:id="3">
    <w:p w14:paraId="0D013E5A" w14:textId="7CC27B31" w:rsidR="00D55E5A" w:rsidRPr="001F6774" w:rsidRDefault="00D55E5A" w:rsidP="00027C0D">
      <w:pPr>
        <w:pStyle w:val="Funotentext"/>
        <w:rPr>
          <w:lang w:val="de-CH"/>
        </w:rPr>
      </w:pPr>
      <w:r w:rsidRPr="001F6774">
        <w:rPr>
          <w:rStyle w:val="Funotenzeichen"/>
          <w:lang w:val="de-CH"/>
        </w:rPr>
        <w:footnoteRef/>
      </w:r>
      <w:r w:rsidRPr="001F6774">
        <w:rPr>
          <w:lang w:val="de-CH"/>
        </w:rPr>
        <w:t xml:space="preserve"> Für Deutschland wurden zwei Register verwendet, das „Taschenbuch des öffentlichen Lebens – Deutschland 2010“ (Oeckl 2009), sowie die öffentliche Liste registrierter Verbände beim deutschen Bundestag. In der Schweiz wurden das „Schweizer Jahrbuch des öffentlichen Lebens“ (Schwabe 2009), das Gästeregister des Parlaments, sowie die Webseite www.verbaende.ch verwendet, um die Liste der Interessengruppen zusammenzustellen. </w:t>
      </w:r>
    </w:p>
  </w:footnote>
  <w:footnote w:id="4">
    <w:p w14:paraId="53C43DD8" w14:textId="7ECDC08F" w:rsidR="00D55E5A" w:rsidRPr="001F6774" w:rsidRDefault="00D55E5A" w:rsidP="009F5188">
      <w:pPr>
        <w:pStyle w:val="Funotentext"/>
        <w:rPr>
          <w:lang w:val="de-CH"/>
        </w:rPr>
      </w:pPr>
      <w:r w:rsidRPr="001F6774">
        <w:rPr>
          <w:rStyle w:val="Funotenzeichen"/>
          <w:lang w:val="de-CH"/>
        </w:rPr>
        <w:footnoteRef/>
      </w:r>
      <w:r w:rsidRPr="001F6774">
        <w:rPr>
          <w:lang w:val="de-CH"/>
        </w:rPr>
        <w:t xml:space="preserve"> Einigen Autoren zufolge ist eine Faktorenanalyse mit kategorischen Variablen, wie in diesem Fall, problematisch, da die Annahme der Normalverteilung verletzt ist (Jöreskog und Moustaki, 2001). Allerdings haben </w:t>
      </w:r>
      <w:r w:rsidRPr="001F6774">
        <w:rPr>
          <w:noProof/>
          <w:lang w:val="de-CH"/>
        </w:rPr>
        <w:t xml:space="preserve">Beauducel and Herzberg (2006) gezeigt, dass einfache Maximum-Likelihood-Methoden für Variablen mit mindestens vier Kategorien sehr robuste Ergebnisse erzielen, weshalb hier auch auf Maximum-Likelihood-Methoden zurückgegriffen wird. Aufgrund der Annahme, dass die daraus resultierenden Faktoren nicht unabhängig von einander sind (Interessengruppen verwenden nicht entweder Insider oder Outsider Stategien, sondern für einen Mix der beiden), kommt ein schiefwinkliges Rotationsverfahren zum Einsatz, welches in der Lage ist, dies theoretisch abgeleitete Korrelation der Faktoren zu berücksichtigen. Die Korrelation der so generierten Faktoren Insider Lobbying </w:t>
      </w:r>
      <w:r>
        <w:rPr>
          <w:noProof/>
          <w:lang w:val="de-CH"/>
        </w:rPr>
        <w:t>und Outsider Lobbying beträgt 0.</w:t>
      </w:r>
      <w:r w:rsidRPr="001F6774">
        <w:rPr>
          <w:noProof/>
          <w:lang w:val="de-CH"/>
        </w:rPr>
        <w:t>41.</w:t>
      </w:r>
    </w:p>
  </w:footnote>
  <w:footnote w:id="5">
    <w:p w14:paraId="6081436E" w14:textId="2DE88DF8" w:rsidR="00D55E5A" w:rsidRPr="001F6774" w:rsidRDefault="00D55E5A">
      <w:pPr>
        <w:pStyle w:val="Funotentext"/>
        <w:rPr>
          <w:lang w:val="de-CH"/>
        </w:rPr>
      </w:pPr>
      <w:r w:rsidRPr="001F6774">
        <w:rPr>
          <w:rStyle w:val="Funotenzeichen"/>
          <w:lang w:val="de-CH"/>
        </w:rPr>
        <w:footnoteRef/>
      </w:r>
      <w:r w:rsidRPr="001F6774">
        <w:rPr>
          <w:lang w:val="de-CH"/>
        </w:rPr>
        <w:t xml:space="preserve"> Da für die Faktorenanalyse drei zusätzliche Variablen herangezogen werden, gehen neun weitere Beobachtungen verloren.</w:t>
      </w:r>
    </w:p>
  </w:footnote>
  <w:footnote w:id="6">
    <w:p w14:paraId="5B8AEB79" w14:textId="091AA1DA" w:rsidR="00D55E5A" w:rsidRPr="009A79AA" w:rsidRDefault="00D55E5A">
      <w:pPr>
        <w:pStyle w:val="Funotentext"/>
        <w:rPr>
          <w:lang w:val="de-CH"/>
        </w:rPr>
      </w:pPr>
      <w:r w:rsidRPr="009A79AA">
        <w:rPr>
          <w:rStyle w:val="Funotenzeichen"/>
          <w:lang w:val="de-CH"/>
        </w:rPr>
        <w:footnoteRef/>
      </w:r>
      <w:r w:rsidRPr="009A79AA">
        <w:rPr>
          <w:lang w:val="de-CH"/>
        </w:rPr>
        <w:t xml:space="preserve"> Diese Variable birgt ein gewisses Problempotential, da die einzelnen Kategorien sich nicht immer gänzlich gegenseitig ausschliessen. Insbesondere die Kategorie ‚Politik’, gedacht für politische Organisationen im engeren Sinne (wie z.B. Gemeindebünde, oder Organisationen die zu Themen der internationalen Politik arbeiten), wurde zum Teil auch von grossen Dachverbänden, etwa aus der Industrie, gewählt, die durchaus auch zu einer der konkreteren Kategorien gepasst hätten. Darüber hinaus passen einzelne Interessenverbände sowohl in die Kategorie ‚Arbeit und Wirtschaft’, als auch in eine der anderen Kategorien. Ein Beispiel sind Lehrerverbände, die einerseits die wirtschaftlichen Interessen der Lehrer vertreten und folglich in die Kategorie ‚Arbeit und Wirtschaft’ passen, allerdings ebenso der Kategorie ‚Bildung’ zugeordnet werden können. Der Grossteil der Selbsteinschätzungen ist allerdings unproblematisch, wie eine händische Überprüfung ergeben hat. Jene Organisationen, für die mehr als eine Antwort in Frage kommen, wurden in der Kategorie belassen, in die sie sich selbst einordneten. </w:t>
      </w:r>
    </w:p>
  </w:footnote>
  <w:footnote w:id="7">
    <w:p w14:paraId="2A855C70" w14:textId="0340B465" w:rsidR="00D55E5A" w:rsidRPr="001F6774" w:rsidRDefault="00D55E5A" w:rsidP="009F5188">
      <w:pPr>
        <w:pStyle w:val="Funotentext"/>
        <w:rPr>
          <w:lang w:val="de-CH"/>
        </w:rPr>
      </w:pPr>
      <w:r w:rsidRPr="001F6774">
        <w:rPr>
          <w:rStyle w:val="Funotenzeichen"/>
          <w:lang w:val="de-CH"/>
        </w:rPr>
        <w:footnoteRef/>
      </w:r>
      <w:r w:rsidRPr="001F6774">
        <w:rPr>
          <w:lang w:val="de-CH"/>
        </w:rPr>
        <w:t xml:space="preserve"> Im Vergleich dazu sind der Kategorie mit sehr geringem Wettbewerb 137 Gruppen zugeordnet, 426 Gruppen begegnen geringem, 470 mittelstarkem und 179 starkem Wettbewerb.</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875A0"/>
    <w:multiLevelType w:val="hybridMultilevel"/>
    <w:tmpl w:val="1286DF9C"/>
    <w:lvl w:ilvl="0" w:tplc="0D1667F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88"/>
    <w:rsid w:val="00005B57"/>
    <w:rsid w:val="00010AC1"/>
    <w:rsid w:val="00013588"/>
    <w:rsid w:val="000236AB"/>
    <w:rsid w:val="000259A2"/>
    <w:rsid w:val="00025DEC"/>
    <w:rsid w:val="00027C0D"/>
    <w:rsid w:val="00030962"/>
    <w:rsid w:val="00031126"/>
    <w:rsid w:val="00036CEC"/>
    <w:rsid w:val="00043D87"/>
    <w:rsid w:val="00044ED7"/>
    <w:rsid w:val="00046172"/>
    <w:rsid w:val="000501F6"/>
    <w:rsid w:val="0005024F"/>
    <w:rsid w:val="00052712"/>
    <w:rsid w:val="00063620"/>
    <w:rsid w:val="000650DC"/>
    <w:rsid w:val="00067B50"/>
    <w:rsid w:val="0007372D"/>
    <w:rsid w:val="0007433B"/>
    <w:rsid w:val="00076C5C"/>
    <w:rsid w:val="00080F6C"/>
    <w:rsid w:val="00081B3D"/>
    <w:rsid w:val="000869A4"/>
    <w:rsid w:val="00086D2A"/>
    <w:rsid w:val="0009037E"/>
    <w:rsid w:val="00091A98"/>
    <w:rsid w:val="00092216"/>
    <w:rsid w:val="00096C07"/>
    <w:rsid w:val="000A3E36"/>
    <w:rsid w:val="000B0101"/>
    <w:rsid w:val="000B31F1"/>
    <w:rsid w:val="000B3FE7"/>
    <w:rsid w:val="000B6154"/>
    <w:rsid w:val="000B6B32"/>
    <w:rsid w:val="000B6C26"/>
    <w:rsid w:val="000C537B"/>
    <w:rsid w:val="000D25EF"/>
    <w:rsid w:val="0010004A"/>
    <w:rsid w:val="00105FFA"/>
    <w:rsid w:val="00106057"/>
    <w:rsid w:val="001078FC"/>
    <w:rsid w:val="00124536"/>
    <w:rsid w:val="00125AB5"/>
    <w:rsid w:val="00127531"/>
    <w:rsid w:val="00133FAC"/>
    <w:rsid w:val="00135B6D"/>
    <w:rsid w:val="00141503"/>
    <w:rsid w:val="001426FD"/>
    <w:rsid w:val="001460E2"/>
    <w:rsid w:val="001469F0"/>
    <w:rsid w:val="00146B3F"/>
    <w:rsid w:val="0015457C"/>
    <w:rsid w:val="001565DD"/>
    <w:rsid w:val="001600D6"/>
    <w:rsid w:val="00167F32"/>
    <w:rsid w:val="001717B2"/>
    <w:rsid w:val="00172178"/>
    <w:rsid w:val="00173322"/>
    <w:rsid w:val="00176B3A"/>
    <w:rsid w:val="00180199"/>
    <w:rsid w:val="001810E4"/>
    <w:rsid w:val="00191494"/>
    <w:rsid w:val="00194E48"/>
    <w:rsid w:val="00197153"/>
    <w:rsid w:val="00197492"/>
    <w:rsid w:val="00197CAF"/>
    <w:rsid w:val="001A2908"/>
    <w:rsid w:val="001A3C87"/>
    <w:rsid w:val="001B275E"/>
    <w:rsid w:val="001B6598"/>
    <w:rsid w:val="001C0A9C"/>
    <w:rsid w:val="001C4C60"/>
    <w:rsid w:val="001C5A10"/>
    <w:rsid w:val="001D0626"/>
    <w:rsid w:val="001D67DB"/>
    <w:rsid w:val="001E6F9E"/>
    <w:rsid w:val="001E7156"/>
    <w:rsid w:val="001F5634"/>
    <w:rsid w:val="001F6774"/>
    <w:rsid w:val="001F7025"/>
    <w:rsid w:val="00203083"/>
    <w:rsid w:val="00205FFE"/>
    <w:rsid w:val="00206800"/>
    <w:rsid w:val="00211608"/>
    <w:rsid w:val="00214910"/>
    <w:rsid w:val="002224BC"/>
    <w:rsid w:val="00222736"/>
    <w:rsid w:val="0023556D"/>
    <w:rsid w:val="00237D30"/>
    <w:rsid w:val="0024296B"/>
    <w:rsid w:val="00244C80"/>
    <w:rsid w:val="002502AD"/>
    <w:rsid w:val="002506CF"/>
    <w:rsid w:val="002632BE"/>
    <w:rsid w:val="002650AB"/>
    <w:rsid w:val="00266E61"/>
    <w:rsid w:val="00270558"/>
    <w:rsid w:val="00270611"/>
    <w:rsid w:val="002829FC"/>
    <w:rsid w:val="00282E84"/>
    <w:rsid w:val="00284012"/>
    <w:rsid w:val="002844E1"/>
    <w:rsid w:val="00284BB8"/>
    <w:rsid w:val="002A28CC"/>
    <w:rsid w:val="002A2D9F"/>
    <w:rsid w:val="002A5776"/>
    <w:rsid w:val="002B191F"/>
    <w:rsid w:val="002B4D93"/>
    <w:rsid w:val="002B5C48"/>
    <w:rsid w:val="002C40C8"/>
    <w:rsid w:val="002D02C2"/>
    <w:rsid w:val="002D138F"/>
    <w:rsid w:val="002D4CE0"/>
    <w:rsid w:val="002D7FD9"/>
    <w:rsid w:val="002E004C"/>
    <w:rsid w:val="002E0559"/>
    <w:rsid w:val="002E0824"/>
    <w:rsid w:val="002E1C58"/>
    <w:rsid w:val="002E3CC5"/>
    <w:rsid w:val="002E5307"/>
    <w:rsid w:val="002E5A93"/>
    <w:rsid w:val="002E5BF1"/>
    <w:rsid w:val="002E5C3D"/>
    <w:rsid w:val="002F1D7E"/>
    <w:rsid w:val="002F624D"/>
    <w:rsid w:val="002F6BE6"/>
    <w:rsid w:val="00300398"/>
    <w:rsid w:val="00301C72"/>
    <w:rsid w:val="003070CB"/>
    <w:rsid w:val="003122C8"/>
    <w:rsid w:val="0031455E"/>
    <w:rsid w:val="00314B34"/>
    <w:rsid w:val="00316DC4"/>
    <w:rsid w:val="003201EE"/>
    <w:rsid w:val="0032342E"/>
    <w:rsid w:val="00324A14"/>
    <w:rsid w:val="00325E1F"/>
    <w:rsid w:val="00325FDF"/>
    <w:rsid w:val="00326CFE"/>
    <w:rsid w:val="00332486"/>
    <w:rsid w:val="00337E00"/>
    <w:rsid w:val="00341510"/>
    <w:rsid w:val="00341CCB"/>
    <w:rsid w:val="00342F70"/>
    <w:rsid w:val="00343859"/>
    <w:rsid w:val="00350966"/>
    <w:rsid w:val="00354792"/>
    <w:rsid w:val="00356904"/>
    <w:rsid w:val="00356BF0"/>
    <w:rsid w:val="0036153A"/>
    <w:rsid w:val="003626C2"/>
    <w:rsid w:val="00363C9F"/>
    <w:rsid w:val="00370269"/>
    <w:rsid w:val="00370C8F"/>
    <w:rsid w:val="00371291"/>
    <w:rsid w:val="00373B89"/>
    <w:rsid w:val="00377264"/>
    <w:rsid w:val="00384B2E"/>
    <w:rsid w:val="00384D79"/>
    <w:rsid w:val="00396165"/>
    <w:rsid w:val="003A0A89"/>
    <w:rsid w:val="003A125C"/>
    <w:rsid w:val="003A1FD0"/>
    <w:rsid w:val="003A5653"/>
    <w:rsid w:val="003A6488"/>
    <w:rsid w:val="003B0D5D"/>
    <w:rsid w:val="003B310E"/>
    <w:rsid w:val="003C2EF2"/>
    <w:rsid w:val="003C3A0E"/>
    <w:rsid w:val="003C7822"/>
    <w:rsid w:val="003D3D04"/>
    <w:rsid w:val="003E3360"/>
    <w:rsid w:val="003E33FD"/>
    <w:rsid w:val="003F046F"/>
    <w:rsid w:val="003F0C6D"/>
    <w:rsid w:val="00400FCA"/>
    <w:rsid w:val="004017B9"/>
    <w:rsid w:val="00401D1F"/>
    <w:rsid w:val="0040341A"/>
    <w:rsid w:val="00405925"/>
    <w:rsid w:val="004072C0"/>
    <w:rsid w:val="00407D83"/>
    <w:rsid w:val="00410BAB"/>
    <w:rsid w:val="004113CF"/>
    <w:rsid w:val="00414A33"/>
    <w:rsid w:val="00416166"/>
    <w:rsid w:val="00417495"/>
    <w:rsid w:val="00422E37"/>
    <w:rsid w:val="0042551E"/>
    <w:rsid w:val="0042765A"/>
    <w:rsid w:val="004313FD"/>
    <w:rsid w:val="00431860"/>
    <w:rsid w:val="00432848"/>
    <w:rsid w:val="00433F0F"/>
    <w:rsid w:val="00437E3A"/>
    <w:rsid w:val="0044010A"/>
    <w:rsid w:val="00443F3B"/>
    <w:rsid w:val="0044535F"/>
    <w:rsid w:val="00450286"/>
    <w:rsid w:val="0045436E"/>
    <w:rsid w:val="0046490B"/>
    <w:rsid w:val="004663F5"/>
    <w:rsid w:val="0046720A"/>
    <w:rsid w:val="00474212"/>
    <w:rsid w:val="00490F44"/>
    <w:rsid w:val="00491C55"/>
    <w:rsid w:val="00491EC3"/>
    <w:rsid w:val="00497BFD"/>
    <w:rsid w:val="004A114B"/>
    <w:rsid w:val="004A18FE"/>
    <w:rsid w:val="004A3489"/>
    <w:rsid w:val="004A43AC"/>
    <w:rsid w:val="004A4EE7"/>
    <w:rsid w:val="004A5D50"/>
    <w:rsid w:val="004B0AC1"/>
    <w:rsid w:val="004B1F43"/>
    <w:rsid w:val="004B48B9"/>
    <w:rsid w:val="004B5693"/>
    <w:rsid w:val="004B67DB"/>
    <w:rsid w:val="004B6F92"/>
    <w:rsid w:val="004B7E40"/>
    <w:rsid w:val="004C22C8"/>
    <w:rsid w:val="004C755B"/>
    <w:rsid w:val="004C796D"/>
    <w:rsid w:val="004D0489"/>
    <w:rsid w:val="004D2858"/>
    <w:rsid w:val="004D3BC5"/>
    <w:rsid w:val="004D6832"/>
    <w:rsid w:val="004D7F41"/>
    <w:rsid w:val="004E0061"/>
    <w:rsid w:val="004E2393"/>
    <w:rsid w:val="004E2A0E"/>
    <w:rsid w:val="004E493D"/>
    <w:rsid w:val="004E5333"/>
    <w:rsid w:val="004E5A7C"/>
    <w:rsid w:val="004E5A91"/>
    <w:rsid w:val="004F0855"/>
    <w:rsid w:val="004F0D88"/>
    <w:rsid w:val="004F52AF"/>
    <w:rsid w:val="004F6E21"/>
    <w:rsid w:val="00505F90"/>
    <w:rsid w:val="005062ED"/>
    <w:rsid w:val="005064C4"/>
    <w:rsid w:val="00507F3B"/>
    <w:rsid w:val="00512570"/>
    <w:rsid w:val="0051261A"/>
    <w:rsid w:val="00516368"/>
    <w:rsid w:val="005167F0"/>
    <w:rsid w:val="00517611"/>
    <w:rsid w:val="00520464"/>
    <w:rsid w:val="00525C14"/>
    <w:rsid w:val="0053745A"/>
    <w:rsid w:val="0053778A"/>
    <w:rsid w:val="00542188"/>
    <w:rsid w:val="00543631"/>
    <w:rsid w:val="00546B69"/>
    <w:rsid w:val="00554A89"/>
    <w:rsid w:val="00554B0F"/>
    <w:rsid w:val="005560C0"/>
    <w:rsid w:val="00556AA8"/>
    <w:rsid w:val="0056052F"/>
    <w:rsid w:val="00560E36"/>
    <w:rsid w:val="00562CC1"/>
    <w:rsid w:val="0056358E"/>
    <w:rsid w:val="00564598"/>
    <w:rsid w:val="00566637"/>
    <w:rsid w:val="00567F5B"/>
    <w:rsid w:val="0057188D"/>
    <w:rsid w:val="00571EC9"/>
    <w:rsid w:val="00575AA7"/>
    <w:rsid w:val="00577BA3"/>
    <w:rsid w:val="00582023"/>
    <w:rsid w:val="00582487"/>
    <w:rsid w:val="00586252"/>
    <w:rsid w:val="0059009B"/>
    <w:rsid w:val="005957DE"/>
    <w:rsid w:val="00596E2F"/>
    <w:rsid w:val="005A3316"/>
    <w:rsid w:val="005A3864"/>
    <w:rsid w:val="005A46C2"/>
    <w:rsid w:val="005A5946"/>
    <w:rsid w:val="005A6E19"/>
    <w:rsid w:val="005B0ECE"/>
    <w:rsid w:val="005C107E"/>
    <w:rsid w:val="005C49A3"/>
    <w:rsid w:val="005D4806"/>
    <w:rsid w:val="005D5814"/>
    <w:rsid w:val="005D7B70"/>
    <w:rsid w:val="005E1019"/>
    <w:rsid w:val="005E23A3"/>
    <w:rsid w:val="005F0CC0"/>
    <w:rsid w:val="005F4DA1"/>
    <w:rsid w:val="005F5BB1"/>
    <w:rsid w:val="006049F4"/>
    <w:rsid w:val="00604A8C"/>
    <w:rsid w:val="0060707B"/>
    <w:rsid w:val="00610325"/>
    <w:rsid w:val="006122CA"/>
    <w:rsid w:val="00615661"/>
    <w:rsid w:val="0063204A"/>
    <w:rsid w:val="006322F7"/>
    <w:rsid w:val="006331A6"/>
    <w:rsid w:val="006352D7"/>
    <w:rsid w:val="00636ACF"/>
    <w:rsid w:val="00646CB0"/>
    <w:rsid w:val="00656459"/>
    <w:rsid w:val="00661C32"/>
    <w:rsid w:val="00662638"/>
    <w:rsid w:val="00665080"/>
    <w:rsid w:val="006652E5"/>
    <w:rsid w:val="00665FF5"/>
    <w:rsid w:val="00673D5B"/>
    <w:rsid w:val="00676744"/>
    <w:rsid w:val="00682BFA"/>
    <w:rsid w:val="00682F60"/>
    <w:rsid w:val="00686949"/>
    <w:rsid w:val="00690960"/>
    <w:rsid w:val="00691C35"/>
    <w:rsid w:val="0069490A"/>
    <w:rsid w:val="006973AC"/>
    <w:rsid w:val="006A2151"/>
    <w:rsid w:val="006A367A"/>
    <w:rsid w:val="006A657B"/>
    <w:rsid w:val="006A6929"/>
    <w:rsid w:val="006B2B0D"/>
    <w:rsid w:val="006B33F9"/>
    <w:rsid w:val="006C0A78"/>
    <w:rsid w:val="006C3037"/>
    <w:rsid w:val="006D54F6"/>
    <w:rsid w:val="006D688B"/>
    <w:rsid w:val="006E3E81"/>
    <w:rsid w:val="006E4DF4"/>
    <w:rsid w:val="006E6056"/>
    <w:rsid w:val="006E64A6"/>
    <w:rsid w:val="006F0607"/>
    <w:rsid w:val="006F326C"/>
    <w:rsid w:val="006F6BB7"/>
    <w:rsid w:val="007030E2"/>
    <w:rsid w:val="00703E2E"/>
    <w:rsid w:val="00712F50"/>
    <w:rsid w:val="00717B56"/>
    <w:rsid w:val="007206AA"/>
    <w:rsid w:val="00720765"/>
    <w:rsid w:val="00723027"/>
    <w:rsid w:val="00731385"/>
    <w:rsid w:val="0073407E"/>
    <w:rsid w:val="00734F55"/>
    <w:rsid w:val="00737035"/>
    <w:rsid w:val="00740729"/>
    <w:rsid w:val="00740C86"/>
    <w:rsid w:val="00741909"/>
    <w:rsid w:val="00743D67"/>
    <w:rsid w:val="00744DA8"/>
    <w:rsid w:val="0074688C"/>
    <w:rsid w:val="00747948"/>
    <w:rsid w:val="0075140C"/>
    <w:rsid w:val="00752994"/>
    <w:rsid w:val="00752BC0"/>
    <w:rsid w:val="00752D6A"/>
    <w:rsid w:val="00753F03"/>
    <w:rsid w:val="00760A6E"/>
    <w:rsid w:val="00763293"/>
    <w:rsid w:val="00763601"/>
    <w:rsid w:val="00766F97"/>
    <w:rsid w:val="00770502"/>
    <w:rsid w:val="00772A92"/>
    <w:rsid w:val="00774FCB"/>
    <w:rsid w:val="007750C7"/>
    <w:rsid w:val="00780A0A"/>
    <w:rsid w:val="007840C7"/>
    <w:rsid w:val="00787C69"/>
    <w:rsid w:val="00787FA8"/>
    <w:rsid w:val="007949C9"/>
    <w:rsid w:val="00795225"/>
    <w:rsid w:val="007954D4"/>
    <w:rsid w:val="007963D7"/>
    <w:rsid w:val="00797B6F"/>
    <w:rsid w:val="007A00B4"/>
    <w:rsid w:val="007A3B67"/>
    <w:rsid w:val="007B327C"/>
    <w:rsid w:val="007B6099"/>
    <w:rsid w:val="007B623C"/>
    <w:rsid w:val="007B6CE8"/>
    <w:rsid w:val="007C54EF"/>
    <w:rsid w:val="007C5C9F"/>
    <w:rsid w:val="007C6ACC"/>
    <w:rsid w:val="007D4A0C"/>
    <w:rsid w:val="007D4F67"/>
    <w:rsid w:val="007D534E"/>
    <w:rsid w:val="007D643F"/>
    <w:rsid w:val="007E5CA9"/>
    <w:rsid w:val="007E6661"/>
    <w:rsid w:val="007F6A70"/>
    <w:rsid w:val="007F7FD3"/>
    <w:rsid w:val="00802ECF"/>
    <w:rsid w:val="00802FBC"/>
    <w:rsid w:val="008034F5"/>
    <w:rsid w:val="0080394E"/>
    <w:rsid w:val="0081006D"/>
    <w:rsid w:val="00813CF7"/>
    <w:rsid w:val="008154D0"/>
    <w:rsid w:val="00825A30"/>
    <w:rsid w:val="00830A34"/>
    <w:rsid w:val="00833036"/>
    <w:rsid w:val="00834FB4"/>
    <w:rsid w:val="00846FD7"/>
    <w:rsid w:val="0085100B"/>
    <w:rsid w:val="00851A71"/>
    <w:rsid w:val="008545F5"/>
    <w:rsid w:val="00855375"/>
    <w:rsid w:val="00857E45"/>
    <w:rsid w:val="0087020D"/>
    <w:rsid w:val="00871E87"/>
    <w:rsid w:val="00882A60"/>
    <w:rsid w:val="00882E5B"/>
    <w:rsid w:val="00886FDD"/>
    <w:rsid w:val="0089365D"/>
    <w:rsid w:val="00895087"/>
    <w:rsid w:val="008979A6"/>
    <w:rsid w:val="008A10E1"/>
    <w:rsid w:val="008A497B"/>
    <w:rsid w:val="008B375F"/>
    <w:rsid w:val="008B5DB7"/>
    <w:rsid w:val="008B7E37"/>
    <w:rsid w:val="008C2759"/>
    <w:rsid w:val="008C595A"/>
    <w:rsid w:val="008D301B"/>
    <w:rsid w:val="008E24D5"/>
    <w:rsid w:val="008E5FBF"/>
    <w:rsid w:val="008F1C1D"/>
    <w:rsid w:val="008F6A44"/>
    <w:rsid w:val="008F7FA1"/>
    <w:rsid w:val="009012CA"/>
    <w:rsid w:val="00907A6B"/>
    <w:rsid w:val="00910382"/>
    <w:rsid w:val="009114D6"/>
    <w:rsid w:val="00911ABF"/>
    <w:rsid w:val="00912A7E"/>
    <w:rsid w:val="009142DC"/>
    <w:rsid w:val="00921A71"/>
    <w:rsid w:val="00924CD8"/>
    <w:rsid w:val="009252F8"/>
    <w:rsid w:val="00935984"/>
    <w:rsid w:val="009367BA"/>
    <w:rsid w:val="00936F81"/>
    <w:rsid w:val="00942DB4"/>
    <w:rsid w:val="00942EF3"/>
    <w:rsid w:val="00942FB7"/>
    <w:rsid w:val="009439FF"/>
    <w:rsid w:val="009475B1"/>
    <w:rsid w:val="009522E4"/>
    <w:rsid w:val="009561E6"/>
    <w:rsid w:val="00964084"/>
    <w:rsid w:val="00966329"/>
    <w:rsid w:val="009666AB"/>
    <w:rsid w:val="00971EDA"/>
    <w:rsid w:val="00976F4C"/>
    <w:rsid w:val="00980F80"/>
    <w:rsid w:val="009813FE"/>
    <w:rsid w:val="00982EAA"/>
    <w:rsid w:val="009847E1"/>
    <w:rsid w:val="00984895"/>
    <w:rsid w:val="009857C8"/>
    <w:rsid w:val="009858E7"/>
    <w:rsid w:val="00986C9F"/>
    <w:rsid w:val="00987966"/>
    <w:rsid w:val="00991B7A"/>
    <w:rsid w:val="00993A1D"/>
    <w:rsid w:val="00995020"/>
    <w:rsid w:val="0099619B"/>
    <w:rsid w:val="0099715C"/>
    <w:rsid w:val="009A0039"/>
    <w:rsid w:val="009A00E0"/>
    <w:rsid w:val="009A05E4"/>
    <w:rsid w:val="009A79AA"/>
    <w:rsid w:val="009B0E05"/>
    <w:rsid w:val="009B72D7"/>
    <w:rsid w:val="009C09AE"/>
    <w:rsid w:val="009C0CCE"/>
    <w:rsid w:val="009C17C6"/>
    <w:rsid w:val="009C2166"/>
    <w:rsid w:val="009C3AC3"/>
    <w:rsid w:val="009C67CE"/>
    <w:rsid w:val="009C6E77"/>
    <w:rsid w:val="009C79A1"/>
    <w:rsid w:val="009D20E3"/>
    <w:rsid w:val="009E0677"/>
    <w:rsid w:val="009F5188"/>
    <w:rsid w:val="00A10368"/>
    <w:rsid w:val="00A11E3B"/>
    <w:rsid w:val="00A12920"/>
    <w:rsid w:val="00A12984"/>
    <w:rsid w:val="00A1382A"/>
    <w:rsid w:val="00A14A0E"/>
    <w:rsid w:val="00A15FF2"/>
    <w:rsid w:val="00A16653"/>
    <w:rsid w:val="00A17379"/>
    <w:rsid w:val="00A2119A"/>
    <w:rsid w:val="00A21AB4"/>
    <w:rsid w:val="00A2280D"/>
    <w:rsid w:val="00A22841"/>
    <w:rsid w:val="00A31F76"/>
    <w:rsid w:val="00A32199"/>
    <w:rsid w:val="00A333CF"/>
    <w:rsid w:val="00A36451"/>
    <w:rsid w:val="00A37304"/>
    <w:rsid w:val="00A37364"/>
    <w:rsid w:val="00A40FFB"/>
    <w:rsid w:val="00A459C0"/>
    <w:rsid w:val="00A46491"/>
    <w:rsid w:val="00A52209"/>
    <w:rsid w:val="00A56328"/>
    <w:rsid w:val="00A5786C"/>
    <w:rsid w:val="00A57E2F"/>
    <w:rsid w:val="00A62827"/>
    <w:rsid w:val="00A62C9D"/>
    <w:rsid w:val="00A740BA"/>
    <w:rsid w:val="00A75C80"/>
    <w:rsid w:val="00A840A3"/>
    <w:rsid w:val="00A85500"/>
    <w:rsid w:val="00A857A8"/>
    <w:rsid w:val="00A90E32"/>
    <w:rsid w:val="00A93868"/>
    <w:rsid w:val="00A952F1"/>
    <w:rsid w:val="00A95FBA"/>
    <w:rsid w:val="00A977B2"/>
    <w:rsid w:val="00AA1B43"/>
    <w:rsid w:val="00AA3EB5"/>
    <w:rsid w:val="00AA53B8"/>
    <w:rsid w:val="00AB4DF5"/>
    <w:rsid w:val="00AC2FCE"/>
    <w:rsid w:val="00AD2667"/>
    <w:rsid w:val="00AD32A2"/>
    <w:rsid w:val="00AD3709"/>
    <w:rsid w:val="00AD409D"/>
    <w:rsid w:val="00AD4DA7"/>
    <w:rsid w:val="00AD66D0"/>
    <w:rsid w:val="00AE3B9E"/>
    <w:rsid w:val="00AE74CA"/>
    <w:rsid w:val="00AE7556"/>
    <w:rsid w:val="00AF523B"/>
    <w:rsid w:val="00AF7F15"/>
    <w:rsid w:val="00B0243E"/>
    <w:rsid w:val="00B07B5A"/>
    <w:rsid w:val="00B141A2"/>
    <w:rsid w:val="00B15CF0"/>
    <w:rsid w:val="00B20C2F"/>
    <w:rsid w:val="00B21449"/>
    <w:rsid w:val="00B270E4"/>
    <w:rsid w:val="00B3567D"/>
    <w:rsid w:val="00B35805"/>
    <w:rsid w:val="00B35E04"/>
    <w:rsid w:val="00B3623A"/>
    <w:rsid w:val="00B44BA7"/>
    <w:rsid w:val="00B456D0"/>
    <w:rsid w:val="00B457C8"/>
    <w:rsid w:val="00B50A41"/>
    <w:rsid w:val="00B575FC"/>
    <w:rsid w:val="00B609F1"/>
    <w:rsid w:val="00B60ED1"/>
    <w:rsid w:val="00B61CF1"/>
    <w:rsid w:val="00B653E9"/>
    <w:rsid w:val="00B6681D"/>
    <w:rsid w:val="00B67C88"/>
    <w:rsid w:val="00B77C36"/>
    <w:rsid w:val="00B818A8"/>
    <w:rsid w:val="00B871DE"/>
    <w:rsid w:val="00B93A3E"/>
    <w:rsid w:val="00B97F24"/>
    <w:rsid w:val="00BA266D"/>
    <w:rsid w:val="00BA33EC"/>
    <w:rsid w:val="00BA3E61"/>
    <w:rsid w:val="00BA61EE"/>
    <w:rsid w:val="00BA6BFA"/>
    <w:rsid w:val="00BB1437"/>
    <w:rsid w:val="00BB39CA"/>
    <w:rsid w:val="00BC133A"/>
    <w:rsid w:val="00BC36C3"/>
    <w:rsid w:val="00BC5215"/>
    <w:rsid w:val="00BC5608"/>
    <w:rsid w:val="00BC6056"/>
    <w:rsid w:val="00BD1A65"/>
    <w:rsid w:val="00BD3C93"/>
    <w:rsid w:val="00BD5FB9"/>
    <w:rsid w:val="00BD6A5F"/>
    <w:rsid w:val="00BE0655"/>
    <w:rsid w:val="00BE22B3"/>
    <w:rsid w:val="00BE2AE3"/>
    <w:rsid w:val="00BE47F4"/>
    <w:rsid w:val="00BE4CEA"/>
    <w:rsid w:val="00BE5BE1"/>
    <w:rsid w:val="00BF44FF"/>
    <w:rsid w:val="00BF543A"/>
    <w:rsid w:val="00BF5FF4"/>
    <w:rsid w:val="00BF7325"/>
    <w:rsid w:val="00C036A6"/>
    <w:rsid w:val="00C04683"/>
    <w:rsid w:val="00C04C48"/>
    <w:rsid w:val="00C124CD"/>
    <w:rsid w:val="00C156D7"/>
    <w:rsid w:val="00C17356"/>
    <w:rsid w:val="00C179DD"/>
    <w:rsid w:val="00C17F85"/>
    <w:rsid w:val="00C22917"/>
    <w:rsid w:val="00C32487"/>
    <w:rsid w:val="00C42501"/>
    <w:rsid w:val="00C431C8"/>
    <w:rsid w:val="00C4508E"/>
    <w:rsid w:val="00C519AE"/>
    <w:rsid w:val="00C52C52"/>
    <w:rsid w:val="00C53C13"/>
    <w:rsid w:val="00C57FF0"/>
    <w:rsid w:val="00C60F53"/>
    <w:rsid w:val="00C60F72"/>
    <w:rsid w:val="00C6276A"/>
    <w:rsid w:val="00C6360E"/>
    <w:rsid w:val="00C735F7"/>
    <w:rsid w:val="00C74C53"/>
    <w:rsid w:val="00C76150"/>
    <w:rsid w:val="00C76E9F"/>
    <w:rsid w:val="00C83884"/>
    <w:rsid w:val="00C84415"/>
    <w:rsid w:val="00C851F6"/>
    <w:rsid w:val="00C866CF"/>
    <w:rsid w:val="00C92F05"/>
    <w:rsid w:val="00C95870"/>
    <w:rsid w:val="00C972A8"/>
    <w:rsid w:val="00CA1351"/>
    <w:rsid w:val="00CA2EF6"/>
    <w:rsid w:val="00CA36ED"/>
    <w:rsid w:val="00CA7248"/>
    <w:rsid w:val="00CA79CE"/>
    <w:rsid w:val="00CB2B85"/>
    <w:rsid w:val="00CB340A"/>
    <w:rsid w:val="00CC1BEC"/>
    <w:rsid w:val="00CC335C"/>
    <w:rsid w:val="00CC384C"/>
    <w:rsid w:val="00CC5B7A"/>
    <w:rsid w:val="00CD07C9"/>
    <w:rsid w:val="00CD229D"/>
    <w:rsid w:val="00CD3A62"/>
    <w:rsid w:val="00CD5330"/>
    <w:rsid w:val="00CE1A59"/>
    <w:rsid w:val="00CE7313"/>
    <w:rsid w:val="00CF4280"/>
    <w:rsid w:val="00CF5362"/>
    <w:rsid w:val="00D02B17"/>
    <w:rsid w:val="00D06015"/>
    <w:rsid w:val="00D11111"/>
    <w:rsid w:val="00D118B8"/>
    <w:rsid w:val="00D12E86"/>
    <w:rsid w:val="00D14C40"/>
    <w:rsid w:val="00D250C7"/>
    <w:rsid w:val="00D25A20"/>
    <w:rsid w:val="00D3058D"/>
    <w:rsid w:val="00D40490"/>
    <w:rsid w:val="00D42A8D"/>
    <w:rsid w:val="00D524C9"/>
    <w:rsid w:val="00D55E5A"/>
    <w:rsid w:val="00D56BBE"/>
    <w:rsid w:val="00D56EEF"/>
    <w:rsid w:val="00D62BB3"/>
    <w:rsid w:val="00D70854"/>
    <w:rsid w:val="00D70F2F"/>
    <w:rsid w:val="00D7754C"/>
    <w:rsid w:val="00D8117D"/>
    <w:rsid w:val="00D82672"/>
    <w:rsid w:val="00D831CD"/>
    <w:rsid w:val="00D83D4C"/>
    <w:rsid w:val="00D8498B"/>
    <w:rsid w:val="00D86A21"/>
    <w:rsid w:val="00D90E3E"/>
    <w:rsid w:val="00D95CC3"/>
    <w:rsid w:val="00D96334"/>
    <w:rsid w:val="00D97262"/>
    <w:rsid w:val="00DA1510"/>
    <w:rsid w:val="00DA2C39"/>
    <w:rsid w:val="00DA5BEB"/>
    <w:rsid w:val="00DA7176"/>
    <w:rsid w:val="00DA794A"/>
    <w:rsid w:val="00DA7F2D"/>
    <w:rsid w:val="00DB469A"/>
    <w:rsid w:val="00DB52D7"/>
    <w:rsid w:val="00DB6DF3"/>
    <w:rsid w:val="00DC44B5"/>
    <w:rsid w:val="00DD321A"/>
    <w:rsid w:val="00DD6687"/>
    <w:rsid w:val="00DD67BB"/>
    <w:rsid w:val="00DE1E02"/>
    <w:rsid w:val="00DE26C3"/>
    <w:rsid w:val="00DE41FB"/>
    <w:rsid w:val="00DF08F1"/>
    <w:rsid w:val="00DF2DDE"/>
    <w:rsid w:val="00DF563F"/>
    <w:rsid w:val="00E007E9"/>
    <w:rsid w:val="00E02B65"/>
    <w:rsid w:val="00E02C61"/>
    <w:rsid w:val="00E058EF"/>
    <w:rsid w:val="00E05920"/>
    <w:rsid w:val="00E064BD"/>
    <w:rsid w:val="00E06B1F"/>
    <w:rsid w:val="00E10D11"/>
    <w:rsid w:val="00E15406"/>
    <w:rsid w:val="00E253FA"/>
    <w:rsid w:val="00E322A6"/>
    <w:rsid w:val="00E3443E"/>
    <w:rsid w:val="00E3759F"/>
    <w:rsid w:val="00E437AF"/>
    <w:rsid w:val="00E444A6"/>
    <w:rsid w:val="00E558F6"/>
    <w:rsid w:val="00E56A72"/>
    <w:rsid w:val="00E57EA8"/>
    <w:rsid w:val="00E63224"/>
    <w:rsid w:val="00E67656"/>
    <w:rsid w:val="00E72118"/>
    <w:rsid w:val="00E72A3E"/>
    <w:rsid w:val="00E72EFA"/>
    <w:rsid w:val="00E7313B"/>
    <w:rsid w:val="00E73653"/>
    <w:rsid w:val="00E75AF9"/>
    <w:rsid w:val="00E7648D"/>
    <w:rsid w:val="00E76B2D"/>
    <w:rsid w:val="00E81342"/>
    <w:rsid w:val="00E856F4"/>
    <w:rsid w:val="00E92DC3"/>
    <w:rsid w:val="00E92E49"/>
    <w:rsid w:val="00E94AFF"/>
    <w:rsid w:val="00EA1C64"/>
    <w:rsid w:val="00EA6601"/>
    <w:rsid w:val="00EB0C50"/>
    <w:rsid w:val="00EB1B33"/>
    <w:rsid w:val="00EB251A"/>
    <w:rsid w:val="00EB53D0"/>
    <w:rsid w:val="00EB6360"/>
    <w:rsid w:val="00EB7148"/>
    <w:rsid w:val="00ED3192"/>
    <w:rsid w:val="00ED4E16"/>
    <w:rsid w:val="00ED7052"/>
    <w:rsid w:val="00ED7688"/>
    <w:rsid w:val="00EE2D4A"/>
    <w:rsid w:val="00EE6341"/>
    <w:rsid w:val="00EF1956"/>
    <w:rsid w:val="00EF3C93"/>
    <w:rsid w:val="00EF472C"/>
    <w:rsid w:val="00EF6251"/>
    <w:rsid w:val="00EF7448"/>
    <w:rsid w:val="00EF785D"/>
    <w:rsid w:val="00F0085E"/>
    <w:rsid w:val="00F018CA"/>
    <w:rsid w:val="00F022BF"/>
    <w:rsid w:val="00F0585A"/>
    <w:rsid w:val="00F07216"/>
    <w:rsid w:val="00F11174"/>
    <w:rsid w:val="00F12947"/>
    <w:rsid w:val="00F16200"/>
    <w:rsid w:val="00F2085B"/>
    <w:rsid w:val="00F25664"/>
    <w:rsid w:val="00F3141B"/>
    <w:rsid w:val="00F32129"/>
    <w:rsid w:val="00F361EA"/>
    <w:rsid w:val="00F426DD"/>
    <w:rsid w:val="00F437EB"/>
    <w:rsid w:val="00F43ED2"/>
    <w:rsid w:val="00F501F1"/>
    <w:rsid w:val="00F50E8F"/>
    <w:rsid w:val="00F51062"/>
    <w:rsid w:val="00F54AE3"/>
    <w:rsid w:val="00F60FF1"/>
    <w:rsid w:val="00F62C7E"/>
    <w:rsid w:val="00F62F17"/>
    <w:rsid w:val="00F651CC"/>
    <w:rsid w:val="00F65D9A"/>
    <w:rsid w:val="00F7042A"/>
    <w:rsid w:val="00F71DA8"/>
    <w:rsid w:val="00F7459D"/>
    <w:rsid w:val="00F76418"/>
    <w:rsid w:val="00F7753E"/>
    <w:rsid w:val="00F866B1"/>
    <w:rsid w:val="00F902F3"/>
    <w:rsid w:val="00F928F6"/>
    <w:rsid w:val="00F947AC"/>
    <w:rsid w:val="00F95C0D"/>
    <w:rsid w:val="00FA1418"/>
    <w:rsid w:val="00FA17F5"/>
    <w:rsid w:val="00FA2B18"/>
    <w:rsid w:val="00FA3628"/>
    <w:rsid w:val="00FA4A07"/>
    <w:rsid w:val="00FA5D69"/>
    <w:rsid w:val="00FB1EDB"/>
    <w:rsid w:val="00FB2C9A"/>
    <w:rsid w:val="00FB7F6E"/>
    <w:rsid w:val="00FC53D2"/>
    <w:rsid w:val="00FC7CC6"/>
    <w:rsid w:val="00FD241C"/>
    <w:rsid w:val="00FD2EC3"/>
    <w:rsid w:val="00FD47E4"/>
    <w:rsid w:val="00FD4B8D"/>
    <w:rsid w:val="00FD5310"/>
    <w:rsid w:val="00FE06F5"/>
    <w:rsid w:val="00FE4386"/>
    <w:rsid w:val="00FE46E2"/>
    <w:rsid w:val="00FE5E67"/>
    <w:rsid w:val="00FF0069"/>
    <w:rsid w:val="00FF149B"/>
    <w:rsid w:val="00FF1FD5"/>
    <w:rsid w:val="00FF352C"/>
    <w:rsid w:val="00FF422C"/>
    <w:rsid w:val="00FF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51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eichen">
    <w:name w:val="Fußnotentext Zeichen"/>
    <w:basedOn w:val="Absatzstandardschriftart"/>
    <w:link w:val="Funotentext"/>
    <w:uiPriority w:val="99"/>
    <w:rsid w:val="009F5188"/>
    <w:rPr>
      <w:sz w:val="20"/>
      <w:szCs w:val="20"/>
    </w:rPr>
  </w:style>
  <w:style w:type="paragraph" w:styleId="Funotentext">
    <w:name w:val="footnote text"/>
    <w:basedOn w:val="Standard"/>
    <w:link w:val="FunotentextZeichen"/>
    <w:uiPriority w:val="99"/>
    <w:unhideWhenUsed/>
    <w:rsid w:val="009F5188"/>
    <w:rPr>
      <w:sz w:val="20"/>
      <w:szCs w:val="20"/>
    </w:rPr>
  </w:style>
  <w:style w:type="character" w:customStyle="1" w:styleId="KopfzeileZeichen">
    <w:name w:val="Kopfzeile Zeichen"/>
    <w:basedOn w:val="Absatzstandardschriftart"/>
    <w:link w:val="Kopfzeile"/>
    <w:uiPriority w:val="99"/>
    <w:rsid w:val="009F5188"/>
  </w:style>
  <w:style w:type="paragraph" w:styleId="Kopfzeile">
    <w:name w:val="header"/>
    <w:basedOn w:val="Standard"/>
    <w:link w:val="KopfzeileZeichen"/>
    <w:uiPriority w:val="99"/>
    <w:unhideWhenUsed/>
    <w:rsid w:val="009F5188"/>
    <w:pPr>
      <w:tabs>
        <w:tab w:val="center" w:pos="4536"/>
        <w:tab w:val="right" w:pos="9072"/>
      </w:tabs>
    </w:pPr>
  </w:style>
  <w:style w:type="character" w:customStyle="1" w:styleId="FuzeileZeichen">
    <w:name w:val="Fußzeile Zeichen"/>
    <w:basedOn w:val="Absatzstandardschriftart"/>
    <w:link w:val="Fuzeile"/>
    <w:uiPriority w:val="99"/>
    <w:rsid w:val="009F5188"/>
  </w:style>
  <w:style w:type="paragraph" w:styleId="Fuzeile">
    <w:name w:val="footer"/>
    <w:basedOn w:val="Standard"/>
    <w:link w:val="FuzeileZeichen"/>
    <w:uiPriority w:val="99"/>
    <w:unhideWhenUsed/>
    <w:rsid w:val="009F5188"/>
    <w:pPr>
      <w:tabs>
        <w:tab w:val="center" w:pos="4536"/>
        <w:tab w:val="right" w:pos="9072"/>
      </w:tabs>
    </w:pPr>
  </w:style>
  <w:style w:type="character" w:customStyle="1" w:styleId="SprechblasentextZeichen">
    <w:name w:val="Sprechblasentext Zeichen"/>
    <w:basedOn w:val="Absatzstandardschriftart"/>
    <w:link w:val="Sprechblasentext"/>
    <w:uiPriority w:val="99"/>
    <w:semiHidden/>
    <w:rsid w:val="009F5188"/>
    <w:rPr>
      <w:rFonts w:ascii="Lucida Grande" w:hAnsi="Lucida Grande"/>
      <w:sz w:val="18"/>
      <w:szCs w:val="18"/>
    </w:rPr>
  </w:style>
  <w:style w:type="paragraph" w:styleId="Sprechblasentext">
    <w:name w:val="Balloon Text"/>
    <w:basedOn w:val="Standard"/>
    <w:link w:val="SprechblasentextZeichen"/>
    <w:uiPriority w:val="99"/>
    <w:semiHidden/>
    <w:unhideWhenUsed/>
    <w:rsid w:val="009F5188"/>
    <w:rPr>
      <w:rFonts w:ascii="Lucida Grande" w:hAnsi="Lucida Grande"/>
      <w:sz w:val="18"/>
      <w:szCs w:val="18"/>
    </w:rPr>
  </w:style>
  <w:style w:type="character" w:customStyle="1" w:styleId="NurTextZeichen">
    <w:name w:val="Nur Text Zeichen"/>
    <w:basedOn w:val="Absatzstandardschriftart"/>
    <w:link w:val="NurText"/>
    <w:uiPriority w:val="99"/>
    <w:rsid w:val="009F5188"/>
    <w:rPr>
      <w:rFonts w:ascii="Courier" w:hAnsi="Courier"/>
      <w:sz w:val="21"/>
      <w:szCs w:val="21"/>
    </w:rPr>
  </w:style>
  <w:style w:type="paragraph" w:styleId="NurText">
    <w:name w:val="Plain Text"/>
    <w:basedOn w:val="Standard"/>
    <w:link w:val="NurTextZeichen"/>
    <w:uiPriority w:val="99"/>
    <w:unhideWhenUsed/>
    <w:rsid w:val="009F5188"/>
    <w:rPr>
      <w:rFonts w:ascii="Courier" w:hAnsi="Courier"/>
      <w:sz w:val="21"/>
      <w:szCs w:val="21"/>
    </w:rPr>
  </w:style>
  <w:style w:type="character" w:customStyle="1" w:styleId="KommentartextZeichen">
    <w:name w:val="Kommentartext Zeichen"/>
    <w:basedOn w:val="Absatzstandardschriftart"/>
    <w:link w:val="Kommentartext"/>
    <w:uiPriority w:val="99"/>
    <w:semiHidden/>
    <w:rsid w:val="009F5188"/>
    <w:rPr>
      <w:sz w:val="20"/>
      <w:szCs w:val="20"/>
    </w:rPr>
  </w:style>
  <w:style w:type="paragraph" w:styleId="Kommentartext">
    <w:name w:val="annotation text"/>
    <w:basedOn w:val="Standard"/>
    <w:link w:val="KommentartextZeichen"/>
    <w:uiPriority w:val="99"/>
    <w:semiHidden/>
    <w:unhideWhenUsed/>
    <w:rsid w:val="009F5188"/>
    <w:rPr>
      <w:sz w:val="20"/>
      <w:szCs w:val="20"/>
    </w:rPr>
  </w:style>
  <w:style w:type="character" w:customStyle="1" w:styleId="KommentarthemaZeichen">
    <w:name w:val="Kommentarthema Zeichen"/>
    <w:basedOn w:val="KommentartextZeichen"/>
    <w:link w:val="Kommentarthema"/>
    <w:uiPriority w:val="99"/>
    <w:semiHidden/>
    <w:rsid w:val="009F5188"/>
    <w:rPr>
      <w:b/>
      <w:bCs/>
      <w:sz w:val="20"/>
      <w:szCs w:val="20"/>
    </w:rPr>
  </w:style>
  <w:style w:type="paragraph" w:styleId="Kommentarthema">
    <w:name w:val="annotation subject"/>
    <w:basedOn w:val="Kommentartext"/>
    <w:next w:val="Kommentartext"/>
    <w:link w:val="KommentarthemaZeichen"/>
    <w:uiPriority w:val="99"/>
    <w:semiHidden/>
    <w:unhideWhenUsed/>
    <w:rsid w:val="009F5188"/>
    <w:rPr>
      <w:b/>
      <w:bCs/>
    </w:rPr>
  </w:style>
  <w:style w:type="character" w:styleId="Funotenzeichen">
    <w:name w:val="footnote reference"/>
    <w:basedOn w:val="Absatzstandardschriftart"/>
    <w:uiPriority w:val="99"/>
    <w:unhideWhenUsed/>
    <w:rsid w:val="009F5188"/>
    <w:rPr>
      <w:vertAlign w:val="superscript"/>
    </w:rPr>
  </w:style>
  <w:style w:type="character" w:styleId="Kommentarzeichen">
    <w:name w:val="annotation reference"/>
    <w:basedOn w:val="Absatzstandardschriftart"/>
    <w:uiPriority w:val="99"/>
    <w:semiHidden/>
    <w:unhideWhenUsed/>
    <w:rsid w:val="00B93A3E"/>
    <w:rPr>
      <w:sz w:val="18"/>
      <w:szCs w:val="18"/>
    </w:rPr>
  </w:style>
  <w:style w:type="paragraph" w:styleId="Bearbeitung">
    <w:name w:val="Revision"/>
    <w:hidden/>
    <w:uiPriority w:val="99"/>
    <w:semiHidden/>
    <w:rsid w:val="005F4DA1"/>
  </w:style>
  <w:style w:type="table" w:customStyle="1" w:styleId="HelleSchattierung1">
    <w:name w:val="Helle Schattierung1"/>
    <w:basedOn w:val="NormaleTabelle"/>
    <w:next w:val="HelleSchattierung"/>
    <w:uiPriority w:val="60"/>
    <w:rsid w:val="001D06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
    <w:name w:val="Light Shading"/>
    <w:basedOn w:val="NormaleTabelle"/>
    <w:uiPriority w:val="60"/>
    <w:rsid w:val="001D06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9858E7"/>
    <w:rPr>
      <w:rFonts w:eastAsiaTheme="minorHAns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858E7"/>
    <w:pPr>
      <w:spacing w:after="200" w:line="276" w:lineRule="auto"/>
      <w:ind w:left="720"/>
      <w:contextualSpacing/>
    </w:pPr>
    <w:rPr>
      <w:rFonts w:eastAsiaTheme="minorHAnsi"/>
      <w:sz w:val="22"/>
      <w:szCs w:val="22"/>
      <w:lang w:val="de-DE" w:eastAsia="en-US"/>
    </w:rPr>
  </w:style>
  <w:style w:type="table" w:customStyle="1" w:styleId="Tabellenraster1">
    <w:name w:val="Tabellenraster1"/>
    <w:basedOn w:val="NormaleTabelle"/>
    <w:next w:val="Tabellenraster"/>
    <w:uiPriority w:val="59"/>
    <w:rsid w:val="00D90E3E"/>
    <w:rPr>
      <w:rFonts w:eastAsia="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076C5C"/>
    <w:rPr>
      <w:rFonts w:eastAsia="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2">
    <w:name w:val="Helle Schattierung2"/>
    <w:basedOn w:val="NormaleTabelle"/>
    <w:next w:val="HelleSchattierung"/>
    <w:uiPriority w:val="60"/>
    <w:rsid w:val="00076C5C"/>
    <w:rPr>
      <w:rFonts w:eastAsia="Calibri"/>
      <w:color w:val="000000"/>
      <w:sz w:val="22"/>
      <w:szCs w:val="22"/>
      <w:lang w:val="de-DE"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51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eichen">
    <w:name w:val="Fußnotentext Zeichen"/>
    <w:basedOn w:val="Absatzstandardschriftart"/>
    <w:link w:val="Funotentext"/>
    <w:uiPriority w:val="99"/>
    <w:rsid w:val="009F5188"/>
    <w:rPr>
      <w:sz w:val="20"/>
      <w:szCs w:val="20"/>
    </w:rPr>
  </w:style>
  <w:style w:type="paragraph" w:styleId="Funotentext">
    <w:name w:val="footnote text"/>
    <w:basedOn w:val="Standard"/>
    <w:link w:val="FunotentextZeichen"/>
    <w:uiPriority w:val="99"/>
    <w:unhideWhenUsed/>
    <w:rsid w:val="009F5188"/>
    <w:rPr>
      <w:sz w:val="20"/>
      <w:szCs w:val="20"/>
    </w:rPr>
  </w:style>
  <w:style w:type="character" w:customStyle="1" w:styleId="KopfzeileZeichen">
    <w:name w:val="Kopfzeile Zeichen"/>
    <w:basedOn w:val="Absatzstandardschriftart"/>
    <w:link w:val="Kopfzeile"/>
    <w:uiPriority w:val="99"/>
    <w:rsid w:val="009F5188"/>
  </w:style>
  <w:style w:type="paragraph" w:styleId="Kopfzeile">
    <w:name w:val="header"/>
    <w:basedOn w:val="Standard"/>
    <w:link w:val="KopfzeileZeichen"/>
    <w:uiPriority w:val="99"/>
    <w:unhideWhenUsed/>
    <w:rsid w:val="009F5188"/>
    <w:pPr>
      <w:tabs>
        <w:tab w:val="center" w:pos="4536"/>
        <w:tab w:val="right" w:pos="9072"/>
      </w:tabs>
    </w:pPr>
  </w:style>
  <w:style w:type="character" w:customStyle="1" w:styleId="FuzeileZeichen">
    <w:name w:val="Fußzeile Zeichen"/>
    <w:basedOn w:val="Absatzstandardschriftart"/>
    <w:link w:val="Fuzeile"/>
    <w:uiPriority w:val="99"/>
    <w:rsid w:val="009F5188"/>
  </w:style>
  <w:style w:type="paragraph" w:styleId="Fuzeile">
    <w:name w:val="footer"/>
    <w:basedOn w:val="Standard"/>
    <w:link w:val="FuzeileZeichen"/>
    <w:uiPriority w:val="99"/>
    <w:unhideWhenUsed/>
    <w:rsid w:val="009F5188"/>
    <w:pPr>
      <w:tabs>
        <w:tab w:val="center" w:pos="4536"/>
        <w:tab w:val="right" w:pos="9072"/>
      </w:tabs>
    </w:pPr>
  </w:style>
  <w:style w:type="character" w:customStyle="1" w:styleId="SprechblasentextZeichen">
    <w:name w:val="Sprechblasentext Zeichen"/>
    <w:basedOn w:val="Absatzstandardschriftart"/>
    <w:link w:val="Sprechblasentext"/>
    <w:uiPriority w:val="99"/>
    <w:semiHidden/>
    <w:rsid w:val="009F5188"/>
    <w:rPr>
      <w:rFonts w:ascii="Lucida Grande" w:hAnsi="Lucida Grande"/>
      <w:sz w:val="18"/>
      <w:szCs w:val="18"/>
    </w:rPr>
  </w:style>
  <w:style w:type="paragraph" w:styleId="Sprechblasentext">
    <w:name w:val="Balloon Text"/>
    <w:basedOn w:val="Standard"/>
    <w:link w:val="SprechblasentextZeichen"/>
    <w:uiPriority w:val="99"/>
    <w:semiHidden/>
    <w:unhideWhenUsed/>
    <w:rsid w:val="009F5188"/>
    <w:rPr>
      <w:rFonts w:ascii="Lucida Grande" w:hAnsi="Lucida Grande"/>
      <w:sz w:val="18"/>
      <w:szCs w:val="18"/>
    </w:rPr>
  </w:style>
  <w:style w:type="character" w:customStyle="1" w:styleId="NurTextZeichen">
    <w:name w:val="Nur Text Zeichen"/>
    <w:basedOn w:val="Absatzstandardschriftart"/>
    <w:link w:val="NurText"/>
    <w:uiPriority w:val="99"/>
    <w:rsid w:val="009F5188"/>
    <w:rPr>
      <w:rFonts w:ascii="Courier" w:hAnsi="Courier"/>
      <w:sz w:val="21"/>
      <w:szCs w:val="21"/>
    </w:rPr>
  </w:style>
  <w:style w:type="paragraph" w:styleId="NurText">
    <w:name w:val="Plain Text"/>
    <w:basedOn w:val="Standard"/>
    <w:link w:val="NurTextZeichen"/>
    <w:uiPriority w:val="99"/>
    <w:unhideWhenUsed/>
    <w:rsid w:val="009F5188"/>
    <w:rPr>
      <w:rFonts w:ascii="Courier" w:hAnsi="Courier"/>
      <w:sz w:val="21"/>
      <w:szCs w:val="21"/>
    </w:rPr>
  </w:style>
  <w:style w:type="character" w:customStyle="1" w:styleId="KommentartextZeichen">
    <w:name w:val="Kommentartext Zeichen"/>
    <w:basedOn w:val="Absatzstandardschriftart"/>
    <w:link w:val="Kommentartext"/>
    <w:uiPriority w:val="99"/>
    <w:semiHidden/>
    <w:rsid w:val="009F5188"/>
    <w:rPr>
      <w:sz w:val="20"/>
      <w:szCs w:val="20"/>
    </w:rPr>
  </w:style>
  <w:style w:type="paragraph" w:styleId="Kommentartext">
    <w:name w:val="annotation text"/>
    <w:basedOn w:val="Standard"/>
    <w:link w:val="KommentartextZeichen"/>
    <w:uiPriority w:val="99"/>
    <w:semiHidden/>
    <w:unhideWhenUsed/>
    <w:rsid w:val="009F5188"/>
    <w:rPr>
      <w:sz w:val="20"/>
      <w:szCs w:val="20"/>
    </w:rPr>
  </w:style>
  <w:style w:type="character" w:customStyle="1" w:styleId="KommentarthemaZeichen">
    <w:name w:val="Kommentarthema Zeichen"/>
    <w:basedOn w:val="KommentartextZeichen"/>
    <w:link w:val="Kommentarthema"/>
    <w:uiPriority w:val="99"/>
    <w:semiHidden/>
    <w:rsid w:val="009F5188"/>
    <w:rPr>
      <w:b/>
      <w:bCs/>
      <w:sz w:val="20"/>
      <w:szCs w:val="20"/>
    </w:rPr>
  </w:style>
  <w:style w:type="paragraph" w:styleId="Kommentarthema">
    <w:name w:val="annotation subject"/>
    <w:basedOn w:val="Kommentartext"/>
    <w:next w:val="Kommentartext"/>
    <w:link w:val="KommentarthemaZeichen"/>
    <w:uiPriority w:val="99"/>
    <w:semiHidden/>
    <w:unhideWhenUsed/>
    <w:rsid w:val="009F5188"/>
    <w:rPr>
      <w:b/>
      <w:bCs/>
    </w:rPr>
  </w:style>
  <w:style w:type="character" w:styleId="Funotenzeichen">
    <w:name w:val="footnote reference"/>
    <w:basedOn w:val="Absatzstandardschriftart"/>
    <w:uiPriority w:val="99"/>
    <w:unhideWhenUsed/>
    <w:rsid w:val="009F5188"/>
    <w:rPr>
      <w:vertAlign w:val="superscript"/>
    </w:rPr>
  </w:style>
  <w:style w:type="character" w:styleId="Kommentarzeichen">
    <w:name w:val="annotation reference"/>
    <w:basedOn w:val="Absatzstandardschriftart"/>
    <w:uiPriority w:val="99"/>
    <w:semiHidden/>
    <w:unhideWhenUsed/>
    <w:rsid w:val="00B93A3E"/>
    <w:rPr>
      <w:sz w:val="18"/>
      <w:szCs w:val="18"/>
    </w:rPr>
  </w:style>
  <w:style w:type="paragraph" w:styleId="Bearbeitung">
    <w:name w:val="Revision"/>
    <w:hidden/>
    <w:uiPriority w:val="99"/>
    <w:semiHidden/>
    <w:rsid w:val="005F4DA1"/>
  </w:style>
  <w:style w:type="table" w:customStyle="1" w:styleId="HelleSchattierung1">
    <w:name w:val="Helle Schattierung1"/>
    <w:basedOn w:val="NormaleTabelle"/>
    <w:next w:val="HelleSchattierung"/>
    <w:uiPriority w:val="60"/>
    <w:rsid w:val="001D06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
    <w:name w:val="Light Shading"/>
    <w:basedOn w:val="NormaleTabelle"/>
    <w:uiPriority w:val="60"/>
    <w:rsid w:val="001D06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9858E7"/>
    <w:rPr>
      <w:rFonts w:eastAsiaTheme="minorHAns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858E7"/>
    <w:pPr>
      <w:spacing w:after="200" w:line="276" w:lineRule="auto"/>
      <w:ind w:left="720"/>
      <w:contextualSpacing/>
    </w:pPr>
    <w:rPr>
      <w:rFonts w:eastAsiaTheme="minorHAnsi"/>
      <w:sz w:val="22"/>
      <w:szCs w:val="22"/>
      <w:lang w:val="de-DE" w:eastAsia="en-US"/>
    </w:rPr>
  </w:style>
  <w:style w:type="table" w:customStyle="1" w:styleId="Tabellenraster1">
    <w:name w:val="Tabellenraster1"/>
    <w:basedOn w:val="NormaleTabelle"/>
    <w:next w:val="Tabellenraster"/>
    <w:uiPriority w:val="59"/>
    <w:rsid w:val="00D90E3E"/>
    <w:rPr>
      <w:rFonts w:eastAsia="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076C5C"/>
    <w:rPr>
      <w:rFonts w:eastAsia="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2">
    <w:name w:val="Helle Schattierung2"/>
    <w:basedOn w:val="NormaleTabelle"/>
    <w:next w:val="HelleSchattierung"/>
    <w:uiPriority w:val="60"/>
    <w:rsid w:val="00076C5C"/>
    <w:rPr>
      <w:rFonts w:eastAsia="Calibri"/>
      <w:color w:val="000000"/>
      <w:sz w:val="22"/>
      <w:szCs w:val="22"/>
      <w:lang w:val="de-DE"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0C83-F65C-A246-BA2D-3DD01E37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11614</Words>
  <Characters>73175</Characters>
  <Application>Microsoft Macintosh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Florian</cp:lastModifiedBy>
  <cp:revision>2</cp:revision>
  <cp:lastPrinted>2015-12-17T14:18:00Z</cp:lastPrinted>
  <dcterms:created xsi:type="dcterms:W3CDTF">2016-04-13T14:18:00Z</dcterms:created>
  <dcterms:modified xsi:type="dcterms:W3CDTF">2016-04-13T14:18:00Z</dcterms:modified>
</cp:coreProperties>
</file>