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33018E" w14:textId="77777777" w:rsidR="004E2419" w:rsidRPr="004E2419" w:rsidRDefault="004E2419" w:rsidP="004E2419">
      <w:pPr>
        <w:spacing w:before="300" w:after="150" w:line="240" w:lineRule="auto"/>
        <w:jc w:val="both"/>
        <w:outlineLvl w:val="1"/>
        <w:rPr>
          <w:rFonts w:ascii="Calibri" w:eastAsia="Times New Roman" w:hAnsi="Calibri" w:cs="Calibri"/>
          <w:b/>
          <w:bCs/>
          <w:spacing w:val="4"/>
          <w:kern w:val="0"/>
          <w:sz w:val="22"/>
          <w:szCs w:val="22"/>
          <w:lang w:eastAsia="en-GB"/>
          <w14:ligatures w14:val="none"/>
        </w:rPr>
      </w:pPr>
    </w:p>
    <w:p w14:paraId="6C90C928" w14:textId="0C60DD3E" w:rsidR="004E2419" w:rsidRPr="004E2419" w:rsidRDefault="004E2419" w:rsidP="004E2419">
      <w:pPr>
        <w:spacing w:after="150" w:line="240" w:lineRule="auto"/>
        <w:jc w:val="both"/>
        <w:rPr>
          <w:rFonts w:ascii="Calibri" w:hAnsi="Calibri" w:cs="Calibri"/>
          <w:color w:val="000000"/>
          <w:sz w:val="22"/>
          <w:szCs w:val="22"/>
        </w:rPr>
      </w:pPr>
      <w:r w:rsidRPr="004E2419">
        <w:rPr>
          <w:rFonts w:ascii="Calibri" w:hAnsi="Calibri" w:cs="Calibri"/>
          <w:color w:val="000000"/>
          <w:sz w:val="22"/>
          <w:szCs w:val="22"/>
        </w:rPr>
        <w:t>Chapter 2:</w:t>
      </w:r>
    </w:p>
    <w:p w14:paraId="0981FD38" w14:textId="56BC2EEB" w:rsidR="004E2419" w:rsidRPr="004E2419" w:rsidRDefault="004E2419" w:rsidP="004E2419">
      <w:pPr>
        <w:spacing w:after="150" w:line="240" w:lineRule="auto"/>
        <w:jc w:val="both"/>
        <w:rPr>
          <w:rFonts w:ascii="Calibri" w:eastAsia="Times New Roman" w:hAnsi="Calibri" w:cs="Calibri"/>
          <w:spacing w:val="5"/>
          <w:kern w:val="0"/>
          <w:sz w:val="22"/>
          <w:szCs w:val="22"/>
          <w:lang w:eastAsia="en-GB"/>
          <w14:ligatures w14:val="none"/>
        </w:rPr>
      </w:pPr>
      <w:r w:rsidRPr="004E2419">
        <w:rPr>
          <w:rFonts w:ascii="Calibri" w:hAnsi="Calibri" w:cs="Calibri"/>
          <w:b/>
          <w:bCs/>
          <w:color w:val="000000"/>
          <w:sz w:val="22"/>
          <w:szCs w:val="22"/>
        </w:rPr>
        <w:t xml:space="preserve">Australia and the EU: Like-minded yet untapped partners in the Indo-Pacific’ (with </w:t>
      </w:r>
      <w:r w:rsidRPr="004E2419">
        <w:rPr>
          <w:rFonts w:ascii="Calibri" w:hAnsi="Calibri" w:cs="Calibri"/>
          <w:b/>
          <w:bCs/>
          <w:sz w:val="22"/>
          <w:szCs w:val="22"/>
        </w:rPr>
        <w:t>Anne McNaughton,</w:t>
      </w:r>
      <w:r w:rsidRPr="004E2419">
        <w:rPr>
          <w:rFonts w:ascii="Calibri" w:hAnsi="Calibri" w:cs="Calibri"/>
          <w:b/>
          <w:bCs/>
          <w:color w:val="0000FF"/>
          <w:position w:val="6"/>
          <w:sz w:val="22"/>
          <w:szCs w:val="22"/>
        </w:rPr>
        <w:t xml:space="preserve"> </w:t>
      </w:r>
      <w:r w:rsidRPr="004E2419">
        <w:rPr>
          <w:rFonts w:ascii="Calibri" w:hAnsi="Calibri" w:cs="Calibri"/>
          <w:b/>
          <w:bCs/>
          <w:sz w:val="22"/>
          <w:szCs w:val="22"/>
        </w:rPr>
        <w:t>Katarzyna Kwapisz Williams, Bruce Wilson, Hector Samuel Martinez Sanchez-Mateos)</w:t>
      </w:r>
      <w:r w:rsidRPr="004E2419">
        <w:rPr>
          <w:rFonts w:ascii="Calibri" w:hAnsi="Calibri" w:cs="Calibri"/>
          <w:b/>
          <w:bCs/>
          <w:sz w:val="22"/>
          <w:szCs w:val="22"/>
        </w:rPr>
        <w:t xml:space="preserve"> </w:t>
      </w:r>
      <w:r>
        <w:rPr>
          <w:rFonts w:ascii="Calibri" w:hAnsi="Calibri" w:cs="Calibri"/>
          <w:sz w:val="22"/>
          <w:szCs w:val="22"/>
        </w:rPr>
        <w:t xml:space="preserve">in: </w:t>
      </w:r>
    </w:p>
    <w:p w14:paraId="3E795A2D" w14:textId="6F21CDAA" w:rsidR="004E2419" w:rsidRPr="004E2419" w:rsidRDefault="004E2419" w:rsidP="004E2419">
      <w:pPr>
        <w:pStyle w:val="NormalWeb"/>
        <w:jc w:val="both"/>
        <w:rPr>
          <w:rFonts w:ascii="Calibri" w:hAnsi="Calibri" w:cs="Calibri"/>
          <w:b/>
          <w:bCs/>
          <w:sz w:val="22"/>
          <w:szCs w:val="22"/>
        </w:rPr>
      </w:pPr>
      <w:r w:rsidRPr="004E2419">
        <w:rPr>
          <w:rFonts w:ascii="Calibri" w:hAnsi="Calibri" w:cs="Calibri"/>
          <w:sz w:val="22"/>
          <w:szCs w:val="22"/>
        </w:rPr>
        <w:t xml:space="preserve">Nicholas Ross Smith &amp; Martin Holland (eds.), </w:t>
      </w:r>
      <w:r w:rsidRPr="004E2419">
        <w:rPr>
          <w:rFonts w:ascii="Calibri" w:hAnsi="Calibri" w:cs="Calibri"/>
          <w:i/>
          <w:iCs/>
          <w:sz w:val="22"/>
          <w:szCs w:val="22"/>
        </w:rPr>
        <w:t>Regional Perspectives on the EU’s Indo-Pacific Strategy: Beyond Brussels</w:t>
      </w:r>
      <w:r w:rsidRPr="004E2419">
        <w:rPr>
          <w:rFonts w:ascii="Calibri" w:hAnsi="Calibri" w:cs="Calibri"/>
          <w:sz w:val="22"/>
          <w:szCs w:val="22"/>
        </w:rPr>
        <w:t xml:space="preserve">, Routledge, 2026. </w:t>
      </w:r>
      <w:hyperlink r:id="rId4" w:tgtFrame="_blank" w:history="1">
        <w:r w:rsidRPr="004E2419">
          <w:rPr>
            <w:rStyle w:val="Hyperlink"/>
            <w:rFonts w:ascii="Calibri" w:hAnsi="Calibri" w:cs="Calibri"/>
            <w:color w:val="007A96"/>
            <w:spacing w:val="5"/>
            <w:sz w:val="22"/>
            <w:szCs w:val="22"/>
          </w:rPr>
          <w:t>https://doi.org/10.4324/9781003744870</w:t>
        </w:r>
      </w:hyperlink>
      <w:r w:rsidRPr="004E2419">
        <w:rPr>
          <w:rFonts w:ascii="Calibri" w:hAnsi="Calibri" w:cs="Calibri"/>
          <w:sz w:val="22"/>
          <w:szCs w:val="22"/>
        </w:rPr>
        <w:t xml:space="preserve"> </w:t>
      </w:r>
      <w:r w:rsidRPr="004E2419">
        <w:rPr>
          <w:rFonts w:ascii="Calibri" w:hAnsi="Calibri" w:cs="Calibri"/>
          <w:i/>
          <w:iCs/>
          <w:sz w:val="22"/>
          <w:szCs w:val="22"/>
        </w:rPr>
        <w:t>In Press</w:t>
      </w:r>
      <w:r w:rsidRPr="004E2419">
        <w:rPr>
          <w:rFonts w:ascii="Calibri" w:hAnsi="Calibri" w:cs="Calibri"/>
          <w:b/>
          <w:bCs/>
          <w:sz w:val="22"/>
          <w:szCs w:val="22"/>
        </w:rPr>
        <w:t xml:space="preserve">. </w:t>
      </w:r>
    </w:p>
    <w:p w14:paraId="68013B8E" w14:textId="648CFBCC" w:rsidR="004E2419" w:rsidRPr="004E2419" w:rsidRDefault="004E2419" w:rsidP="004E2419">
      <w:pPr>
        <w:spacing w:before="300" w:after="150" w:line="240" w:lineRule="auto"/>
        <w:jc w:val="both"/>
        <w:outlineLvl w:val="1"/>
        <w:rPr>
          <w:rFonts w:ascii="Calibri" w:eastAsia="Times New Roman" w:hAnsi="Calibri" w:cs="Calibri"/>
          <w:b/>
          <w:bCs/>
          <w:spacing w:val="4"/>
          <w:kern w:val="0"/>
          <w:sz w:val="22"/>
          <w:szCs w:val="22"/>
          <w:lang w:eastAsia="en-GB"/>
          <w14:ligatures w14:val="none"/>
        </w:rPr>
      </w:pPr>
      <w:r w:rsidRPr="004E2419">
        <w:rPr>
          <w:rFonts w:ascii="Calibri" w:eastAsia="Times New Roman" w:hAnsi="Calibri" w:cs="Calibri"/>
          <w:b/>
          <w:bCs/>
          <w:spacing w:val="4"/>
          <w:kern w:val="0"/>
          <w:sz w:val="22"/>
          <w:szCs w:val="22"/>
          <w:lang w:eastAsia="en-GB"/>
          <w14:ligatures w14:val="none"/>
        </w:rPr>
        <w:t xml:space="preserve">BOOK </w:t>
      </w:r>
      <w:r w:rsidRPr="004E2419">
        <w:rPr>
          <w:rFonts w:ascii="Calibri" w:eastAsia="Times New Roman" w:hAnsi="Calibri" w:cs="Calibri"/>
          <w:b/>
          <w:bCs/>
          <w:spacing w:val="4"/>
          <w:kern w:val="0"/>
          <w:sz w:val="22"/>
          <w:szCs w:val="22"/>
          <w:lang w:eastAsia="en-GB"/>
          <w14:ligatures w14:val="none"/>
        </w:rPr>
        <w:t>ABSTRACT </w:t>
      </w:r>
    </w:p>
    <w:p w14:paraId="1256AB2D" w14:textId="77777777" w:rsidR="004E2419" w:rsidRPr="004E2419" w:rsidRDefault="004E2419" w:rsidP="004E2419">
      <w:pPr>
        <w:spacing w:after="150" w:line="240" w:lineRule="auto"/>
        <w:jc w:val="both"/>
        <w:rPr>
          <w:rFonts w:ascii="Calibri" w:eastAsia="Times New Roman" w:hAnsi="Calibri" w:cs="Calibri"/>
          <w:spacing w:val="5"/>
          <w:kern w:val="0"/>
          <w:sz w:val="22"/>
          <w:szCs w:val="22"/>
          <w:lang w:eastAsia="en-GB"/>
          <w14:ligatures w14:val="none"/>
        </w:rPr>
      </w:pPr>
      <w:r w:rsidRPr="004E2419">
        <w:rPr>
          <w:rFonts w:ascii="Calibri" w:eastAsia="Times New Roman" w:hAnsi="Calibri" w:cs="Calibri"/>
          <w:spacing w:val="5"/>
          <w:kern w:val="0"/>
          <w:sz w:val="22"/>
          <w:szCs w:val="22"/>
          <w:lang w:eastAsia="en-GB"/>
          <w14:ligatures w14:val="none"/>
        </w:rPr>
        <w:t>This edited volume examines how elite policymakers in key Indo-Pacific locations - Australia, China, India, Japan, New Zealand, South Korea, Taiwan, and Thailand - view the European Union’s (EU's) strategy in the region.</w:t>
      </w:r>
    </w:p>
    <w:p w14:paraId="21F1A91A" w14:textId="77777777" w:rsidR="004E2419" w:rsidRPr="004E2419" w:rsidRDefault="004E2419" w:rsidP="004E2419">
      <w:pPr>
        <w:spacing w:after="150" w:line="240" w:lineRule="auto"/>
        <w:jc w:val="both"/>
        <w:rPr>
          <w:rFonts w:ascii="Calibri" w:eastAsia="Times New Roman" w:hAnsi="Calibri" w:cs="Calibri"/>
          <w:spacing w:val="5"/>
          <w:kern w:val="0"/>
          <w:sz w:val="22"/>
          <w:szCs w:val="22"/>
          <w:lang w:eastAsia="en-GB"/>
          <w14:ligatures w14:val="none"/>
        </w:rPr>
      </w:pPr>
      <w:r w:rsidRPr="004E2419">
        <w:rPr>
          <w:rFonts w:ascii="Calibri" w:eastAsia="Times New Roman" w:hAnsi="Calibri" w:cs="Calibri"/>
          <w:spacing w:val="5"/>
          <w:kern w:val="0"/>
          <w:sz w:val="22"/>
          <w:szCs w:val="22"/>
          <w:lang w:eastAsia="en-GB"/>
          <w14:ligatures w14:val="none"/>
        </w:rPr>
        <w:t>Centred on gauging the opinions of key people involved in the foreign policy making process in each location, the expert international contributors find that while the EU has strong bilateral ties with all the locations, few conceive of it as being a credible and relevant Indo-Pacific actor. The results point to the EU’s potential relevancy in areas like ocean governance, green transition, and sustainable and inclusive prosperity but show that there remains a mixture of caution and scepticism. Furthermore, there is diversity across the countries of the Indo-Pacific as to how they understand the EU.</w:t>
      </w:r>
    </w:p>
    <w:p w14:paraId="4EF1166C" w14:textId="77777777" w:rsidR="004E2419" w:rsidRPr="004E2419" w:rsidRDefault="004E2419" w:rsidP="004E2419">
      <w:pPr>
        <w:spacing w:after="150" w:line="240" w:lineRule="auto"/>
        <w:jc w:val="both"/>
        <w:rPr>
          <w:rFonts w:ascii="Calibri" w:eastAsia="Times New Roman" w:hAnsi="Calibri" w:cs="Calibri"/>
          <w:spacing w:val="5"/>
          <w:kern w:val="0"/>
          <w:sz w:val="22"/>
          <w:szCs w:val="22"/>
          <w:lang w:eastAsia="en-GB"/>
          <w14:ligatures w14:val="none"/>
        </w:rPr>
      </w:pPr>
      <w:r w:rsidRPr="004E2419">
        <w:rPr>
          <w:rFonts w:ascii="Calibri" w:eastAsia="Times New Roman" w:hAnsi="Calibri" w:cs="Calibri"/>
          <w:spacing w:val="5"/>
          <w:kern w:val="0"/>
          <w:sz w:val="22"/>
          <w:szCs w:val="22"/>
          <w:lang w:eastAsia="en-GB"/>
          <w14:ligatures w14:val="none"/>
        </w:rPr>
        <w:t>A clear policy-focus offers feedback and recommendations for practitioners from the EU alongside rigorous research that provides food for thought and Indo-Pacific actors as well as scholars of international relations and European and Asian studies.</w:t>
      </w:r>
    </w:p>
    <w:p w14:paraId="658C9310" w14:textId="6188D9E6" w:rsidR="004E2419" w:rsidRPr="004E2419" w:rsidRDefault="004E2419" w:rsidP="004E2419">
      <w:pPr>
        <w:spacing w:after="150" w:line="240" w:lineRule="auto"/>
        <w:jc w:val="both"/>
        <w:rPr>
          <w:rFonts w:ascii="Calibri" w:eastAsia="Times New Roman" w:hAnsi="Calibri" w:cs="Calibri"/>
          <w:b/>
          <w:bCs/>
          <w:spacing w:val="5"/>
          <w:kern w:val="0"/>
          <w:sz w:val="22"/>
          <w:szCs w:val="22"/>
          <w:lang w:eastAsia="en-GB"/>
          <w14:ligatures w14:val="none"/>
        </w:rPr>
      </w:pPr>
      <w:r w:rsidRPr="004E2419">
        <w:rPr>
          <w:rFonts w:ascii="Calibri" w:eastAsia="Times New Roman" w:hAnsi="Calibri" w:cs="Calibri"/>
          <w:b/>
          <w:bCs/>
          <w:spacing w:val="5"/>
          <w:kern w:val="0"/>
          <w:sz w:val="22"/>
          <w:szCs w:val="22"/>
          <w:lang w:eastAsia="en-GB"/>
          <w14:ligatures w14:val="none"/>
        </w:rPr>
        <w:t>CHAPTER ABSTRACT</w:t>
      </w:r>
    </w:p>
    <w:p w14:paraId="11F60E1F" w14:textId="2275E9B9" w:rsidR="004E2419" w:rsidRPr="004E2419" w:rsidRDefault="004E2419" w:rsidP="004E2419">
      <w:pPr>
        <w:spacing w:after="0" w:line="240" w:lineRule="auto"/>
        <w:jc w:val="both"/>
        <w:rPr>
          <w:rFonts w:ascii="Calibri" w:eastAsia="Times New Roman" w:hAnsi="Calibri" w:cs="Calibri"/>
          <w:kern w:val="0"/>
          <w:sz w:val="22"/>
          <w:szCs w:val="22"/>
          <w:lang w:eastAsia="en-GB"/>
          <w14:ligatures w14:val="none"/>
        </w:rPr>
      </w:pPr>
      <w:r w:rsidRPr="004E2419">
        <w:rPr>
          <w:rFonts w:ascii="Calibri" w:hAnsi="Calibri" w:cs="Calibri"/>
          <w:color w:val="000000"/>
          <w:spacing w:val="5"/>
          <w:sz w:val="22"/>
          <w:szCs w:val="22"/>
          <w:shd w:val="clear" w:color="auto" w:fill="FFFFFF"/>
        </w:rPr>
        <w:t>This chapter examines the relationship between the EU and Australia in the Indo-Pacific. It traces the evolution of EU–Australia relations from the establishment of formal diplomatic ties in 1962 through successive periods of tension and rapprochement, including the disruption caused by the AUKUS agreement in 2021 and the subsequent suspension of Free Trade Agreement negotiations. Drawing on ten elite interviews with Australian government officials and civil society actors, the chapter presents findings from the EUIP Network’s Australian research strand. The results reveal a visibility deficit and moderate scepticism among Australian stakeholders regarding the EU’s capacity to act as a meaningful Indo-Pacific partner, with the United States and China rated considerably more important than the EU. Green transition cooperation and trade emerge as the priority areas for potential collaboration. The chapter concludes with five recommendations for how the EU and Australia might strengthen their Indo-Pacific partnership, including greater engagement on climate action, enhanced visibility for the Global Gateway, and mobilisation of Australia’s European diaspora networks.</w:t>
      </w:r>
    </w:p>
    <w:p w14:paraId="4F313B45" w14:textId="77777777" w:rsidR="00296A76" w:rsidRPr="004E2419" w:rsidRDefault="00296A76" w:rsidP="004E2419">
      <w:pPr>
        <w:jc w:val="both"/>
        <w:rPr>
          <w:rFonts w:ascii="Calibri" w:hAnsi="Calibri" w:cs="Calibri"/>
          <w:sz w:val="22"/>
          <w:szCs w:val="22"/>
        </w:rPr>
      </w:pPr>
    </w:p>
    <w:sectPr w:rsidR="00296A76" w:rsidRPr="004E24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419"/>
    <w:rsid w:val="00296A76"/>
    <w:rsid w:val="004E2419"/>
    <w:rsid w:val="00525A1A"/>
    <w:rsid w:val="00B53E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F52ED4"/>
  <w15:chartTrackingRefBased/>
  <w15:docId w15:val="{C96A4F36-CA6B-D344-9E7F-A1155E89F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4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24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4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4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4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4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4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4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4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4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24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4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4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4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4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4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4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419"/>
    <w:rPr>
      <w:rFonts w:eastAsiaTheme="majorEastAsia" w:cstheme="majorBidi"/>
      <w:color w:val="272727" w:themeColor="text1" w:themeTint="D8"/>
    </w:rPr>
  </w:style>
  <w:style w:type="paragraph" w:styleId="Title">
    <w:name w:val="Title"/>
    <w:basedOn w:val="Normal"/>
    <w:next w:val="Normal"/>
    <w:link w:val="TitleChar"/>
    <w:uiPriority w:val="10"/>
    <w:qFormat/>
    <w:rsid w:val="004E24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4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4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4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419"/>
    <w:pPr>
      <w:spacing w:before="160"/>
      <w:jc w:val="center"/>
    </w:pPr>
    <w:rPr>
      <w:i/>
      <w:iCs/>
      <w:color w:val="404040" w:themeColor="text1" w:themeTint="BF"/>
    </w:rPr>
  </w:style>
  <w:style w:type="character" w:customStyle="1" w:styleId="QuoteChar">
    <w:name w:val="Quote Char"/>
    <w:basedOn w:val="DefaultParagraphFont"/>
    <w:link w:val="Quote"/>
    <w:uiPriority w:val="29"/>
    <w:rsid w:val="004E2419"/>
    <w:rPr>
      <w:i/>
      <w:iCs/>
      <w:color w:val="404040" w:themeColor="text1" w:themeTint="BF"/>
    </w:rPr>
  </w:style>
  <w:style w:type="paragraph" w:styleId="ListParagraph">
    <w:name w:val="List Paragraph"/>
    <w:basedOn w:val="Normal"/>
    <w:uiPriority w:val="34"/>
    <w:qFormat/>
    <w:rsid w:val="004E2419"/>
    <w:pPr>
      <w:ind w:left="720"/>
      <w:contextualSpacing/>
    </w:pPr>
  </w:style>
  <w:style w:type="character" w:styleId="IntenseEmphasis">
    <w:name w:val="Intense Emphasis"/>
    <w:basedOn w:val="DefaultParagraphFont"/>
    <w:uiPriority w:val="21"/>
    <w:qFormat/>
    <w:rsid w:val="004E2419"/>
    <w:rPr>
      <w:i/>
      <w:iCs/>
      <w:color w:val="0F4761" w:themeColor="accent1" w:themeShade="BF"/>
    </w:rPr>
  </w:style>
  <w:style w:type="paragraph" w:styleId="IntenseQuote">
    <w:name w:val="Intense Quote"/>
    <w:basedOn w:val="Normal"/>
    <w:next w:val="Normal"/>
    <w:link w:val="IntenseQuoteChar"/>
    <w:uiPriority w:val="30"/>
    <w:qFormat/>
    <w:rsid w:val="004E24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419"/>
    <w:rPr>
      <w:i/>
      <w:iCs/>
      <w:color w:val="0F4761" w:themeColor="accent1" w:themeShade="BF"/>
    </w:rPr>
  </w:style>
  <w:style w:type="character" w:styleId="IntenseReference">
    <w:name w:val="Intense Reference"/>
    <w:basedOn w:val="DefaultParagraphFont"/>
    <w:uiPriority w:val="32"/>
    <w:qFormat/>
    <w:rsid w:val="004E2419"/>
    <w:rPr>
      <w:b/>
      <w:bCs/>
      <w:smallCaps/>
      <w:color w:val="0F4761" w:themeColor="accent1" w:themeShade="BF"/>
      <w:spacing w:val="5"/>
    </w:rPr>
  </w:style>
  <w:style w:type="character" w:customStyle="1" w:styleId="apple-converted-space">
    <w:name w:val="apple-converted-space"/>
    <w:basedOn w:val="DefaultParagraphFont"/>
    <w:rsid w:val="004E2419"/>
  </w:style>
  <w:style w:type="paragraph" w:styleId="NormalWeb">
    <w:name w:val="Normal (Web)"/>
    <w:basedOn w:val="Normal"/>
    <w:uiPriority w:val="99"/>
    <w:unhideWhenUsed/>
    <w:rsid w:val="004E241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uiPriority w:val="99"/>
    <w:rsid w:val="004E24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4324/97810037448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Whitman</dc:creator>
  <cp:keywords/>
  <dc:description/>
  <cp:lastModifiedBy>Richard Whitman</cp:lastModifiedBy>
  <cp:revision>1</cp:revision>
  <dcterms:created xsi:type="dcterms:W3CDTF">2026-09-22T07:51:00Z</dcterms:created>
  <dcterms:modified xsi:type="dcterms:W3CDTF">2026-09-22T07:56:00Z</dcterms:modified>
</cp:coreProperties>
</file>