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65D7"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b/>
          <w:bCs/>
          <w:sz w:val="28"/>
          <w:szCs w:val="28"/>
        </w:rPr>
        <w:t xml:space="preserve">Steppe and Forest Between World Orders: Locating the Political Geography of Eastern Europe in the Deep Time of International Law </w:t>
      </w:r>
    </w:p>
    <w:p w14:paraId="764FC93C" w14:textId="77777777" w:rsidR="00F81612" w:rsidRPr="00F81612" w:rsidRDefault="00F81612" w:rsidP="00F81612">
      <w:pPr>
        <w:spacing w:line="360" w:lineRule="auto"/>
        <w:jc w:val="both"/>
        <w:rPr>
          <w:rFonts w:asciiTheme="majorBidi" w:hAnsiTheme="majorBidi" w:cstheme="majorBidi"/>
          <w:b/>
          <w:bCs/>
          <w:sz w:val="28"/>
          <w:szCs w:val="28"/>
        </w:rPr>
      </w:pPr>
      <w:r w:rsidRPr="00F81612">
        <w:rPr>
          <w:rFonts w:asciiTheme="majorBidi" w:hAnsiTheme="majorBidi" w:cstheme="majorBidi"/>
        </w:rPr>
        <w:t xml:space="preserve">Eric Loefflad </w:t>
      </w:r>
    </w:p>
    <w:p w14:paraId="6DE804B8" w14:textId="77777777" w:rsidR="00F81612" w:rsidRPr="00F81612" w:rsidRDefault="00F81612" w:rsidP="00F81612">
      <w:pPr>
        <w:spacing w:line="360" w:lineRule="auto"/>
        <w:jc w:val="both"/>
        <w:rPr>
          <w:rFonts w:asciiTheme="majorBidi" w:hAnsiTheme="majorBidi" w:cstheme="majorBidi"/>
          <w:b/>
          <w:bCs/>
          <w:sz w:val="28"/>
          <w:szCs w:val="28"/>
        </w:rPr>
      </w:pPr>
    </w:p>
    <w:p w14:paraId="790A05D8" w14:textId="77777777" w:rsidR="00F81612" w:rsidRPr="00F81612" w:rsidRDefault="00F81612" w:rsidP="00F81612">
      <w:pPr>
        <w:spacing w:line="360" w:lineRule="auto"/>
        <w:jc w:val="both"/>
        <w:rPr>
          <w:rFonts w:asciiTheme="majorBidi" w:hAnsiTheme="majorBidi" w:cstheme="majorBidi"/>
          <w:b/>
          <w:bCs/>
        </w:rPr>
      </w:pPr>
      <w:r w:rsidRPr="00F81612">
        <w:rPr>
          <w:rFonts w:asciiTheme="majorBidi" w:hAnsiTheme="majorBidi" w:cstheme="majorBidi"/>
          <w:b/>
          <w:bCs/>
        </w:rPr>
        <w:t>Abstract</w:t>
      </w:r>
    </w:p>
    <w:p w14:paraId="108F2B2E" w14:textId="16FCA2E4"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While Third World Approaches to International Law (‘TWAIL’) has achieved great success in transforming international lawyers’ historical consciousness, this article implores whether a similar reorientation can be accomplished through Second World Approaches to International Law (‘SWAIL’). </w:t>
      </w:r>
      <w:r w:rsidR="006E3DEC">
        <w:rPr>
          <w:rFonts w:asciiTheme="majorBidi" w:hAnsiTheme="majorBidi" w:cstheme="majorBidi"/>
        </w:rPr>
        <w:t>T</w:t>
      </w:r>
      <w:r w:rsidRPr="00F81612">
        <w:rPr>
          <w:rFonts w:asciiTheme="majorBidi" w:hAnsiTheme="majorBidi" w:cstheme="majorBidi"/>
        </w:rPr>
        <w:t>his undertaking must confront substantial methodological challenges, especially accounting for the very distant past</w:t>
      </w:r>
      <w:r w:rsidR="00594308">
        <w:rPr>
          <w:rFonts w:asciiTheme="majorBidi" w:hAnsiTheme="majorBidi" w:cstheme="majorBidi"/>
        </w:rPr>
        <w:t>. However,</w:t>
      </w:r>
      <w:r w:rsidRPr="00F81612">
        <w:rPr>
          <w:rFonts w:asciiTheme="majorBidi" w:hAnsiTheme="majorBidi" w:cstheme="majorBidi"/>
        </w:rPr>
        <w:t xml:space="preserve"> this seeming limit can be addressed through a spatial interpretation of Eastern Europe as an interactive zone between varied empires and their progeny. </w:t>
      </w:r>
      <w:r w:rsidR="004932C6">
        <w:rPr>
          <w:rFonts w:asciiTheme="majorBidi" w:hAnsiTheme="majorBidi" w:cstheme="majorBidi"/>
        </w:rPr>
        <w:t>F</w:t>
      </w:r>
      <w:r w:rsidRPr="00F81612">
        <w:rPr>
          <w:rFonts w:asciiTheme="majorBidi" w:hAnsiTheme="majorBidi" w:cstheme="majorBidi"/>
        </w:rPr>
        <w:t xml:space="preserve">ocusing on the physical geography of the region as a space shaped by the interplay of vast forests and steppe grasslands spanning the Eurasian landmass provides the key to unlocking a rich political history that </w:t>
      </w:r>
      <w:r w:rsidR="00C034C8">
        <w:rPr>
          <w:rFonts w:asciiTheme="majorBidi" w:hAnsiTheme="majorBidi" w:cstheme="majorBidi"/>
        </w:rPr>
        <w:t xml:space="preserve">can </w:t>
      </w:r>
      <w:r w:rsidRPr="00F81612">
        <w:rPr>
          <w:rFonts w:asciiTheme="majorBidi" w:hAnsiTheme="majorBidi" w:cstheme="majorBidi"/>
        </w:rPr>
        <w:t>vast</w:t>
      </w:r>
      <w:r w:rsidR="00C034C8">
        <w:rPr>
          <w:rFonts w:asciiTheme="majorBidi" w:hAnsiTheme="majorBidi" w:cstheme="majorBidi"/>
        </w:rPr>
        <w:t>ly</w:t>
      </w:r>
      <w:r w:rsidRPr="00F81612">
        <w:rPr>
          <w:rFonts w:asciiTheme="majorBidi" w:hAnsiTheme="majorBidi" w:cstheme="majorBidi"/>
        </w:rPr>
        <w:t xml:space="preserve"> contribute to consciousness of international legal origins. Possessed of this knowledge, an international lawyer is</w:t>
      </w:r>
      <w:r w:rsidR="00FB240F">
        <w:rPr>
          <w:rFonts w:asciiTheme="majorBidi" w:hAnsiTheme="majorBidi" w:cstheme="majorBidi"/>
        </w:rPr>
        <w:t xml:space="preserve"> equipped </w:t>
      </w:r>
      <w:r w:rsidR="00B11535">
        <w:rPr>
          <w:rFonts w:asciiTheme="majorBidi" w:hAnsiTheme="majorBidi" w:cstheme="majorBidi"/>
        </w:rPr>
        <w:t xml:space="preserve">to holistically confront imperial legacies, </w:t>
      </w:r>
      <w:r w:rsidR="00B408BA">
        <w:rPr>
          <w:rFonts w:asciiTheme="majorBidi" w:hAnsiTheme="majorBidi" w:cstheme="majorBidi"/>
        </w:rPr>
        <w:t xml:space="preserve">especially </w:t>
      </w:r>
      <w:r w:rsidR="001C5F7D">
        <w:rPr>
          <w:rFonts w:asciiTheme="majorBidi" w:hAnsiTheme="majorBidi" w:cstheme="majorBidi"/>
        </w:rPr>
        <w:t>as</w:t>
      </w:r>
      <w:r w:rsidR="00934FC7">
        <w:rPr>
          <w:rFonts w:asciiTheme="majorBidi" w:hAnsiTheme="majorBidi" w:cstheme="majorBidi"/>
        </w:rPr>
        <w:t xml:space="preserve"> the current</w:t>
      </w:r>
      <w:r w:rsidR="001C5F7D">
        <w:rPr>
          <w:rFonts w:asciiTheme="majorBidi" w:hAnsiTheme="majorBidi" w:cstheme="majorBidi"/>
        </w:rPr>
        <w:t xml:space="preserve"> age of ‘</w:t>
      </w:r>
      <w:r w:rsidR="000C24F1">
        <w:rPr>
          <w:rFonts w:asciiTheme="majorBidi" w:hAnsiTheme="majorBidi" w:cstheme="majorBidi"/>
        </w:rPr>
        <w:t>rising powers</w:t>
      </w:r>
      <w:r w:rsidR="001C5F7D">
        <w:rPr>
          <w:rFonts w:asciiTheme="majorBidi" w:hAnsiTheme="majorBidi" w:cstheme="majorBidi"/>
        </w:rPr>
        <w:t>’</w:t>
      </w:r>
      <w:r w:rsidR="00B408BA">
        <w:rPr>
          <w:rFonts w:asciiTheme="majorBidi" w:hAnsiTheme="majorBidi" w:cstheme="majorBidi"/>
        </w:rPr>
        <w:t xml:space="preserve"> </w:t>
      </w:r>
      <w:r w:rsidR="00934FC7">
        <w:rPr>
          <w:rFonts w:asciiTheme="majorBidi" w:hAnsiTheme="majorBidi" w:cstheme="majorBidi"/>
        </w:rPr>
        <w:t xml:space="preserve">presents </w:t>
      </w:r>
      <w:r w:rsidR="00006E0E">
        <w:rPr>
          <w:rFonts w:asciiTheme="majorBidi" w:hAnsiTheme="majorBidi" w:cstheme="majorBidi"/>
        </w:rPr>
        <w:t>new</w:t>
      </w:r>
      <w:r w:rsidR="00934FC7">
        <w:rPr>
          <w:rFonts w:asciiTheme="majorBidi" w:hAnsiTheme="majorBidi" w:cstheme="majorBidi"/>
        </w:rPr>
        <w:t xml:space="preserve"> questions concern </w:t>
      </w:r>
      <w:r w:rsidR="00B408BA">
        <w:rPr>
          <w:rFonts w:asciiTheme="majorBidi" w:hAnsiTheme="majorBidi" w:cstheme="majorBidi"/>
        </w:rPr>
        <w:t>non-Western</w:t>
      </w:r>
      <w:r w:rsidR="00006E0E">
        <w:rPr>
          <w:rFonts w:asciiTheme="majorBidi" w:hAnsiTheme="majorBidi" w:cstheme="majorBidi"/>
        </w:rPr>
        <w:t xml:space="preserve"> empires and imperialism</w:t>
      </w:r>
      <w:r w:rsidRPr="00F81612">
        <w:rPr>
          <w:rFonts w:asciiTheme="majorBidi" w:hAnsiTheme="majorBidi" w:cstheme="majorBidi"/>
        </w:rPr>
        <w:t>.</w:t>
      </w:r>
    </w:p>
    <w:p w14:paraId="5F7832FD" w14:textId="77777777" w:rsidR="00F81612" w:rsidRPr="00F81612" w:rsidRDefault="00F81612" w:rsidP="00F81612">
      <w:pPr>
        <w:spacing w:line="360" w:lineRule="auto"/>
        <w:jc w:val="both"/>
        <w:rPr>
          <w:rFonts w:asciiTheme="majorBidi" w:hAnsiTheme="majorBidi" w:cstheme="majorBidi"/>
        </w:rPr>
      </w:pPr>
    </w:p>
    <w:p w14:paraId="2149055B" w14:textId="1C282AE9"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Introduction</w:t>
      </w:r>
    </w:p>
    <w:p w14:paraId="095F27B0" w14:textId="3067EC9F"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Does the very deep past matter to international law? Vladimir Putin seems to think so. While his 2022 declaration of war on Ukraine garnered much attention for condemning Western hypocrisy in relation to their own international legal breaches,</w:t>
      </w:r>
      <w:r w:rsidRPr="00F81612">
        <w:rPr>
          <w:rFonts w:asciiTheme="majorBidi" w:hAnsiTheme="majorBidi" w:cstheme="majorBidi"/>
          <w:vertAlign w:val="superscript"/>
        </w:rPr>
        <w:footnoteReference w:id="1"/>
      </w:r>
      <w:r w:rsidRPr="00F81612">
        <w:rPr>
          <w:rFonts w:asciiTheme="majorBidi" w:hAnsiTheme="majorBidi" w:cstheme="majorBidi"/>
        </w:rPr>
        <w:t xml:space="preserve"> his charges can be further understood through his earlier article ‘On the Historical Unity of Russians and Ukrainians.’</w:t>
      </w:r>
      <w:r w:rsidRPr="00F81612">
        <w:rPr>
          <w:rFonts w:asciiTheme="majorBidi" w:hAnsiTheme="majorBidi" w:cstheme="majorBidi"/>
          <w:vertAlign w:val="superscript"/>
        </w:rPr>
        <w:footnoteReference w:id="2"/>
      </w:r>
      <w:r w:rsidRPr="00F81612">
        <w:rPr>
          <w:rFonts w:asciiTheme="majorBidi" w:hAnsiTheme="majorBidi" w:cstheme="majorBidi"/>
        </w:rPr>
        <w:t xml:space="preserve"> Forcefully asserting that tenth century events have the final word on twenty-first century politics, Putin declared that “Russians, Ukrainians, and Belarusians are all descendants of Ancient Rus, which was the largest state in Europe. Slavic and other tribes across the vast territory…were bound together by one language…, economic ties, the rule of the princes of the </w:t>
      </w:r>
      <w:r w:rsidRPr="00F81612">
        <w:rPr>
          <w:rFonts w:asciiTheme="majorBidi" w:hAnsiTheme="majorBidi" w:cstheme="majorBidi"/>
        </w:rPr>
        <w:lastRenderedPageBreak/>
        <w:t xml:space="preserve">Rurik dynasty, and – after the baptism of Rus – the Orthodox faith. The spiritual choice made by St. Vladimir, who was both Prince of Novgorod and Grand Prince of Kiev, </w:t>
      </w:r>
      <w:r w:rsidRPr="00F81612">
        <w:rPr>
          <w:rFonts w:asciiTheme="majorBidi" w:hAnsiTheme="majorBidi" w:cstheme="majorBidi"/>
          <w:i/>
          <w:iCs/>
        </w:rPr>
        <w:t>still largely determines our affinity today</w:t>
      </w:r>
      <w:r w:rsidRPr="00F81612">
        <w:rPr>
          <w:rFonts w:asciiTheme="majorBidi" w:hAnsiTheme="majorBidi" w:cstheme="majorBidi"/>
        </w:rPr>
        <w:t>.”</w:t>
      </w:r>
      <w:r w:rsidRPr="00F81612">
        <w:rPr>
          <w:rFonts w:asciiTheme="majorBidi" w:hAnsiTheme="majorBidi" w:cstheme="majorBidi"/>
          <w:vertAlign w:val="superscript"/>
        </w:rPr>
        <w:footnoteReference w:id="3"/>
      </w:r>
      <w:r w:rsidRPr="00F81612">
        <w:rPr>
          <w:rFonts w:asciiTheme="majorBidi" w:hAnsiTheme="majorBidi" w:cstheme="majorBidi"/>
        </w:rPr>
        <w:t xml:space="preserve"> Upon (selectively) chronicling varied historical events up to the present, Putin claimed that nothing has since displaced Russian-Ukrainian unity</w:t>
      </w:r>
      <w:r>
        <w:rPr>
          <w:rFonts w:asciiTheme="majorBidi" w:hAnsiTheme="majorBidi" w:cstheme="majorBidi"/>
        </w:rPr>
        <w:t xml:space="preserve"> </w:t>
      </w:r>
      <w:r w:rsidRPr="00F81612">
        <w:rPr>
          <w:rFonts w:asciiTheme="majorBidi" w:hAnsiTheme="majorBidi" w:cstheme="majorBidi"/>
        </w:rPr>
        <w:t>for “…spiritual, human and civilizational ties formed for centuries…have their origins in the same sources, they have been hardened by common trials, achievements and victories.”</w:t>
      </w:r>
      <w:r w:rsidRPr="00F81612">
        <w:rPr>
          <w:rFonts w:asciiTheme="majorBidi" w:hAnsiTheme="majorBidi" w:cstheme="majorBidi"/>
          <w:vertAlign w:val="superscript"/>
        </w:rPr>
        <w:footnoteReference w:id="4"/>
      </w:r>
      <w:r w:rsidRPr="00F81612">
        <w:rPr>
          <w:rFonts w:asciiTheme="majorBidi" w:hAnsiTheme="majorBidi" w:cstheme="majorBidi"/>
        </w:rPr>
        <w:t xml:space="preserve"> Such pontifications speak to Putin’s promotion of an alternative international legalism within Russia’s proclaimed ‘sphere of influence’ where thin juridical abstraction must yield before the substantive ‘truth’ of historical destiny.</w:t>
      </w:r>
      <w:r w:rsidRPr="00F81612">
        <w:rPr>
          <w:rFonts w:asciiTheme="majorBidi" w:hAnsiTheme="majorBidi" w:cstheme="majorBidi"/>
          <w:vertAlign w:val="superscript"/>
        </w:rPr>
        <w:footnoteReference w:id="5"/>
      </w:r>
    </w:p>
    <w:p w14:paraId="2282442F" w14:textId="394FF52B"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While Putin’s use of the past to justify violating international law has been widely condemned,</w:t>
      </w:r>
      <w:r w:rsidRPr="00F81612">
        <w:rPr>
          <w:rFonts w:asciiTheme="majorBidi" w:hAnsiTheme="majorBidi" w:cstheme="majorBidi"/>
          <w:vertAlign w:val="superscript"/>
        </w:rPr>
        <w:footnoteReference w:id="6"/>
      </w:r>
      <w:r w:rsidRPr="00F81612">
        <w:rPr>
          <w:rFonts w:asciiTheme="majorBidi" w:hAnsiTheme="majorBidi" w:cstheme="majorBidi"/>
        </w:rPr>
        <w:t xml:space="preserve"> the key issue remains that the history he invokes is often unfamiliar to those outside the region. How many people in either the West or the Global South have even a baseline knowledge of the medieval Kyivan Rus, let alone an understanding of its contested function as a political discourse? Central to this discourse, the Kyivan Rus’s status and meaning as the first major unified Eastern Slavic polity has long-been contested in Russian and Ukrainian historiography.</w:t>
      </w:r>
      <w:r w:rsidRPr="00F81612">
        <w:rPr>
          <w:rFonts w:asciiTheme="majorBidi" w:hAnsiTheme="majorBidi" w:cstheme="majorBidi"/>
          <w:vertAlign w:val="superscript"/>
        </w:rPr>
        <w:footnoteReference w:id="7"/>
      </w:r>
      <w:r w:rsidRPr="00F81612">
        <w:rPr>
          <w:rFonts w:asciiTheme="majorBidi" w:hAnsiTheme="majorBidi" w:cstheme="majorBidi"/>
        </w:rPr>
        <w:t xml:space="preserve"> From the perspective exemplified by Putin, the lands of Rus are the indispensable point of origin for Russia as a whole – and thus, Russia must maintain a special influence over them. From a Ukrainian perspective, this view is  an imperial denial of Ukrainian identity that durably reproduced itself in Russia across many diverse ideologies of which Putin is a variable repository.</w:t>
      </w:r>
      <w:r w:rsidRPr="00F81612">
        <w:rPr>
          <w:rFonts w:asciiTheme="majorBidi" w:hAnsiTheme="majorBidi" w:cstheme="majorBidi"/>
          <w:vertAlign w:val="superscript"/>
        </w:rPr>
        <w:footnoteReference w:id="8"/>
      </w:r>
      <w:r w:rsidRPr="00F81612">
        <w:rPr>
          <w:rFonts w:asciiTheme="majorBidi" w:hAnsiTheme="majorBidi" w:cstheme="majorBidi"/>
        </w:rPr>
        <w:t xml:space="preserve"> Beyond the </w:t>
      </w:r>
      <w:proofErr w:type="spellStart"/>
      <w:r w:rsidRPr="00F81612">
        <w:rPr>
          <w:rFonts w:asciiTheme="majorBidi" w:hAnsiTheme="majorBidi" w:cstheme="majorBidi"/>
        </w:rPr>
        <w:t>Kyvian</w:t>
      </w:r>
      <w:proofErr w:type="spellEnd"/>
      <w:r w:rsidRPr="00F81612">
        <w:rPr>
          <w:rFonts w:asciiTheme="majorBidi" w:hAnsiTheme="majorBidi" w:cstheme="majorBidi"/>
        </w:rPr>
        <w:t xml:space="preserve"> Rus, analogous unfamiliarity can be imputed onto a broad array of seemingly anachronistic Russian invocations concerning the ‘Northern Crusades’, the ‘Third Rome’, or the ‘Cossacks’ – tropes asserted in opposition to the West and/or a proclaimed expansion basis, particularly against Ukraine.</w:t>
      </w:r>
      <w:r w:rsidRPr="00F81612">
        <w:rPr>
          <w:rFonts w:asciiTheme="majorBidi" w:hAnsiTheme="majorBidi" w:cstheme="majorBidi"/>
          <w:vertAlign w:val="superscript"/>
        </w:rPr>
        <w:footnoteReference w:id="9"/>
      </w:r>
      <w:r w:rsidRPr="00F81612">
        <w:rPr>
          <w:rFonts w:asciiTheme="majorBidi" w:hAnsiTheme="majorBidi" w:cstheme="majorBidi"/>
        </w:rPr>
        <w:t xml:space="preserve"> </w:t>
      </w:r>
    </w:p>
    <w:p w14:paraId="7A7E9038"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For many observers from afar, Putin is liable to being viewed as an authority on these histories and, as such, international legal condemnation of his actions are liable to ringing hollow as an ahistorical formalism plagued by allegations of Western double standards.</w:t>
      </w:r>
      <w:r w:rsidRPr="00F81612">
        <w:rPr>
          <w:rFonts w:asciiTheme="majorBidi" w:hAnsiTheme="majorBidi" w:cstheme="majorBidi"/>
          <w:vertAlign w:val="superscript"/>
        </w:rPr>
        <w:footnoteReference w:id="10"/>
      </w:r>
      <w:r w:rsidRPr="00F81612">
        <w:rPr>
          <w:rFonts w:asciiTheme="majorBidi" w:hAnsiTheme="majorBidi" w:cstheme="majorBidi"/>
        </w:rPr>
        <w:t xml:space="preserve"> Thus, when exploring how Second World Approaches to International Law (‘SWAIL’), through centring the agency of those subordinated by empires in Eastern Europe, might contest Putin’s reasoning in substantive terms, Third World Approaches to International Law (‘TWAIL’) provides an axiomatic point of engagement. After all, TWAIL scholars have successfully transformed the consciousness of the international legal field by showing how histories of empire are vital to understanding the operations, exclusions, and limited promises of today’s international law.</w:t>
      </w:r>
      <w:r w:rsidRPr="00F81612">
        <w:rPr>
          <w:rFonts w:asciiTheme="majorBidi" w:hAnsiTheme="majorBidi" w:cstheme="majorBidi"/>
          <w:vertAlign w:val="superscript"/>
        </w:rPr>
        <w:footnoteReference w:id="11"/>
      </w:r>
      <w:r w:rsidRPr="00F81612">
        <w:rPr>
          <w:rFonts w:asciiTheme="majorBidi" w:hAnsiTheme="majorBidi" w:cstheme="majorBidi"/>
        </w:rPr>
        <w:t xml:space="preserve"> Thus, contra liberal narratives of international legal progress, through a TWAIL lens, one might identify key justificatory continuities between, for instance, the sixteenth-century Spanish colonisation of the Americas and the 2003 US-led coalition’s invasion of Iraq.</w:t>
      </w:r>
      <w:r w:rsidRPr="00F81612">
        <w:rPr>
          <w:rFonts w:asciiTheme="majorBidi" w:hAnsiTheme="majorBidi" w:cstheme="majorBidi"/>
          <w:vertAlign w:val="superscript"/>
        </w:rPr>
        <w:footnoteReference w:id="12"/>
      </w:r>
      <w:r w:rsidRPr="00F81612">
        <w:rPr>
          <w:rFonts w:asciiTheme="majorBidi" w:hAnsiTheme="majorBidi" w:cstheme="majorBidi"/>
        </w:rPr>
        <w:t xml:space="preserve"> Situated in lived experience and politically unapologetic, international law’s early twenty-first century ‘turn to history’ would likely have been a far less captivating affair had it not been for TWAIL.</w:t>
      </w:r>
      <w:r w:rsidRPr="00F81612">
        <w:rPr>
          <w:rFonts w:asciiTheme="majorBidi" w:hAnsiTheme="majorBidi" w:cstheme="majorBidi"/>
          <w:vertAlign w:val="superscript"/>
        </w:rPr>
        <w:footnoteReference w:id="13"/>
      </w:r>
      <w:r w:rsidRPr="00F81612">
        <w:rPr>
          <w:rFonts w:asciiTheme="majorBidi" w:hAnsiTheme="majorBidi" w:cstheme="majorBidi"/>
        </w:rPr>
        <w:t xml:space="preserve"> There is no reason why SWAIL should not similarly expand horizons of disciplinary consciousness. </w:t>
      </w:r>
    </w:p>
    <w:p w14:paraId="646FA9AE"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Part I situates my account methodologically and argues that focusing on the distinct geography of Eastern Europe as the westward extent of Eurasia’s great steppe and forest regions can ground an alternative historicization of international law. Part II situates the world-historical significance of this geography through Halford Mackinder’s famous text ‘The Geographical Pivot of History.’ Highlighting the limitations of Mackinder’s grand narrative of geographical determinism, Part III engages Thomas Barfield’s theory of ‘shadow empires’ as a means of more substantively locating the significance of Eastern Europe, and its peoples, within a spatial scheme of steppe and forest. In expanding international law’s historical narrative from this foundation, Part IV turns to the so-called ‘Northern Crusades’ in the Baltic region in a manner that centres the Poles, Lithuanians, and the inhabitants of the former Principality of Rus. In </w:t>
      </w:r>
      <w:r w:rsidRPr="00F81612">
        <w:rPr>
          <w:rFonts w:asciiTheme="majorBidi" w:hAnsiTheme="majorBidi" w:cstheme="majorBidi"/>
        </w:rPr>
        <w:lastRenderedPageBreak/>
        <w:t xml:space="preserve">accounting for the legacies of these events, Part V focuses on the emergence of the </w:t>
      </w:r>
      <w:proofErr w:type="gramStart"/>
      <w:r w:rsidRPr="00F81612">
        <w:rPr>
          <w:rFonts w:asciiTheme="majorBidi" w:hAnsiTheme="majorBidi" w:cstheme="majorBidi"/>
        </w:rPr>
        <w:t>Polish-Lithuanian</w:t>
      </w:r>
      <w:proofErr w:type="gramEnd"/>
      <w:r w:rsidRPr="00F81612">
        <w:rPr>
          <w:rFonts w:asciiTheme="majorBidi" w:hAnsiTheme="majorBidi" w:cstheme="majorBidi"/>
        </w:rPr>
        <w:t xml:space="preserve"> Commonwealth and the Tsardom of Russia as two very different entities that were similarly defined by the compounded structural legacies emanating from the interplay of steppe and forest. From this foundation, Part VI examines how, through integration with Europe’s dynastic powers, Russia emerged as a centralised empire whose continued expansion proved pivotal in the intertwined globalisation of international law and Europe’s imperial dominance over all other world societies in the long-nineteenth century. Finally, Part VII, explores how, despite Russia’s international legal influence, it became the site of a distinctly imperial nationalism fixated on the ancient Rus that disavowed international law as contrary to Russia’s unique destiny.  The ability to reframe ongoing struggles – Putin’s war on Ukraine being just one example – through their very deep histories is a testament to SWAIL’s potential to reimagine international legal origins through focusing on marginalised geographies.</w:t>
      </w:r>
    </w:p>
    <w:p w14:paraId="2ACD636F" w14:textId="77777777" w:rsidR="00F81612" w:rsidRPr="00F81612" w:rsidRDefault="00F81612" w:rsidP="00F81612">
      <w:pPr>
        <w:spacing w:line="360" w:lineRule="auto"/>
        <w:jc w:val="both"/>
        <w:rPr>
          <w:rFonts w:asciiTheme="majorBidi" w:hAnsiTheme="majorBidi" w:cstheme="majorBidi"/>
        </w:rPr>
      </w:pPr>
    </w:p>
    <w:p w14:paraId="246C7065" w14:textId="2BC1B9EA"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TWAIL, SWAIL, and the Geography of Methodology</w:t>
      </w:r>
    </w:p>
    <w:p w14:paraId="6F2088B6" w14:textId="3401816E"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When seeking out the promises of SWAIL, the theorist must contend with key methodological questions when presenting a SWAIL history relative to a TWAIL history. While TWAIL’s historical focus has been on international law’s formation through </w:t>
      </w:r>
      <w:r w:rsidR="00866A01" w:rsidRPr="00F81612">
        <w:rPr>
          <w:rFonts w:asciiTheme="majorBidi" w:hAnsiTheme="majorBidi" w:cstheme="majorBidi"/>
        </w:rPr>
        <w:t>justifying Europe’s</w:t>
      </w:r>
      <w:r w:rsidRPr="00F81612">
        <w:rPr>
          <w:rFonts w:asciiTheme="majorBidi" w:hAnsiTheme="majorBidi" w:cstheme="majorBidi"/>
        </w:rPr>
        <w:t xml:space="preserve"> early modern maritime empires, a SWAIL history, if it is to confront issues such as Putin’s mythologisation of Rus, must delve into pasts generally understood to pre-exist international law. The stakes of this historiographic dilemma were well-diagnosed by Rose Parfitt as a ‘spectre of the sources’ problem whereby the default entry point for international legal histories is texts by publicists such as Francisco de Vitoria, Hugo Grotius, and Emer de Vattel deemed the  ‘founding fathers’ of international law.</w:t>
      </w:r>
      <w:r w:rsidRPr="00F81612">
        <w:rPr>
          <w:rFonts w:asciiTheme="majorBidi" w:hAnsiTheme="majorBidi" w:cstheme="majorBidi"/>
          <w:vertAlign w:val="superscript"/>
        </w:rPr>
        <w:footnoteReference w:id="14"/>
      </w:r>
      <w:r w:rsidRPr="00F81612">
        <w:rPr>
          <w:rFonts w:asciiTheme="majorBidi" w:hAnsiTheme="majorBidi" w:cstheme="majorBidi"/>
        </w:rPr>
        <w:t xml:space="preserve"> Though adherence to this focus </w:t>
      </w:r>
      <w:proofErr w:type="spellStart"/>
      <w:r w:rsidRPr="00F81612">
        <w:rPr>
          <w:rFonts w:asciiTheme="majorBidi" w:hAnsiTheme="majorBidi" w:cstheme="majorBidi"/>
        </w:rPr>
        <w:t>historiographicaly</w:t>
      </w:r>
      <w:proofErr w:type="spellEnd"/>
      <w:r w:rsidRPr="00F81612">
        <w:rPr>
          <w:rFonts w:asciiTheme="majorBidi" w:hAnsiTheme="majorBidi" w:cstheme="majorBidi"/>
        </w:rPr>
        <w:t xml:space="preserve"> centres the perspectives of privileged Western European men, finding an alternative basis for historicising international law raises questions of whether such a history is properly ‘international legal.’</w:t>
      </w:r>
      <w:r w:rsidRPr="00F81612">
        <w:rPr>
          <w:rFonts w:asciiTheme="majorBidi" w:hAnsiTheme="majorBidi" w:cstheme="majorBidi"/>
          <w:vertAlign w:val="superscript"/>
        </w:rPr>
        <w:footnoteReference w:id="15"/>
      </w:r>
      <w:r w:rsidRPr="00F81612">
        <w:rPr>
          <w:rFonts w:asciiTheme="majorBidi" w:hAnsiTheme="majorBidi" w:cstheme="majorBidi"/>
        </w:rPr>
        <w:t xml:space="preserve"> </w:t>
      </w:r>
    </w:p>
    <w:p w14:paraId="4E29ACE5"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When focusing on Eastern Europe specifically, this ‘spectre of the sources’ reveals a structural bias towards Western European histories given how difficult it is to imagine an Eastern </w:t>
      </w:r>
      <w:r w:rsidRPr="00F81612">
        <w:rPr>
          <w:rFonts w:asciiTheme="majorBidi" w:hAnsiTheme="majorBidi" w:cstheme="majorBidi"/>
        </w:rPr>
        <w:lastRenderedPageBreak/>
        <w:t>European ‘founding father’, especially one  preceding the canonical ‘founding fathers.’</w:t>
      </w:r>
      <w:r w:rsidRPr="00F81612">
        <w:rPr>
          <w:rFonts w:asciiTheme="majorBidi" w:hAnsiTheme="majorBidi" w:cstheme="majorBidi"/>
          <w:vertAlign w:val="superscript"/>
        </w:rPr>
        <w:footnoteReference w:id="16"/>
      </w:r>
      <w:r w:rsidRPr="00F81612">
        <w:rPr>
          <w:rFonts w:asciiTheme="majorBidi" w:hAnsiTheme="majorBidi" w:cstheme="majorBidi"/>
        </w:rPr>
        <w:t xml:space="preserve"> Such is the case of Paulus Vladimri, a Polish priest and jurist who defended the fifteenth-century alliance between Polish Catholics and Lithuanian pagans against Germanic crusaders and, in the process, made strikingly similar arguments to Vitoria more than one-hundred years prior.</w:t>
      </w:r>
      <w:r w:rsidRPr="00F81612">
        <w:rPr>
          <w:rFonts w:asciiTheme="majorBidi" w:hAnsiTheme="majorBidi" w:cstheme="majorBidi"/>
          <w:vertAlign w:val="superscript"/>
        </w:rPr>
        <w:footnoteReference w:id="17"/>
      </w:r>
      <w:r w:rsidRPr="00F81612">
        <w:rPr>
          <w:rFonts w:asciiTheme="majorBidi" w:hAnsiTheme="majorBidi" w:cstheme="majorBidi"/>
        </w:rPr>
        <w:t xml:space="preserve"> While numerous Polish and Baltic jurists have proclaimed Vladimiri’s importance in the evolution of a universal legal order  able to govern relations between profoundly different cultures, Vladimiri remains largely unknown among international lawyers.</w:t>
      </w:r>
      <w:r w:rsidRPr="00F81612">
        <w:rPr>
          <w:rFonts w:asciiTheme="majorBidi" w:hAnsiTheme="majorBidi" w:cstheme="majorBidi"/>
          <w:vertAlign w:val="superscript"/>
        </w:rPr>
        <w:footnoteReference w:id="18"/>
      </w:r>
      <w:r w:rsidRPr="00F81612">
        <w:rPr>
          <w:rFonts w:asciiTheme="majorBidi" w:hAnsiTheme="majorBidi" w:cstheme="majorBidi"/>
        </w:rPr>
        <w:t xml:space="preserve"> On one level, the particular geopolitical constellation of the twentieth century certainly contributed to Vladimiri’s non-reception.</w:t>
      </w:r>
      <w:r w:rsidRPr="00F81612">
        <w:rPr>
          <w:rFonts w:asciiTheme="majorBidi" w:hAnsiTheme="majorBidi" w:cstheme="majorBidi"/>
          <w:vertAlign w:val="superscript"/>
        </w:rPr>
        <w:footnoteReference w:id="19"/>
      </w:r>
      <w:r w:rsidRPr="00F81612">
        <w:rPr>
          <w:rFonts w:asciiTheme="majorBidi" w:hAnsiTheme="majorBidi" w:cstheme="majorBidi"/>
        </w:rPr>
        <w:t xml:space="preserve"> On a deeper level, there is the reality that Vladimiri’s context of crusades against pagans in the late medieval Baltic (outside Germany, Scandinavia, and Eastern Europe) is far less known than the Spanish-New World encounter.</w:t>
      </w:r>
      <w:r w:rsidRPr="00F81612">
        <w:rPr>
          <w:rFonts w:asciiTheme="majorBidi" w:hAnsiTheme="majorBidi" w:cstheme="majorBidi"/>
          <w:vertAlign w:val="superscript"/>
        </w:rPr>
        <w:footnoteReference w:id="20"/>
      </w:r>
      <w:r w:rsidRPr="00F81612">
        <w:rPr>
          <w:rFonts w:asciiTheme="majorBidi" w:hAnsiTheme="majorBidi" w:cstheme="majorBidi"/>
        </w:rPr>
        <w:t xml:space="preserve"> In other words, if a history is generally unknown to international lawyers then prospects for international legal significance to attach to that history is highly questionable.    </w:t>
      </w:r>
    </w:p>
    <w:p w14:paraId="2FDAB3EB" w14:textId="0285FAE8"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What then might it mean to reframe international legal origins around a generally unknown past? In framing this inquiry, I embrace Anne Orford’s point that – given how so many basic international legal concepts are fundamentally contested – any history of international law ultimately depends on an </w:t>
      </w:r>
      <w:r w:rsidRPr="00F81612">
        <w:rPr>
          <w:rFonts w:asciiTheme="majorBidi" w:hAnsiTheme="majorBidi" w:cstheme="majorBidi"/>
          <w:i/>
          <w:iCs/>
        </w:rPr>
        <w:t>a priori</w:t>
      </w:r>
      <w:r w:rsidRPr="00F81612">
        <w:rPr>
          <w:rFonts w:asciiTheme="majorBidi" w:hAnsiTheme="majorBidi" w:cstheme="majorBidi"/>
        </w:rPr>
        <w:t xml:space="preserve"> theory of international law.</w:t>
      </w:r>
      <w:r w:rsidRPr="00F81612">
        <w:rPr>
          <w:rFonts w:asciiTheme="majorBidi" w:hAnsiTheme="majorBidi" w:cstheme="majorBidi"/>
          <w:vertAlign w:val="superscript"/>
        </w:rPr>
        <w:footnoteReference w:id="21"/>
      </w:r>
      <w:r w:rsidRPr="00F81612">
        <w:rPr>
          <w:rFonts w:asciiTheme="majorBidi" w:hAnsiTheme="majorBidi" w:cstheme="majorBidi"/>
        </w:rPr>
        <w:t xml:space="preserve"> However, to this I would add that a fully developed international legal theory is not at all necessary for delving into histories that, through their very exposure, might themselves inform new conceptions of what international law could be. When undertaking this process of historical delving, perhaps the most important question concerns the geography of history. In other words, where is the past imagined from and why are certain locations within this imaginative process able to be more universalised into narratives of international legal origins than others?  To recognise this spatial dimension is to recognise that international legal thought contains default geographical presumptions that reproduce themselves according to dominant understandings  if they remain unquestioned.</w:t>
      </w:r>
      <w:r w:rsidRPr="00F81612">
        <w:rPr>
          <w:rFonts w:asciiTheme="majorBidi" w:hAnsiTheme="majorBidi" w:cstheme="majorBidi"/>
          <w:vertAlign w:val="superscript"/>
        </w:rPr>
        <w:footnoteReference w:id="22"/>
      </w:r>
      <w:r w:rsidRPr="00F81612">
        <w:rPr>
          <w:rFonts w:asciiTheme="majorBidi" w:hAnsiTheme="majorBidi" w:cstheme="majorBidi"/>
        </w:rPr>
        <w:t xml:space="preserve"> As such, if, following Orford, a history of international law must assume a </w:t>
      </w:r>
      <w:r w:rsidRPr="00F81612">
        <w:rPr>
          <w:rFonts w:asciiTheme="majorBidi" w:hAnsiTheme="majorBidi" w:cstheme="majorBidi"/>
        </w:rPr>
        <w:lastRenderedPageBreak/>
        <w:t>theory of international law, then said theory of international law (and the histories it might deem relevant) is determined in great measure by a geography of international law. After all, no theory is fully separable from some presumption of ‘place.’</w:t>
      </w:r>
      <w:r w:rsidRPr="00F81612">
        <w:rPr>
          <w:rFonts w:asciiTheme="majorBidi" w:hAnsiTheme="majorBidi" w:cstheme="majorBidi"/>
          <w:vertAlign w:val="superscript"/>
        </w:rPr>
        <w:footnoteReference w:id="23"/>
      </w:r>
      <w:r w:rsidRPr="00F81612">
        <w:rPr>
          <w:rFonts w:asciiTheme="majorBidi" w:hAnsiTheme="majorBidi" w:cstheme="majorBidi"/>
        </w:rPr>
        <w:t xml:space="preserve"> Embracing this critical geographical consciousness of place-based difference is especially important when considering the experiences/perspectives of those whom international legal history has systematically marginalised. Much like TWAIL has done for the non-European </w:t>
      </w:r>
      <w:r w:rsidR="00AA559A" w:rsidRPr="00F81612">
        <w:rPr>
          <w:rFonts w:asciiTheme="majorBidi" w:hAnsiTheme="majorBidi" w:cstheme="majorBidi"/>
        </w:rPr>
        <w:t>world through</w:t>
      </w:r>
      <w:r w:rsidRPr="00F81612">
        <w:rPr>
          <w:rFonts w:asciiTheme="majorBidi" w:hAnsiTheme="majorBidi" w:cstheme="majorBidi"/>
        </w:rPr>
        <w:t xml:space="preserve"> emphasising a particular geographical consciousness, if SWAIL is to function similarly, it must confront international law’s Eastern Europe-related explanatory deficiencies in</w:t>
      </w:r>
      <w:r w:rsidR="00AA559A">
        <w:rPr>
          <w:rFonts w:asciiTheme="majorBidi" w:hAnsiTheme="majorBidi" w:cstheme="majorBidi"/>
        </w:rPr>
        <w:t xml:space="preserve"> </w:t>
      </w:r>
      <w:r w:rsidRPr="00F81612">
        <w:rPr>
          <w:rFonts w:asciiTheme="majorBidi" w:hAnsiTheme="majorBidi" w:cstheme="majorBidi"/>
        </w:rPr>
        <w:t xml:space="preserve">a manner that contributes to a more epistemologically defensible and ethically inclusive meta-narrative of international legal origins. This necessarily raises the question of why exactly is Eastern Europe marginalised in this regard? </w:t>
      </w:r>
    </w:p>
    <w:p w14:paraId="74351955"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Regarding international legal history, Eastern Europeans are arguably unique in their epistemic marginalisation. On the one hand, they are part of the broader narrative of European history, albeit in a peripheral capacity, that existed prior to modern international law.</w:t>
      </w:r>
      <w:r w:rsidRPr="00F81612">
        <w:rPr>
          <w:rFonts w:asciiTheme="majorBidi" w:hAnsiTheme="majorBidi" w:cstheme="majorBidi"/>
          <w:vertAlign w:val="superscript"/>
        </w:rPr>
        <w:footnoteReference w:id="24"/>
      </w:r>
      <w:r w:rsidRPr="00F81612">
        <w:rPr>
          <w:rFonts w:asciiTheme="majorBidi" w:hAnsiTheme="majorBidi" w:cstheme="majorBidi"/>
        </w:rPr>
        <w:t xml:space="preserve"> On the other hand, and in a manner underscoring their peripheral status, they possess distinct disadvantages relative to Western Europeans when accounting for their pasts. After all, the ancestors of most of today’s Eastern Europeans were relative latecomers to both written language and presence within ancient records as they were largely nomadic/semi-nomadic when extensive print-based civilisations existed in the Mediterranean-centred ‘known world.’ As Peter Heather notes, the arrival of Slavic-speaking people in Eastern Europe forms one of the great historical mysteries.</w:t>
      </w:r>
      <w:r w:rsidRPr="00F81612">
        <w:rPr>
          <w:rFonts w:asciiTheme="majorBidi" w:hAnsiTheme="majorBidi" w:cstheme="majorBidi"/>
          <w:vertAlign w:val="superscript"/>
        </w:rPr>
        <w:footnoteReference w:id="25"/>
      </w:r>
      <w:r w:rsidRPr="00F81612">
        <w:rPr>
          <w:rFonts w:asciiTheme="majorBidi" w:hAnsiTheme="majorBidi" w:cstheme="majorBidi"/>
        </w:rPr>
        <w:t xml:space="preserve"> Having expanded and diversified throughout Eastern Europe in a protracted timespan of mass migration and Rome’s fifth-century imperial collapse, some five hundred years separates the present distribution of Slavs and their production of accounts of their histories.</w:t>
      </w:r>
      <w:r w:rsidRPr="00F81612">
        <w:rPr>
          <w:rFonts w:asciiTheme="majorBidi" w:hAnsiTheme="majorBidi" w:cstheme="majorBidi"/>
          <w:vertAlign w:val="superscript"/>
        </w:rPr>
        <w:footnoteReference w:id="26"/>
      </w:r>
      <w:r w:rsidRPr="00F81612">
        <w:rPr>
          <w:rFonts w:asciiTheme="majorBidi" w:hAnsiTheme="majorBidi" w:cstheme="majorBidi"/>
        </w:rPr>
        <w:t xml:space="preserve"> Similar, and often even more extreme, archival dearth also defines the region’s non-Slavic peoples including Balts, Finno-</w:t>
      </w:r>
      <w:proofErr w:type="spellStart"/>
      <w:r w:rsidRPr="00F81612">
        <w:rPr>
          <w:rFonts w:asciiTheme="majorBidi" w:hAnsiTheme="majorBidi" w:cstheme="majorBidi"/>
        </w:rPr>
        <w:t>Ugrics</w:t>
      </w:r>
      <w:proofErr w:type="spellEnd"/>
      <w:r w:rsidRPr="00F81612">
        <w:rPr>
          <w:rFonts w:asciiTheme="majorBidi" w:hAnsiTheme="majorBidi" w:cstheme="majorBidi"/>
        </w:rPr>
        <w:t>, and even the speakers of Latin-descended tongues.</w:t>
      </w:r>
      <w:r w:rsidRPr="00F81612">
        <w:rPr>
          <w:rFonts w:asciiTheme="majorBidi" w:hAnsiTheme="majorBidi" w:cstheme="majorBidi"/>
          <w:vertAlign w:val="superscript"/>
        </w:rPr>
        <w:footnoteReference w:id="27"/>
      </w:r>
      <w:r w:rsidRPr="00F81612">
        <w:rPr>
          <w:rFonts w:asciiTheme="majorBidi" w:hAnsiTheme="majorBidi" w:cstheme="majorBidi"/>
        </w:rPr>
        <w:t xml:space="preserve"> This is highly problematic when accounting for these populations within the deepest </w:t>
      </w:r>
      <w:r w:rsidRPr="00F81612">
        <w:rPr>
          <w:rFonts w:asciiTheme="majorBidi" w:hAnsiTheme="majorBidi" w:cstheme="majorBidi"/>
        </w:rPr>
        <w:lastRenderedPageBreak/>
        <w:t>histories of international law given how the international legal field, to say nothing of the historical field, is so heavily reliant upon written texts as an assumed medium of knowledge production.</w:t>
      </w:r>
      <w:r w:rsidRPr="00F81612">
        <w:rPr>
          <w:rFonts w:asciiTheme="majorBidi" w:hAnsiTheme="majorBidi" w:cstheme="majorBidi"/>
          <w:vertAlign w:val="superscript"/>
        </w:rPr>
        <w:footnoteReference w:id="28"/>
      </w:r>
      <w:r w:rsidRPr="00F81612">
        <w:rPr>
          <w:rFonts w:asciiTheme="majorBidi" w:hAnsiTheme="majorBidi" w:cstheme="majorBidi"/>
        </w:rPr>
        <w:t xml:space="preserve">  As such, those seeking to excavate the deep past of international law are likely to begin with a Greco-Roman antiquity whose status as a fetish  object of ‘Western Civilisation’ has rendered its texts relatively plentiful and accessible.</w:t>
      </w:r>
      <w:r w:rsidRPr="00F81612">
        <w:rPr>
          <w:rFonts w:asciiTheme="majorBidi" w:hAnsiTheme="majorBidi" w:cstheme="majorBidi"/>
          <w:vertAlign w:val="superscript"/>
        </w:rPr>
        <w:footnoteReference w:id="29"/>
      </w:r>
      <w:r w:rsidRPr="00F81612">
        <w:rPr>
          <w:rFonts w:asciiTheme="majorBidi" w:hAnsiTheme="majorBidi" w:cstheme="majorBidi"/>
        </w:rPr>
        <w:t xml:space="preserve"> However, by beginning with such foundations, a scholar is liable to reproducing assumed Westward trajectories of progress that produce Eastern Europe as an anomaly.</w:t>
      </w:r>
      <w:r w:rsidRPr="00F81612">
        <w:rPr>
          <w:rFonts w:asciiTheme="majorBidi" w:hAnsiTheme="majorBidi" w:cstheme="majorBidi"/>
          <w:vertAlign w:val="superscript"/>
        </w:rPr>
        <w:footnoteReference w:id="30"/>
      </w:r>
      <w:r w:rsidRPr="00F81612">
        <w:rPr>
          <w:rFonts w:asciiTheme="majorBidi" w:hAnsiTheme="majorBidi" w:cstheme="majorBidi"/>
        </w:rPr>
        <w:t xml:space="preserve">  Thus, much like so many others existing outside Western frames of normative developmentalism, Eastern Europeans can be understood as one of ‘the people without history.’</w:t>
      </w:r>
      <w:r w:rsidRPr="00F81612">
        <w:rPr>
          <w:rFonts w:asciiTheme="majorBidi" w:hAnsiTheme="majorBidi" w:cstheme="majorBidi"/>
          <w:vertAlign w:val="superscript"/>
        </w:rPr>
        <w:footnoteReference w:id="31"/>
      </w:r>
    </w:p>
    <w:p w14:paraId="5ACEA1B5" w14:textId="304E3CA0"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Against such barriers to crafting SWAIL histories, I argue that, in the absence of authoritative texts, a fitting focal point for narrating the region’s deep past is its distinct geography. Such focus on space would allow for greater incorporation of insights from anthropology and archaeology designed to account for the lack of written sources. On this point, while geography/geopolitics and international law are often portrayed in mutually exclusive terms in relation to Eastern Europe (especially as they produce apologia for Russian expansionism</w:t>
      </w:r>
      <w:r w:rsidRPr="00F81612">
        <w:rPr>
          <w:rFonts w:asciiTheme="majorBidi" w:hAnsiTheme="majorBidi" w:cstheme="majorBidi"/>
          <w:vertAlign w:val="superscript"/>
        </w:rPr>
        <w:footnoteReference w:id="32"/>
      </w:r>
      <w:r w:rsidRPr="00F81612">
        <w:rPr>
          <w:rFonts w:asciiTheme="majorBidi" w:hAnsiTheme="majorBidi" w:cstheme="majorBidi"/>
        </w:rPr>
        <w:t>), the popularity of such discourses need not exclude spatial considerations when reconfiguring the region within a novel international legal origin narrative. Here, rather than viewing space as an inert container in which objects exist, following critical geographers, it can alternatively be understood as a reality that is actively produced by human interaction across an extended timescale.</w:t>
      </w:r>
      <w:r w:rsidRPr="00F81612">
        <w:rPr>
          <w:rFonts w:asciiTheme="majorBidi" w:hAnsiTheme="majorBidi" w:cstheme="majorBidi"/>
          <w:vertAlign w:val="superscript"/>
        </w:rPr>
        <w:footnoteReference w:id="33"/>
      </w:r>
      <w:r w:rsidRPr="00F81612">
        <w:rPr>
          <w:rFonts w:asciiTheme="majorBidi" w:hAnsiTheme="majorBidi" w:cstheme="majorBidi"/>
        </w:rPr>
        <w:t xml:space="preserve"> Such production of space is especially relevant to international law’s foundational concept of ‘territory’, an assumption where seeming coherence in linking sovereign authority to demarcated locations ultimately emanates from centuries of contested formulations.</w:t>
      </w:r>
      <w:r w:rsidRPr="00F81612">
        <w:rPr>
          <w:rFonts w:asciiTheme="majorBidi" w:hAnsiTheme="majorBidi" w:cstheme="majorBidi"/>
          <w:vertAlign w:val="superscript"/>
        </w:rPr>
        <w:footnoteReference w:id="34"/>
      </w:r>
      <w:r w:rsidRPr="00F81612">
        <w:rPr>
          <w:rFonts w:asciiTheme="majorBidi" w:hAnsiTheme="majorBidi" w:cstheme="majorBidi"/>
        </w:rPr>
        <w:t xml:space="preserve"> Relatedly, as Stuart Elden makes clear, discourse on territory as a matter of legal and political authority often fails to account for ‘terrain’ as the geophysical constitution of earth’s features (mountains, valleys, rivers, oceans, etc), and the ‘human terrain’ of populations, that ground </w:t>
      </w:r>
      <w:r w:rsidRPr="00F81612">
        <w:rPr>
          <w:rFonts w:asciiTheme="majorBidi" w:hAnsiTheme="majorBidi" w:cstheme="majorBidi"/>
        </w:rPr>
        <w:lastRenderedPageBreak/>
        <w:t>territory’s materiel existence.</w:t>
      </w:r>
      <w:r w:rsidRPr="00F81612">
        <w:rPr>
          <w:rFonts w:asciiTheme="majorBidi" w:hAnsiTheme="majorBidi" w:cstheme="majorBidi"/>
          <w:vertAlign w:val="superscript"/>
        </w:rPr>
        <w:footnoteReference w:id="35"/>
      </w:r>
      <w:r w:rsidRPr="00F81612">
        <w:rPr>
          <w:rFonts w:asciiTheme="majorBidi" w:hAnsiTheme="majorBidi" w:cstheme="majorBidi"/>
        </w:rPr>
        <w:t xml:space="preserve"> Similarly, terrain is vitally associated with war and military control – domains of activity that inexorably merge physical geography with socio-political/juridical organisation.</w:t>
      </w:r>
      <w:r w:rsidRPr="00F81612">
        <w:rPr>
          <w:rFonts w:asciiTheme="majorBidi" w:hAnsiTheme="majorBidi" w:cstheme="majorBidi"/>
          <w:vertAlign w:val="superscript"/>
        </w:rPr>
        <w:footnoteReference w:id="36"/>
      </w:r>
      <w:r w:rsidRPr="00F81612">
        <w:rPr>
          <w:rFonts w:asciiTheme="majorBidi" w:hAnsiTheme="majorBidi" w:cstheme="majorBidi"/>
        </w:rPr>
        <w:t xml:space="preserve"> Thus, given the grave difficulty of imagining the history of international law decoupled from the history of territory, it follows that – if terrain is central to territory – then a great deal of insight into international legal history can be gained through understanding how different societies were formed through relationships with different configurations of terrain.   </w:t>
      </w:r>
    </w:p>
    <w:p w14:paraId="01945F36" w14:textId="0C8F61D0"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Regarding Western Europe, terrain consisted of many mountain-protected river valleys conductive to high-yield sedentary agriculture.</w:t>
      </w:r>
      <w:r w:rsidRPr="00F81612">
        <w:rPr>
          <w:rFonts w:asciiTheme="majorBidi" w:hAnsiTheme="majorBidi" w:cstheme="majorBidi"/>
          <w:vertAlign w:val="superscript"/>
        </w:rPr>
        <w:footnoteReference w:id="37"/>
      </w:r>
      <w:r w:rsidRPr="00F81612">
        <w:rPr>
          <w:rFonts w:asciiTheme="majorBidi" w:hAnsiTheme="majorBidi" w:cstheme="majorBidi"/>
        </w:rPr>
        <w:t xml:space="preserve"> From this foundation, the legal-cum-cultural institutions of the Roman Empire were forged and preserved beyond imperial collapse in a manner conducive to developing proto-territorial conceptions that linked </w:t>
      </w:r>
      <w:proofErr w:type="spellStart"/>
      <w:r w:rsidRPr="00F81612">
        <w:rPr>
          <w:rFonts w:asciiTheme="majorBidi" w:hAnsiTheme="majorBidi" w:cstheme="majorBidi"/>
        </w:rPr>
        <w:t>juridico</w:t>
      </w:r>
      <w:proofErr w:type="spellEnd"/>
      <w:r w:rsidRPr="00F81612">
        <w:rPr>
          <w:rFonts w:asciiTheme="majorBidi" w:hAnsiTheme="majorBidi" w:cstheme="majorBidi"/>
        </w:rPr>
        <w:t>-political authority to more-or less stable spatial designations.</w:t>
      </w:r>
      <w:r w:rsidRPr="00F81612">
        <w:rPr>
          <w:rFonts w:asciiTheme="majorBidi" w:hAnsiTheme="majorBidi" w:cstheme="majorBidi"/>
          <w:vertAlign w:val="superscript"/>
        </w:rPr>
        <w:footnoteReference w:id="38"/>
      </w:r>
      <w:r w:rsidRPr="00F81612">
        <w:rPr>
          <w:rFonts w:asciiTheme="majorBidi" w:hAnsiTheme="majorBidi" w:cstheme="majorBidi"/>
        </w:rPr>
        <w:t xml:space="preserve"> Relatedly, these same Western European societies developed increasingly long-distance seafaring that produced  encounters with previously unknown lands and peoples.</w:t>
      </w:r>
      <w:r w:rsidRPr="00F81612">
        <w:rPr>
          <w:rFonts w:asciiTheme="majorBidi" w:hAnsiTheme="majorBidi" w:cstheme="majorBidi"/>
          <w:vertAlign w:val="superscript"/>
        </w:rPr>
        <w:footnoteReference w:id="39"/>
      </w:r>
      <w:r w:rsidRPr="00F81612">
        <w:rPr>
          <w:rFonts w:asciiTheme="majorBidi" w:hAnsiTheme="majorBidi" w:cstheme="majorBidi"/>
        </w:rPr>
        <w:t xml:space="preserve"> Widely understood as the genesis of modern international law, such oceanic encounters motivated ample rediscovery of legal doctrines from classical antiquity – especially those pertaining to acquisition.</w:t>
      </w:r>
      <w:r w:rsidRPr="00F81612">
        <w:rPr>
          <w:rFonts w:asciiTheme="majorBidi" w:hAnsiTheme="majorBidi" w:cstheme="majorBidi"/>
          <w:vertAlign w:val="superscript"/>
        </w:rPr>
        <w:footnoteReference w:id="40"/>
      </w:r>
      <w:r w:rsidRPr="00F81612">
        <w:rPr>
          <w:rFonts w:asciiTheme="majorBidi" w:hAnsiTheme="majorBidi" w:cstheme="majorBidi"/>
        </w:rPr>
        <w:t xml:space="preserve"> A Western Europe-centred vision of expansive order thus effectively united maritime expansion and the authority of Western antiquity as pillars of universal legal justification. Transforming the very concept of territoriality as Jordan Branch has shown, in claiming non-European lands they possessed no actual knowledge of, European maritime empires increasingly turned to cartographic line-drawing as a means of designating mutually-recognised colonial possessions – a technique eventually imported back to Europe.</w:t>
      </w:r>
      <w:r w:rsidRPr="00F81612">
        <w:rPr>
          <w:rFonts w:asciiTheme="majorBidi" w:hAnsiTheme="majorBidi" w:cstheme="majorBidi"/>
          <w:vertAlign w:val="superscript"/>
        </w:rPr>
        <w:footnoteReference w:id="41"/>
      </w:r>
      <w:r w:rsidRPr="00F81612">
        <w:rPr>
          <w:rFonts w:asciiTheme="majorBidi" w:hAnsiTheme="majorBidi" w:cstheme="majorBidi"/>
        </w:rPr>
        <w:t xml:space="preserve"> Throughout these processes came novels justifications for coercion that allowed Europe’s seafaring empires to both dominate those weaker and compete with those far more powerful.</w:t>
      </w:r>
      <w:r w:rsidRPr="00F81612">
        <w:rPr>
          <w:rFonts w:asciiTheme="majorBidi" w:hAnsiTheme="majorBidi" w:cstheme="majorBidi"/>
          <w:vertAlign w:val="superscript"/>
        </w:rPr>
        <w:footnoteReference w:id="42"/>
      </w:r>
      <w:r w:rsidRPr="00F81612">
        <w:rPr>
          <w:rFonts w:asciiTheme="majorBidi" w:hAnsiTheme="majorBidi" w:cstheme="majorBidi"/>
        </w:rPr>
        <w:t xml:space="preserve"> </w:t>
      </w:r>
    </w:p>
    <w:p w14:paraId="34153897" w14:textId="53B70039"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The international law of maritime expansion is integral to TWAIL’s critique. Whether the topic is initial encounter with European colonisers, unequal integration within international systems designed to benefit European empires, or how equitably transforming the law of the sea was part of the larger Third World agenda  in the wake of decolonisation, maritime dynamics pervade many levels of TWAIL scholarship.</w:t>
      </w:r>
      <w:r w:rsidRPr="00F81612">
        <w:rPr>
          <w:rFonts w:asciiTheme="majorBidi" w:hAnsiTheme="majorBidi" w:cstheme="majorBidi"/>
          <w:vertAlign w:val="superscript"/>
        </w:rPr>
        <w:footnoteReference w:id="43"/>
      </w:r>
      <w:r w:rsidRPr="00F81612">
        <w:rPr>
          <w:rFonts w:asciiTheme="majorBidi" w:hAnsiTheme="majorBidi" w:cstheme="majorBidi"/>
        </w:rPr>
        <w:t xml:space="preserve"> It is thus eminently fitting that TWAIL scholars have been profoundly insightful in arguing that the human-ocean relationship, and the laws governing it, must be understood in more substantive terms.</w:t>
      </w:r>
      <w:r w:rsidRPr="00F81612">
        <w:rPr>
          <w:rFonts w:asciiTheme="majorBidi" w:hAnsiTheme="majorBidi" w:cstheme="majorBidi"/>
          <w:vertAlign w:val="superscript"/>
        </w:rPr>
        <w:footnoteReference w:id="44"/>
      </w:r>
      <w:r w:rsidRPr="00F81612">
        <w:rPr>
          <w:rFonts w:asciiTheme="majorBidi" w:hAnsiTheme="majorBidi" w:cstheme="majorBidi"/>
        </w:rPr>
        <w:t xml:space="preserve"> That said, how might a deep history of SWAIL focus on events that unfolded according to different logics of terrain? In addressing this question, if Western Europe’s particular terrain grounded maritime expansion that shaped its contributions to international legal order, then differentiated dynamics of terrain to the east, long demarcated by the Elbe River, are highly relevant.</w:t>
      </w:r>
      <w:r w:rsidRPr="00F81612">
        <w:rPr>
          <w:rFonts w:asciiTheme="majorBidi" w:hAnsiTheme="majorBidi" w:cstheme="majorBidi"/>
          <w:vertAlign w:val="superscript"/>
        </w:rPr>
        <w:footnoteReference w:id="45"/>
      </w:r>
      <w:r w:rsidRPr="00F81612">
        <w:rPr>
          <w:rFonts w:asciiTheme="majorBidi" w:hAnsiTheme="majorBidi" w:cstheme="majorBidi"/>
        </w:rPr>
        <w:t xml:space="preserve">  </w:t>
      </w:r>
    </w:p>
    <w:p w14:paraId="2D28C582" w14:textId="2E90672C"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On this point, I focus on how Eastern Europe is formed at the westernmost extent of two meta-features of Eurasian geography. In the north, there is the vast expanse of dense forest that stretches from the Baltic Sea to the Pacific Ocean.  A natural fortress where dense vegetation and harsh winters have formed a long-standing barrier to highly concentrated agriculture and, by extension, concentrated human settlement, the great Eurasian forest was nevertheless a captivating  source of riches, including timber and furs.</w:t>
      </w:r>
      <w:r w:rsidRPr="00F81612">
        <w:rPr>
          <w:rFonts w:asciiTheme="majorBidi" w:hAnsiTheme="majorBidi" w:cstheme="majorBidi"/>
          <w:vertAlign w:val="superscript"/>
        </w:rPr>
        <w:footnoteReference w:id="46"/>
      </w:r>
      <w:r w:rsidRPr="00F81612">
        <w:rPr>
          <w:rFonts w:asciiTheme="majorBidi" w:hAnsiTheme="majorBidi" w:cstheme="majorBidi"/>
        </w:rPr>
        <w:t xml:space="preserve"> Below the forest, and similarly stretching across the continent, is the great Eurasian steppe, variable inland ocean of grasslands home to nomadic peoples and their unique social orders.</w:t>
      </w:r>
      <w:r w:rsidRPr="00F81612">
        <w:rPr>
          <w:rFonts w:asciiTheme="majorBidi" w:hAnsiTheme="majorBidi" w:cstheme="majorBidi"/>
          <w:vertAlign w:val="superscript"/>
        </w:rPr>
        <w:footnoteReference w:id="47"/>
      </w:r>
      <w:r w:rsidRPr="00F81612">
        <w:rPr>
          <w:rFonts w:asciiTheme="majorBidi" w:hAnsiTheme="majorBidi" w:cstheme="majorBidi"/>
        </w:rPr>
        <w:t xml:space="preserve"> To focus on the steppe and forest as spaces of greater territorial fluidity/shifting frontiers enables insights into how regions such as Eastern Europe connect to and contrast with Western Europe whose maritime/sedentary presumptions of terrain have been overly influential in shaping international legal conceptions of territory, statehood, and empire. What then might it mean to reimagine, or at least complicate, these conceptions through focus on alternative narratives of history that stem from alternative presumptions of terrain? In beginning this inquiry, a fitting entry point is a definitive meta-</w:t>
      </w:r>
      <w:r w:rsidRPr="00F81612">
        <w:rPr>
          <w:rFonts w:asciiTheme="majorBidi" w:hAnsiTheme="majorBidi" w:cstheme="majorBidi"/>
        </w:rPr>
        <w:lastRenderedPageBreak/>
        <w:t xml:space="preserve">narrative of the great Eurasian steppe as grounds for rethinking history, geography and political existence. </w:t>
      </w:r>
    </w:p>
    <w:p w14:paraId="102DEA9A" w14:textId="77777777" w:rsidR="00F81612" w:rsidRPr="00F81612" w:rsidRDefault="00F81612" w:rsidP="00F81612">
      <w:pPr>
        <w:spacing w:line="360" w:lineRule="auto"/>
        <w:jc w:val="both"/>
        <w:rPr>
          <w:rFonts w:asciiTheme="majorBidi" w:hAnsiTheme="majorBidi" w:cstheme="majorBidi"/>
        </w:rPr>
      </w:pPr>
    </w:p>
    <w:p w14:paraId="4C8DD406" w14:textId="0FA23091"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The Eurasian Steppe and Why it Matters</w:t>
      </w:r>
    </w:p>
    <w:p w14:paraId="780BC39A"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In a 1904 address before the Royal Geographical Society in London, the Scottish Geographer Halford Mackinder set a new standard for macro-analysing the relationship between space and power.</w:t>
      </w:r>
      <w:r w:rsidRPr="00F81612">
        <w:rPr>
          <w:rFonts w:asciiTheme="majorBidi" w:hAnsiTheme="majorBidi" w:cstheme="majorBidi"/>
          <w:vertAlign w:val="superscript"/>
        </w:rPr>
        <w:footnoteReference w:id="48"/>
      </w:r>
      <w:r w:rsidRPr="00F81612">
        <w:rPr>
          <w:rFonts w:asciiTheme="majorBidi" w:hAnsiTheme="majorBidi" w:cstheme="majorBidi"/>
        </w:rPr>
        <w:t xml:space="preserve">  Importantly, he framed this inquiry around the future of the field of geography and its purpose now that all new spatial discoveries were exhausted given how “…the outline of the map of the earthly world was compiled with approximate accuracy.”</w:t>
      </w:r>
      <w:r w:rsidRPr="00F81612">
        <w:rPr>
          <w:rFonts w:asciiTheme="majorBidi" w:hAnsiTheme="majorBidi" w:cstheme="majorBidi"/>
          <w:vertAlign w:val="superscript"/>
        </w:rPr>
        <w:footnoteReference w:id="49"/>
      </w:r>
      <w:r w:rsidRPr="00F81612">
        <w:rPr>
          <w:rFonts w:asciiTheme="majorBidi" w:hAnsiTheme="majorBidi" w:cstheme="majorBidi"/>
        </w:rPr>
        <w:t xml:space="preserve"> This, according to Mackinder, was nothing short of the end of the ‘Columbian Epoch’ whereby the1492 Spanish-New World encounter inaugurated four-hundred years of European overseas expansion and colonisation.</w:t>
      </w:r>
      <w:r w:rsidRPr="00F81612">
        <w:rPr>
          <w:rFonts w:asciiTheme="majorBidi" w:hAnsiTheme="majorBidi" w:cstheme="majorBidi"/>
          <w:vertAlign w:val="superscript"/>
        </w:rPr>
        <w:footnoteReference w:id="50"/>
      </w:r>
      <w:r w:rsidRPr="00F81612">
        <w:rPr>
          <w:rFonts w:asciiTheme="majorBidi" w:hAnsiTheme="majorBidi" w:cstheme="majorBidi"/>
        </w:rPr>
        <w:t xml:space="preserve"> Given the closure of all frontiers, a new mission was demanded for the geographical discipline. For Mackinder, this meant newfound focus on the Eurasian steppe that, in his telling, was the key to unlocking the secrets of human political destiny. Located at a latitudinal range of approximately 46°N to 55°N, the Steppe consists of a vast series of grasslands stretching from North China to the Hungarian Plain in the heart of Europe. Forming an ideal environment for nomadic populations traversing immense distances on the backs of horses and camels, the steppe was a vast transmission vector acting as something of an inland sea.</w:t>
      </w:r>
      <w:r w:rsidRPr="00F81612">
        <w:rPr>
          <w:rFonts w:asciiTheme="majorBidi" w:hAnsiTheme="majorBidi" w:cstheme="majorBidi"/>
          <w:vertAlign w:val="superscript"/>
        </w:rPr>
        <w:footnoteReference w:id="51"/>
      </w:r>
      <w:r w:rsidRPr="00F81612">
        <w:rPr>
          <w:rFonts w:asciiTheme="majorBidi" w:hAnsiTheme="majorBidi" w:cstheme="majorBidi"/>
        </w:rPr>
        <w:t xml:space="preserve"> Geographically cut-off from the oceanic access that defined Western Europe, to understand the Steppe was to understand ‘land power’ as the misunderstood counterpart to the ‘sea power’ that was the West’s great formative fixation during the now-diminishing ‘Columbian Epoch.’</w:t>
      </w:r>
      <w:r w:rsidRPr="00F81612">
        <w:rPr>
          <w:rFonts w:asciiTheme="majorBidi" w:hAnsiTheme="majorBidi" w:cstheme="majorBidi"/>
          <w:vertAlign w:val="superscript"/>
        </w:rPr>
        <w:footnoteReference w:id="52"/>
      </w:r>
      <w:r w:rsidRPr="00F81612">
        <w:rPr>
          <w:rFonts w:asciiTheme="majorBidi" w:hAnsiTheme="majorBidi" w:cstheme="majorBidi"/>
        </w:rPr>
        <w:t xml:space="preserve">  </w:t>
      </w:r>
    </w:p>
    <w:p w14:paraId="765BF629"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For Mackinder, writing as an unabashed supporter of the avowedly maritime British Empire in a generalised era of imperial anxiety,</w:t>
      </w:r>
      <w:r w:rsidRPr="00F81612">
        <w:rPr>
          <w:rFonts w:asciiTheme="majorBidi" w:hAnsiTheme="majorBidi" w:cstheme="majorBidi"/>
          <w:vertAlign w:val="superscript"/>
        </w:rPr>
        <w:footnoteReference w:id="53"/>
      </w:r>
      <w:r w:rsidRPr="00F81612">
        <w:rPr>
          <w:rFonts w:asciiTheme="majorBidi" w:hAnsiTheme="majorBidi" w:cstheme="majorBidi"/>
        </w:rPr>
        <w:t xml:space="preserve"> it was vital to understand the steppe, and the land power </w:t>
      </w:r>
      <w:r w:rsidRPr="00F81612">
        <w:rPr>
          <w:rFonts w:asciiTheme="majorBidi" w:hAnsiTheme="majorBidi" w:cstheme="majorBidi"/>
        </w:rPr>
        <w:lastRenderedPageBreak/>
        <w:t>it engendered, in the existential terms of war and survival.</w:t>
      </w:r>
      <w:r w:rsidRPr="00F81612">
        <w:rPr>
          <w:rFonts w:asciiTheme="majorBidi" w:hAnsiTheme="majorBidi" w:cstheme="majorBidi"/>
          <w:vertAlign w:val="superscript"/>
        </w:rPr>
        <w:footnoteReference w:id="54"/>
      </w:r>
      <w:r w:rsidRPr="00F81612">
        <w:rPr>
          <w:rFonts w:asciiTheme="majorBidi" w:hAnsiTheme="majorBidi" w:cstheme="majorBidi"/>
        </w:rPr>
        <w:t xml:space="preserve"> Rewriting history in the image of this fatalistic view of geography, Mackinder proclaimed that Europe became ‘Europe’ as a result of invasion, and feared invasion, from nomadic hordes descending from the vast steppe into the European interior.</w:t>
      </w:r>
      <w:r w:rsidRPr="00F81612">
        <w:rPr>
          <w:rFonts w:asciiTheme="majorBidi" w:hAnsiTheme="majorBidi" w:cstheme="majorBidi"/>
          <w:vertAlign w:val="superscript"/>
        </w:rPr>
        <w:footnoteReference w:id="55"/>
      </w:r>
      <w:r w:rsidRPr="00F81612">
        <w:rPr>
          <w:rFonts w:asciiTheme="majorBidi" w:hAnsiTheme="majorBidi" w:cstheme="majorBidi"/>
        </w:rPr>
        <w:t xml:space="preserve"> In his account, “[t]he ideas which go to form a nation, as opposed to a mere crowd of human animals, have usually been accepted under the pressure of a common tribulation, and under a common threat of resistance to external force.”</w:t>
      </w:r>
      <w:r w:rsidRPr="00F81612">
        <w:rPr>
          <w:rFonts w:asciiTheme="majorBidi" w:hAnsiTheme="majorBidi" w:cstheme="majorBidi"/>
          <w:vertAlign w:val="superscript"/>
        </w:rPr>
        <w:footnoteReference w:id="56"/>
      </w:r>
      <w:r w:rsidRPr="00F81612">
        <w:rPr>
          <w:rFonts w:asciiTheme="majorBidi" w:hAnsiTheme="majorBidi" w:cstheme="majorBidi"/>
        </w:rPr>
        <w:t xml:space="preserve"> Setting this frame as the touchstone for decoding Europe’s national formations, Mackinder proclaims that “it was under the pressures of external barbarism that Europe achieved her civilisation. I ask you, therefore, for a moment to look at Europe and European history as subordinate to Asia and Asiatic history, for European civilisation is, in a very real sense, the outcome of the secular struggle against Asiatic invasion.”</w:t>
      </w:r>
      <w:r w:rsidRPr="00F81612">
        <w:rPr>
          <w:rFonts w:asciiTheme="majorBidi" w:hAnsiTheme="majorBidi" w:cstheme="majorBidi"/>
          <w:vertAlign w:val="superscript"/>
        </w:rPr>
        <w:footnoteReference w:id="57"/>
      </w:r>
    </w:p>
    <w:p w14:paraId="40FF6F9E"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Providential in Mackinder’s account is Russia, a land whose civilisational cradle was located deep in the vast forests and marshlands that formed a barrier to incursion from mounted nomads from the adjacent steppe to its south.</w:t>
      </w:r>
      <w:r w:rsidRPr="00F81612">
        <w:rPr>
          <w:rFonts w:asciiTheme="majorBidi" w:hAnsiTheme="majorBidi" w:cstheme="majorBidi"/>
          <w:vertAlign w:val="superscript"/>
        </w:rPr>
        <w:footnoteReference w:id="58"/>
      </w:r>
      <w:r w:rsidRPr="00F81612">
        <w:rPr>
          <w:rFonts w:asciiTheme="majorBidi" w:hAnsiTheme="majorBidi" w:cstheme="majorBidi"/>
        </w:rPr>
        <w:t xml:space="preserve"> Yet, despite this defence, Russian lands ultimately fell to steppe invaders who possessed sufficient numbers, organisation, and cunning – namely the Mongols. Russians, though their development was stunted as a result, nevertheless developed capabilities to reverse invasion patterns and ultimately dominate and transform the steppe from their base in the forest, all while Western Europeans were preoccupied with building overseas empires.</w:t>
      </w:r>
      <w:r w:rsidRPr="00F81612">
        <w:rPr>
          <w:rFonts w:asciiTheme="majorBidi" w:hAnsiTheme="majorBidi" w:cstheme="majorBidi"/>
          <w:vertAlign w:val="superscript"/>
        </w:rPr>
        <w:footnoteReference w:id="59"/>
      </w:r>
      <w:r w:rsidRPr="00F81612">
        <w:rPr>
          <w:rFonts w:asciiTheme="majorBidi" w:hAnsiTheme="majorBidi" w:cstheme="majorBidi"/>
        </w:rPr>
        <w:t xml:space="preserve"> In Mackinder’s words, “[w]</w:t>
      </w:r>
      <w:proofErr w:type="spellStart"/>
      <w:r w:rsidRPr="00F81612">
        <w:rPr>
          <w:rFonts w:asciiTheme="majorBidi" w:hAnsiTheme="majorBidi" w:cstheme="majorBidi"/>
        </w:rPr>
        <w:t>hile</w:t>
      </w:r>
      <w:proofErr w:type="spellEnd"/>
      <w:r w:rsidRPr="00F81612">
        <w:rPr>
          <w:rFonts w:asciiTheme="majorBidi" w:hAnsiTheme="majorBidi" w:cstheme="majorBidi"/>
        </w:rPr>
        <w:t xml:space="preserve"> the maritime peoples of Western Europe have covered the oceans with their fleets, settled the outer continents, and in varying degree made tributary the oceanic margins of Asia, Russia organised the Cossacks, and, emerging from her northern forests, has policed the steppe by setting her own nomads to meet the Tartar nomads.”</w:t>
      </w:r>
      <w:r w:rsidRPr="00F81612">
        <w:rPr>
          <w:rFonts w:asciiTheme="majorBidi" w:hAnsiTheme="majorBidi" w:cstheme="majorBidi"/>
          <w:vertAlign w:val="superscript"/>
        </w:rPr>
        <w:footnoteReference w:id="60"/>
      </w:r>
      <w:r w:rsidRPr="00F81612">
        <w:rPr>
          <w:rFonts w:asciiTheme="majorBidi" w:hAnsiTheme="majorBidi" w:cstheme="majorBidi"/>
        </w:rPr>
        <w:t xml:space="preserve"> This latter expansion, Mackinder shows, was a profound development for global geopolitics as it enabled Russia to convert the Western steppe into a vast space of grain cultivation produced by imported peasants in a manner bolstering Russia as a great agrarian power.</w:t>
      </w:r>
      <w:r w:rsidRPr="00F81612">
        <w:rPr>
          <w:rFonts w:asciiTheme="majorBidi" w:hAnsiTheme="majorBidi" w:cstheme="majorBidi"/>
          <w:vertAlign w:val="superscript"/>
        </w:rPr>
        <w:footnoteReference w:id="61"/>
      </w:r>
      <w:r w:rsidRPr="00F81612">
        <w:rPr>
          <w:rFonts w:asciiTheme="majorBidi" w:hAnsiTheme="majorBidi" w:cstheme="majorBidi"/>
        </w:rPr>
        <w:t xml:space="preserve"> </w:t>
      </w:r>
    </w:p>
    <w:p w14:paraId="2269C975"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While international lawyers, especially via TWAIL’s influence, have made the above-outlined overseas imperialism central to their field’s history, an important facet of this account must be confronted before turning attention to the other expansion pattern under the aegis of SWAIL. Here it is vital to note how Mackinder’s depiction of these two geographies of imperialism rests upon a conception of Europe’s East/West difference premised on a reading of Greco-Roman antiquity that, given its fixation on text-based authority, acts as a limit-imposing lens when attempting to uncover international law’s deep past in relation to Eastern Europe.  Forging a dichotomy that locates civilisational agency through the legacies of ancient Greece and Rome, according to Mackinder: “[</w:t>
      </w:r>
      <w:proofErr w:type="spellStart"/>
      <w:r w:rsidRPr="00F81612">
        <w:rPr>
          <w:rFonts w:asciiTheme="majorBidi" w:hAnsiTheme="majorBidi" w:cstheme="majorBidi"/>
        </w:rPr>
        <w:t>i</w:t>
      </w:r>
      <w:proofErr w:type="spellEnd"/>
      <w:r w:rsidRPr="00F81612">
        <w:rPr>
          <w:rFonts w:asciiTheme="majorBidi" w:hAnsiTheme="majorBidi" w:cstheme="majorBidi"/>
        </w:rPr>
        <w:t xml:space="preserve">]t is probably one of the most striking coincidences of history that the seaward and landward expansion of Europe, should, in a sense, continue the ancient opposition between Roman and Greek…The Teuton was civilized and Christianized by the Roman, the Slav in the main by the Greek. It was the Romano-Teuton who in later times embarked upon the ocean; it was the Graeco-Slav who rode over the steppes, conquering the </w:t>
      </w:r>
      <w:proofErr w:type="spellStart"/>
      <w:r w:rsidRPr="00F81612">
        <w:rPr>
          <w:rFonts w:asciiTheme="majorBidi" w:hAnsiTheme="majorBidi" w:cstheme="majorBidi"/>
        </w:rPr>
        <w:t>Turanian</w:t>
      </w:r>
      <w:proofErr w:type="spellEnd"/>
      <w:r w:rsidRPr="00F81612">
        <w:rPr>
          <w:rFonts w:asciiTheme="majorBidi" w:hAnsiTheme="majorBidi" w:cstheme="majorBidi"/>
        </w:rPr>
        <w:t>.”</w:t>
      </w:r>
      <w:r w:rsidRPr="00F81612">
        <w:rPr>
          <w:rFonts w:asciiTheme="majorBidi" w:hAnsiTheme="majorBidi" w:cstheme="majorBidi"/>
          <w:vertAlign w:val="superscript"/>
        </w:rPr>
        <w:footnoteReference w:id="62"/>
      </w:r>
      <w:r w:rsidRPr="00F81612">
        <w:rPr>
          <w:rFonts w:asciiTheme="majorBidi" w:hAnsiTheme="majorBidi" w:cstheme="majorBidi"/>
        </w:rPr>
        <w:t xml:space="preserve"> He ends his account with a call to defend European civilisation from the ‘yellow peril’ of a possible conquest of the heart of Eurasia – the key to world dominance – by China under the envisioned control and direction of Japan.</w:t>
      </w:r>
      <w:r w:rsidRPr="00F81612">
        <w:rPr>
          <w:rFonts w:asciiTheme="majorBidi" w:hAnsiTheme="majorBidi" w:cstheme="majorBidi"/>
          <w:vertAlign w:val="superscript"/>
        </w:rPr>
        <w:footnoteReference w:id="63"/>
      </w:r>
      <w:r w:rsidRPr="00F81612">
        <w:rPr>
          <w:rFonts w:asciiTheme="majorBidi" w:hAnsiTheme="majorBidi" w:cstheme="majorBidi"/>
        </w:rPr>
        <w:t xml:space="preserve"> </w:t>
      </w:r>
    </w:p>
    <w:p w14:paraId="4F6244CD"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To present these details is crucial considering how Mackinder’s general framework of understanding world events through Eurasian geography continues to wield high-level influence to this day.</w:t>
      </w:r>
      <w:r w:rsidRPr="00F81612">
        <w:rPr>
          <w:rFonts w:asciiTheme="majorBidi" w:hAnsiTheme="majorBidi" w:cstheme="majorBidi"/>
          <w:vertAlign w:val="superscript"/>
        </w:rPr>
        <w:footnoteReference w:id="64"/>
      </w:r>
      <w:r w:rsidRPr="00F81612">
        <w:rPr>
          <w:rFonts w:asciiTheme="majorBidi" w:hAnsiTheme="majorBidi" w:cstheme="majorBidi"/>
        </w:rPr>
        <w:t xml:space="preserve"> While a longstanding focus of political geographers and military strategists, Mackinder’s relevance has only increased as ‘rising powers’, namely Russia and China, increasingly fixate on locations he deemed determinative of durable political power.</w:t>
      </w:r>
      <w:r w:rsidRPr="00F81612">
        <w:rPr>
          <w:rFonts w:asciiTheme="majorBidi" w:hAnsiTheme="majorBidi" w:cstheme="majorBidi"/>
          <w:vertAlign w:val="superscript"/>
        </w:rPr>
        <w:footnoteReference w:id="65"/>
      </w:r>
      <w:r w:rsidRPr="00F81612">
        <w:rPr>
          <w:rFonts w:asciiTheme="majorBidi" w:hAnsiTheme="majorBidi" w:cstheme="majorBidi"/>
        </w:rPr>
        <w:t xml:space="preserve"> As Hal Brands noted in his broad reinterpretation of the twentieth century through struggles to control the Eurasian continent: “[t]he great geopolitical debates of Mackinder’s era cast a long shadow; a century later, both friends and enemies of the liberal world order were using it as a guide. Mackinder and his contemporaries achieved a certain immortality.”</w:t>
      </w:r>
      <w:r w:rsidRPr="00F81612">
        <w:rPr>
          <w:rFonts w:asciiTheme="majorBidi" w:hAnsiTheme="majorBidi" w:cstheme="majorBidi"/>
          <w:vertAlign w:val="superscript"/>
        </w:rPr>
        <w:footnoteReference w:id="66"/>
      </w:r>
      <w:r w:rsidRPr="00F81612">
        <w:rPr>
          <w:rFonts w:asciiTheme="majorBidi" w:hAnsiTheme="majorBidi" w:cstheme="majorBidi"/>
        </w:rPr>
        <w:t xml:space="preserve"> Despite longstanding aversions to geopolitics, the influence of Mackinder provides cause for </w:t>
      </w:r>
      <w:r w:rsidRPr="00F81612">
        <w:rPr>
          <w:rFonts w:asciiTheme="majorBidi" w:hAnsiTheme="majorBidi" w:cstheme="majorBidi"/>
        </w:rPr>
        <w:lastRenderedPageBreak/>
        <w:t xml:space="preserve">international lawyers to engage his premises – especially those interested in reimagining international legal history in relation to the regions Mackinder ascribed such great importance. </w:t>
      </w:r>
    </w:p>
    <w:p w14:paraId="07F64843" w14:textId="77777777" w:rsidR="00F81612" w:rsidRPr="00F81612" w:rsidRDefault="00F81612" w:rsidP="00F81612">
      <w:pPr>
        <w:spacing w:line="360" w:lineRule="auto"/>
        <w:jc w:val="both"/>
        <w:rPr>
          <w:rFonts w:asciiTheme="majorBidi" w:hAnsiTheme="majorBidi" w:cstheme="majorBidi"/>
        </w:rPr>
      </w:pPr>
    </w:p>
    <w:p w14:paraId="0E3EF960" w14:textId="1765485A"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An Intersecting Space of ‘Shadow Empires’</w:t>
      </w:r>
    </w:p>
    <w:p w14:paraId="20F192D9"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While Mackinder’s account might be insightful as a matter of spatial reorientation, especially when accounting for the world-historical impact of land-based empires, it is profoundly limited when developing a SWAIL history. The theorist must ask what other considerations might address the gaps Mackinder fills with reverence for Greco-Roman antiquity, acceptance of inevitable violence, visions of empire, and conflation of Eastern Europe with Russia.</w:t>
      </w:r>
      <w:r w:rsidRPr="00F81612">
        <w:rPr>
          <w:rFonts w:asciiTheme="majorBidi" w:hAnsiTheme="majorBidi" w:cstheme="majorBidi"/>
          <w:vertAlign w:val="superscript"/>
        </w:rPr>
        <w:footnoteReference w:id="67"/>
      </w:r>
      <w:r w:rsidRPr="00F81612">
        <w:rPr>
          <w:rFonts w:asciiTheme="majorBidi" w:hAnsiTheme="majorBidi" w:cstheme="majorBidi"/>
        </w:rPr>
        <w:t xml:space="preserve">  Directly related to the centrality of race hierarchy and imperial domination he presumed, Mackinder sought to reduce all human political interaction to largely unchanging geographical facts in a manner that assigns overwhelming value and historic vindication to whomever controls the most space.</w:t>
      </w:r>
      <w:r w:rsidRPr="00F81612">
        <w:rPr>
          <w:rFonts w:asciiTheme="majorBidi" w:hAnsiTheme="majorBidi" w:cstheme="majorBidi"/>
          <w:vertAlign w:val="superscript"/>
        </w:rPr>
        <w:footnoteReference w:id="68"/>
      </w:r>
      <w:r w:rsidRPr="00F81612">
        <w:rPr>
          <w:rFonts w:asciiTheme="majorBidi" w:hAnsiTheme="majorBidi" w:cstheme="majorBidi"/>
        </w:rPr>
        <w:t xml:space="preserve"> Lost in this reduction is the great complexity of  patterns of cultural interactions that, while certainly influenced by the forces of geography, are in no way reducible to them. While Mackinder’s centring of the steppe’s world-historical significance reorients the international legal theorist towards the importance of Eastern Europe as a productive space of cross-cultural/inter-imperial interaction, this leaves open the substantive matter of the cultural foundations of the empires themselves.</w:t>
      </w:r>
    </w:p>
    <w:p w14:paraId="6E9B406F"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Fortunately, the anthropologist Thomas Barfield provides an elaborate account of such cross-cultural imperial interactions that synergistically maps onto a steppe-centric geography of history. As he shows in </w:t>
      </w:r>
      <w:r w:rsidRPr="00F81612">
        <w:rPr>
          <w:rFonts w:asciiTheme="majorBidi" w:hAnsiTheme="majorBidi" w:cstheme="majorBidi"/>
          <w:i/>
          <w:iCs/>
        </w:rPr>
        <w:t>Shadow Empires</w:t>
      </w:r>
      <w:r w:rsidRPr="00F81612">
        <w:rPr>
          <w:rFonts w:asciiTheme="majorBidi" w:hAnsiTheme="majorBidi" w:cstheme="majorBidi"/>
        </w:rPr>
        <w:t>, so much consequential human political activity can be interpreted through a distinction between ‘endogenous’ and ‘exogenous’ forms of empire.</w:t>
      </w:r>
      <w:r w:rsidRPr="00F81612">
        <w:rPr>
          <w:rFonts w:asciiTheme="majorBidi" w:hAnsiTheme="majorBidi" w:cstheme="majorBidi"/>
          <w:vertAlign w:val="superscript"/>
        </w:rPr>
        <w:footnoteReference w:id="69"/>
      </w:r>
      <w:r w:rsidRPr="00F81612">
        <w:rPr>
          <w:rFonts w:asciiTheme="majorBidi" w:hAnsiTheme="majorBidi" w:cstheme="majorBidi"/>
        </w:rPr>
        <w:t xml:space="preserve"> E</w:t>
      </w:r>
      <w:bookmarkStart w:id="1" w:name="_Hlk211087566"/>
      <w:r w:rsidRPr="00F81612">
        <w:rPr>
          <w:rFonts w:asciiTheme="majorBidi" w:hAnsiTheme="majorBidi" w:cstheme="majorBidi"/>
        </w:rPr>
        <w:t>ndogenous</w:t>
      </w:r>
      <w:bookmarkEnd w:id="1"/>
      <w:r w:rsidRPr="00F81612">
        <w:rPr>
          <w:rFonts w:asciiTheme="majorBidi" w:hAnsiTheme="majorBidi" w:cstheme="majorBidi"/>
        </w:rPr>
        <w:t xml:space="preserve"> empires, according to Barfield, are defined by their central organisation of institutions separate from rulers, exploitation of the diversity of their subjects, maintenance of transport and communication systems that serve the imperial centre, and entrenchments of a singular unifying right to rule and project military force.</w:t>
      </w:r>
      <w:r w:rsidRPr="00F81612">
        <w:rPr>
          <w:rFonts w:asciiTheme="majorBidi" w:hAnsiTheme="majorBidi" w:cstheme="majorBidi"/>
          <w:vertAlign w:val="superscript"/>
        </w:rPr>
        <w:footnoteReference w:id="70"/>
      </w:r>
      <w:r w:rsidRPr="00F81612">
        <w:rPr>
          <w:rFonts w:asciiTheme="majorBidi" w:hAnsiTheme="majorBidi" w:cstheme="majorBidi"/>
        </w:rPr>
        <w:t xml:space="preserve"> By contrast, exogenous empires, or </w:t>
      </w:r>
      <w:r w:rsidRPr="00F81612">
        <w:rPr>
          <w:rFonts w:asciiTheme="majorBidi" w:hAnsiTheme="majorBidi" w:cstheme="majorBidi"/>
        </w:rPr>
        <w:lastRenderedPageBreak/>
        <w:t>‘shadow empires’, are formed in relation to an existing exogenous empire whether by sustaining itself on its margins or filling the void once it collapses – possibly becoming an endogenous empire itself.</w:t>
      </w:r>
      <w:r w:rsidRPr="00F81612">
        <w:rPr>
          <w:rFonts w:asciiTheme="majorBidi" w:hAnsiTheme="majorBidi" w:cstheme="majorBidi"/>
          <w:vertAlign w:val="superscript"/>
        </w:rPr>
        <w:footnoteReference w:id="71"/>
      </w:r>
      <w:r w:rsidRPr="00F81612">
        <w:rPr>
          <w:rFonts w:asciiTheme="majorBidi" w:hAnsiTheme="majorBidi" w:cstheme="majorBidi"/>
        </w:rPr>
        <w:t xml:space="preserve"> In Barfield’s telling, the three foundational illustrations of endogenous imperial forms were the Chinese, Persian, and Roman empires.</w:t>
      </w:r>
      <w:r w:rsidRPr="00F81612">
        <w:rPr>
          <w:rFonts w:asciiTheme="majorBidi" w:hAnsiTheme="majorBidi" w:cstheme="majorBidi"/>
          <w:vertAlign w:val="superscript"/>
        </w:rPr>
        <w:footnoteReference w:id="72"/>
      </w:r>
      <w:r w:rsidRPr="00F81612">
        <w:rPr>
          <w:rFonts w:asciiTheme="majorBidi" w:hAnsiTheme="majorBidi" w:cstheme="majorBidi"/>
        </w:rPr>
        <w:t xml:space="preserve"> Interestingly, when spatialised in relation to the Eurasian steppe, the Eastern European region was shaped as something of a nexus between the hinterlands of these three endogenous imperial spheres and their varied exogenous successors, during the same fifth to seventh century timeframe that hosted the cultural influx that presently defines Eastern Europe.</w:t>
      </w:r>
      <w:r w:rsidRPr="00F81612">
        <w:rPr>
          <w:rFonts w:asciiTheme="majorBidi" w:hAnsiTheme="majorBidi" w:cstheme="majorBidi"/>
          <w:vertAlign w:val="superscript"/>
        </w:rPr>
        <w:footnoteReference w:id="73"/>
      </w:r>
      <w:r w:rsidRPr="00F81612">
        <w:rPr>
          <w:rFonts w:asciiTheme="majorBidi" w:hAnsiTheme="majorBidi" w:cstheme="majorBidi"/>
        </w:rPr>
        <w:t xml:space="preserve"> As Barfield explains, the forests and swamps of these lands long rendered them an unattractive ‘vacuum’ for empire-builders.</w:t>
      </w:r>
      <w:r w:rsidRPr="00F81612">
        <w:rPr>
          <w:rFonts w:asciiTheme="majorBidi" w:hAnsiTheme="majorBidi" w:cstheme="majorBidi"/>
          <w:vertAlign w:val="superscript"/>
        </w:rPr>
        <w:footnoteReference w:id="74"/>
      </w:r>
      <w:r w:rsidRPr="00F81612">
        <w:rPr>
          <w:rFonts w:asciiTheme="majorBidi" w:hAnsiTheme="majorBidi" w:cstheme="majorBidi"/>
        </w:rPr>
        <w:t xml:space="preserve"> However, I argue that once surrounding steppe-connected empires and their legacies reached a substantial enough level of development, vacuum status ultimately rendered Eastern Europe a vitally generative political space in a world defined by imperial rivalries. </w:t>
      </w:r>
    </w:p>
    <w:p w14:paraId="5503C59A"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When understanding this transformation of Eastern Europe in relation to this imperial interplay, a fitting entry point is how China’s Han Dynasty in roughly 200 BCE inadvertently produced exogenous steppe empires – namely the </w:t>
      </w:r>
      <w:proofErr w:type="spellStart"/>
      <w:r w:rsidRPr="00F81612">
        <w:rPr>
          <w:rFonts w:asciiTheme="majorBidi" w:hAnsiTheme="majorBidi" w:cstheme="majorBidi"/>
        </w:rPr>
        <w:t>Xiongnu</w:t>
      </w:r>
      <w:proofErr w:type="spellEnd"/>
      <w:r w:rsidRPr="00F81612">
        <w:rPr>
          <w:rFonts w:asciiTheme="majorBidi" w:hAnsiTheme="majorBidi" w:cstheme="majorBidi"/>
        </w:rPr>
        <w:t xml:space="preserve"> – that formed on its northwest frontier and developed a tributary system integrating nomadic social relations across vast spaces.</w:t>
      </w:r>
      <w:r w:rsidRPr="00F81612">
        <w:rPr>
          <w:rFonts w:asciiTheme="majorBidi" w:hAnsiTheme="majorBidi" w:cstheme="majorBidi"/>
          <w:vertAlign w:val="superscript"/>
        </w:rPr>
        <w:footnoteReference w:id="75"/>
      </w:r>
      <w:r w:rsidRPr="00F81612">
        <w:rPr>
          <w:rFonts w:asciiTheme="majorBidi" w:hAnsiTheme="majorBidi" w:cstheme="majorBidi"/>
        </w:rPr>
        <w:t xml:space="preserve"> While mobile across the Eurasian steppe, great expansion opportunities arose for steppe peoples – inheritors of diffused </w:t>
      </w:r>
      <w:proofErr w:type="spellStart"/>
      <w:r w:rsidRPr="00F81612">
        <w:rPr>
          <w:rFonts w:asciiTheme="majorBidi" w:hAnsiTheme="majorBidi" w:cstheme="majorBidi"/>
        </w:rPr>
        <w:t>Xiongnu</w:t>
      </w:r>
      <w:proofErr w:type="spellEnd"/>
      <w:r w:rsidRPr="00F81612">
        <w:rPr>
          <w:rFonts w:asciiTheme="majorBidi" w:hAnsiTheme="majorBidi" w:cstheme="majorBidi"/>
        </w:rPr>
        <w:t xml:space="preserve"> innovations – as endogenous imperial systems began to decline to the west.</w:t>
      </w:r>
      <w:r w:rsidRPr="00F81612">
        <w:rPr>
          <w:rFonts w:asciiTheme="majorBidi" w:hAnsiTheme="majorBidi" w:cstheme="majorBidi"/>
          <w:vertAlign w:val="superscript"/>
        </w:rPr>
        <w:footnoteReference w:id="76"/>
      </w:r>
      <w:r w:rsidRPr="00F81612">
        <w:rPr>
          <w:rFonts w:asciiTheme="majorBidi" w:hAnsiTheme="majorBidi" w:cstheme="majorBidi"/>
        </w:rPr>
        <w:t xml:space="preserve"> Facing invasions by largely Turkic steppe tribes, most famously the Huns under Atilla, as the Romans and their Germanic allies confronted such frontier incursions, resulting pressure and a sense of betrayal by Rome contributed immensely to the influx of Germanic peoples to the imperial heartlands hastening the end of the Western Roman Empire that collapsed in 476CE.</w:t>
      </w:r>
      <w:r w:rsidRPr="00F81612">
        <w:rPr>
          <w:rFonts w:asciiTheme="majorBidi" w:hAnsiTheme="majorBidi" w:cstheme="majorBidi"/>
          <w:vertAlign w:val="superscript"/>
        </w:rPr>
        <w:footnoteReference w:id="77"/>
      </w:r>
      <w:r w:rsidRPr="00F81612">
        <w:rPr>
          <w:rFonts w:asciiTheme="majorBidi" w:hAnsiTheme="majorBidi" w:cstheme="majorBidi"/>
        </w:rPr>
        <w:t xml:space="preserve"> As Germanic leaders became the fragmented inheritors of Rome,</w:t>
      </w:r>
      <w:r w:rsidRPr="00F81612">
        <w:rPr>
          <w:rFonts w:asciiTheme="majorBidi" w:hAnsiTheme="majorBidi" w:cstheme="majorBidi"/>
          <w:vertAlign w:val="superscript"/>
        </w:rPr>
        <w:footnoteReference w:id="78"/>
      </w:r>
      <w:r w:rsidRPr="00F81612">
        <w:rPr>
          <w:rFonts w:asciiTheme="majorBidi" w:hAnsiTheme="majorBidi" w:cstheme="majorBidi"/>
        </w:rPr>
        <w:t xml:space="preserve"> the rivalry-shaped, but ultimately cooperative arrangement between the Eastern Roman and Persian empires for managing nomadic and semi-nomadic peoples at their frontier broke down, </w:t>
      </w:r>
      <w:r w:rsidRPr="00F81612">
        <w:rPr>
          <w:rFonts w:asciiTheme="majorBidi" w:hAnsiTheme="majorBidi" w:cstheme="majorBidi"/>
        </w:rPr>
        <w:lastRenderedPageBreak/>
        <w:t>and new shadow empires emerged.</w:t>
      </w:r>
      <w:r w:rsidRPr="00F81612">
        <w:rPr>
          <w:rFonts w:asciiTheme="majorBidi" w:hAnsiTheme="majorBidi" w:cstheme="majorBidi"/>
          <w:vertAlign w:val="superscript"/>
        </w:rPr>
        <w:footnoteReference w:id="79"/>
      </w:r>
      <w:r w:rsidRPr="00F81612">
        <w:rPr>
          <w:rFonts w:asciiTheme="majorBidi" w:hAnsiTheme="majorBidi" w:cstheme="majorBidi"/>
        </w:rPr>
        <w:t xml:space="preserve"> Though the Byzantine Empire would survive and re-assert itself as the Roman Empire in the East (a point often missed by those, including Mackinder, who depicted the Byzantines as ‘Greek’ as opposed to Roman</w:t>
      </w:r>
      <w:r w:rsidRPr="00F81612">
        <w:rPr>
          <w:rFonts w:asciiTheme="majorBidi" w:hAnsiTheme="majorBidi" w:cstheme="majorBidi"/>
          <w:vertAlign w:val="superscript"/>
        </w:rPr>
        <w:footnoteReference w:id="80"/>
      </w:r>
      <w:r w:rsidRPr="00F81612">
        <w:rPr>
          <w:rFonts w:asciiTheme="majorBidi" w:hAnsiTheme="majorBidi" w:cstheme="majorBidi"/>
        </w:rPr>
        <w:t xml:space="preserve">), it nevertheless had to contend with steppe peoples who settled in the vicinity of the Danube Basin including the </w:t>
      </w:r>
      <w:proofErr w:type="spellStart"/>
      <w:r w:rsidRPr="00F81612">
        <w:rPr>
          <w:rFonts w:asciiTheme="majorBidi" w:hAnsiTheme="majorBidi" w:cstheme="majorBidi"/>
        </w:rPr>
        <w:t>Avars</w:t>
      </w:r>
      <w:proofErr w:type="spellEnd"/>
      <w:r w:rsidRPr="00F81612">
        <w:rPr>
          <w:rFonts w:asciiTheme="majorBidi" w:hAnsiTheme="majorBidi" w:cstheme="majorBidi"/>
        </w:rPr>
        <w:t xml:space="preserve"> and Bulgars.</w:t>
      </w:r>
      <w:r w:rsidRPr="00F81612">
        <w:rPr>
          <w:rFonts w:asciiTheme="majorBidi" w:hAnsiTheme="majorBidi" w:cstheme="majorBidi"/>
          <w:vertAlign w:val="superscript"/>
        </w:rPr>
        <w:footnoteReference w:id="81"/>
      </w:r>
      <w:r w:rsidRPr="00F81612">
        <w:rPr>
          <w:rFonts w:asciiTheme="majorBidi" w:hAnsiTheme="majorBidi" w:cstheme="majorBidi"/>
        </w:rPr>
        <w:t xml:space="preserve"> A more fundamental transformation occurred in the Persian Empire as it was conquered by Arab tribes in 633CE, who, in expanding under the new banner of Islam, retooled Persia as an integral portion of the new Umayyad Caliphate that formed an exogenous formulation Barfield deems the ‘vanquisher empire.’</w:t>
      </w:r>
      <w:r w:rsidRPr="00F81612">
        <w:rPr>
          <w:rFonts w:asciiTheme="majorBidi" w:hAnsiTheme="majorBidi" w:cstheme="majorBidi"/>
          <w:vertAlign w:val="superscript"/>
        </w:rPr>
        <w:footnoteReference w:id="82"/>
      </w:r>
      <w:r w:rsidRPr="00F81612">
        <w:rPr>
          <w:rFonts w:asciiTheme="majorBidi" w:hAnsiTheme="majorBidi" w:cstheme="majorBidi"/>
        </w:rPr>
        <w:t xml:space="preserve"> </w:t>
      </w:r>
    </w:p>
    <w:p w14:paraId="0CC098B7"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When considering how this space between the intersection of the three imperial meta-spheres was shaped by the great Slavic migrations that occurred in this moment, the geography of the steppe once again provides a valuable orientation for mapping consequential </w:t>
      </w:r>
      <w:proofErr w:type="gramStart"/>
      <w:r w:rsidRPr="00F81612">
        <w:rPr>
          <w:rFonts w:asciiTheme="majorBidi" w:hAnsiTheme="majorBidi" w:cstheme="majorBidi"/>
        </w:rPr>
        <w:t>developments .</w:t>
      </w:r>
      <w:proofErr w:type="gramEnd"/>
      <w:r w:rsidRPr="00F81612">
        <w:rPr>
          <w:rFonts w:asciiTheme="majorBidi" w:hAnsiTheme="majorBidi" w:cstheme="majorBidi"/>
        </w:rPr>
        <w:t xml:space="preserve"> With the Hungarian plain allowing steppe peoples to have a base deep within the Europe peninsula linked to the larger world of the steppe – a frontier only closed upon the tenth-century adoption of Christianity and feudal social order by a steppe people in the form of the Magyars</w:t>
      </w:r>
      <w:r w:rsidRPr="00F81612">
        <w:rPr>
          <w:rFonts w:asciiTheme="majorBidi" w:hAnsiTheme="majorBidi" w:cstheme="majorBidi"/>
          <w:vertAlign w:val="superscript"/>
        </w:rPr>
        <w:footnoteReference w:id="83"/>
      </w:r>
      <w:r w:rsidRPr="00F81612">
        <w:rPr>
          <w:rFonts w:asciiTheme="majorBidi" w:hAnsiTheme="majorBidi" w:cstheme="majorBidi"/>
        </w:rPr>
        <w:t xml:space="preserve"> – the Slavs, expanding into lands once inhabited by  Germanic tribes migrating westward, were trisected into their still-existing Southern, Western, and Eastern groupings.</w:t>
      </w:r>
      <w:r w:rsidRPr="00F81612">
        <w:rPr>
          <w:rFonts w:asciiTheme="majorBidi" w:hAnsiTheme="majorBidi" w:cstheme="majorBidi"/>
          <w:vertAlign w:val="superscript"/>
        </w:rPr>
        <w:footnoteReference w:id="84"/>
      </w:r>
      <w:r w:rsidRPr="00F81612">
        <w:rPr>
          <w:rFonts w:asciiTheme="majorBidi" w:hAnsiTheme="majorBidi" w:cstheme="majorBidi"/>
        </w:rPr>
        <w:t xml:space="preserve"> In the Balkan region south of the Hungarian plain, Southern Slavs were inexorably shaped by patterns of conflict and subjecthood linked to contention between the Byzantine Empire and the steppe-originated Avar and Bulgar polities.</w:t>
      </w:r>
      <w:r w:rsidRPr="00F81612">
        <w:rPr>
          <w:rFonts w:asciiTheme="majorBidi" w:hAnsiTheme="majorBidi" w:cstheme="majorBidi"/>
          <w:vertAlign w:val="superscript"/>
        </w:rPr>
        <w:footnoteReference w:id="85"/>
      </w:r>
      <w:r w:rsidRPr="00F81612">
        <w:rPr>
          <w:rFonts w:asciiTheme="majorBidi" w:hAnsiTheme="majorBidi" w:cstheme="majorBidi"/>
        </w:rPr>
        <w:t xml:space="preserve"> In Central-Eastern Europe, Slavs found themselves on the frontiers of an expanding order of the Latin West, a region largely protected from both the great steppe and forest to the east by mountains that supported stable sedentary populations in fertile valleys.</w:t>
      </w:r>
      <w:r w:rsidRPr="00F81612">
        <w:rPr>
          <w:rFonts w:asciiTheme="majorBidi" w:hAnsiTheme="majorBidi" w:cstheme="majorBidi"/>
          <w:vertAlign w:val="superscript"/>
        </w:rPr>
        <w:footnoteReference w:id="86"/>
      </w:r>
      <w:r w:rsidRPr="00F81612">
        <w:rPr>
          <w:rFonts w:asciiTheme="majorBidi" w:hAnsiTheme="majorBidi" w:cstheme="majorBidi"/>
        </w:rPr>
        <w:t xml:space="preserve"> </w:t>
      </w:r>
    </w:p>
    <w:p w14:paraId="53AF49F2"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Supported by this privileged topography, a Roman-Germanic synthesis reached its high-point as King Charlemagne of the Franks declared himself the new Roman Emperor thus displaying yet another exogenous empire variant – the ‘empire of nostalgia.’</w:t>
      </w:r>
      <w:r w:rsidRPr="00F81612">
        <w:rPr>
          <w:rFonts w:asciiTheme="majorBidi" w:hAnsiTheme="majorBidi" w:cstheme="majorBidi"/>
          <w:vertAlign w:val="superscript"/>
        </w:rPr>
        <w:footnoteReference w:id="87"/>
      </w:r>
      <w:r w:rsidRPr="00F81612">
        <w:rPr>
          <w:rFonts w:asciiTheme="majorBidi" w:hAnsiTheme="majorBidi" w:cstheme="majorBidi"/>
        </w:rPr>
        <w:t xml:space="preserve"> Here, to the immediate east of the Carolingian Empire’s Franco-Germanic heartland, Great Moravia – the first identified Slavic polity and progenitor of the Duchy of Bohemia – appeared in 833.</w:t>
      </w:r>
      <w:r w:rsidRPr="00F81612">
        <w:rPr>
          <w:rFonts w:asciiTheme="majorBidi" w:hAnsiTheme="majorBidi" w:cstheme="majorBidi"/>
          <w:vertAlign w:val="superscript"/>
        </w:rPr>
        <w:footnoteReference w:id="88"/>
      </w:r>
      <w:r w:rsidRPr="00F81612">
        <w:rPr>
          <w:rFonts w:asciiTheme="majorBidi" w:hAnsiTheme="majorBidi" w:cstheme="majorBidi"/>
        </w:rPr>
        <w:t xml:space="preserve"> Later, the Kingdom of Poland abruptly entered the Western record in 962.</w:t>
      </w:r>
      <w:r w:rsidRPr="00F81612">
        <w:rPr>
          <w:rFonts w:asciiTheme="majorBidi" w:hAnsiTheme="majorBidi" w:cstheme="majorBidi"/>
          <w:vertAlign w:val="superscript"/>
        </w:rPr>
        <w:footnoteReference w:id="89"/>
      </w:r>
      <w:r w:rsidRPr="00F81612">
        <w:rPr>
          <w:rFonts w:asciiTheme="majorBidi" w:hAnsiTheme="majorBidi" w:cstheme="majorBidi"/>
        </w:rPr>
        <w:t xml:space="preserve"> While there is reason to believe that initial Slavic-Germanic contact was generally </w:t>
      </w:r>
      <w:proofErr w:type="spellStart"/>
      <w:r w:rsidRPr="00F81612">
        <w:rPr>
          <w:rFonts w:asciiTheme="majorBidi" w:hAnsiTheme="majorBidi" w:cstheme="majorBidi"/>
        </w:rPr>
        <w:t>peaceful,such</w:t>
      </w:r>
      <w:proofErr w:type="spellEnd"/>
      <w:r w:rsidRPr="00F81612">
        <w:rPr>
          <w:rFonts w:asciiTheme="majorBidi" w:hAnsiTheme="majorBidi" w:cstheme="majorBidi"/>
        </w:rPr>
        <w:t xml:space="preserve"> relations deteriorated dramatically as feudalism took root in the west.</w:t>
      </w:r>
      <w:r w:rsidRPr="00F81612">
        <w:rPr>
          <w:rFonts w:asciiTheme="majorBidi" w:hAnsiTheme="majorBidi" w:cstheme="majorBidi"/>
          <w:vertAlign w:val="superscript"/>
        </w:rPr>
        <w:t xml:space="preserve"> </w:t>
      </w:r>
      <w:r w:rsidRPr="00F81612">
        <w:rPr>
          <w:rFonts w:asciiTheme="majorBidi" w:hAnsiTheme="majorBidi" w:cstheme="majorBidi"/>
          <w:vertAlign w:val="superscript"/>
        </w:rPr>
        <w:footnoteReference w:id="90"/>
      </w:r>
      <w:r w:rsidRPr="00F81612">
        <w:rPr>
          <w:rFonts w:asciiTheme="majorBidi" w:hAnsiTheme="majorBidi" w:cstheme="majorBidi"/>
        </w:rPr>
        <w:t xml:space="preserve">  With this development, the German nobility pressed further east, especially as the non-inheriting sons of feudal lords forcibly created new land tenures through conquest and colonisation.</w:t>
      </w:r>
      <w:r w:rsidRPr="00F81612">
        <w:rPr>
          <w:rFonts w:asciiTheme="majorBidi" w:hAnsiTheme="majorBidi" w:cstheme="majorBidi"/>
          <w:vertAlign w:val="superscript"/>
        </w:rPr>
        <w:footnoteReference w:id="91"/>
      </w:r>
      <w:r w:rsidRPr="00F81612">
        <w:rPr>
          <w:rFonts w:asciiTheme="majorBidi" w:hAnsiTheme="majorBidi" w:cstheme="majorBidi"/>
        </w:rPr>
        <w:t xml:space="preserve"> Amongst these German elites, Western Slavs, even after their conversion to Catholicism, became increasingly characterised as the backwards inhabitants of savage eastern lands.</w:t>
      </w:r>
      <w:r w:rsidRPr="00F81612">
        <w:rPr>
          <w:rFonts w:asciiTheme="majorBidi" w:hAnsiTheme="majorBidi" w:cstheme="majorBidi"/>
          <w:vertAlign w:val="superscript"/>
        </w:rPr>
        <w:footnoteReference w:id="92"/>
      </w:r>
      <w:r w:rsidRPr="00F81612">
        <w:rPr>
          <w:rFonts w:asciiTheme="majorBidi" w:hAnsiTheme="majorBidi" w:cstheme="majorBidi"/>
        </w:rPr>
        <w:t xml:space="preserve">   </w:t>
      </w:r>
    </w:p>
    <w:p w14:paraId="06B49BDD"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Contemporaneously, it was amongst the Eastern Slavs of the vast forest lands above the steppe that, in Barfield’s terminology, a ‘vacuum empire’ came to emerge. Vitally, by 650CE, a polity founded by Turkic steppe nomads,  the Khazar Khaganate, emerged in the North Caucasus and played a central role in the facilitation of commerce between the Byzantine Empire to the west and the Islamic world to the south.</w:t>
      </w:r>
      <w:r w:rsidRPr="00F81612">
        <w:rPr>
          <w:rFonts w:asciiTheme="majorBidi" w:hAnsiTheme="majorBidi" w:cstheme="majorBidi"/>
          <w:vertAlign w:val="superscript"/>
        </w:rPr>
        <w:footnoteReference w:id="93"/>
      </w:r>
      <w:r w:rsidRPr="00F81612">
        <w:rPr>
          <w:rFonts w:asciiTheme="majorBidi" w:hAnsiTheme="majorBidi" w:cstheme="majorBidi"/>
        </w:rPr>
        <w:t xml:space="preserve"> From the northwest via an extensive system of rivers, Scandinavian ‘Viking’ warrior-merchants entered the dominant trade in fur and slaves from Slavic forest areas in proximity to the Khaganate.</w:t>
      </w:r>
      <w:r w:rsidRPr="00F81612">
        <w:rPr>
          <w:rFonts w:asciiTheme="majorBidi" w:hAnsiTheme="majorBidi" w:cstheme="majorBidi"/>
          <w:vertAlign w:val="superscript"/>
        </w:rPr>
        <w:footnoteReference w:id="94"/>
      </w:r>
      <w:r w:rsidRPr="00F81612">
        <w:rPr>
          <w:rFonts w:asciiTheme="majorBidi" w:hAnsiTheme="majorBidi" w:cstheme="majorBidi"/>
        </w:rPr>
        <w:t xml:space="preserve"> With varied Slavic tribes ultimately united in 862CE under the Scandinavian Prince Rurik,  whose externalised authority quelled local rivalry, came the origins of the first Rus, an entity whose originally antagonistic relationship with Byzantium ultimately resulted in conversion to Orthodox Christianity.</w:t>
      </w:r>
      <w:r w:rsidRPr="00F81612">
        <w:rPr>
          <w:rFonts w:asciiTheme="majorBidi" w:hAnsiTheme="majorBidi" w:cstheme="majorBidi"/>
          <w:vertAlign w:val="superscript"/>
        </w:rPr>
        <w:footnoteReference w:id="95"/>
      </w:r>
      <w:r w:rsidRPr="00F81612">
        <w:rPr>
          <w:rFonts w:asciiTheme="majorBidi" w:hAnsiTheme="majorBidi" w:cstheme="majorBidi"/>
        </w:rPr>
        <w:t xml:space="preserve"> However, this Principality of Rus was not confined to the Byzantine sphere, and while limiting its conquests to tribal forest peoples, deepened its interactions with the world of the steppe and the Germanic, </w:t>
      </w:r>
      <w:r w:rsidRPr="00F81612">
        <w:rPr>
          <w:rFonts w:asciiTheme="majorBidi" w:hAnsiTheme="majorBidi" w:cstheme="majorBidi"/>
        </w:rPr>
        <w:lastRenderedPageBreak/>
        <w:t xml:space="preserve">Slavic, and </w:t>
      </w:r>
      <w:proofErr w:type="spellStart"/>
      <w:r w:rsidRPr="00F81612">
        <w:rPr>
          <w:rFonts w:asciiTheme="majorBidi" w:hAnsiTheme="majorBidi" w:cstheme="majorBidi"/>
        </w:rPr>
        <w:t>Maygar</w:t>
      </w:r>
      <w:proofErr w:type="spellEnd"/>
      <w:r w:rsidRPr="00F81612">
        <w:rPr>
          <w:rFonts w:asciiTheme="majorBidi" w:hAnsiTheme="majorBidi" w:cstheme="majorBidi"/>
        </w:rPr>
        <w:t xml:space="preserve"> kingdoms to the west via dynastic marriage.</w:t>
      </w:r>
      <w:r w:rsidRPr="00F81612">
        <w:rPr>
          <w:rFonts w:asciiTheme="majorBidi" w:hAnsiTheme="majorBidi" w:cstheme="majorBidi"/>
          <w:vertAlign w:val="superscript"/>
        </w:rPr>
        <w:footnoteReference w:id="96"/>
      </w:r>
      <w:r w:rsidRPr="00F81612">
        <w:rPr>
          <w:rFonts w:asciiTheme="majorBidi" w:hAnsiTheme="majorBidi" w:cstheme="majorBidi"/>
        </w:rPr>
        <w:t xml:space="preserve"> Rus was thus an irreducibly complex synthesis of Slavic, Byzantine, Scandinavian, and Turkic steppe elements.</w:t>
      </w:r>
      <w:r w:rsidRPr="00F81612">
        <w:rPr>
          <w:rFonts w:asciiTheme="majorBidi" w:hAnsiTheme="majorBidi" w:cstheme="majorBidi"/>
          <w:vertAlign w:val="superscript"/>
        </w:rPr>
        <w:footnoteReference w:id="97"/>
      </w:r>
      <w:r w:rsidRPr="00F81612">
        <w:rPr>
          <w:rFonts w:asciiTheme="majorBidi" w:hAnsiTheme="majorBidi" w:cstheme="majorBidi"/>
        </w:rPr>
        <w:t xml:space="preserve"> This identification of Eastern Europe as a variable space of intersecting ‘shadow empires’ provides new methods for understanding the consequences and significance of medieval Western incursions into this region and their ultimate international legal significance. </w:t>
      </w:r>
    </w:p>
    <w:p w14:paraId="59CC23AF" w14:textId="77777777" w:rsidR="00F81612" w:rsidRPr="00F81612" w:rsidRDefault="00F81612" w:rsidP="00F81612">
      <w:pPr>
        <w:spacing w:line="360" w:lineRule="auto"/>
        <w:jc w:val="both"/>
        <w:rPr>
          <w:rFonts w:asciiTheme="majorBidi" w:hAnsiTheme="majorBidi" w:cstheme="majorBidi"/>
        </w:rPr>
      </w:pPr>
    </w:p>
    <w:p w14:paraId="0781C579" w14:textId="1C12BD32"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 xml:space="preserve"> Order Through a Baltic Crucible  </w:t>
      </w:r>
    </w:p>
    <w:p w14:paraId="18815EB8"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While Eastern Europe emerged as an intersecting space of shadow empires engendering diverse political and cultural formulations, questions remain as to how encounters between this region and Western/Latin Europe shaped the evolution of international law. Such interactions were inseparable from the divergence between Western and Eastern Europe that became prominent during the Middle Ages. Under  feudal landholding arrangements, the preservation of organisational systems from the Roman Empire, and privileged agricultural conditions, the West hosted much greater concentrations of wealth and social hierarchy than the comparatively poorer East.</w:t>
      </w:r>
      <w:r w:rsidRPr="00F81612">
        <w:rPr>
          <w:rFonts w:asciiTheme="majorBidi" w:hAnsiTheme="majorBidi" w:cstheme="majorBidi"/>
          <w:vertAlign w:val="superscript"/>
        </w:rPr>
        <w:footnoteReference w:id="98"/>
      </w:r>
      <w:r w:rsidRPr="00F81612">
        <w:rPr>
          <w:rFonts w:asciiTheme="majorBidi" w:hAnsiTheme="majorBidi" w:cstheme="majorBidi"/>
        </w:rPr>
        <w:t xml:space="preserve"> In a manner linked to the formation of a distinctly ‘Western’ identity, the lands to the east were perceived as a space of peril as it concerned both nomads emanating from the steppe and pagans persisting in the forests.</w:t>
      </w:r>
      <w:r w:rsidRPr="00F81612">
        <w:rPr>
          <w:rFonts w:asciiTheme="majorBidi" w:hAnsiTheme="majorBidi" w:cstheme="majorBidi"/>
          <w:vertAlign w:val="superscript"/>
        </w:rPr>
        <w:footnoteReference w:id="99"/>
      </w:r>
      <w:r w:rsidRPr="00F81612">
        <w:rPr>
          <w:rFonts w:asciiTheme="majorBidi" w:hAnsiTheme="majorBidi" w:cstheme="majorBidi"/>
        </w:rPr>
        <w:t xml:space="preserve"> This dynamic is vital for conceptualising legal relations across Europe’s differentiated spaces, especially as forcible Western incursions into the east in the name of Christian conversion raised ample moral-cum-legal questions.</w:t>
      </w:r>
      <w:r w:rsidRPr="00F81612">
        <w:rPr>
          <w:rFonts w:asciiTheme="majorBidi" w:hAnsiTheme="majorBidi" w:cstheme="majorBidi"/>
          <w:vertAlign w:val="superscript"/>
        </w:rPr>
        <w:footnoteReference w:id="100"/>
      </w:r>
      <w:r w:rsidRPr="00F81612">
        <w:rPr>
          <w:rFonts w:asciiTheme="majorBidi" w:hAnsiTheme="majorBidi" w:cstheme="majorBidi"/>
        </w:rPr>
        <w:t xml:space="preserve"> </w:t>
      </w:r>
    </w:p>
    <w:p w14:paraId="361B6F51" w14:textId="580DD3C9"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For Latin Europe’s medieval Roman and canon law jurists,  a key question concerned how those within the domain of Christendom should exist in relation to non-Christians, especially on matters of war and conquest.</w:t>
      </w:r>
      <w:r w:rsidRPr="00F81612">
        <w:rPr>
          <w:rFonts w:asciiTheme="majorBidi" w:hAnsiTheme="majorBidi" w:cstheme="majorBidi"/>
          <w:vertAlign w:val="superscript"/>
        </w:rPr>
        <w:footnoteReference w:id="101"/>
      </w:r>
      <w:r w:rsidRPr="00F81612">
        <w:rPr>
          <w:rFonts w:asciiTheme="majorBidi" w:hAnsiTheme="majorBidi" w:cstheme="majorBidi"/>
        </w:rPr>
        <w:t xml:space="preserve"> As James Muldoon notes, when medieval Latin jurists assessed the circumstances under which ‘infidels’ could be subjugated, their formative </w:t>
      </w:r>
      <w:r w:rsidRPr="00F81612">
        <w:rPr>
          <w:rFonts w:asciiTheme="majorBidi" w:hAnsiTheme="majorBidi" w:cstheme="majorBidi"/>
        </w:rPr>
        <w:lastRenderedPageBreak/>
        <w:t>templates for those beyond Christendom’s bounds were Jews, and heretics/schismatics.</w:t>
      </w:r>
      <w:r w:rsidRPr="00F81612">
        <w:rPr>
          <w:rFonts w:asciiTheme="majorBidi" w:hAnsiTheme="majorBidi" w:cstheme="majorBidi"/>
          <w:vertAlign w:val="superscript"/>
        </w:rPr>
        <w:footnoteReference w:id="102"/>
      </w:r>
      <w:r w:rsidRPr="00F81612">
        <w:rPr>
          <w:rFonts w:asciiTheme="majorBidi" w:hAnsiTheme="majorBidi" w:cstheme="majorBidi"/>
        </w:rPr>
        <w:t xml:space="preserve"> Regarding Jews, while the kingdoms of Western Europe consolidated as political entities, in great measure, through comprehensive expulsions of Jews and Muslims, such a phenomenon was generally absent in Eastern Europe.</w:t>
      </w:r>
      <w:r w:rsidRPr="00F81612">
        <w:rPr>
          <w:rFonts w:asciiTheme="majorBidi" w:hAnsiTheme="majorBidi" w:cstheme="majorBidi"/>
          <w:vertAlign w:val="superscript"/>
        </w:rPr>
        <w:footnoteReference w:id="103"/>
      </w:r>
      <w:r w:rsidRPr="00F81612">
        <w:rPr>
          <w:rFonts w:asciiTheme="majorBidi" w:hAnsiTheme="majorBidi" w:cstheme="majorBidi"/>
        </w:rPr>
        <w:t xml:space="preserve"> Regarding heretics/ schismatics, there was the iconic split between the Catholic and Orthodox churches via the </w:t>
      </w:r>
      <w:r w:rsidR="00A048C7">
        <w:rPr>
          <w:rFonts w:asciiTheme="majorBidi" w:hAnsiTheme="majorBidi" w:cstheme="majorBidi"/>
        </w:rPr>
        <w:t xml:space="preserve">1054 </w:t>
      </w:r>
      <w:r w:rsidRPr="00F81612">
        <w:rPr>
          <w:rFonts w:asciiTheme="majorBidi" w:hAnsiTheme="majorBidi" w:cstheme="majorBidi"/>
        </w:rPr>
        <w:t>Schism that left Eastern Europe an ecclesiastically contested borderland.</w:t>
      </w:r>
      <w:r w:rsidRPr="00F81612">
        <w:rPr>
          <w:rFonts w:asciiTheme="majorBidi" w:hAnsiTheme="majorBidi" w:cstheme="majorBidi"/>
          <w:vertAlign w:val="superscript"/>
        </w:rPr>
        <w:footnoteReference w:id="104"/>
      </w:r>
      <w:r w:rsidRPr="00F81612">
        <w:rPr>
          <w:rFonts w:asciiTheme="majorBidi" w:hAnsiTheme="majorBidi" w:cstheme="majorBidi"/>
        </w:rPr>
        <w:t xml:space="preserve"> While the presence of Jews, Muslims, and Orthodox Christians informed images of Eastern Europe as spiritually impure, </w:t>
      </w:r>
      <w:r w:rsidR="00995A08">
        <w:rPr>
          <w:rFonts w:asciiTheme="majorBidi" w:hAnsiTheme="majorBidi" w:cstheme="majorBidi"/>
        </w:rPr>
        <w:t>an additional</w:t>
      </w:r>
      <w:r w:rsidRPr="00F81612">
        <w:rPr>
          <w:rFonts w:asciiTheme="majorBidi" w:hAnsiTheme="majorBidi" w:cstheme="majorBidi"/>
        </w:rPr>
        <w:t xml:space="preserve"> fixation concerned how this region’s northern reaches was </w:t>
      </w:r>
      <w:r w:rsidR="0094688B">
        <w:rPr>
          <w:rFonts w:asciiTheme="majorBidi" w:hAnsiTheme="majorBidi" w:cstheme="majorBidi"/>
        </w:rPr>
        <w:t>home to</w:t>
      </w:r>
      <w:r w:rsidRPr="00F81612">
        <w:rPr>
          <w:rFonts w:asciiTheme="majorBidi" w:hAnsiTheme="majorBidi" w:cstheme="majorBidi"/>
        </w:rPr>
        <w:t xml:space="preserve"> Europe’s last pagans. This took the form of Baltic, Finnic, and Slavic tribes whose high degrees of religious and linguistic diversity was preserved by facets of terrain as harsh winters and rainy seasons within dense forests frustrated long-term occupation by invading armies.</w:t>
      </w:r>
      <w:r w:rsidRPr="00F81612">
        <w:rPr>
          <w:rFonts w:asciiTheme="majorBidi" w:hAnsiTheme="majorBidi" w:cstheme="majorBidi"/>
          <w:vertAlign w:val="superscript"/>
        </w:rPr>
        <w:footnoteReference w:id="105"/>
      </w:r>
      <w:r w:rsidRPr="00F81612">
        <w:rPr>
          <w:rFonts w:asciiTheme="majorBidi" w:hAnsiTheme="majorBidi" w:cstheme="majorBidi"/>
        </w:rPr>
        <w:t xml:space="preserve"> However, with  new Western European innovations in military technology  – especially heavy calvary, fortification, ballistics, and siege warfare – foreboding terrain was no longer an absolute barrier to </w:t>
      </w:r>
      <w:r w:rsidR="001E29E8">
        <w:rPr>
          <w:rFonts w:asciiTheme="majorBidi" w:hAnsiTheme="majorBidi" w:cstheme="majorBidi"/>
        </w:rPr>
        <w:t>dominating</w:t>
      </w:r>
      <w:r w:rsidRPr="00F81612">
        <w:rPr>
          <w:rFonts w:asciiTheme="majorBidi" w:hAnsiTheme="majorBidi" w:cstheme="majorBidi"/>
        </w:rPr>
        <w:t xml:space="preserve"> Europe’s northeast.</w:t>
      </w:r>
      <w:r w:rsidRPr="00F81612">
        <w:rPr>
          <w:rFonts w:asciiTheme="majorBidi" w:hAnsiTheme="majorBidi" w:cstheme="majorBidi"/>
          <w:vertAlign w:val="superscript"/>
        </w:rPr>
        <w:footnoteReference w:id="106"/>
      </w:r>
      <w:r w:rsidRPr="00F81612">
        <w:rPr>
          <w:rFonts w:asciiTheme="majorBidi" w:hAnsiTheme="majorBidi" w:cstheme="majorBidi"/>
        </w:rPr>
        <w:t xml:space="preserve">   </w:t>
      </w:r>
    </w:p>
    <w:p w14:paraId="558A5249" w14:textId="0C1008B3"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In his 1147 papal bull </w:t>
      </w:r>
      <w:r w:rsidRPr="00F81612">
        <w:rPr>
          <w:rFonts w:asciiTheme="majorBidi" w:hAnsiTheme="majorBidi" w:cstheme="majorBidi"/>
          <w:i/>
          <w:iCs/>
        </w:rPr>
        <w:t xml:space="preserve">Divina </w:t>
      </w:r>
      <w:proofErr w:type="spellStart"/>
      <w:r w:rsidRPr="00F81612">
        <w:rPr>
          <w:rFonts w:asciiTheme="majorBidi" w:hAnsiTheme="majorBidi" w:cstheme="majorBidi"/>
          <w:i/>
          <w:iCs/>
        </w:rPr>
        <w:t>dispensatione</w:t>
      </w:r>
      <w:proofErr w:type="spellEnd"/>
      <w:r w:rsidRPr="00F81612">
        <w:rPr>
          <w:rFonts w:asciiTheme="majorBidi" w:hAnsiTheme="majorBidi" w:cstheme="majorBidi"/>
        </w:rPr>
        <w:t>, Pope Eugenius III authorised the Germans of the Holy Roman Empire to wage a crusade against the Wends, a Slavic pagan people living along the Baltic.</w:t>
      </w:r>
      <w:r w:rsidRPr="00F81612">
        <w:rPr>
          <w:rFonts w:asciiTheme="majorBidi" w:hAnsiTheme="majorBidi" w:cstheme="majorBidi"/>
          <w:vertAlign w:val="superscript"/>
        </w:rPr>
        <w:footnoteReference w:id="107"/>
      </w:r>
      <w:r w:rsidRPr="00F81612">
        <w:rPr>
          <w:rFonts w:asciiTheme="majorBidi" w:hAnsiTheme="majorBidi" w:cstheme="majorBidi"/>
        </w:rPr>
        <w:t xml:space="preserve"> This triggered a series of conflicts deemed the ‘Northern Crusades’ whereby German and Scandinavian princes, along with military religious orders launched wars of conquest, colonisation, and conversion against the pagans.</w:t>
      </w:r>
      <w:r w:rsidRPr="00F81612">
        <w:rPr>
          <w:rFonts w:asciiTheme="majorBidi" w:hAnsiTheme="majorBidi" w:cstheme="majorBidi"/>
          <w:vertAlign w:val="superscript"/>
        </w:rPr>
        <w:footnoteReference w:id="108"/>
      </w:r>
      <w:r w:rsidRPr="00F81612">
        <w:rPr>
          <w:rFonts w:asciiTheme="majorBidi" w:hAnsiTheme="majorBidi" w:cstheme="majorBidi"/>
        </w:rPr>
        <w:t xml:space="preserve"> Legally, these crusades raised serious questions compared to contemporaneous holy wars. Here, Pope Innocent IV expounded the presumption that just force against non-Christians was not justified by their lack of Christianity, but required independent just cause to wage a just war.</w:t>
      </w:r>
      <w:r w:rsidRPr="00F81612">
        <w:rPr>
          <w:rFonts w:asciiTheme="majorBidi" w:hAnsiTheme="majorBidi" w:cstheme="majorBidi"/>
          <w:vertAlign w:val="superscript"/>
        </w:rPr>
        <w:footnoteReference w:id="109"/>
      </w:r>
      <w:r w:rsidRPr="00F81612">
        <w:rPr>
          <w:rFonts w:asciiTheme="majorBidi" w:hAnsiTheme="majorBidi" w:cstheme="majorBidi"/>
        </w:rPr>
        <w:t xml:space="preserve"> While the Holy Land Crusades were satisfied by Christian belief  in reclaiming unjustly taken lands, this did not apply to the Baltic frontiers as these pagan lands were never Christian.</w:t>
      </w:r>
      <w:r w:rsidRPr="00F81612">
        <w:rPr>
          <w:rFonts w:asciiTheme="majorBidi" w:hAnsiTheme="majorBidi" w:cstheme="majorBidi"/>
          <w:vertAlign w:val="superscript"/>
        </w:rPr>
        <w:footnoteReference w:id="110"/>
      </w:r>
      <w:r w:rsidRPr="00F81612">
        <w:rPr>
          <w:rFonts w:asciiTheme="majorBidi" w:hAnsiTheme="majorBidi" w:cstheme="majorBidi"/>
        </w:rPr>
        <w:t xml:space="preserve"> Novel justifications </w:t>
      </w:r>
      <w:r w:rsidRPr="00F81612">
        <w:rPr>
          <w:rFonts w:asciiTheme="majorBidi" w:hAnsiTheme="majorBidi" w:cstheme="majorBidi"/>
        </w:rPr>
        <w:lastRenderedPageBreak/>
        <w:t>for protecting Christian converts and missionaries present in the region, as well as punishing apostates, thus performed much controversial work in justifying these wars.</w:t>
      </w:r>
      <w:r w:rsidRPr="00F81612">
        <w:rPr>
          <w:rFonts w:asciiTheme="majorBidi" w:hAnsiTheme="majorBidi" w:cstheme="majorBidi"/>
          <w:vertAlign w:val="superscript"/>
        </w:rPr>
        <w:footnoteReference w:id="111"/>
      </w:r>
      <w:r w:rsidRPr="00F81612">
        <w:rPr>
          <w:rFonts w:asciiTheme="majorBidi" w:hAnsiTheme="majorBidi" w:cstheme="majorBidi"/>
        </w:rPr>
        <w:t xml:space="preserve"> An additionally source of controversy  concerned polities that, while Christian, were nevertheless not fully included within Latin Christendom – the Kingdom of Poland and the remnants of  Rus. Suspended between the Latin Christian ideal and  patently non-Christian worlds to the east, these polities thus occupied a distinctly liminal position that has persistently attached to Eastern Europe.</w:t>
      </w:r>
    </w:p>
    <w:p w14:paraId="74D8F14F" w14:textId="3511E77F" w:rsidR="00F81612" w:rsidRPr="00F81612" w:rsidRDefault="00F81612" w:rsidP="00830193">
      <w:pPr>
        <w:spacing w:line="360" w:lineRule="auto"/>
        <w:jc w:val="both"/>
        <w:rPr>
          <w:rFonts w:asciiTheme="majorBidi" w:hAnsiTheme="majorBidi" w:cstheme="majorBidi"/>
        </w:rPr>
      </w:pPr>
      <w:r w:rsidRPr="00F81612">
        <w:rPr>
          <w:rFonts w:asciiTheme="majorBidi" w:hAnsiTheme="majorBidi" w:cstheme="majorBidi"/>
        </w:rPr>
        <w:t xml:space="preserve">As the knight of the Teutonic Order left the Holy Land and emerged as the most infamous executioners of the Northern Crusades, </w:t>
      </w:r>
      <w:r w:rsidR="00430860">
        <w:rPr>
          <w:rFonts w:asciiTheme="majorBidi" w:hAnsiTheme="majorBidi" w:cstheme="majorBidi"/>
        </w:rPr>
        <w:t xml:space="preserve">their </w:t>
      </w:r>
      <w:r w:rsidRPr="00F81612">
        <w:rPr>
          <w:rFonts w:asciiTheme="majorBidi" w:hAnsiTheme="majorBidi" w:cstheme="majorBidi"/>
        </w:rPr>
        <w:t>wars with pagans gave rise to struggles with the Poles over Pomerania.</w:t>
      </w:r>
      <w:r w:rsidRPr="00F81612">
        <w:rPr>
          <w:rFonts w:asciiTheme="majorBidi" w:hAnsiTheme="majorBidi" w:cstheme="majorBidi"/>
          <w:vertAlign w:val="superscript"/>
        </w:rPr>
        <w:footnoteReference w:id="112"/>
      </w:r>
      <w:r w:rsidRPr="00F81612">
        <w:rPr>
          <w:rFonts w:asciiTheme="majorBidi" w:hAnsiTheme="majorBidi" w:cstheme="majorBidi"/>
        </w:rPr>
        <w:t xml:space="preserve"> While ostensibly concluded via a 1343 truce, animating animosity existed on both sides.</w:t>
      </w:r>
      <w:r w:rsidRPr="00F81612">
        <w:rPr>
          <w:rFonts w:asciiTheme="majorBidi" w:hAnsiTheme="majorBidi" w:cstheme="majorBidi"/>
          <w:vertAlign w:val="superscript"/>
        </w:rPr>
        <w:footnoteReference w:id="113"/>
      </w:r>
      <w:r w:rsidRPr="00F81612">
        <w:rPr>
          <w:rFonts w:asciiTheme="majorBidi" w:hAnsiTheme="majorBidi" w:cstheme="majorBidi"/>
        </w:rPr>
        <w:t xml:space="preserve"> Regarding the fragmented remnants of Rus, the single most powerful successor was the Republic of Novgorod that, driven largely by the fur trade, extended across a vast region of northern forest.</w:t>
      </w:r>
      <w:r w:rsidRPr="00F81612">
        <w:rPr>
          <w:rFonts w:asciiTheme="majorBidi" w:hAnsiTheme="majorBidi" w:cstheme="majorBidi"/>
          <w:vertAlign w:val="superscript"/>
        </w:rPr>
        <w:footnoteReference w:id="114"/>
      </w:r>
      <w:r w:rsidRPr="00F81612">
        <w:rPr>
          <w:rFonts w:asciiTheme="majorBidi" w:hAnsiTheme="majorBidi" w:cstheme="majorBidi"/>
        </w:rPr>
        <w:t xml:space="preserve"> Here, Novgorod’s Prince Alexander Nevsky </w:t>
      </w:r>
      <w:r w:rsidR="006D521D">
        <w:rPr>
          <w:rFonts w:asciiTheme="majorBidi" w:hAnsiTheme="majorBidi" w:cstheme="majorBidi"/>
        </w:rPr>
        <w:t xml:space="preserve">successfully blocked </w:t>
      </w:r>
      <w:r w:rsidRPr="00F81612">
        <w:rPr>
          <w:rFonts w:asciiTheme="majorBidi" w:hAnsiTheme="majorBidi" w:cstheme="majorBidi"/>
        </w:rPr>
        <w:t xml:space="preserve">the </w:t>
      </w:r>
      <w:r w:rsidR="006D521D">
        <w:rPr>
          <w:rFonts w:asciiTheme="majorBidi" w:hAnsiTheme="majorBidi" w:cstheme="majorBidi"/>
        </w:rPr>
        <w:t xml:space="preserve">Crusader’s </w:t>
      </w:r>
      <w:r w:rsidRPr="00F81612">
        <w:rPr>
          <w:rFonts w:asciiTheme="majorBidi" w:hAnsiTheme="majorBidi" w:cstheme="majorBidi"/>
        </w:rPr>
        <w:t>eastward ex</w:t>
      </w:r>
      <w:r w:rsidR="006D521D">
        <w:rPr>
          <w:rFonts w:asciiTheme="majorBidi" w:hAnsiTheme="majorBidi" w:cstheme="majorBidi"/>
        </w:rPr>
        <w:t>pansion,</w:t>
      </w:r>
      <w:r w:rsidRPr="00F81612">
        <w:rPr>
          <w:rFonts w:asciiTheme="majorBidi" w:hAnsiTheme="majorBidi" w:cstheme="majorBidi"/>
        </w:rPr>
        <w:t xml:space="preserve"> achieving important victories over the Swedes (1240) and the Teutonic Order (1242).</w:t>
      </w:r>
      <w:r w:rsidRPr="00F81612">
        <w:rPr>
          <w:rFonts w:asciiTheme="majorBidi" w:hAnsiTheme="majorBidi" w:cstheme="majorBidi"/>
          <w:vertAlign w:val="superscript"/>
        </w:rPr>
        <w:footnoteReference w:id="115"/>
      </w:r>
      <w:r w:rsidRPr="00F81612">
        <w:rPr>
          <w:rFonts w:asciiTheme="majorBidi" w:hAnsiTheme="majorBidi" w:cstheme="majorBidi"/>
        </w:rPr>
        <w:t xml:space="preserve"> However, a far greater challenge to the remnants of Rus came from the eastern/southern steppe with the rise of the Mongols under Genghis Khan who, perfecting steppe warfare, </w:t>
      </w:r>
      <w:r w:rsidR="004856DE">
        <w:rPr>
          <w:rFonts w:asciiTheme="majorBidi" w:hAnsiTheme="majorBidi" w:cstheme="majorBidi"/>
        </w:rPr>
        <w:t>expanded</w:t>
      </w:r>
      <w:r w:rsidRPr="00F81612">
        <w:rPr>
          <w:rFonts w:asciiTheme="majorBidi" w:hAnsiTheme="majorBidi" w:cstheme="majorBidi"/>
        </w:rPr>
        <w:t xml:space="preserve"> across Eurasia.</w:t>
      </w:r>
      <w:r w:rsidRPr="00F81612">
        <w:rPr>
          <w:rFonts w:asciiTheme="majorBidi" w:hAnsiTheme="majorBidi" w:cstheme="majorBidi"/>
          <w:vertAlign w:val="superscript"/>
        </w:rPr>
        <w:footnoteReference w:id="116"/>
      </w:r>
      <w:r w:rsidRPr="00F81612">
        <w:rPr>
          <w:rFonts w:asciiTheme="majorBidi" w:hAnsiTheme="majorBidi" w:cstheme="majorBidi"/>
        </w:rPr>
        <w:t xml:space="preserve"> Beginning in 1237, vast waves of Mongol and Tatar horsemen led by Batu Khan, grandson of Genghis Khan, took full advantage of division in Rus and executed numerous successful conquests.</w:t>
      </w:r>
      <w:r w:rsidRPr="00F81612">
        <w:rPr>
          <w:rFonts w:asciiTheme="majorBidi" w:hAnsiTheme="majorBidi" w:cstheme="majorBidi"/>
          <w:vertAlign w:val="superscript"/>
        </w:rPr>
        <w:footnoteReference w:id="117"/>
      </w:r>
      <w:r w:rsidRPr="00F81612">
        <w:rPr>
          <w:rFonts w:asciiTheme="majorBidi" w:hAnsiTheme="majorBidi" w:cstheme="majorBidi"/>
        </w:rPr>
        <w:t xml:space="preserve">  </w:t>
      </w:r>
    </w:p>
    <w:p w14:paraId="41AE6267" w14:textId="2FCDEDAE"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Between the devastation of the Eastern Slavic lands and the nomadic horseman venturing ever-further away from the system-sustaining</w:t>
      </w:r>
      <w:r w:rsidR="00830193">
        <w:rPr>
          <w:rFonts w:asciiTheme="majorBidi" w:hAnsiTheme="majorBidi" w:cstheme="majorBidi"/>
        </w:rPr>
        <w:t xml:space="preserve"> </w:t>
      </w:r>
      <w:r w:rsidRPr="00F81612">
        <w:rPr>
          <w:rFonts w:asciiTheme="majorBidi" w:hAnsiTheme="majorBidi" w:cstheme="majorBidi"/>
        </w:rPr>
        <w:t xml:space="preserve">the steppe, a new power arose.  Here, the </w:t>
      </w:r>
      <w:r w:rsidR="0074748D" w:rsidRPr="00F81612">
        <w:rPr>
          <w:rFonts w:asciiTheme="majorBidi" w:hAnsiTheme="majorBidi" w:cstheme="majorBidi"/>
        </w:rPr>
        <w:t>Lithuanian</w:t>
      </w:r>
      <w:r w:rsidR="004856DE">
        <w:rPr>
          <w:rFonts w:asciiTheme="majorBidi" w:hAnsiTheme="majorBidi" w:cstheme="majorBidi"/>
        </w:rPr>
        <w:t>s,</w:t>
      </w:r>
      <w:r w:rsidRPr="00F81612">
        <w:rPr>
          <w:rFonts w:asciiTheme="majorBidi" w:hAnsiTheme="majorBidi" w:cstheme="majorBidi"/>
        </w:rPr>
        <w:t xml:space="preserve"> the most powerful of the Baltic pagans</w:t>
      </w:r>
      <w:r w:rsidR="004856DE">
        <w:rPr>
          <w:rFonts w:asciiTheme="majorBidi" w:hAnsiTheme="majorBidi" w:cstheme="majorBidi"/>
        </w:rPr>
        <w:t>,</w:t>
      </w:r>
      <w:r w:rsidRPr="00F81612">
        <w:rPr>
          <w:rFonts w:asciiTheme="majorBidi" w:hAnsiTheme="majorBidi" w:cstheme="majorBidi"/>
        </w:rPr>
        <w:t xml:space="preserve"> swept through the western reaches of the former Rus capturing the old capital of Kyiv in 1323.</w:t>
      </w:r>
      <w:r w:rsidRPr="00F81612">
        <w:rPr>
          <w:rFonts w:asciiTheme="majorBidi" w:hAnsiTheme="majorBidi" w:cstheme="majorBidi"/>
          <w:vertAlign w:val="superscript"/>
        </w:rPr>
        <w:footnoteReference w:id="118"/>
      </w:r>
      <w:r w:rsidRPr="00F81612">
        <w:rPr>
          <w:rFonts w:asciiTheme="majorBidi" w:hAnsiTheme="majorBidi" w:cstheme="majorBidi"/>
        </w:rPr>
        <w:t xml:space="preserve"> With its leadership maintaining their paganism, </w:t>
      </w:r>
      <w:r w:rsidRPr="00F81612">
        <w:rPr>
          <w:rFonts w:asciiTheme="majorBidi" w:hAnsiTheme="majorBidi" w:cstheme="majorBidi"/>
        </w:rPr>
        <w:lastRenderedPageBreak/>
        <w:t xml:space="preserve">this Grand Duchy of Lithuania – the largest polity in Europe – proved highly successful in retooling Rus’s preexisting </w:t>
      </w:r>
      <w:r w:rsidR="0024092E">
        <w:rPr>
          <w:rFonts w:asciiTheme="majorBidi" w:hAnsiTheme="majorBidi" w:cstheme="majorBidi"/>
        </w:rPr>
        <w:t xml:space="preserve">governance </w:t>
      </w:r>
      <w:r w:rsidRPr="00F81612">
        <w:rPr>
          <w:rFonts w:asciiTheme="majorBidi" w:hAnsiTheme="majorBidi" w:cstheme="majorBidi"/>
        </w:rPr>
        <w:t>structures.</w:t>
      </w:r>
      <w:r w:rsidRPr="00F81612">
        <w:rPr>
          <w:rFonts w:asciiTheme="majorBidi" w:hAnsiTheme="majorBidi" w:cstheme="majorBidi"/>
          <w:vertAlign w:val="superscript"/>
        </w:rPr>
        <w:footnoteReference w:id="119"/>
      </w:r>
      <w:r w:rsidRPr="00F81612">
        <w:rPr>
          <w:rFonts w:asciiTheme="majorBidi" w:hAnsiTheme="majorBidi" w:cstheme="majorBidi"/>
        </w:rPr>
        <w:t xml:space="preserve"> Additionally, by maintain paganism, the </w:t>
      </w:r>
      <w:r w:rsidR="0074748D" w:rsidRPr="00F81612">
        <w:rPr>
          <w:rFonts w:asciiTheme="majorBidi" w:hAnsiTheme="majorBidi" w:cstheme="majorBidi"/>
        </w:rPr>
        <w:t>Lithuanians</w:t>
      </w:r>
      <w:r w:rsidRPr="00F81612">
        <w:rPr>
          <w:rFonts w:asciiTheme="majorBidi" w:hAnsiTheme="majorBidi" w:cstheme="majorBidi"/>
        </w:rPr>
        <w:t xml:space="preserve"> could rule a diversity of subjects free from Christian schism-related controversies. To quote Eric Christiansen, “[s]</w:t>
      </w:r>
      <w:proofErr w:type="spellStart"/>
      <w:r w:rsidRPr="00F81612">
        <w:rPr>
          <w:rFonts w:asciiTheme="majorBidi" w:hAnsiTheme="majorBidi" w:cstheme="majorBidi"/>
        </w:rPr>
        <w:t>ince</w:t>
      </w:r>
      <w:proofErr w:type="spellEnd"/>
      <w:r w:rsidRPr="00F81612">
        <w:rPr>
          <w:rFonts w:asciiTheme="majorBidi" w:hAnsiTheme="majorBidi" w:cstheme="majorBidi"/>
        </w:rPr>
        <w:t xml:space="preserve"> the Lithuanians were not a small tribe, they could not be brought to the Church by intimidation or conquest. Since they were prosperous and well organised, the example of neighbouring Christian peoples was not in itself seductive…. Paganism allowed the Lithuanians to govern Latins, Greeks, Jews, and Tatars impartially.”</w:t>
      </w:r>
      <w:r w:rsidRPr="00F81612">
        <w:rPr>
          <w:rFonts w:asciiTheme="majorBidi" w:hAnsiTheme="majorBidi" w:cstheme="majorBidi"/>
          <w:vertAlign w:val="superscript"/>
        </w:rPr>
        <w:footnoteReference w:id="120"/>
      </w:r>
      <w:r w:rsidRPr="00F81612">
        <w:rPr>
          <w:rFonts w:asciiTheme="majorBidi" w:hAnsiTheme="majorBidi" w:cstheme="majorBidi"/>
        </w:rPr>
        <w:t xml:space="preserve">         </w:t>
      </w:r>
    </w:p>
    <w:p w14:paraId="5A01E940" w14:textId="144DB55C"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Yet, despite their success, the Lithuanians continued to face the challenge of the Teutonic Order.</w:t>
      </w:r>
      <w:r w:rsidRPr="00F81612">
        <w:rPr>
          <w:rFonts w:asciiTheme="majorBidi" w:hAnsiTheme="majorBidi" w:cstheme="majorBidi"/>
          <w:vertAlign w:val="superscript"/>
        </w:rPr>
        <w:footnoteReference w:id="121"/>
      </w:r>
      <w:r w:rsidRPr="00F81612">
        <w:rPr>
          <w:rFonts w:asciiTheme="majorBidi" w:hAnsiTheme="majorBidi" w:cstheme="majorBidi"/>
        </w:rPr>
        <w:t xml:space="preserve"> Cognisant of the Poles’ continued enmity, in 1385, Lithuanian Grand Prince Jogaila proposed a Polish-Lithuanian alliance that  “…promised to recover all lands Poland had lost to the Teutonic Order….to baptize all pagan inhabitants of his realm into the Catholic faith, and to join the lands of Lithuania and Ruthenia [Ukraine] to the Polish crown in perpetuity (</w:t>
      </w:r>
      <w:r w:rsidRPr="00F81612">
        <w:rPr>
          <w:rFonts w:asciiTheme="majorBidi" w:hAnsiTheme="majorBidi" w:cstheme="majorBidi"/>
          <w:i/>
          <w:iCs/>
        </w:rPr>
        <w:t xml:space="preserve">perpetuo </w:t>
      </w:r>
      <w:proofErr w:type="spellStart"/>
      <w:r w:rsidRPr="00F81612">
        <w:rPr>
          <w:rFonts w:asciiTheme="majorBidi" w:hAnsiTheme="majorBidi" w:cstheme="majorBidi"/>
          <w:i/>
          <w:iCs/>
        </w:rPr>
        <w:t>applicare</w:t>
      </w:r>
      <w:proofErr w:type="spellEnd"/>
      <w:r w:rsidRPr="00F81612">
        <w:rPr>
          <w:rFonts w:asciiTheme="majorBidi" w:hAnsiTheme="majorBidi" w:cstheme="majorBidi"/>
        </w:rPr>
        <w:t>).”</w:t>
      </w:r>
      <w:r w:rsidRPr="00F81612">
        <w:rPr>
          <w:rFonts w:asciiTheme="majorBidi" w:hAnsiTheme="majorBidi" w:cstheme="majorBidi"/>
          <w:vertAlign w:val="superscript"/>
        </w:rPr>
        <w:footnoteReference w:id="122"/>
      </w:r>
      <w:r w:rsidR="001F7FA4">
        <w:rPr>
          <w:rFonts w:asciiTheme="majorBidi" w:hAnsiTheme="majorBidi" w:cstheme="majorBidi"/>
        </w:rPr>
        <w:t xml:space="preserve"> </w:t>
      </w:r>
      <w:r w:rsidRPr="00F81612">
        <w:rPr>
          <w:rFonts w:asciiTheme="majorBidi" w:hAnsiTheme="majorBidi" w:cstheme="majorBidi"/>
        </w:rPr>
        <w:t>As Jogaila solidified alliance by marrying the Polish princess Jadwiga, the Poles, Lithuanians, and their allies achieved a decisive victory against the Teutonic Order at the 1410 Battle of Grunwald, an event that marked the beginning of the end of the Northern Crusades in a manner that exposed Latin Europe’s limits in the</w:t>
      </w:r>
      <w:r w:rsidR="00090493">
        <w:rPr>
          <w:rFonts w:asciiTheme="majorBidi" w:hAnsiTheme="majorBidi" w:cstheme="majorBidi"/>
        </w:rPr>
        <w:t>ir</w:t>
      </w:r>
      <w:r w:rsidRPr="00F81612">
        <w:rPr>
          <w:rFonts w:asciiTheme="majorBidi" w:hAnsiTheme="majorBidi" w:cstheme="majorBidi"/>
        </w:rPr>
        <w:t xml:space="preserve"> would-be conquest of eastern lands.</w:t>
      </w:r>
      <w:r w:rsidRPr="00F81612">
        <w:rPr>
          <w:rFonts w:asciiTheme="majorBidi" w:hAnsiTheme="majorBidi" w:cstheme="majorBidi"/>
          <w:vertAlign w:val="superscript"/>
        </w:rPr>
        <w:footnoteReference w:id="123"/>
      </w:r>
      <w:r w:rsidRPr="00F81612">
        <w:rPr>
          <w:rFonts w:asciiTheme="majorBidi" w:hAnsiTheme="majorBidi" w:cstheme="majorBidi"/>
        </w:rPr>
        <w:t xml:space="preserve"> Despite this turning point, the Polish-Lithuanian alliance did not disband post-Grunwald. Rather, Poland and Lithuania became increasingly integrated, especially as the 1413 Union of </w:t>
      </w:r>
      <w:proofErr w:type="spellStart"/>
      <w:r w:rsidRPr="00F81612">
        <w:rPr>
          <w:rFonts w:asciiTheme="majorBidi" w:hAnsiTheme="majorBidi" w:cstheme="majorBidi"/>
        </w:rPr>
        <w:t>Horodło</w:t>
      </w:r>
      <w:proofErr w:type="spellEnd"/>
      <w:r w:rsidRPr="00F81612">
        <w:rPr>
          <w:rFonts w:asciiTheme="majorBidi" w:hAnsiTheme="majorBidi" w:cstheme="majorBidi"/>
        </w:rPr>
        <w:t xml:space="preserve"> articulated rights and duties in a manner that forged enduring constitutional structures beyond the personalised dynastic union of the two polities.</w:t>
      </w:r>
      <w:r w:rsidRPr="00F81612">
        <w:rPr>
          <w:rFonts w:asciiTheme="majorBidi" w:hAnsiTheme="majorBidi" w:cstheme="majorBidi"/>
          <w:vertAlign w:val="superscript"/>
        </w:rPr>
        <w:footnoteReference w:id="124"/>
      </w:r>
      <w:r w:rsidRPr="00F81612">
        <w:rPr>
          <w:rFonts w:asciiTheme="majorBidi" w:hAnsiTheme="majorBidi" w:cstheme="majorBidi"/>
        </w:rPr>
        <w:t xml:space="preserve"> While this Northern Crusades-forged alliance-cum-nascent union was a formidable military power strategically located between Europe’s east and west, it nevertheless presented deeper questions as to how it might be included within then existing structures of Europe’s legal order.  </w:t>
      </w:r>
    </w:p>
    <w:p w14:paraId="165E224E" w14:textId="77777777" w:rsidR="00F81612" w:rsidRPr="00F81612" w:rsidRDefault="00F81612" w:rsidP="00F81612">
      <w:pPr>
        <w:spacing w:line="360" w:lineRule="auto"/>
        <w:jc w:val="both"/>
        <w:rPr>
          <w:rFonts w:asciiTheme="majorBidi" w:hAnsiTheme="majorBidi" w:cstheme="majorBidi"/>
        </w:rPr>
      </w:pPr>
    </w:p>
    <w:p w14:paraId="3456CCF3" w14:textId="37226C87"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 xml:space="preserve">Two Paths Between Steppe and Forest </w:t>
      </w:r>
    </w:p>
    <w:p w14:paraId="01014C1D" w14:textId="5C218D3F"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As a broad matter of normative-cum-juridical justification, the Polish-Lithuanian alliance against the Teutonic Knights presented the profound question of whether Christians allied with non-Christians against other Christians could ever possess just cause to wage a just war.</w:t>
      </w:r>
      <w:r w:rsidRPr="00F81612">
        <w:rPr>
          <w:rFonts w:asciiTheme="majorBidi" w:hAnsiTheme="majorBidi" w:cstheme="majorBidi"/>
          <w:vertAlign w:val="superscript"/>
        </w:rPr>
        <w:footnoteReference w:id="125"/>
      </w:r>
      <w:r w:rsidRPr="00F81612">
        <w:rPr>
          <w:rFonts w:asciiTheme="majorBidi" w:hAnsiTheme="majorBidi" w:cstheme="majorBidi"/>
        </w:rPr>
        <w:t xml:space="preserve"> This matter arose as the dispute between Poland and the Teutonic Order was addressed before the 1414-1418 papal Council of Constance.</w:t>
      </w:r>
      <w:r w:rsidRPr="00F81612">
        <w:rPr>
          <w:rFonts w:asciiTheme="majorBidi" w:hAnsiTheme="majorBidi" w:cstheme="majorBidi"/>
          <w:vertAlign w:val="superscript"/>
        </w:rPr>
        <w:footnoteReference w:id="126"/>
      </w:r>
      <w:r w:rsidRPr="00F81612">
        <w:rPr>
          <w:rFonts w:asciiTheme="majorBidi" w:hAnsiTheme="majorBidi" w:cstheme="majorBidi"/>
        </w:rPr>
        <w:t xml:space="preserve"> Representing the Poles was Paulus Vladimiri, a Catholic priest and rector of Cracow University,</w:t>
      </w:r>
      <w:r w:rsidR="00E55568">
        <w:rPr>
          <w:rFonts w:asciiTheme="majorBidi" w:hAnsiTheme="majorBidi" w:cstheme="majorBidi"/>
        </w:rPr>
        <w:t xml:space="preserve"> </w:t>
      </w:r>
      <w:r w:rsidRPr="00F81612">
        <w:rPr>
          <w:rFonts w:asciiTheme="majorBidi" w:hAnsiTheme="majorBidi" w:cstheme="majorBidi"/>
        </w:rPr>
        <w:t>who,</w:t>
      </w:r>
      <w:r w:rsidR="00E55568">
        <w:rPr>
          <w:rFonts w:asciiTheme="majorBidi" w:hAnsiTheme="majorBidi" w:cstheme="majorBidi"/>
        </w:rPr>
        <w:t xml:space="preserve"> </w:t>
      </w:r>
      <w:r w:rsidRPr="00F81612">
        <w:rPr>
          <w:rFonts w:asciiTheme="majorBidi" w:hAnsiTheme="majorBidi" w:cstheme="majorBidi"/>
        </w:rPr>
        <w:t>in an elaborate and innovative reformulation of the natural law on just war, defended the alliance with Lithuanian pagans on the grounds that the Order’s invocation of Christianity and pagan conversion were crude pretexts for conquest – pretexts he contrasted to the effective sincerity of Polish conversion practices.</w:t>
      </w:r>
      <w:r w:rsidRPr="00F81612">
        <w:rPr>
          <w:rFonts w:asciiTheme="majorBidi" w:hAnsiTheme="majorBidi" w:cstheme="majorBidi"/>
          <w:vertAlign w:val="superscript"/>
        </w:rPr>
        <w:footnoteReference w:id="127"/>
      </w:r>
      <w:r w:rsidRPr="00F81612">
        <w:rPr>
          <w:rFonts w:asciiTheme="majorBidi" w:hAnsiTheme="majorBidi" w:cstheme="majorBidi"/>
        </w:rPr>
        <w:t xml:space="preserve"> In doing so, the liminal positionality emanating from his Polish identity allowed him to posit and defend a radically inclusive conception of natural law. Even the era’s foundational defenders of Christendom came to tacitly accept this arrangement with Pope Martin appointing two leading architects of the </w:t>
      </w:r>
      <w:proofErr w:type="gramStart"/>
      <w:r w:rsidRPr="00F81612">
        <w:rPr>
          <w:rFonts w:asciiTheme="majorBidi" w:hAnsiTheme="majorBidi" w:cstheme="majorBidi"/>
        </w:rPr>
        <w:t>Polish-Lithuanian</w:t>
      </w:r>
      <w:proofErr w:type="gramEnd"/>
      <w:r w:rsidRPr="00F81612">
        <w:rPr>
          <w:rFonts w:asciiTheme="majorBidi" w:hAnsiTheme="majorBidi" w:cstheme="majorBidi"/>
        </w:rPr>
        <w:t xml:space="preserve"> alliance, King Jogaila and Grand Duke Vytautas, </w:t>
      </w:r>
      <w:r w:rsidR="00E55568">
        <w:rPr>
          <w:rFonts w:asciiTheme="majorBidi" w:hAnsiTheme="majorBidi" w:cstheme="majorBidi"/>
        </w:rPr>
        <w:t>“</w:t>
      </w:r>
      <w:r w:rsidRPr="00F81612">
        <w:rPr>
          <w:rFonts w:asciiTheme="majorBidi" w:hAnsiTheme="majorBidi" w:cstheme="majorBidi"/>
        </w:rPr>
        <w:t>as his vicars-general in Russia.</w:t>
      </w:r>
      <w:r w:rsidR="00E55568">
        <w:rPr>
          <w:rFonts w:asciiTheme="majorBidi" w:hAnsiTheme="majorBidi" w:cstheme="majorBidi"/>
        </w:rPr>
        <w:t>”</w:t>
      </w:r>
      <w:r w:rsidRPr="00F81612">
        <w:rPr>
          <w:rFonts w:asciiTheme="majorBidi" w:hAnsiTheme="majorBidi" w:cstheme="majorBidi"/>
          <w:vertAlign w:val="superscript"/>
        </w:rPr>
        <w:footnoteReference w:id="128"/>
      </w:r>
    </w:p>
    <w:p w14:paraId="29D1B31A" w14:textId="1D95CFBD"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Vladimiri’s defence of the Polish-Lithuanian alliance thus proved a milestone for the increased integration of these two polities that, within Europe’s greater geopolitical structure, displayed a degree of tolerance enabling it to act as a crucial mediation point between Roman Catholicism and Byzantine Orthodoxy.</w:t>
      </w:r>
      <w:r w:rsidRPr="00F81612">
        <w:rPr>
          <w:rFonts w:asciiTheme="majorBidi" w:hAnsiTheme="majorBidi" w:cstheme="majorBidi"/>
          <w:vertAlign w:val="superscript"/>
        </w:rPr>
        <w:footnoteReference w:id="129"/>
      </w:r>
      <w:r w:rsidRPr="00F81612">
        <w:rPr>
          <w:rFonts w:asciiTheme="majorBidi" w:hAnsiTheme="majorBidi" w:cstheme="majorBidi"/>
        </w:rPr>
        <w:t xml:space="preserve"> Given the diverse populations of Poland-Lithuania, the state’s function would be deeply compromised if political authority were limited to any one language, culture, or religion.</w:t>
      </w:r>
      <w:r w:rsidRPr="00F81612">
        <w:rPr>
          <w:rFonts w:asciiTheme="majorBidi" w:hAnsiTheme="majorBidi" w:cstheme="majorBidi"/>
          <w:vertAlign w:val="superscript"/>
        </w:rPr>
        <w:footnoteReference w:id="130"/>
      </w:r>
      <w:r w:rsidRPr="00F81612">
        <w:rPr>
          <w:rFonts w:asciiTheme="majorBidi" w:hAnsiTheme="majorBidi" w:cstheme="majorBidi"/>
        </w:rPr>
        <w:t xml:space="preserve"> Moreover,</w:t>
      </w:r>
      <w:r w:rsidR="00E55568">
        <w:rPr>
          <w:rFonts w:asciiTheme="majorBidi" w:hAnsiTheme="majorBidi" w:cstheme="majorBidi"/>
        </w:rPr>
        <w:t xml:space="preserve"> </w:t>
      </w:r>
      <w:r w:rsidRPr="00F81612">
        <w:rPr>
          <w:rFonts w:asciiTheme="majorBidi" w:hAnsiTheme="majorBidi" w:cstheme="majorBidi"/>
        </w:rPr>
        <w:t>Poland-Lithuania possessed an exceptionally powerful cavalry that drew upon the strengths of multiple cultures (Western knighthood coupled with steppe-nomad horsemanship) as well as a capacity for extensive grain cultivation harvested by populations comparatively  spared the Black Death that ravaged Western Europe.</w:t>
      </w:r>
      <w:r w:rsidRPr="00F81612">
        <w:rPr>
          <w:rFonts w:asciiTheme="majorBidi" w:hAnsiTheme="majorBidi" w:cstheme="majorBidi"/>
          <w:vertAlign w:val="superscript"/>
        </w:rPr>
        <w:footnoteReference w:id="131"/>
      </w:r>
      <w:r w:rsidRPr="00F81612">
        <w:rPr>
          <w:rFonts w:asciiTheme="majorBidi" w:hAnsiTheme="majorBidi" w:cstheme="majorBidi"/>
        </w:rPr>
        <w:t xml:space="preserve"> Relatedly, relative to a European political order increasingly defined by centralised monarchies, Poland-</w:t>
      </w:r>
      <w:r w:rsidRPr="00F81612">
        <w:rPr>
          <w:rFonts w:asciiTheme="majorBidi" w:hAnsiTheme="majorBidi" w:cstheme="majorBidi"/>
        </w:rPr>
        <w:lastRenderedPageBreak/>
        <w:t>Lithuania evolved along a different evolutionary trajectory premised on decentralised authority amongst a widespread non-hierarchical nobility who articulated elaborate understandings of liberty in defence of this system.</w:t>
      </w:r>
      <w:r w:rsidRPr="00F81612">
        <w:rPr>
          <w:rFonts w:asciiTheme="majorBidi" w:hAnsiTheme="majorBidi" w:cstheme="majorBidi"/>
          <w:vertAlign w:val="superscript"/>
        </w:rPr>
        <w:footnoteReference w:id="132"/>
      </w:r>
      <w:r w:rsidRPr="00F81612">
        <w:rPr>
          <w:rFonts w:asciiTheme="majorBidi" w:hAnsiTheme="majorBidi" w:cstheme="majorBidi"/>
        </w:rPr>
        <w:t xml:space="preserve"> Attaining the status of a great power despite</w:t>
      </w:r>
      <w:r w:rsidR="009628D6">
        <w:rPr>
          <w:rFonts w:asciiTheme="majorBidi" w:hAnsiTheme="majorBidi" w:cstheme="majorBidi"/>
        </w:rPr>
        <w:t xml:space="preserve"> </w:t>
      </w:r>
      <w:r w:rsidRPr="00F81612">
        <w:rPr>
          <w:rFonts w:asciiTheme="majorBidi" w:hAnsiTheme="majorBidi" w:cstheme="majorBidi"/>
        </w:rPr>
        <w:t>non-conforming political structures, Poland-Lithuania  became integrated as a Commonwealth via the 1569 Lublin Union.</w:t>
      </w:r>
      <w:r w:rsidRPr="00F81612">
        <w:rPr>
          <w:rFonts w:asciiTheme="majorBidi" w:hAnsiTheme="majorBidi" w:cstheme="majorBidi"/>
          <w:vertAlign w:val="superscript"/>
        </w:rPr>
        <w:footnoteReference w:id="133"/>
      </w:r>
      <w:r w:rsidRPr="00F81612">
        <w:rPr>
          <w:rFonts w:asciiTheme="majorBidi" w:hAnsiTheme="majorBidi" w:cstheme="majorBidi"/>
        </w:rPr>
        <w:t xml:space="preserve">  While expansionist, the Commonwealth’s main strategy was the cultural assimilation of frontier elites into the ranks of a widely-diffused and politically-empowered nobility.</w:t>
      </w:r>
      <w:r w:rsidRPr="00F81612">
        <w:rPr>
          <w:rFonts w:asciiTheme="majorBidi" w:hAnsiTheme="majorBidi" w:cstheme="majorBidi"/>
          <w:vertAlign w:val="superscript"/>
        </w:rPr>
        <w:footnoteReference w:id="134"/>
      </w:r>
      <w:r w:rsidRPr="00F81612">
        <w:rPr>
          <w:rFonts w:asciiTheme="majorBidi" w:hAnsiTheme="majorBidi" w:cstheme="majorBidi"/>
        </w:rPr>
        <w:t xml:space="preserve"> Thus, while the Commonwealth’s lineage was one of exogenous shadow empires (especially the forest ‘vacuum empire’ of Rus and later Lithuania), it is questionable as to whether it could be considered an ‘empire’ – at least</w:t>
      </w:r>
      <w:r w:rsidR="009628D6">
        <w:rPr>
          <w:rFonts w:asciiTheme="majorBidi" w:hAnsiTheme="majorBidi" w:cstheme="majorBidi"/>
        </w:rPr>
        <w:t xml:space="preserve"> </w:t>
      </w:r>
      <w:r w:rsidRPr="00F81612">
        <w:rPr>
          <w:rFonts w:asciiTheme="majorBidi" w:hAnsiTheme="majorBidi" w:cstheme="majorBidi"/>
        </w:rPr>
        <w:t>as it compared to surrounding polities.</w:t>
      </w:r>
      <w:r w:rsidRPr="00F81612">
        <w:rPr>
          <w:rFonts w:asciiTheme="majorBidi" w:hAnsiTheme="majorBidi" w:cstheme="majorBidi"/>
          <w:vertAlign w:val="superscript"/>
        </w:rPr>
        <w:footnoteReference w:id="135"/>
      </w:r>
      <w:r w:rsidRPr="00F81612">
        <w:rPr>
          <w:rFonts w:asciiTheme="majorBidi" w:hAnsiTheme="majorBidi" w:cstheme="majorBidi"/>
        </w:rPr>
        <w:t xml:space="preserve">  </w:t>
      </w:r>
    </w:p>
    <w:p w14:paraId="6CD0B99F" w14:textId="4C479A7A"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As Poland-Lithuania gradually forged a unique composite polity where rule was increasingly decentralised and sovereignty increasingly divided, very different developments defined the lands of the former Rus that had not been absorbed by the Lithuanian Grand Duchy. Under the</w:t>
      </w:r>
      <w:r w:rsidRPr="00F81612">
        <w:t xml:space="preserve"> </w:t>
      </w:r>
      <w:r w:rsidRPr="00F81612">
        <w:rPr>
          <w:rFonts w:asciiTheme="majorBidi" w:hAnsiTheme="majorBidi" w:cstheme="majorBidi"/>
        </w:rPr>
        <w:t>Ulas Jochi, or ‘Golden Horde’ (formed through the Mongol Empire’s 1259 division), unlike in other portions of the original empire such as the Middle Eastern Ilkhanate or the Chinese Yuan Dynasty, the Mongols did not adopt the local culture of, and assume direct rule over, Rus’s Orthodox Slavs.</w:t>
      </w:r>
      <w:r w:rsidRPr="00F81612">
        <w:rPr>
          <w:rFonts w:asciiTheme="majorBidi" w:hAnsiTheme="majorBidi" w:cstheme="majorBidi"/>
          <w:vertAlign w:val="superscript"/>
        </w:rPr>
        <w:footnoteReference w:id="136"/>
      </w:r>
      <w:r w:rsidRPr="00F81612">
        <w:rPr>
          <w:rFonts w:asciiTheme="majorBidi" w:hAnsiTheme="majorBidi" w:cstheme="majorBidi"/>
        </w:rPr>
        <w:t xml:space="preserve"> Rather, the greater cultural forces animating the Golden Horde were the increasingly Islamised Turkic-speaking</w:t>
      </w:r>
      <w:r w:rsidR="009628D6">
        <w:rPr>
          <w:rFonts w:asciiTheme="majorBidi" w:hAnsiTheme="majorBidi" w:cstheme="majorBidi"/>
        </w:rPr>
        <w:t xml:space="preserve"> </w:t>
      </w:r>
      <w:r w:rsidRPr="00F81612">
        <w:rPr>
          <w:rFonts w:asciiTheme="majorBidi" w:hAnsiTheme="majorBidi" w:cstheme="majorBidi"/>
        </w:rPr>
        <w:t>Tata</w:t>
      </w:r>
      <w:r w:rsidR="009628D6">
        <w:rPr>
          <w:rFonts w:asciiTheme="majorBidi" w:hAnsiTheme="majorBidi" w:cstheme="majorBidi"/>
        </w:rPr>
        <w:t xml:space="preserve">r </w:t>
      </w:r>
      <w:r w:rsidRPr="00F81612">
        <w:rPr>
          <w:rFonts w:asciiTheme="majorBidi" w:hAnsiTheme="majorBidi" w:cstheme="majorBidi"/>
        </w:rPr>
        <w:t>peoples whom Mongol efforts effectively unified.</w:t>
      </w:r>
      <w:r w:rsidRPr="00F81612">
        <w:rPr>
          <w:rFonts w:asciiTheme="majorBidi" w:hAnsiTheme="majorBidi" w:cstheme="majorBidi"/>
          <w:vertAlign w:val="superscript"/>
        </w:rPr>
        <w:footnoteReference w:id="137"/>
      </w:r>
      <w:r w:rsidRPr="00F81612">
        <w:rPr>
          <w:rFonts w:asciiTheme="majorBidi" w:hAnsiTheme="majorBidi" w:cstheme="majorBidi"/>
        </w:rPr>
        <w:t xml:space="preserve">  By contrast, the Slavic polities were tributaries whose periodic offering of allegiance and riches at the Golden Horde’s capital at Sarai near the Caspian Sea </w:t>
      </w:r>
      <w:r w:rsidR="009628D6">
        <w:rPr>
          <w:rFonts w:asciiTheme="majorBidi" w:hAnsiTheme="majorBidi" w:cstheme="majorBidi"/>
        </w:rPr>
        <w:t>provided</w:t>
      </w:r>
      <w:r w:rsidRPr="00F81612">
        <w:rPr>
          <w:rFonts w:asciiTheme="majorBidi" w:hAnsiTheme="majorBidi" w:cstheme="majorBidi"/>
        </w:rPr>
        <w:t xml:space="preserve"> a degree</w:t>
      </w:r>
      <w:r w:rsidR="009628D6">
        <w:rPr>
          <w:rFonts w:asciiTheme="majorBidi" w:hAnsiTheme="majorBidi" w:cstheme="majorBidi"/>
        </w:rPr>
        <w:t xml:space="preserve"> </w:t>
      </w:r>
      <w:r w:rsidRPr="00F81612">
        <w:rPr>
          <w:rFonts w:asciiTheme="majorBidi" w:hAnsiTheme="majorBidi" w:cstheme="majorBidi"/>
        </w:rPr>
        <w:t>of</w:t>
      </w:r>
      <w:r w:rsidR="009628D6">
        <w:rPr>
          <w:rFonts w:asciiTheme="majorBidi" w:hAnsiTheme="majorBidi" w:cstheme="majorBidi"/>
        </w:rPr>
        <w:t xml:space="preserve"> </w:t>
      </w:r>
      <w:r w:rsidRPr="00F81612">
        <w:rPr>
          <w:rFonts w:asciiTheme="majorBidi" w:hAnsiTheme="majorBidi" w:cstheme="majorBidi"/>
        </w:rPr>
        <w:t>autonomy and protection</w:t>
      </w:r>
      <w:r w:rsidR="009628D6">
        <w:rPr>
          <w:rFonts w:asciiTheme="majorBidi" w:hAnsiTheme="majorBidi" w:cstheme="majorBidi"/>
        </w:rPr>
        <w:t xml:space="preserve"> </w:t>
      </w:r>
      <w:r w:rsidRPr="00F81612">
        <w:rPr>
          <w:rFonts w:asciiTheme="majorBidi" w:hAnsiTheme="majorBidi" w:cstheme="majorBidi"/>
        </w:rPr>
        <w:t>from</w:t>
      </w:r>
      <w:r w:rsidR="009628D6">
        <w:rPr>
          <w:rFonts w:asciiTheme="majorBidi" w:hAnsiTheme="majorBidi" w:cstheme="majorBidi"/>
        </w:rPr>
        <w:t xml:space="preserve"> </w:t>
      </w:r>
      <w:r w:rsidRPr="00F81612">
        <w:rPr>
          <w:rFonts w:asciiTheme="majorBidi" w:hAnsiTheme="majorBidi" w:cstheme="majorBidi"/>
        </w:rPr>
        <w:t>western</w:t>
      </w:r>
      <w:r w:rsidR="009628D6">
        <w:rPr>
          <w:rFonts w:asciiTheme="majorBidi" w:hAnsiTheme="majorBidi" w:cstheme="majorBidi"/>
        </w:rPr>
        <w:t xml:space="preserve"> </w:t>
      </w:r>
      <w:r w:rsidRPr="00F81612">
        <w:rPr>
          <w:rFonts w:asciiTheme="majorBidi" w:hAnsiTheme="majorBidi" w:cstheme="majorBidi"/>
        </w:rPr>
        <w:t>incursion – especially from the Lithuanians.</w:t>
      </w:r>
      <w:r w:rsidRPr="00F81612">
        <w:rPr>
          <w:rFonts w:asciiTheme="majorBidi" w:hAnsiTheme="majorBidi" w:cstheme="majorBidi"/>
          <w:vertAlign w:val="superscript"/>
        </w:rPr>
        <w:footnoteReference w:id="138"/>
      </w:r>
      <w:r w:rsidRPr="00F81612">
        <w:rPr>
          <w:rFonts w:asciiTheme="majorBidi" w:hAnsiTheme="majorBidi" w:cstheme="majorBidi"/>
        </w:rPr>
        <w:t xml:space="preserve"> </w:t>
      </w:r>
    </w:p>
    <w:p w14:paraId="1E6DF18D" w14:textId="4F7F985A"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Of these Slavic tributar</w:t>
      </w:r>
      <w:r w:rsidR="009628D6">
        <w:rPr>
          <w:rFonts w:asciiTheme="majorBidi" w:hAnsiTheme="majorBidi" w:cstheme="majorBidi"/>
        </w:rPr>
        <w:t>ies</w:t>
      </w:r>
      <w:r w:rsidRPr="00F81612">
        <w:rPr>
          <w:rFonts w:asciiTheme="majorBidi" w:hAnsiTheme="majorBidi" w:cstheme="majorBidi"/>
        </w:rPr>
        <w:t xml:space="preserve">, Muscovy, geographically </w:t>
      </w:r>
      <w:r w:rsidR="009628D6" w:rsidRPr="00F81612">
        <w:rPr>
          <w:rFonts w:asciiTheme="majorBidi" w:hAnsiTheme="majorBidi" w:cstheme="majorBidi"/>
        </w:rPr>
        <w:t>privileged</w:t>
      </w:r>
      <w:r w:rsidRPr="00F81612">
        <w:rPr>
          <w:rFonts w:asciiTheme="majorBidi" w:hAnsiTheme="majorBidi" w:cstheme="majorBidi"/>
        </w:rPr>
        <w:t xml:space="preserve"> at key river intersections, was by far the most powerful.</w:t>
      </w:r>
      <w:r w:rsidRPr="00F81612">
        <w:rPr>
          <w:rFonts w:asciiTheme="majorBidi" w:hAnsiTheme="majorBidi" w:cstheme="majorBidi"/>
          <w:vertAlign w:val="superscript"/>
        </w:rPr>
        <w:footnoteReference w:id="139"/>
      </w:r>
      <w:r w:rsidRPr="00F81612">
        <w:rPr>
          <w:rFonts w:asciiTheme="majorBidi" w:hAnsiTheme="majorBidi" w:cstheme="majorBidi"/>
        </w:rPr>
        <w:t xml:space="preserve"> Additionally, it possessed ample symbolic power through its rule </w:t>
      </w:r>
      <w:r w:rsidRPr="00F81612">
        <w:rPr>
          <w:rFonts w:asciiTheme="majorBidi" w:hAnsiTheme="majorBidi" w:cstheme="majorBidi"/>
        </w:rPr>
        <w:lastRenderedPageBreak/>
        <w:t>by the heirs of the venerated Alexander Nevsky.</w:t>
      </w:r>
      <w:r w:rsidRPr="00F81612">
        <w:rPr>
          <w:rFonts w:asciiTheme="majorBidi" w:hAnsiTheme="majorBidi" w:cstheme="majorBidi"/>
          <w:vertAlign w:val="superscript"/>
        </w:rPr>
        <w:footnoteReference w:id="140"/>
      </w:r>
      <w:r w:rsidRPr="00F81612">
        <w:rPr>
          <w:rFonts w:asciiTheme="majorBidi" w:hAnsiTheme="majorBidi" w:cstheme="majorBidi"/>
        </w:rPr>
        <w:t xml:space="preserve"> Muscovy’s grand opportunity came in 1395 when Tamerlane devastated the Golden Horde, a defeat causing it to fragment into  successors polities including the Kazan, Astrakhan,</w:t>
      </w:r>
      <w:r w:rsidR="00330819">
        <w:rPr>
          <w:rFonts w:asciiTheme="majorBidi" w:hAnsiTheme="majorBidi" w:cstheme="majorBidi"/>
        </w:rPr>
        <w:t xml:space="preserve"> </w:t>
      </w:r>
      <w:r w:rsidRPr="00F81612">
        <w:rPr>
          <w:rFonts w:asciiTheme="majorBidi" w:hAnsiTheme="majorBidi" w:cstheme="majorBidi"/>
        </w:rPr>
        <w:t>Crimean, and</w:t>
      </w:r>
      <w:r w:rsidR="00330819">
        <w:rPr>
          <w:rFonts w:asciiTheme="majorBidi" w:hAnsiTheme="majorBidi" w:cstheme="majorBidi"/>
        </w:rPr>
        <w:t xml:space="preserve"> </w:t>
      </w:r>
      <w:proofErr w:type="spellStart"/>
      <w:r w:rsidRPr="00F81612">
        <w:rPr>
          <w:rFonts w:asciiTheme="majorBidi" w:hAnsiTheme="majorBidi" w:cstheme="majorBidi"/>
        </w:rPr>
        <w:t>Sibir</w:t>
      </w:r>
      <w:proofErr w:type="spellEnd"/>
      <w:r w:rsidRPr="00F81612">
        <w:rPr>
          <w:rFonts w:asciiTheme="majorBidi" w:hAnsiTheme="majorBidi" w:cstheme="majorBidi"/>
        </w:rPr>
        <w:t xml:space="preserve"> Khanates.</w:t>
      </w:r>
      <w:r w:rsidRPr="00F81612">
        <w:rPr>
          <w:rFonts w:asciiTheme="majorBidi" w:hAnsiTheme="majorBidi" w:cstheme="majorBidi"/>
          <w:vertAlign w:val="superscript"/>
        </w:rPr>
        <w:footnoteReference w:id="141"/>
      </w:r>
      <w:r w:rsidR="00330819">
        <w:rPr>
          <w:rFonts w:asciiTheme="majorBidi" w:hAnsiTheme="majorBidi" w:cstheme="majorBidi"/>
        </w:rPr>
        <w:t xml:space="preserve"> </w:t>
      </w:r>
      <w:r w:rsidRPr="00F81612">
        <w:rPr>
          <w:rFonts w:asciiTheme="majorBidi" w:hAnsiTheme="majorBidi" w:cstheme="majorBidi"/>
        </w:rPr>
        <w:t xml:space="preserve">Freed from centralised authority, Muscovy  asserted  dominance over the other Orthodox Slavic tributaries including Rostov, Pskov, </w:t>
      </w:r>
      <w:proofErr w:type="spellStart"/>
      <w:r w:rsidRPr="00F81612">
        <w:rPr>
          <w:rFonts w:asciiTheme="majorBidi" w:hAnsiTheme="majorBidi" w:cstheme="majorBidi"/>
        </w:rPr>
        <w:t>Riazan</w:t>
      </w:r>
      <w:proofErr w:type="spellEnd"/>
      <w:r w:rsidRPr="00F81612">
        <w:rPr>
          <w:rFonts w:asciiTheme="majorBidi" w:hAnsiTheme="majorBidi" w:cstheme="majorBidi"/>
        </w:rPr>
        <w:t xml:space="preserve">, </w:t>
      </w:r>
      <w:proofErr w:type="spellStart"/>
      <w:r w:rsidRPr="00F81612">
        <w:rPr>
          <w:rFonts w:asciiTheme="majorBidi" w:hAnsiTheme="majorBidi" w:cstheme="majorBidi"/>
        </w:rPr>
        <w:t>Tver</w:t>
      </w:r>
      <w:proofErr w:type="spellEnd"/>
      <w:r w:rsidRPr="00F81612">
        <w:rPr>
          <w:rFonts w:asciiTheme="majorBidi" w:hAnsiTheme="majorBidi" w:cstheme="majorBidi"/>
        </w:rPr>
        <w:t>, and, by 1471, Novgorod.</w:t>
      </w:r>
      <w:r w:rsidRPr="00F81612">
        <w:rPr>
          <w:rFonts w:asciiTheme="majorBidi" w:hAnsiTheme="majorBidi" w:cstheme="majorBidi"/>
          <w:vertAlign w:val="superscript"/>
        </w:rPr>
        <w:footnoteReference w:id="142"/>
      </w:r>
      <w:r w:rsidRPr="00F81612">
        <w:rPr>
          <w:rFonts w:asciiTheme="majorBidi" w:hAnsiTheme="majorBidi" w:cstheme="majorBidi"/>
        </w:rPr>
        <w:t xml:space="preserve"> Given the linguistic and religious similarity of those it absorbed, in diametric opposition to the Polish-Lithuanian Commonwealth, Muscovy had minimal occasion to become a composite polity premised on egalitarian negotiations of difference.</w:t>
      </w:r>
      <w:r w:rsidRPr="00F81612">
        <w:rPr>
          <w:rFonts w:asciiTheme="majorBidi" w:hAnsiTheme="majorBidi" w:cstheme="majorBidi"/>
          <w:vertAlign w:val="superscript"/>
        </w:rPr>
        <w:footnoteReference w:id="143"/>
      </w:r>
      <w:r w:rsidRPr="00F81612">
        <w:rPr>
          <w:rFonts w:asciiTheme="majorBidi" w:hAnsiTheme="majorBidi" w:cstheme="majorBidi"/>
        </w:rPr>
        <w:t xml:space="preserve"> Relatedly</w:t>
      </w:r>
      <w:r w:rsidR="00330819">
        <w:rPr>
          <w:rFonts w:asciiTheme="majorBidi" w:hAnsiTheme="majorBidi" w:cstheme="majorBidi"/>
        </w:rPr>
        <w:t>,</w:t>
      </w:r>
      <w:r w:rsidRPr="00F81612">
        <w:rPr>
          <w:rFonts w:asciiTheme="majorBidi" w:hAnsiTheme="majorBidi" w:cstheme="majorBidi"/>
        </w:rPr>
        <w:t xml:space="preserve"> Muscovy came to define itself against both East and West. The former represented a destiny disrupting domination condemned as the ‘Tatar Yoke.’</w:t>
      </w:r>
      <w:r w:rsidRPr="00F81612">
        <w:rPr>
          <w:rFonts w:asciiTheme="majorBidi" w:hAnsiTheme="majorBidi" w:cstheme="majorBidi"/>
          <w:vertAlign w:val="superscript"/>
        </w:rPr>
        <w:footnoteReference w:id="144"/>
      </w:r>
      <w:r w:rsidRPr="00F81612">
        <w:rPr>
          <w:rFonts w:asciiTheme="majorBidi" w:hAnsiTheme="majorBidi" w:cstheme="majorBidi"/>
        </w:rPr>
        <w:t xml:space="preserve"> The latter represented the defence of Orthodoxy against Latin Christendom that extensively invoked the legend of Alexander Nevksy’s triumph during the Northern Crusades.</w:t>
      </w:r>
      <w:r w:rsidRPr="00F81612">
        <w:rPr>
          <w:rFonts w:asciiTheme="majorBidi" w:hAnsiTheme="majorBidi" w:cstheme="majorBidi"/>
          <w:vertAlign w:val="superscript"/>
        </w:rPr>
        <w:footnoteReference w:id="145"/>
      </w:r>
      <w:r w:rsidRPr="00F81612">
        <w:rPr>
          <w:rFonts w:asciiTheme="majorBidi" w:hAnsiTheme="majorBidi" w:cstheme="majorBidi"/>
        </w:rPr>
        <w:t>Such proclamations took on entirely new level when, after the 1453 Ottoman conquest of Constantinople, Muscovy declared itself the ‘Third Rome.’</w:t>
      </w:r>
      <w:r w:rsidRPr="00F81612">
        <w:rPr>
          <w:rFonts w:asciiTheme="majorBidi" w:hAnsiTheme="majorBidi" w:cstheme="majorBidi"/>
          <w:vertAlign w:val="superscript"/>
        </w:rPr>
        <w:footnoteReference w:id="146"/>
      </w:r>
    </w:p>
    <w:p w14:paraId="5D30FEC8" w14:textId="14CFB0B6" w:rsidR="00F81612" w:rsidRPr="00F81612" w:rsidRDefault="00F81612" w:rsidP="0074748D">
      <w:pPr>
        <w:spacing w:line="360" w:lineRule="auto"/>
        <w:jc w:val="both"/>
        <w:rPr>
          <w:rFonts w:asciiTheme="majorBidi" w:hAnsiTheme="majorBidi" w:cstheme="majorBidi"/>
        </w:rPr>
      </w:pPr>
      <w:r w:rsidRPr="00F81612">
        <w:rPr>
          <w:rFonts w:asciiTheme="majorBidi" w:hAnsiTheme="majorBidi" w:cstheme="majorBidi"/>
        </w:rPr>
        <w:t>Vowing not to sustain the fate of the first two Roman Empires,  Muscovy sought to pre-empt incursions by seizing ever-increasing tracts of territory.</w:t>
      </w:r>
      <w:r w:rsidRPr="00F81612">
        <w:rPr>
          <w:rFonts w:asciiTheme="majorBidi" w:hAnsiTheme="majorBidi" w:cstheme="majorBidi"/>
          <w:vertAlign w:val="superscript"/>
        </w:rPr>
        <w:footnoteReference w:id="147"/>
      </w:r>
      <w:r w:rsidRPr="00F81612">
        <w:rPr>
          <w:rFonts w:asciiTheme="majorBidi" w:hAnsiTheme="majorBidi" w:cstheme="majorBidi"/>
        </w:rPr>
        <w:t xml:space="preserve"> </w:t>
      </w:r>
      <w:r w:rsidR="006B315C">
        <w:rPr>
          <w:rFonts w:asciiTheme="majorBidi" w:hAnsiTheme="majorBidi" w:cstheme="majorBidi"/>
        </w:rPr>
        <w:t>I</w:t>
      </w:r>
      <w:r w:rsidRPr="00F81612">
        <w:rPr>
          <w:rFonts w:asciiTheme="majorBidi" w:hAnsiTheme="majorBidi" w:cstheme="majorBidi"/>
        </w:rPr>
        <w:t>n 1547</w:t>
      </w:r>
      <w:r w:rsidR="006B315C">
        <w:rPr>
          <w:rFonts w:asciiTheme="majorBidi" w:hAnsiTheme="majorBidi" w:cstheme="majorBidi"/>
        </w:rPr>
        <w:t>,</w:t>
      </w:r>
      <w:r w:rsidRPr="00F81612">
        <w:rPr>
          <w:rFonts w:asciiTheme="majorBidi" w:hAnsiTheme="majorBidi" w:cstheme="majorBidi"/>
        </w:rPr>
        <w:t xml:space="preserve"> Ivan IV (‘Ivan the Terrible’) declared himself the ‘Tsar of all </w:t>
      </w:r>
      <w:proofErr w:type="spellStart"/>
      <w:r w:rsidRPr="00F81612">
        <w:rPr>
          <w:rFonts w:asciiTheme="majorBidi" w:hAnsiTheme="majorBidi" w:cstheme="majorBidi"/>
        </w:rPr>
        <w:t>Russias</w:t>
      </w:r>
      <w:proofErr w:type="spellEnd"/>
      <w:r w:rsidRPr="00F81612">
        <w:rPr>
          <w:rFonts w:asciiTheme="majorBidi" w:hAnsiTheme="majorBidi" w:cstheme="majorBidi"/>
        </w:rPr>
        <w:t>’ and consolidated his rule through destructively successful wars of expansion against the Kazan and Astrakhan Khanates.</w:t>
      </w:r>
      <w:r w:rsidRPr="00F81612">
        <w:rPr>
          <w:rFonts w:asciiTheme="majorBidi" w:hAnsiTheme="majorBidi" w:cstheme="majorBidi"/>
          <w:vertAlign w:val="superscript"/>
        </w:rPr>
        <w:footnoteReference w:id="148"/>
      </w:r>
      <w:r w:rsidRPr="00F81612">
        <w:rPr>
          <w:rFonts w:asciiTheme="majorBidi" w:hAnsiTheme="majorBidi" w:cstheme="majorBidi"/>
        </w:rPr>
        <w:t xml:space="preserve"> However, while the steppe remained  perilously, especially as the </w:t>
      </w:r>
      <w:r w:rsidR="006B760E">
        <w:rPr>
          <w:rFonts w:asciiTheme="majorBidi" w:hAnsiTheme="majorBidi" w:cstheme="majorBidi"/>
        </w:rPr>
        <w:t>surviving</w:t>
      </w:r>
      <w:r w:rsidRPr="00F81612">
        <w:rPr>
          <w:rFonts w:asciiTheme="majorBidi" w:hAnsiTheme="majorBidi" w:cstheme="majorBidi"/>
        </w:rPr>
        <w:t xml:space="preserve"> Crimean</w:t>
      </w:r>
      <w:r w:rsidR="006B760E">
        <w:rPr>
          <w:rFonts w:asciiTheme="majorBidi" w:hAnsiTheme="majorBidi" w:cstheme="majorBidi"/>
        </w:rPr>
        <w:t xml:space="preserve"> Khanate</w:t>
      </w:r>
      <w:r w:rsidRPr="00F81612">
        <w:rPr>
          <w:rFonts w:asciiTheme="majorBidi" w:hAnsiTheme="majorBidi" w:cstheme="majorBidi"/>
        </w:rPr>
        <w:t xml:space="preserve"> cultivated powerful alliances,</w:t>
      </w:r>
      <w:r w:rsidRPr="00F81612">
        <w:rPr>
          <w:rFonts w:asciiTheme="majorBidi" w:hAnsiTheme="majorBidi" w:cstheme="majorBidi"/>
          <w:vertAlign w:val="superscript"/>
        </w:rPr>
        <w:footnoteReference w:id="149"/>
      </w:r>
      <w:r w:rsidRPr="00F81612">
        <w:rPr>
          <w:rFonts w:asciiTheme="majorBidi" w:hAnsiTheme="majorBidi" w:cstheme="majorBidi"/>
        </w:rPr>
        <w:t xml:space="preserve"> Russia sought out another pattern of expansion into Siberia’s north</w:t>
      </w:r>
      <w:r w:rsidR="003F5055">
        <w:rPr>
          <w:rFonts w:asciiTheme="majorBidi" w:hAnsiTheme="majorBidi" w:cstheme="majorBidi"/>
        </w:rPr>
        <w:t>-eastern</w:t>
      </w:r>
      <w:r w:rsidRPr="00F81612">
        <w:rPr>
          <w:rFonts w:asciiTheme="majorBidi" w:hAnsiTheme="majorBidi" w:cstheme="majorBidi"/>
        </w:rPr>
        <w:t xml:space="preserve"> forests.</w:t>
      </w:r>
      <w:r w:rsidRPr="00F81612">
        <w:rPr>
          <w:rFonts w:asciiTheme="majorBidi" w:hAnsiTheme="majorBidi" w:cstheme="majorBidi"/>
          <w:vertAlign w:val="superscript"/>
        </w:rPr>
        <w:footnoteReference w:id="150"/>
      </w:r>
      <w:r w:rsidRPr="00F81612">
        <w:rPr>
          <w:rFonts w:asciiTheme="majorBidi" w:hAnsiTheme="majorBidi" w:cstheme="majorBidi"/>
        </w:rPr>
        <w:t xml:space="preserve"> Facing conflict with Muslim Turkic peoples and Finno-Ugric pagans,</w:t>
      </w:r>
      <w:r w:rsidRPr="00F81612">
        <w:rPr>
          <w:rFonts w:asciiTheme="majorBidi" w:hAnsiTheme="majorBidi" w:cstheme="majorBidi"/>
          <w:vertAlign w:val="superscript"/>
        </w:rPr>
        <w:footnoteReference w:id="151"/>
      </w:r>
      <w:r w:rsidRPr="00F81612">
        <w:rPr>
          <w:rFonts w:asciiTheme="majorBidi" w:hAnsiTheme="majorBidi" w:cstheme="majorBidi"/>
        </w:rPr>
        <w:t xml:space="preserve"> </w:t>
      </w:r>
      <w:r w:rsidRPr="00F81612">
        <w:rPr>
          <w:rFonts w:asciiTheme="majorBidi" w:hAnsiTheme="majorBidi" w:cstheme="majorBidi"/>
        </w:rPr>
        <w:lastRenderedPageBreak/>
        <w:t>Russia’s Siberian conquest was greatly enabled by the Cossacks, semi-nomadic horsemen that fused Slavic and Turkic steppe cultures.</w:t>
      </w:r>
      <w:r w:rsidRPr="00F81612">
        <w:rPr>
          <w:rFonts w:asciiTheme="majorBidi" w:hAnsiTheme="majorBidi" w:cstheme="majorBidi"/>
          <w:vertAlign w:val="superscript"/>
        </w:rPr>
        <w:footnoteReference w:id="152"/>
      </w:r>
      <w:r w:rsidRPr="00F81612">
        <w:rPr>
          <w:rFonts w:asciiTheme="majorBidi" w:hAnsiTheme="majorBidi" w:cstheme="majorBidi"/>
        </w:rPr>
        <w:t xml:space="preserve"> </w:t>
      </w:r>
    </w:p>
    <w:p w14:paraId="3BAB17E5" w14:textId="3524B914"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While highly effective, numerous Cossacks also served</w:t>
      </w:r>
      <w:r w:rsidR="003F5055">
        <w:rPr>
          <w:rFonts w:asciiTheme="majorBidi" w:hAnsiTheme="majorBidi" w:cstheme="majorBidi"/>
        </w:rPr>
        <w:t xml:space="preserve"> </w:t>
      </w:r>
      <w:r w:rsidRPr="00F81612">
        <w:rPr>
          <w:rFonts w:asciiTheme="majorBidi" w:hAnsiTheme="majorBidi" w:cstheme="majorBidi"/>
        </w:rPr>
        <w:t>the</w:t>
      </w:r>
      <w:r w:rsidR="003F5055">
        <w:rPr>
          <w:rFonts w:asciiTheme="majorBidi" w:hAnsiTheme="majorBidi" w:cstheme="majorBidi"/>
        </w:rPr>
        <w:t xml:space="preserve"> </w:t>
      </w:r>
      <w:r w:rsidRPr="00F81612">
        <w:rPr>
          <w:rFonts w:asciiTheme="majorBidi" w:hAnsiTheme="majorBidi" w:cstheme="majorBidi"/>
        </w:rPr>
        <w:t>Polish-Lithuanian Commonwealth,</w:t>
      </w:r>
      <w:r w:rsidRPr="00F81612">
        <w:rPr>
          <w:rFonts w:asciiTheme="majorBidi" w:hAnsiTheme="majorBidi" w:cstheme="majorBidi"/>
          <w:vertAlign w:val="superscript"/>
        </w:rPr>
        <w:footnoteReference w:id="153"/>
      </w:r>
      <w:r w:rsidRPr="00F81612">
        <w:rPr>
          <w:rFonts w:asciiTheme="majorBidi" w:hAnsiTheme="majorBidi" w:cstheme="majorBidi"/>
        </w:rPr>
        <w:t xml:space="preserve"> a power that, despite contentions, was open to allying  with Russia’s Crimean and Ottoman competitors.</w:t>
      </w:r>
      <w:r w:rsidRPr="00F81612">
        <w:rPr>
          <w:rFonts w:asciiTheme="majorBidi" w:hAnsiTheme="majorBidi" w:cstheme="majorBidi"/>
          <w:vertAlign w:val="superscript"/>
        </w:rPr>
        <w:footnoteReference w:id="154"/>
      </w:r>
      <w:r w:rsidRPr="00F81612">
        <w:rPr>
          <w:rFonts w:asciiTheme="majorBidi" w:hAnsiTheme="majorBidi" w:cstheme="majorBidi"/>
        </w:rPr>
        <w:t xml:space="preserve">  Sensing this risk, Ivan  turned his attention west and in 1558 launched the Livonian War that mobilised Polish-Lithuanian forces (including Cossacks) who decisively counterattacked Russia’s western frontier.</w:t>
      </w:r>
      <w:r w:rsidRPr="00F81612">
        <w:rPr>
          <w:rFonts w:asciiTheme="majorBidi" w:hAnsiTheme="majorBidi" w:cstheme="majorBidi"/>
          <w:vertAlign w:val="superscript"/>
        </w:rPr>
        <w:footnoteReference w:id="155"/>
      </w:r>
      <w:r w:rsidRPr="00F81612">
        <w:rPr>
          <w:rFonts w:asciiTheme="majorBidi" w:hAnsiTheme="majorBidi" w:cstheme="majorBidi"/>
        </w:rPr>
        <w:t xml:space="preserve">  With Ivan distracted,  Crimean  forces advanced northward and burned Moscow in 1571.</w:t>
      </w:r>
      <w:r w:rsidRPr="00F81612">
        <w:rPr>
          <w:rFonts w:asciiTheme="majorBidi" w:hAnsiTheme="majorBidi" w:cstheme="majorBidi"/>
          <w:vertAlign w:val="superscript"/>
        </w:rPr>
        <w:footnoteReference w:id="156"/>
      </w:r>
      <w:r w:rsidRPr="00F81612">
        <w:rPr>
          <w:rFonts w:asciiTheme="majorBidi" w:hAnsiTheme="majorBidi" w:cstheme="majorBidi"/>
        </w:rPr>
        <w:t xml:space="preserve"> Given these  challenges, how did Russia ever emerge from this space of clashing exogenous shadow empires between steppe and forest to emerge as the one great endogenous empire dominating this region through both of these geographic features? To contemplate an answer is to reimagine international legal history. </w:t>
      </w:r>
    </w:p>
    <w:p w14:paraId="2DC092D8" w14:textId="65E7BCD4"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 As Western/Central European Catholics and Protestants assembled in 1648 to end the devastating Thirty Years War and unwittingly provided an origin narrative of modern international law and order, Cossacks, from present day Ukraine, led by Bohdan Khmelnytsky, revolted against the Polish-Lithuanian Commonwealth they had served for generations and, in the process, massacred thousands of Poles and Jews.</w:t>
      </w:r>
      <w:r w:rsidRPr="00F81612">
        <w:rPr>
          <w:rFonts w:asciiTheme="majorBidi" w:hAnsiTheme="majorBidi" w:cstheme="majorBidi"/>
          <w:vertAlign w:val="superscript"/>
        </w:rPr>
        <w:footnoteReference w:id="157"/>
      </w:r>
      <w:r w:rsidRPr="00F81612">
        <w:rPr>
          <w:rFonts w:asciiTheme="majorBidi" w:hAnsiTheme="majorBidi" w:cstheme="majorBidi"/>
        </w:rPr>
        <w:t xml:space="preserve"> The origins of th</w:t>
      </w:r>
      <w:r w:rsidR="0044449A">
        <w:rPr>
          <w:rFonts w:asciiTheme="majorBidi" w:hAnsiTheme="majorBidi" w:cstheme="majorBidi"/>
        </w:rPr>
        <w:t>is</w:t>
      </w:r>
      <w:r w:rsidRPr="00F81612">
        <w:rPr>
          <w:rFonts w:asciiTheme="majorBidi" w:hAnsiTheme="majorBidi" w:cstheme="majorBidi"/>
        </w:rPr>
        <w:t xml:space="preserve"> conflict can</w:t>
      </w:r>
      <w:r w:rsidR="0044449A">
        <w:rPr>
          <w:rFonts w:asciiTheme="majorBidi" w:hAnsiTheme="majorBidi" w:cstheme="majorBidi"/>
        </w:rPr>
        <w:t xml:space="preserve"> arguably</w:t>
      </w:r>
      <w:r w:rsidRPr="00F81612">
        <w:rPr>
          <w:rFonts w:asciiTheme="majorBidi" w:hAnsiTheme="majorBidi" w:cstheme="majorBidi"/>
        </w:rPr>
        <w:t xml:space="preserve"> be located in the formation of the Polish-Lithuanian Commonwealth itself. Under the terms of the Lublin Union, much of what is now central Ukraine was transferred from Lithuania to a Poland who, via the Union of Brest, formally subjected the region’s Orthodox Christianity to the authority of Rome.</w:t>
      </w:r>
      <w:r w:rsidRPr="00F81612">
        <w:rPr>
          <w:rFonts w:asciiTheme="majorBidi" w:hAnsiTheme="majorBidi" w:cstheme="majorBidi"/>
          <w:vertAlign w:val="superscript"/>
        </w:rPr>
        <w:footnoteReference w:id="158"/>
      </w:r>
      <w:r w:rsidRPr="00F81612">
        <w:rPr>
          <w:rFonts w:asciiTheme="majorBidi" w:hAnsiTheme="majorBidi" w:cstheme="majorBidi"/>
        </w:rPr>
        <w:t xml:space="preserve"> Incensing the predominantly Orthodox Cossacks, this hierarchical non-inclusion of Orthodoxy as a recognised nation within the Commonwealth was a notable lapse in the inclusivity that defined the Polish-Lithuanian Union.</w:t>
      </w:r>
      <w:r w:rsidRPr="00F81612">
        <w:rPr>
          <w:rFonts w:asciiTheme="majorBidi" w:hAnsiTheme="majorBidi" w:cstheme="majorBidi"/>
          <w:vertAlign w:val="superscript"/>
        </w:rPr>
        <w:footnoteReference w:id="159"/>
      </w:r>
      <w:r w:rsidRPr="00F81612">
        <w:rPr>
          <w:rFonts w:asciiTheme="majorBidi" w:hAnsiTheme="majorBidi" w:cstheme="majorBidi"/>
        </w:rPr>
        <w:t xml:space="preserve"> As Timothy Snyder argues, this situation stood in stark contrast to the original Polish-Lithuanian alliance that novelly </w:t>
      </w:r>
      <w:r w:rsidRPr="00F81612">
        <w:rPr>
          <w:rFonts w:asciiTheme="majorBidi" w:hAnsiTheme="majorBidi" w:cstheme="majorBidi"/>
        </w:rPr>
        <w:lastRenderedPageBreak/>
        <w:t>opened new horizons of coexistence amongst markedly different cultures.</w:t>
      </w:r>
      <w:r w:rsidRPr="00F81612">
        <w:rPr>
          <w:rFonts w:asciiTheme="majorBidi" w:hAnsiTheme="majorBidi" w:cstheme="majorBidi"/>
          <w:vertAlign w:val="superscript"/>
        </w:rPr>
        <w:footnoteReference w:id="160"/>
      </w:r>
      <w:r w:rsidRPr="00F81612">
        <w:rPr>
          <w:rFonts w:asciiTheme="majorBidi" w:hAnsiTheme="majorBidi" w:cstheme="majorBidi"/>
        </w:rPr>
        <w:t xml:space="preserve"> With this devastating rift, Russia entered the fray by proclaiming itself protector of Cossack Orthodoxy and, in 1654, joined the Cossack war with the Commonwealth and their  Crimean allies.</w:t>
      </w:r>
      <w:r w:rsidRPr="00F81612">
        <w:rPr>
          <w:rFonts w:asciiTheme="majorBidi" w:hAnsiTheme="majorBidi" w:cstheme="majorBidi"/>
          <w:vertAlign w:val="superscript"/>
        </w:rPr>
        <w:footnoteReference w:id="161"/>
      </w:r>
      <w:r w:rsidRPr="00F81612">
        <w:rPr>
          <w:rFonts w:asciiTheme="majorBidi" w:hAnsiTheme="majorBidi" w:cstheme="majorBidi"/>
        </w:rPr>
        <w:t xml:space="preserve"> Settling this conflict via the 1667 Truce of </w:t>
      </w:r>
      <w:proofErr w:type="spellStart"/>
      <w:r w:rsidRPr="00F81612">
        <w:rPr>
          <w:rFonts w:asciiTheme="majorBidi" w:hAnsiTheme="majorBidi" w:cstheme="majorBidi"/>
        </w:rPr>
        <w:t>Andrusovo</w:t>
      </w:r>
      <w:proofErr w:type="spellEnd"/>
      <w:r w:rsidRPr="00F81612">
        <w:rPr>
          <w:rFonts w:asciiTheme="majorBidi" w:hAnsiTheme="majorBidi" w:cstheme="majorBidi"/>
        </w:rPr>
        <w:t>, in the absence of representation from the area’s inhabitants, the Commonwealth ceded Left-Bank Ukraine to Russia.</w:t>
      </w:r>
      <w:r w:rsidRPr="00F81612">
        <w:rPr>
          <w:rFonts w:asciiTheme="majorBidi" w:hAnsiTheme="majorBidi" w:cstheme="majorBidi"/>
          <w:vertAlign w:val="superscript"/>
        </w:rPr>
        <w:footnoteReference w:id="162"/>
      </w:r>
      <w:r w:rsidRPr="00F81612">
        <w:rPr>
          <w:rFonts w:asciiTheme="majorBidi" w:hAnsiTheme="majorBidi" w:cstheme="majorBidi"/>
        </w:rPr>
        <w:t xml:space="preserve"> </w:t>
      </w:r>
    </w:p>
    <w:p w14:paraId="4FCE3C76" w14:textId="4A26CCCA"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This event </w:t>
      </w:r>
      <w:r w:rsidR="0074748D" w:rsidRPr="00F81612">
        <w:rPr>
          <w:rFonts w:asciiTheme="majorBidi" w:hAnsiTheme="majorBidi" w:cstheme="majorBidi"/>
        </w:rPr>
        <w:t>proved immensely</w:t>
      </w:r>
      <w:r w:rsidRPr="00F81612">
        <w:rPr>
          <w:rFonts w:asciiTheme="majorBidi" w:hAnsiTheme="majorBidi" w:cstheme="majorBidi"/>
        </w:rPr>
        <w:t xml:space="preserve"> consequential for all involved. For the Commonwealth, this loss to Russia is often taken to be the beginning of its precipitous decline. From these circumstances came the widespread imagination of the Commonwealth as a declining archaic vestige </w:t>
      </w:r>
      <w:r w:rsidR="0074748D" w:rsidRPr="00F81612">
        <w:rPr>
          <w:rFonts w:asciiTheme="majorBidi" w:hAnsiTheme="majorBidi" w:cstheme="majorBidi"/>
        </w:rPr>
        <w:t>whose maintenance</w:t>
      </w:r>
      <w:r w:rsidRPr="00F81612">
        <w:rPr>
          <w:rFonts w:asciiTheme="majorBidi" w:hAnsiTheme="majorBidi" w:cstheme="majorBidi"/>
        </w:rPr>
        <w:t xml:space="preserve"> of its decentralised nobility was a dysfunctional relic in an era where developing an absolutist monarchy was often a presumed survival imperative.</w:t>
      </w:r>
      <w:r w:rsidRPr="00F81612">
        <w:rPr>
          <w:rFonts w:asciiTheme="majorBidi" w:hAnsiTheme="majorBidi" w:cstheme="majorBidi"/>
          <w:vertAlign w:val="superscript"/>
        </w:rPr>
        <w:footnoteReference w:id="163"/>
      </w:r>
      <w:r w:rsidRPr="00F81612">
        <w:rPr>
          <w:rFonts w:asciiTheme="majorBidi" w:hAnsiTheme="majorBidi" w:cstheme="majorBidi"/>
        </w:rPr>
        <w:t xml:space="preserve"> By contrast, Russia’s gains at </w:t>
      </w:r>
      <w:proofErr w:type="spellStart"/>
      <w:r w:rsidRPr="00F81612">
        <w:rPr>
          <w:rFonts w:asciiTheme="majorBidi" w:hAnsiTheme="majorBidi" w:cstheme="majorBidi"/>
        </w:rPr>
        <w:t>Andrusovo</w:t>
      </w:r>
      <w:proofErr w:type="spellEnd"/>
      <w:r w:rsidRPr="00F81612">
        <w:rPr>
          <w:rFonts w:asciiTheme="majorBidi" w:hAnsiTheme="majorBidi" w:cstheme="majorBidi"/>
        </w:rPr>
        <w:t xml:space="preserve"> are difficult to overstate regarding its expansionist trajectory. On the one hand, it received a new host of Cossack subjects who were already proving vital as agents of expansion, especially into Siberia.</w:t>
      </w:r>
      <w:r w:rsidRPr="00F81612">
        <w:rPr>
          <w:rFonts w:asciiTheme="majorBidi" w:hAnsiTheme="majorBidi" w:cstheme="majorBidi"/>
          <w:vertAlign w:val="superscript"/>
        </w:rPr>
        <w:footnoteReference w:id="164"/>
      </w:r>
      <w:r w:rsidRPr="00F81612">
        <w:rPr>
          <w:rFonts w:asciiTheme="majorBidi" w:hAnsiTheme="majorBidi" w:cstheme="majorBidi"/>
        </w:rPr>
        <w:t xml:space="preserve"> On the other hand, through acquiring Left-Bank Ukraine, Russia possessed a barrier that separated often-</w:t>
      </w:r>
      <w:r w:rsidR="0074748D" w:rsidRPr="00F81612">
        <w:rPr>
          <w:rFonts w:asciiTheme="majorBidi" w:hAnsiTheme="majorBidi" w:cstheme="majorBidi"/>
        </w:rPr>
        <w:t xml:space="preserve">allying </w:t>
      </w:r>
      <w:proofErr w:type="gramStart"/>
      <w:r w:rsidR="0074748D" w:rsidRPr="00F81612">
        <w:rPr>
          <w:rFonts w:asciiTheme="majorBidi" w:hAnsiTheme="majorBidi" w:cstheme="majorBidi"/>
        </w:rPr>
        <w:t>Polish</w:t>
      </w:r>
      <w:r w:rsidRPr="00F81612">
        <w:rPr>
          <w:rFonts w:asciiTheme="majorBidi" w:hAnsiTheme="majorBidi" w:cstheme="majorBidi"/>
        </w:rPr>
        <w:t>-Lithuanian</w:t>
      </w:r>
      <w:proofErr w:type="gramEnd"/>
      <w:r w:rsidRPr="00F81612">
        <w:rPr>
          <w:rFonts w:asciiTheme="majorBidi" w:hAnsiTheme="majorBidi" w:cstheme="majorBidi"/>
        </w:rPr>
        <w:t xml:space="preserve"> Commonwealth </w:t>
      </w:r>
      <w:r w:rsidR="0074748D" w:rsidRPr="00F81612">
        <w:rPr>
          <w:rFonts w:asciiTheme="majorBidi" w:hAnsiTheme="majorBidi" w:cstheme="majorBidi"/>
        </w:rPr>
        <w:t>and Crimean</w:t>
      </w:r>
      <w:r w:rsidRPr="00F81612">
        <w:rPr>
          <w:rFonts w:asciiTheme="majorBidi" w:hAnsiTheme="majorBidi" w:cstheme="majorBidi"/>
        </w:rPr>
        <w:t xml:space="preserve"> Khanate. As such, </w:t>
      </w:r>
      <w:r w:rsidR="0074748D" w:rsidRPr="00F81612">
        <w:rPr>
          <w:rFonts w:asciiTheme="majorBidi" w:hAnsiTheme="majorBidi" w:cstheme="majorBidi"/>
        </w:rPr>
        <w:t>Russia eliminated</w:t>
      </w:r>
      <w:r w:rsidRPr="00F81612">
        <w:rPr>
          <w:rFonts w:asciiTheme="majorBidi" w:hAnsiTheme="majorBidi" w:cstheme="majorBidi"/>
        </w:rPr>
        <w:t xml:space="preserve"> a key passageway in the Eurasian steppe that united its western and eastern enemies. Moreover</w:t>
      </w:r>
      <w:r w:rsidR="008607D2">
        <w:rPr>
          <w:rFonts w:asciiTheme="majorBidi" w:hAnsiTheme="majorBidi" w:cstheme="majorBidi"/>
        </w:rPr>
        <w:t>, in confronting these enemies separately</w:t>
      </w:r>
      <w:r w:rsidRPr="00F81612">
        <w:rPr>
          <w:rFonts w:asciiTheme="majorBidi" w:hAnsiTheme="majorBidi" w:cstheme="majorBidi"/>
        </w:rPr>
        <w:t>, Russia used prisoners from both polities as involuntary colonists in its Cossack-spearheaded conquest of Siberia – which it completed by the end of the seventeenth century.</w:t>
      </w:r>
      <w:r w:rsidRPr="00F81612">
        <w:rPr>
          <w:rFonts w:asciiTheme="majorBidi" w:hAnsiTheme="majorBidi" w:cstheme="majorBidi"/>
          <w:vertAlign w:val="superscript"/>
        </w:rPr>
        <w:footnoteReference w:id="165"/>
      </w:r>
      <w:r w:rsidRPr="00F81612">
        <w:rPr>
          <w:rFonts w:asciiTheme="majorBidi" w:hAnsiTheme="majorBidi" w:cstheme="majorBidi"/>
        </w:rPr>
        <w:t xml:space="preserve"> Thus, as the eighteenth century dawned, in manner highly consequential for international l</w:t>
      </w:r>
      <w:r w:rsidR="008F1783">
        <w:rPr>
          <w:rFonts w:asciiTheme="majorBidi" w:hAnsiTheme="majorBidi" w:cstheme="majorBidi"/>
        </w:rPr>
        <w:t>egal development</w:t>
      </w:r>
      <w:r w:rsidRPr="00F81612">
        <w:rPr>
          <w:rFonts w:asciiTheme="majorBidi" w:hAnsiTheme="majorBidi" w:cstheme="majorBidi"/>
        </w:rPr>
        <w:t xml:space="preserve">, Russia was the great force poised to dominate the forest and the steppe to its east and present itself as a system-defining great power to its west. </w:t>
      </w:r>
    </w:p>
    <w:p w14:paraId="35F26C76" w14:textId="77777777" w:rsidR="00F81612" w:rsidRPr="00F81612" w:rsidRDefault="00F81612" w:rsidP="00F81612">
      <w:pPr>
        <w:spacing w:line="360" w:lineRule="auto"/>
        <w:jc w:val="both"/>
        <w:rPr>
          <w:rFonts w:asciiTheme="majorBidi" w:hAnsiTheme="majorBidi" w:cstheme="majorBidi"/>
        </w:rPr>
      </w:pPr>
    </w:p>
    <w:p w14:paraId="3037AC6E" w14:textId="6E1F8C39" w:rsidR="00F81612" w:rsidRPr="00F81612" w:rsidRDefault="00F81612" w:rsidP="00F81612">
      <w:pPr>
        <w:pStyle w:val="ListParagraph"/>
        <w:numPr>
          <w:ilvl w:val="0"/>
          <w:numId w:val="2"/>
        </w:numPr>
        <w:spacing w:line="360" w:lineRule="auto"/>
        <w:jc w:val="both"/>
        <w:rPr>
          <w:rFonts w:asciiTheme="majorBidi" w:hAnsiTheme="majorBidi" w:cstheme="majorBidi"/>
          <w:b/>
          <w:bCs/>
        </w:rPr>
      </w:pPr>
      <w:r w:rsidRPr="00F81612">
        <w:rPr>
          <w:rFonts w:asciiTheme="majorBidi" w:hAnsiTheme="majorBidi" w:cstheme="majorBidi"/>
          <w:b/>
          <w:bCs/>
        </w:rPr>
        <w:t xml:space="preserve"> Russian Integration</w:t>
      </w:r>
      <w:r w:rsidR="009D73E3">
        <w:rPr>
          <w:rFonts w:asciiTheme="majorBidi" w:hAnsiTheme="majorBidi" w:cstheme="majorBidi"/>
          <w:b/>
          <w:bCs/>
        </w:rPr>
        <w:t>,</w:t>
      </w:r>
      <w:r w:rsidRPr="00F81612">
        <w:rPr>
          <w:rFonts w:asciiTheme="majorBidi" w:hAnsiTheme="majorBidi" w:cstheme="majorBidi"/>
          <w:b/>
          <w:bCs/>
        </w:rPr>
        <w:t xml:space="preserve"> Global Transformation  </w:t>
      </w:r>
    </w:p>
    <w:p w14:paraId="62DECF53" w14:textId="4FFB0529"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 xml:space="preserve">In 1721, the year Tsar Peter the Great formally declared Russia an empire, Baron Peter Pavlovich Shafirov published the first Russian treatise on international law in the form of </w:t>
      </w:r>
      <w:r w:rsidRPr="00F81612">
        <w:rPr>
          <w:rFonts w:asciiTheme="majorBidi" w:hAnsiTheme="majorBidi" w:cstheme="majorBidi"/>
          <w:i/>
          <w:iCs/>
        </w:rPr>
        <w:t>A Discourse Concerning the Just Causes of the War between Sweden and Russia</w:t>
      </w:r>
      <w:r w:rsidRPr="00F81612">
        <w:rPr>
          <w:rFonts w:asciiTheme="majorBidi" w:hAnsiTheme="majorBidi" w:cstheme="majorBidi"/>
        </w:rPr>
        <w:t>. According to his account, “…the proceedings on the part of his Czarist Majesty during the whole War were suitable to all Christian Moderation and Clemency, and for the greater part according to the Customs and Maxims of all civilised and Christian Nations.”</w:t>
      </w:r>
      <w:r w:rsidRPr="00F81612">
        <w:rPr>
          <w:rFonts w:asciiTheme="majorBidi" w:hAnsiTheme="majorBidi" w:cstheme="majorBidi"/>
          <w:vertAlign w:val="superscript"/>
        </w:rPr>
        <w:footnoteReference w:id="166"/>
      </w:r>
      <w:r w:rsidRPr="00F81612">
        <w:rPr>
          <w:rFonts w:asciiTheme="majorBidi" w:hAnsiTheme="majorBidi" w:cstheme="majorBidi"/>
        </w:rPr>
        <w:t xml:space="preserve"> “On the contrary…on the Swedish side the…War was, from the beginning till this present time, carried on, not at all in the manner used among civilised Nations, but rather with inhuman Cruelty and bitter Animosity against his Czarist Majesty.”</w:t>
      </w:r>
      <w:r w:rsidRPr="00F81612">
        <w:rPr>
          <w:rFonts w:asciiTheme="majorBidi" w:hAnsiTheme="majorBidi" w:cstheme="majorBidi"/>
          <w:vertAlign w:val="superscript"/>
        </w:rPr>
        <w:footnoteReference w:id="167"/>
      </w:r>
      <w:r w:rsidRPr="00F81612">
        <w:rPr>
          <w:rFonts w:asciiTheme="majorBidi" w:hAnsiTheme="majorBidi" w:cstheme="majorBidi"/>
        </w:rPr>
        <w:t xml:space="preserve"> To provide just one illustration of Swedish improprieties, </w:t>
      </w:r>
      <w:proofErr w:type="spellStart"/>
      <w:r w:rsidRPr="00F81612">
        <w:rPr>
          <w:rFonts w:asciiTheme="majorBidi" w:hAnsiTheme="majorBidi" w:cstheme="majorBidi"/>
        </w:rPr>
        <w:t>Shafirov</w:t>
      </w:r>
      <w:proofErr w:type="spellEnd"/>
      <w:r w:rsidRPr="00F81612">
        <w:rPr>
          <w:rFonts w:asciiTheme="majorBidi" w:hAnsiTheme="majorBidi" w:cstheme="majorBidi"/>
        </w:rPr>
        <w:t xml:space="preserve"> stated that “…the King of Sweden caused some hundreds of Cossacks his Czarist Majesty’s Subjects, who had been taken Prisoners, inhumanly to be beaten to Death, not with military Arms, but with Sticks and Clubs.”</w:t>
      </w:r>
      <w:r w:rsidRPr="00F81612">
        <w:rPr>
          <w:rFonts w:asciiTheme="majorBidi" w:hAnsiTheme="majorBidi" w:cstheme="majorBidi"/>
          <w:vertAlign w:val="superscript"/>
        </w:rPr>
        <w:footnoteReference w:id="168"/>
      </w:r>
      <w:r w:rsidRPr="00F81612">
        <w:rPr>
          <w:rFonts w:asciiTheme="majorBidi" w:hAnsiTheme="majorBidi" w:cstheme="majorBidi"/>
        </w:rPr>
        <w:t xml:space="preserve"> While much could be said about Shafirov’s text, notably, it was not a ‘war manifesto’ justifying a resort to force,</w:t>
      </w:r>
      <w:r w:rsidRPr="00F81612">
        <w:rPr>
          <w:rFonts w:asciiTheme="majorBidi" w:hAnsiTheme="majorBidi" w:cstheme="majorBidi"/>
          <w:vertAlign w:val="superscript"/>
        </w:rPr>
        <w:footnoteReference w:id="169"/>
      </w:r>
      <w:r w:rsidRPr="00F81612">
        <w:rPr>
          <w:rFonts w:asciiTheme="majorBidi" w:hAnsiTheme="majorBidi" w:cstheme="majorBidi"/>
        </w:rPr>
        <w:t xml:space="preserve"> but a post-war retrospective set against the beginning of Russia’s domination of the Baltic region after the Great Northern War that began in 1700.</w:t>
      </w:r>
      <w:r w:rsidRPr="00F81612">
        <w:rPr>
          <w:rFonts w:asciiTheme="majorBidi" w:hAnsiTheme="majorBidi" w:cstheme="majorBidi"/>
          <w:vertAlign w:val="superscript"/>
        </w:rPr>
        <w:footnoteReference w:id="170"/>
      </w:r>
      <w:r w:rsidRPr="00F81612">
        <w:rPr>
          <w:rFonts w:asciiTheme="majorBidi" w:hAnsiTheme="majorBidi" w:cstheme="majorBidi"/>
        </w:rPr>
        <w:t xml:space="preserve">  A question worth imploring is why Russia’s elite felt compelled to speak in the language of international law in relation to a war with Sweden</w:t>
      </w:r>
      <w:r w:rsidR="00C07848">
        <w:rPr>
          <w:rFonts w:asciiTheme="majorBidi" w:hAnsiTheme="majorBidi" w:cstheme="majorBidi"/>
        </w:rPr>
        <w:t>, something</w:t>
      </w:r>
      <w:r w:rsidRPr="00F81612">
        <w:rPr>
          <w:rFonts w:asciiTheme="majorBidi" w:hAnsiTheme="majorBidi" w:cstheme="majorBidi"/>
        </w:rPr>
        <w:t xml:space="preserve"> absent in its many wars against Tatars, Finno-</w:t>
      </w:r>
      <w:proofErr w:type="spellStart"/>
      <w:r w:rsidRPr="00F81612">
        <w:rPr>
          <w:rFonts w:asciiTheme="majorBidi" w:hAnsiTheme="majorBidi" w:cstheme="majorBidi"/>
        </w:rPr>
        <w:t>Ugrics</w:t>
      </w:r>
      <w:proofErr w:type="spellEnd"/>
      <w:r w:rsidRPr="00F81612">
        <w:rPr>
          <w:rFonts w:asciiTheme="majorBidi" w:hAnsiTheme="majorBidi" w:cstheme="majorBidi"/>
        </w:rPr>
        <w:t xml:space="preserve">, Siberians, and the Polish-Lithuanian Commonwealth. </w:t>
      </w:r>
    </w:p>
    <w:p w14:paraId="18C49B6A" w14:textId="0C1E30E2" w:rsidR="00F81612" w:rsidRPr="00F81612" w:rsidRDefault="00C07848" w:rsidP="00F81612">
      <w:pPr>
        <w:spacing w:line="360" w:lineRule="auto"/>
        <w:jc w:val="both"/>
        <w:rPr>
          <w:rFonts w:asciiTheme="majorBidi" w:hAnsiTheme="majorBidi" w:cstheme="majorBidi"/>
        </w:rPr>
      </w:pPr>
      <w:r>
        <w:rPr>
          <w:rFonts w:asciiTheme="majorBidi" w:hAnsiTheme="majorBidi" w:cstheme="majorBidi"/>
        </w:rPr>
        <w:t>Here i</w:t>
      </w:r>
      <w:r w:rsidR="00F81612" w:rsidRPr="00F81612">
        <w:rPr>
          <w:rFonts w:asciiTheme="majorBidi" w:hAnsiTheme="majorBidi" w:cstheme="majorBidi"/>
        </w:rPr>
        <w:t xml:space="preserve">t is highly relevant that 1721 was the year Barfield identified as marking Russia’s shift from an exogenous empire haphazardly </w:t>
      </w:r>
      <w:r w:rsidR="00741A4C" w:rsidRPr="00F81612">
        <w:rPr>
          <w:rFonts w:asciiTheme="majorBidi" w:hAnsiTheme="majorBidi" w:cstheme="majorBidi"/>
        </w:rPr>
        <w:t>formed in</w:t>
      </w:r>
      <w:r w:rsidR="00F81612" w:rsidRPr="00F81612">
        <w:rPr>
          <w:rFonts w:asciiTheme="majorBidi" w:hAnsiTheme="majorBidi" w:cstheme="majorBidi"/>
        </w:rPr>
        <w:t xml:space="preserve"> the shadow of other empires to an endogenous empire consciously defined by the centralisation of its authority.</w:t>
      </w:r>
      <w:r w:rsidR="00F81612" w:rsidRPr="00F81612">
        <w:rPr>
          <w:rFonts w:asciiTheme="majorBidi" w:hAnsiTheme="majorBidi" w:cstheme="majorBidi"/>
          <w:vertAlign w:val="superscript"/>
        </w:rPr>
        <w:footnoteReference w:id="171"/>
      </w:r>
      <w:r w:rsidR="00F81612" w:rsidRPr="00F81612">
        <w:rPr>
          <w:rFonts w:asciiTheme="majorBidi" w:hAnsiTheme="majorBidi" w:cstheme="majorBidi"/>
        </w:rPr>
        <w:t xml:space="preserve"> In the eastward direction of the steppe, this endogenous turn expressed itself through a consolidated transformation of sporadically conquered lands. Thus, “[w]hat began as a military response to fend off nomad attacks evolved into a colonial economic development program designed to replace nomads and their pastoral economy with immigrant farmers whose grain surpluses could feed Russia’s growing population.”</w:t>
      </w:r>
      <w:r w:rsidR="00F81612" w:rsidRPr="00F81612">
        <w:rPr>
          <w:rFonts w:asciiTheme="majorBidi" w:hAnsiTheme="majorBidi" w:cstheme="majorBidi"/>
          <w:vertAlign w:val="superscript"/>
        </w:rPr>
        <w:footnoteReference w:id="172"/>
      </w:r>
      <w:r w:rsidR="00F81612" w:rsidRPr="00F81612">
        <w:rPr>
          <w:rFonts w:asciiTheme="majorBidi" w:hAnsiTheme="majorBidi" w:cstheme="majorBidi"/>
        </w:rPr>
        <w:t xml:space="preserve"> Yet in the westward direction, in contrast to wars </w:t>
      </w:r>
      <w:r w:rsidR="00F81612" w:rsidRPr="00F81612">
        <w:rPr>
          <w:rFonts w:asciiTheme="majorBidi" w:hAnsiTheme="majorBidi" w:cstheme="majorBidi"/>
        </w:rPr>
        <w:lastRenderedPageBreak/>
        <w:t>against the decentralised Polish-Lithuanian Commonwealth, conflict with Sweden placed Russia in direct competition with a</w:t>
      </w:r>
      <w:r w:rsidR="00D37029">
        <w:rPr>
          <w:rFonts w:asciiTheme="majorBidi" w:hAnsiTheme="majorBidi" w:cstheme="majorBidi"/>
        </w:rPr>
        <w:t xml:space="preserve"> </w:t>
      </w:r>
      <w:r w:rsidR="00F81612" w:rsidRPr="00F81612">
        <w:rPr>
          <w:rFonts w:asciiTheme="majorBidi" w:hAnsiTheme="majorBidi" w:cstheme="majorBidi"/>
        </w:rPr>
        <w:t>Western European great power possessing the military/organisational benefits of a centralised absolutist monarchy.</w:t>
      </w:r>
      <w:r w:rsidR="00F81612" w:rsidRPr="00F81612">
        <w:rPr>
          <w:rFonts w:asciiTheme="majorBidi" w:hAnsiTheme="majorBidi" w:cstheme="majorBidi"/>
          <w:vertAlign w:val="superscript"/>
        </w:rPr>
        <w:footnoteReference w:id="173"/>
      </w:r>
      <w:r w:rsidR="00F81612" w:rsidRPr="00F81612">
        <w:rPr>
          <w:rFonts w:asciiTheme="majorBidi" w:hAnsiTheme="majorBidi" w:cstheme="majorBidi"/>
        </w:rPr>
        <w:t xml:space="preserve"> With Russia’s Tsar Peter acutely aware of Russia’s perceived backwardness</w:t>
      </w:r>
      <w:r w:rsidR="00C16C2C">
        <w:rPr>
          <w:rFonts w:asciiTheme="majorBidi" w:hAnsiTheme="majorBidi" w:cstheme="majorBidi"/>
        </w:rPr>
        <w:t>,</w:t>
      </w:r>
      <w:r w:rsidR="00F81612" w:rsidRPr="00F81612">
        <w:rPr>
          <w:rFonts w:asciiTheme="majorBidi" w:hAnsiTheme="majorBidi" w:cstheme="majorBidi"/>
        </w:rPr>
        <w:t xml:space="preserve"> </w:t>
      </w:r>
      <w:r w:rsidR="00C16C2C">
        <w:rPr>
          <w:rFonts w:asciiTheme="majorBidi" w:hAnsiTheme="majorBidi" w:cstheme="majorBidi"/>
        </w:rPr>
        <w:t>leading up</w:t>
      </w:r>
      <w:r w:rsidR="00F81612" w:rsidRPr="00F81612">
        <w:rPr>
          <w:rFonts w:asciiTheme="majorBidi" w:hAnsiTheme="majorBidi" w:cstheme="majorBidi"/>
        </w:rPr>
        <w:t xml:space="preserve"> to</w:t>
      </w:r>
      <w:r w:rsidR="00C16C2C">
        <w:rPr>
          <w:rFonts w:asciiTheme="majorBidi" w:hAnsiTheme="majorBidi" w:cstheme="majorBidi"/>
        </w:rPr>
        <w:t xml:space="preserve"> the 1721 victory</w:t>
      </w:r>
      <w:r w:rsidR="00F81612" w:rsidRPr="00F81612">
        <w:rPr>
          <w:rFonts w:asciiTheme="majorBidi" w:hAnsiTheme="majorBidi" w:cstheme="majorBidi"/>
        </w:rPr>
        <w:t>, military competition was coupled with increased commerce and dynastic marriage with Europe’s aristocracy.</w:t>
      </w:r>
      <w:r w:rsidR="00F81612" w:rsidRPr="00F81612">
        <w:rPr>
          <w:rFonts w:asciiTheme="majorBidi" w:hAnsiTheme="majorBidi" w:cstheme="majorBidi"/>
          <w:vertAlign w:val="superscript"/>
        </w:rPr>
        <w:footnoteReference w:id="174"/>
      </w:r>
      <w:r w:rsidR="00F81612" w:rsidRPr="00F81612">
        <w:rPr>
          <w:rFonts w:asciiTheme="majorBidi" w:hAnsiTheme="majorBidi" w:cstheme="majorBidi"/>
        </w:rPr>
        <w:t xml:space="preserve"> Thus, in addition to conceptual efforts such as Shafirov’s, Russia</w:t>
      </w:r>
      <w:r w:rsidR="00854E6F">
        <w:rPr>
          <w:rFonts w:asciiTheme="majorBidi" w:hAnsiTheme="majorBidi" w:cstheme="majorBidi"/>
        </w:rPr>
        <w:t>’s</w:t>
      </w:r>
      <w:r w:rsidR="00F81612" w:rsidRPr="00F81612">
        <w:rPr>
          <w:rFonts w:asciiTheme="majorBidi" w:hAnsiTheme="majorBidi" w:cstheme="majorBidi"/>
        </w:rPr>
        <w:t xml:space="preserve"> European integration</w:t>
      </w:r>
      <w:r w:rsidR="00854E6F">
        <w:rPr>
          <w:rFonts w:asciiTheme="majorBidi" w:hAnsiTheme="majorBidi" w:cstheme="majorBidi"/>
        </w:rPr>
        <w:t xml:space="preserve"> </w:t>
      </w:r>
      <w:r w:rsidR="00F81612" w:rsidRPr="00F81612">
        <w:rPr>
          <w:rFonts w:asciiTheme="majorBidi" w:hAnsiTheme="majorBidi" w:cstheme="majorBidi"/>
        </w:rPr>
        <w:t>provided</w:t>
      </w:r>
      <w:r w:rsidR="00854E6F">
        <w:rPr>
          <w:rFonts w:asciiTheme="majorBidi" w:hAnsiTheme="majorBidi" w:cstheme="majorBidi"/>
        </w:rPr>
        <w:t xml:space="preserve"> </w:t>
      </w:r>
      <w:r w:rsidR="00F81612" w:rsidRPr="00F81612">
        <w:rPr>
          <w:rFonts w:asciiTheme="majorBidi" w:hAnsiTheme="majorBidi" w:cstheme="majorBidi"/>
        </w:rPr>
        <w:t>access to diplomatic mechanisms that sustained international l</w:t>
      </w:r>
      <w:r w:rsidR="000D1A29">
        <w:rPr>
          <w:rFonts w:asciiTheme="majorBidi" w:hAnsiTheme="majorBidi" w:cstheme="majorBidi"/>
        </w:rPr>
        <w:t>egal</w:t>
      </w:r>
      <w:r w:rsidR="00F81612" w:rsidRPr="00F81612">
        <w:rPr>
          <w:rFonts w:asciiTheme="majorBidi" w:hAnsiTheme="majorBidi" w:cstheme="majorBidi"/>
        </w:rPr>
        <w:t xml:space="preserve"> order on a practical level.</w:t>
      </w:r>
      <w:r w:rsidR="00F81612" w:rsidRPr="00F81612">
        <w:rPr>
          <w:rFonts w:asciiTheme="majorBidi" w:hAnsiTheme="majorBidi" w:cstheme="majorBidi"/>
          <w:vertAlign w:val="superscript"/>
        </w:rPr>
        <w:footnoteReference w:id="175"/>
      </w:r>
      <w:r w:rsidR="00F81612" w:rsidRPr="00F81612">
        <w:rPr>
          <w:rFonts w:asciiTheme="majorBidi" w:hAnsiTheme="majorBidi" w:cstheme="majorBidi"/>
        </w:rPr>
        <w:t xml:space="preserve"> Demonstrating great commitment </w:t>
      </w:r>
      <w:r w:rsidR="00C5501D">
        <w:rPr>
          <w:rFonts w:asciiTheme="majorBidi" w:hAnsiTheme="majorBidi" w:cstheme="majorBidi"/>
        </w:rPr>
        <w:t>to this process</w:t>
      </w:r>
      <w:r w:rsidR="00F81612" w:rsidRPr="00F81612">
        <w:rPr>
          <w:rFonts w:asciiTheme="majorBidi" w:hAnsiTheme="majorBidi" w:cstheme="majorBidi"/>
        </w:rPr>
        <w:t>, Tsar Peter’s moved Russia’s capital from Moscow, the venerated ‘Third Rome’, to St Petersburg on the Baltic in 1711.</w:t>
      </w:r>
      <w:r w:rsidR="00F81612" w:rsidRPr="00F81612">
        <w:rPr>
          <w:rFonts w:asciiTheme="majorBidi" w:hAnsiTheme="majorBidi" w:cstheme="majorBidi"/>
          <w:vertAlign w:val="superscript"/>
        </w:rPr>
        <w:footnoteReference w:id="176"/>
      </w:r>
      <w:r w:rsidR="00F81612" w:rsidRPr="00F81612">
        <w:rPr>
          <w:rFonts w:asciiTheme="majorBidi" w:hAnsiTheme="majorBidi" w:cstheme="majorBidi"/>
        </w:rPr>
        <w:t xml:space="preserve"> </w:t>
      </w:r>
    </w:p>
    <w:p w14:paraId="498AF970" w14:textId="60814142" w:rsidR="00F81612" w:rsidRPr="00F81612" w:rsidRDefault="00C5501D" w:rsidP="00F81612">
      <w:pPr>
        <w:spacing w:line="360" w:lineRule="auto"/>
        <w:jc w:val="both"/>
        <w:rPr>
          <w:rFonts w:asciiTheme="majorBidi" w:hAnsiTheme="majorBidi" w:cstheme="majorBidi"/>
        </w:rPr>
      </w:pPr>
      <w:r>
        <w:rPr>
          <w:rFonts w:asciiTheme="majorBidi" w:hAnsiTheme="majorBidi" w:cstheme="majorBidi"/>
        </w:rPr>
        <w:t>T</w:t>
      </w:r>
      <w:r w:rsidR="00F81612" w:rsidRPr="00F81612">
        <w:rPr>
          <w:rFonts w:asciiTheme="majorBidi" w:hAnsiTheme="majorBidi" w:cstheme="majorBidi"/>
        </w:rPr>
        <w:t xml:space="preserve">his newfound Russian engagement with Western Europe vastly </w:t>
      </w:r>
      <w:r w:rsidR="00741A4C" w:rsidRPr="00F81612">
        <w:rPr>
          <w:rFonts w:asciiTheme="majorBidi" w:hAnsiTheme="majorBidi" w:cstheme="majorBidi"/>
        </w:rPr>
        <w:t>increased interconnection</w:t>
      </w:r>
      <w:r w:rsidR="00F81612" w:rsidRPr="00F81612">
        <w:rPr>
          <w:rFonts w:asciiTheme="majorBidi" w:hAnsiTheme="majorBidi" w:cstheme="majorBidi"/>
        </w:rPr>
        <w:t xml:space="preserve"> between maritime</w:t>
      </w:r>
      <w:r w:rsidR="00153795">
        <w:rPr>
          <w:rFonts w:asciiTheme="majorBidi" w:hAnsiTheme="majorBidi" w:cstheme="majorBidi"/>
        </w:rPr>
        <w:t xml:space="preserve"> </w:t>
      </w:r>
      <w:r w:rsidR="00F81612" w:rsidRPr="00F81612">
        <w:rPr>
          <w:rFonts w:asciiTheme="majorBidi" w:hAnsiTheme="majorBidi" w:cstheme="majorBidi"/>
        </w:rPr>
        <w:t>and</w:t>
      </w:r>
      <w:r w:rsidR="00153795">
        <w:rPr>
          <w:rFonts w:asciiTheme="majorBidi" w:hAnsiTheme="majorBidi" w:cstheme="majorBidi"/>
        </w:rPr>
        <w:t xml:space="preserve"> </w:t>
      </w:r>
      <w:r w:rsidR="00F81612" w:rsidRPr="00F81612">
        <w:rPr>
          <w:rFonts w:asciiTheme="majorBidi" w:hAnsiTheme="majorBidi" w:cstheme="majorBidi"/>
        </w:rPr>
        <w:t>land-based imperialism. Importantly,</w:t>
      </w:r>
      <w:r w:rsidR="00153795">
        <w:rPr>
          <w:rFonts w:asciiTheme="majorBidi" w:hAnsiTheme="majorBidi" w:cstheme="majorBidi"/>
        </w:rPr>
        <w:t xml:space="preserve"> </w:t>
      </w:r>
      <w:r w:rsidR="00F81612" w:rsidRPr="00F81612">
        <w:rPr>
          <w:rFonts w:asciiTheme="majorBidi" w:hAnsiTheme="majorBidi" w:cstheme="majorBidi"/>
        </w:rPr>
        <w:t>Western Europe’s maritime colonisation – which in the early-eighteenth century was largely extracted through private colonisation companies – was ultimately dependent on access to natural resources essential to shipbuilding.</w:t>
      </w:r>
      <w:r w:rsidR="00F81612" w:rsidRPr="00F81612">
        <w:rPr>
          <w:rFonts w:asciiTheme="majorBidi" w:hAnsiTheme="majorBidi" w:cstheme="majorBidi"/>
          <w:vertAlign w:val="superscript"/>
        </w:rPr>
        <w:footnoteReference w:id="177"/>
      </w:r>
      <w:r w:rsidR="00F81612" w:rsidRPr="00F81612">
        <w:rPr>
          <w:rFonts w:asciiTheme="majorBidi" w:hAnsiTheme="majorBidi" w:cstheme="majorBidi"/>
        </w:rPr>
        <w:t xml:space="preserve"> Of particular necessity were the tall old growth pines</w:t>
      </w:r>
      <w:r w:rsidR="00C377F1">
        <w:rPr>
          <w:rFonts w:asciiTheme="majorBidi" w:hAnsiTheme="majorBidi" w:cstheme="majorBidi"/>
        </w:rPr>
        <w:t xml:space="preserve"> </w:t>
      </w:r>
      <w:r w:rsidR="00F81612" w:rsidRPr="00F81612">
        <w:rPr>
          <w:rFonts w:asciiTheme="majorBidi" w:hAnsiTheme="majorBidi" w:cstheme="majorBidi"/>
        </w:rPr>
        <w:t>ideal for mast construction as well as the pine tar required for waterproofing ships’ hulls.</w:t>
      </w:r>
      <w:r w:rsidR="00F81612" w:rsidRPr="00F81612">
        <w:rPr>
          <w:rFonts w:asciiTheme="majorBidi" w:hAnsiTheme="majorBidi" w:cstheme="majorBidi"/>
          <w:vertAlign w:val="superscript"/>
        </w:rPr>
        <w:footnoteReference w:id="178"/>
      </w:r>
      <w:r w:rsidR="00F81612" w:rsidRPr="00F81612">
        <w:rPr>
          <w:rFonts w:asciiTheme="majorBidi" w:hAnsiTheme="majorBidi" w:cstheme="majorBidi"/>
        </w:rPr>
        <w:t xml:space="preserve"> Russia’s vast forests thus proved vital in  supplying the pines needed to sustain European seafaring and direct Russian involvement increased as Russia became the predominant controller of Baltic ports that linked </w:t>
      </w:r>
      <w:r w:rsidR="001F505D">
        <w:rPr>
          <w:rFonts w:asciiTheme="majorBidi" w:hAnsiTheme="majorBidi" w:cstheme="majorBidi"/>
        </w:rPr>
        <w:t>the</w:t>
      </w:r>
      <w:r w:rsidR="00F81612" w:rsidRPr="00F81612">
        <w:rPr>
          <w:rFonts w:asciiTheme="majorBidi" w:hAnsiTheme="majorBidi" w:cstheme="majorBidi"/>
        </w:rPr>
        <w:t xml:space="preserve"> river networks</w:t>
      </w:r>
      <w:r w:rsidR="00191149">
        <w:rPr>
          <w:rFonts w:asciiTheme="majorBidi" w:hAnsiTheme="majorBidi" w:cstheme="majorBidi"/>
        </w:rPr>
        <w:t xml:space="preserve"> that provided forests access</w:t>
      </w:r>
      <w:r w:rsidR="00F81612" w:rsidRPr="00F81612">
        <w:rPr>
          <w:rFonts w:asciiTheme="majorBidi" w:hAnsiTheme="majorBidi" w:cstheme="majorBidi"/>
        </w:rPr>
        <w:t>.</w:t>
      </w:r>
      <w:r w:rsidR="00F81612" w:rsidRPr="00F81612">
        <w:rPr>
          <w:rFonts w:asciiTheme="majorBidi" w:hAnsiTheme="majorBidi" w:cstheme="majorBidi"/>
          <w:vertAlign w:val="superscript"/>
        </w:rPr>
        <w:footnoteReference w:id="179"/>
      </w:r>
      <w:r w:rsidR="00F81612" w:rsidRPr="00F81612">
        <w:rPr>
          <w:rFonts w:asciiTheme="majorBidi" w:hAnsiTheme="majorBidi" w:cstheme="majorBidi"/>
        </w:rPr>
        <w:t xml:space="preserve"> </w:t>
      </w:r>
      <w:r w:rsidR="00001EB9">
        <w:rPr>
          <w:rFonts w:asciiTheme="majorBidi" w:hAnsiTheme="majorBidi" w:cstheme="majorBidi"/>
        </w:rPr>
        <w:t>T</w:t>
      </w:r>
      <w:r w:rsidR="00F81612" w:rsidRPr="00F81612">
        <w:rPr>
          <w:rFonts w:asciiTheme="majorBidi" w:hAnsiTheme="majorBidi" w:cstheme="majorBidi"/>
        </w:rPr>
        <w:t>he ability of Western Europe’s seafaring nations to continuously acquire wealth through maritime commerce</w:t>
      </w:r>
      <w:r w:rsidR="00C91A24">
        <w:rPr>
          <w:rFonts w:asciiTheme="majorBidi" w:hAnsiTheme="majorBidi" w:cstheme="majorBidi"/>
        </w:rPr>
        <w:t>/</w:t>
      </w:r>
      <w:r w:rsidR="00F81612" w:rsidRPr="00F81612">
        <w:rPr>
          <w:rFonts w:asciiTheme="majorBidi" w:hAnsiTheme="majorBidi" w:cstheme="majorBidi"/>
        </w:rPr>
        <w:t>colonisation</w:t>
      </w:r>
      <w:r w:rsidR="00C377F1">
        <w:rPr>
          <w:rFonts w:asciiTheme="majorBidi" w:hAnsiTheme="majorBidi" w:cstheme="majorBidi"/>
        </w:rPr>
        <w:t xml:space="preserve"> thus</w:t>
      </w:r>
      <w:r w:rsidR="00F81612" w:rsidRPr="00F81612">
        <w:rPr>
          <w:rFonts w:asciiTheme="majorBidi" w:hAnsiTheme="majorBidi" w:cstheme="majorBidi"/>
        </w:rPr>
        <w:t xml:space="preserve"> </w:t>
      </w:r>
      <w:r w:rsidR="00F81612" w:rsidRPr="00F81612">
        <w:rPr>
          <w:rFonts w:asciiTheme="majorBidi" w:hAnsiTheme="majorBidi" w:cstheme="majorBidi"/>
        </w:rPr>
        <w:lastRenderedPageBreak/>
        <w:t>depended greatly on Russian resources. This is to say nothing of how Russia also became a maritime empire in the eighteenth century as it extended from the Pacific to colonise Alaska.</w:t>
      </w:r>
      <w:r w:rsidR="00F81612" w:rsidRPr="00F81612">
        <w:rPr>
          <w:rFonts w:asciiTheme="majorBidi" w:hAnsiTheme="majorBidi" w:cstheme="majorBidi"/>
          <w:vertAlign w:val="superscript"/>
        </w:rPr>
        <w:footnoteReference w:id="180"/>
      </w:r>
      <w:r w:rsidR="00F81612" w:rsidRPr="00F81612">
        <w:rPr>
          <w:rFonts w:asciiTheme="majorBidi" w:hAnsiTheme="majorBidi" w:cstheme="majorBidi"/>
        </w:rPr>
        <w:t xml:space="preserve"> </w:t>
      </w:r>
    </w:p>
    <w:p w14:paraId="739025E9" w14:textId="7DCDD2AE"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As the Russian Empire further integrated into Europe</w:t>
      </w:r>
      <w:r w:rsidR="00C91A24">
        <w:rPr>
          <w:rFonts w:asciiTheme="majorBidi" w:hAnsiTheme="majorBidi" w:cstheme="majorBidi"/>
        </w:rPr>
        <w:t>’s</w:t>
      </w:r>
      <w:r w:rsidRPr="00F81612">
        <w:rPr>
          <w:rFonts w:asciiTheme="majorBidi" w:hAnsiTheme="majorBidi" w:cstheme="majorBidi"/>
        </w:rPr>
        <w:t xml:space="preserve"> states-systems </w:t>
      </w:r>
      <w:r w:rsidR="00741A4C" w:rsidRPr="00F81612">
        <w:rPr>
          <w:rFonts w:asciiTheme="majorBidi" w:hAnsiTheme="majorBidi" w:cstheme="majorBidi"/>
        </w:rPr>
        <w:t>and shifted</w:t>
      </w:r>
      <w:r w:rsidRPr="00F81612">
        <w:rPr>
          <w:rFonts w:asciiTheme="majorBidi" w:hAnsiTheme="majorBidi" w:cstheme="majorBidi"/>
        </w:rPr>
        <w:t xml:space="preserve"> from exogenous to endogenous empire, it acquired new mechanisms for opposing old enemies. With Russia’s military attention turned against the Ottoman Empire in the eighteenth century, its efforts gained significant attention amongst Europeans who viewed the Ottomans through the lens of ‘Oriental Despotism.’</w:t>
      </w:r>
      <w:r w:rsidRPr="00F81612">
        <w:rPr>
          <w:rFonts w:asciiTheme="majorBidi" w:hAnsiTheme="majorBidi" w:cstheme="majorBidi"/>
          <w:vertAlign w:val="superscript"/>
        </w:rPr>
        <w:footnoteReference w:id="181"/>
      </w:r>
      <w:r w:rsidRPr="00F81612">
        <w:rPr>
          <w:rFonts w:asciiTheme="majorBidi" w:hAnsiTheme="majorBidi" w:cstheme="majorBidi"/>
        </w:rPr>
        <w:t xml:space="preserve"> Through these wars, especially as they raised legal status questions regarding captives,</w:t>
      </w:r>
      <w:r w:rsidRPr="00F81612">
        <w:rPr>
          <w:rFonts w:asciiTheme="majorBidi" w:hAnsiTheme="majorBidi" w:cstheme="majorBidi"/>
          <w:vertAlign w:val="superscript"/>
        </w:rPr>
        <w:footnoteReference w:id="182"/>
      </w:r>
      <w:r w:rsidRPr="00F81612">
        <w:rPr>
          <w:rFonts w:asciiTheme="majorBidi" w:hAnsiTheme="majorBidi" w:cstheme="majorBidi"/>
        </w:rPr>
        <w:t xml:space="preserve"> Russians gained great latitude in presenting themselves as progressive Europeans triumphing over a declining Eastern empire.</w:t>
      </w:r>
      <w:r w:rsidRPr="00F81612">
        <w:rPr>
          <w:rFonts w:asciiTheme="majorBidi" w:hAnsiTheme="majorBidi" w:cstheme="majorBidi"/>
          <w:vertAlign w:val="superscript"/>
        </w:rPr>
        <w:footnoteReference w:id="183"/>
      </w:r>
      <w:r w:rsidRPr="00F81612">
        <w:rPr>
          <w:rFonts w:asciiTheme="majorBidi" w:hAnsiTheme="majorBidi" w:cstheme="majorBidi"/>
        </w:rPr>
        <w:t xml:space="preserve"> As such, Russian elites positioned themselves against newfound Enlightenment discourses that configured Eastern Europe as liminal space between East and West.</w:t>
      </w:r>
      <w:r w:rsidRPr="00F81612">
        <w:rPr>
          <w:rFonts w:asciiTheme="majorBidi" w:hAnsiTheme="majorBidi" w:cstheme="majorBidi"/>
          <w:vertAlign w:val="superscript"/>
        </w:rPr>
        <w:footnoteReference w:id="184"/>
      </w:r>
      <w:r w:rsidRPr="00F81612">
        <w:rPr>
          <w:rFonts w:asciiTheme="majorBidi" w:hAnsiTheme="majorBidi" w:cstheme="majorBidi"/>
        </w:rPr>
        <w:t xml:space="preserve"> Driven by this self-perception, in 1783, Russia annexed the Crimean Khanate – a remnant of the Golden Horde, ally of the Ottomans, and sworn enemy of old Muscovy.</w:t>
      </w:r>
      <w:r w:rsidRPr="00F81612">
        <w:rPr>
          <w:rFonts w:asciiTheme="majorBidi" w:hAnsiTheme="majorBidi" w:cstheme="majorBidi"/>
          <w:vertAlign w:val="superscript"/>
        </w:rPr>
        <w:footnoteReference w:id="185"/>
      </w:r>
      <w:r w:rsidRPr="00F81612">
        <w:rPr>
          <w:rFonts w:asciiTheme="majorBidi" w:hAnsiTheme="majorBidi" w:cstheme="majorBidi"/>
        </w:rPr>
        <w:t xml:space="preserve"> Additionally, while civilisational hierarchy arguments provided Russia with European support against ‘non-Europeans’, Russia’s ongoing efforts against the Polish-Lithuanian Commonwealth was aided by an additional feature of the European states-system –  dynastic diplomacy. Given that the Commonwealth rejected absolute monarchy in favour of the decentralised authority of the nobility, its lands could not be acquired by dynastic inheritance.</w:t>
      </w:r>
      <w:r w:rsidRPr="00F81612">
        <w:rPr>
          <w:rFonts w:asciiTheme="majorBidi" w:hAnsiTheme="majorBidi" w:cstheme="majorBidi"/>
          <w:vertAlign w:val="superscript"/>
        </w:rPr>
        <w:footnoteReference w:id="186"/>
      </w:r>
      <w:r w:rsidRPr="00F81612">
        <w:rPr>
          <w:rFonts w:asciiTheme="majorBidi" w:hAnsiTheme="majorBidi" w:cstheme="majorBidi"/>
        </w:rPr>
        <w:t xml:space="preserve">  Fearing that Commonwealth instability would trigger Europe-wide disorder, Russia, and its fellow absolutist powers Prussia and Austria, decided to settle the question of the Commonwealth by erasing its existence through a series of partitions in 1772, 1793, and 1795.</w:t>
      </w:r>
      <w:r w:rsidRPr="00F81612">
        <w:rPr>
          <w:rFonts w:asciiTheme="majorBidi" w:hAnsiTheme="majorBidi" w:cstheme="majorBidi"/>
          <w:vertAlign w:val="superscript"/>
        </w:rPr>
        <w:footnoteReference w:id="187"/>
      </w:r>
      <w:r w:rsidRPr="00F81612">
        <w:rPr>
          <w:rFonts w:asciiTheme="majorBidi" w:hAnsiTheme="majorBidi" w:cstheme="majorBidi"/>
        </w:rPr>
        <w:t xml:space="preserve"> Conquest was </w:t>
      </w:r>
      <w:r w:rsidR="00FF4E47">
        <w:rPr>
          <w:rFonts w:asciiTheme="majorBidi" w:hAnsiTheme="majorBidi" w:cstheme="majorBidi"/>
        </w:rPr>
        <w:t>gained</w:t>
      </w:r>
      <w:r w:rsidRPr="00F81612">
        <w:rPr>
          <w:rFonts w:asciiTheme="majorBidi" w:hAnsiTheme="majorBidi" w:cstheme="majorBidi"/>
        </w:rPr>
        <w:t xml:space="preserve"> </w:t>
      </w:r>
      <w:r w:rsidR="002945D8">
        <w:rPr>
          <w:rFonts w:asciiTheme="majorBidi" w:hAnsiTheme="majorBidi" w:cstheme="majorBidi"/>
        </w:rPr>
        <w:t>what</w:t>
      </w:r>
      <w:r w:rsidRPr="00F81612">
        <w:rPr>
          <w:rFonts w:asciiTheme="majorBidi" w:hAnsiTheme="majorBidi" w:cstheme="majorBidi"/>
        </w:rPr>
        <w:t xml:space="preserve"> could not gained through dynastic diplomacy. </w:t>
      </w:r>
    </w:p>
    <w:p w14:paraId="7C0B4EE2" w14:textId="1384CC1F"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lastRenderedPageBreak/>
        <w:t>Russia’s function as</w:t>
      </w:r>
      <w:r w:rsidR="002945D8">
        <w:rPr>
          <w:rFonts w:asciiTheme="majorBidi" w:hAnsiTheme="majorBidi" w:cstheme="majorBidi"/>
        </w:rPr>
        <w:t xml:space="preserve"> </w:t>
      </w:r>
      <w:r w:rsidRPr="00F81612">
        <w:rPr>
          <w:rFonts w:asciiTheme="majorBidi" w:hAnsiTheme="majorBidi" w:cstheme="majorBidi"/>
        </w:rPr>
        <w:t>stalwart of Europe’s dynastic order took on new dimensions during the disruption wrought by the French revolutionary, and later Napoleonic, wars .</w:t>
      </w:r>
      <w:r w:rsidRPr="00F81612">
        <w:rPr>
          <w:rFonts w:asciiTheme="majorBidi" w:hAnsiTheme="majorBidi" w:cstheme="majorBidi"/>
          <w:vertAlign w:val="superscript"/>
        </w:rPr>
        <w:footnoteReference w:id="188"/>
      </w:r>
      <w:r w:rsidRPr="00F81612">
        <w:rPr>
          <w:rFonts w:asciiTheme="majorBidi" w:hAnsiTheme="majorBidi" w:cstheme="majorBidi"/>
        </w:rPr>
        <w:t xml:space="preserve"> Following Napoleon’s ultimate </w:t>
      </w:r>
      <w:r w:rsidR="004B4B9B">
        <w:rPr>
          <w:rFonts w:asciiTheme="majorBidi" w:hAnsiTheme="majorBidi" w:cstheme="majorBidi"/>
        </w:rPr>
        <w:t xml:space="preserve">1815 </w:t>
      </w:r>
      <w:r w:rsidRPr="00F81612">
        <w:rPr>
          <w:rFonts w:asciiTheme="majorBidi" w:hAnsiTheme="majorBidi" w:cstheme="majorBidi"/>
        </w:rPr>
        <w:t>defeat, Russia, along with Prussia, Austria, and Britain (France included in 1818) wielded supreme power as a Concert of Europe acting as a ‘legalised hegemony.’</w:t>
      </w:r>
      <w:r w:rsidRPr="00F81612">
        <w:rPr>
          <w:rFonts w:asciiTheme="majorBidi" w:hAnsiTheme="majorBidi" w:cstheme="majorBidi"/>
          <w:vertAlign w:val="superscript"/>
        </w:rPr>
        <w:footnoteReference w:id="189"/>
      </w:r>
      <w:r w:rsidRPr="00F81612">
        <w:rPr>
          <w:rFonts w:asciiTheme="majorBidi" w:hAnsiTheme="majorBidi" w:cstheme="majorBidi"/>
        </w:rPr>
        <w:t xml:space="preserve"> Despite profound differences, their combined efforts did much to forge the nineteenth</w:t>
      </w:r>
      <w:r w:rsidR="0009754E">
        <w:rPr>
          <w:rFonts w:asciiTheme="majorBidi" w:hAnsiTheme="majorBidi" w:cstheme="majorBidi"/>
        </w:rPr>
        <w:t>-</w:t>
      </w:r>
      <w:r w:rsidRPr="00F81612">
        <w:rPr>
          <w:rFonts w:asciiTheme="majorBidi" w:hAnsiTheme="majorBidi" w:cstheme="majorBidi"/>
        </w:rPr>
        <w:t xml:space="preserve">century order of international law. Through this process, treaties </w:t>
      </w:r>
      <w:r w:rsidR="0009754E">
        <w:rPr>
          <w:rFonts w:asciiTheme="majorBidi" w:hAnsiTheme="majorBidi" w:cstheme="majorBidi"/>
        </w:rPr>
        <w:t>became</w:t>
      </w:r>
      <w:r w:rsidRPr="00F81612">
        <w:rPr>
          <w:rFonts w:asciiTheme="majorBidi" w:hAnsiTheme="majorBidi" w:cstheme="majorBidi"/>
        </w:rPr>
        <w:t xml:space="preserve"> the defining international legal source and, accompanying them, a positivistic sensibility</w:t>
      </w:r>
      <w:r w:rsidR="0009754E">
        <w:rPr>
          <w:rFonts w:asciiTheme="majorBidi" w:hAnsiTheme="majorBidi" w:cstheme="majorBidi"/>
        </w:rPr>
        <w:t xml:space="preserve"> </w:t>
      </w:r>
      <w:r w:rsidRPr="00F81612">
        <w:rPr>
          <w:rFonts w:asciiTheme="majorBidi" w:hAnsiTheme="majorBidi" w:cstheme="majorBidi"/>
        </w:rPr>
        <w:t>that dis</w:t>
      </w:r>
      <w:r w:rsidR="00716C0E">
        <w:rPr>
          <w:rFonts w:asciiTheme="majorBidi" w:hAnsiTheme="majorBidi" w:cstheme="majorBidi"/>
        </w:rPr>
        <w:t>tinguished</w:t>
      </w:r>
      <w:r w:rsidRPr="00F81612">
        <w:rPr>
          <w:rFonts w:asciiTheme="majorBidi" w:hAnsiTheme="majorBidi" w:cstheme="majorBidi"/>
        </w:rPr>
        <w:t xml:space="preserve"> the circumstances of their formation from their validity as binding international law.</w:t>
      </w:r>
      <w:r w:rsidRPr="00F81612">
        <w:rPr>
          <w:rFonts w:asciiTheme="majorBidi" w:hAnsiTheme="majorBidi" w:cstheme="majorBidi"/>
          <w:vertAlign w:val="superscript"/>
        </w:rPr>
        <w:footnoteReference w:id="190"/>
      </w:r>
      <w:r w:rsidRPr="00F81612">
        <w:rPr>
          <w:rFonts w:asciiTheme="majorBidi" w:hAnsiTheme="majorBidi" w:cstheme="majorBidi"/>
        </w:rPr>
        <w:t xml:space="preserve"> Additionally, the Concert system (in repudiation of revolutionaries) placed repression of domestic movements as firmly within the purview of state sovereignty.</w:t>
      </w:r>
      <w:r w:rsidRPr="00F81612">
        <w:rPr>
          <w:rFonts w:asciiTheme="majorBidi" w:hAnsiTheme="majorBidi" w:cstheme="majorBidi"/>
          <w:vertAlign w:val="superscript"/>
        </w:rPr>
        <w:footnoteReference w:id="191"/>
      </w:r>
      <w:r w:rsidRPr="00F81612">
        <w:rPr>
          <w:rFonts w:asciiTheme="majorBidi" w:hAnsiTheme="majorBidi" w:cstheme="majorBidi"/>
        </w:rPr>
        <w:t xml:space="preserve"> For Russia, Prussia, and Austria (a self-proclaimed ‘Holy Alliance’), this repressi</w:t>
      </w:r>
      <w:r w:rsidR="007A68BA">
        <w:rPr>
          <w:rFonts w:asciiTheme="majorBidi" w:hAnsiTheme="majorBidi" w:cstheme="majorBidi"/>
        </w:rPr>
        <w:t xml:space="preserve">on </w:t>
      </w:r>
      <w:r w:rsidRPr="00F81612">
        <w:rPr>
          <w:rFonts w:asciiTheme="majorBidi" w:hAnsiTheme="majorBidi" w:cstheme="majorBidi"/>
        </w:rPr>
        <w:t>enabling was especially relevant to continued resistance by those attempting to restore the Polish-Lithuanian Commonwealth that</w:t>
      </w:r>
      <w:r w:rsidR="00B27EA9">
        <w:rPr>
          <w:rFonts w:asciiTheme="majorBidi" w:hAnsiTheme="majorBidi" w:cstheme="majorBidi"/>
        </w:rPr>
        <w:t xml:space="preserve"> the</w:t>
      </w:r>
      <w:r w:rsidRPr="00F81612">
        <w:rPr>
          <w:rFonts w:asciiTheme="majorBidi" w:hAnsiTheme="majorBidi" w:cstheme="majorBidi"/>
        </w:rPr>
        <w:t xml:space="preserve"> Concert left unrestored.</w:t>
      </w:r>
      <w:r w:rsidRPr="00F81612">
        <w:rPr>
          <w:rFonts w:asciiTheme="majorBidi" w:hAnsiTheme="majorBidi" w:cstheme="majorBidi"/>
          <w:vertAlign w:val="superscript"/>
        </w:rPr>
        <w:footnoteReference w:id="192"/>
      </w:r>
      <w:r w:rsidRPr="00F81612">
        <w:rPr>
          <w:rFonts w:asciiTheme="majorBidi" w:hAnsiTheme="majorBidi" w:cstheme="majorBidi"/>
        </w:rPr>
        <w:t xml:space="preserve"> Finally, the Concert of Europe, by emphasising recognition as a requirement of sovereignty, laid the groundwork for international law to unfold according to a Eurocentric ‘Standard of Civilisation’ whereby only recognised members of the ‘family of civilised nations’ possessed complete international legal subjectivity.</w:t>
      </w:r>
      <w:r w:rsidRPr="00F81612">
        <w:rPr>
          <w:rFonts w:asciiTheme="majorBidi" w:hAnsiTheme="majorBidi" w:cstheme="majorBidi"/>
          <w:vertAlign w:val="superscript"/>
        </w:rPr>
        <w:footnoteReference w:id="193"/>
      </w:r>
      <w:r w:rsidRPr="00F81612">
        <w:rPr>
          <w:rFonts w:asciiTheme="majorBidi" w:hAnsiTheme="majorBidi" w:cstheme="majorBidi"/>
        </w:rPr>
        <w:t xml:space="preserve"> </w:t>
      </w:r>
    </w:p>
    <w:p w14:paraId="58DE1C07" w14:textId="5CC40171"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This legal grounding established </w:t>
      </w:r>
      <w:r w:rsidR="00442628">
        <w:rPr>
          <w:rFonts w:asciiTheme="majorBidi" w:hAnsiTheme="majorBidi" w:cstheme="majorBidi"/>
        </w:rPr>
        <w:t>by</w:t>
      </w:r>
      <w:r w:rsidRPr="00F81612">
        <w:rPr>
          <w:rFonts w:asciiTheme="majorBidi" w:hAnsiTheme="majorBidi" w:cstheme="majorBidi"/>
        </w:rPr>
        <w:t xml:space="preserve"> the Concert was the order that provided structure to the ‘global transformation’ whereby Europe ascended to the height of its power and dominated all other world societies in the ‘long nineteenth century.’</w:t>
      </w:r>
      <w:r w:rsidRPr="00F81612">
        <w:rPr>
          <w:rFonts w:asciiTheme="majorBidi" w:hAnsiTheme="majorBidi" w:cstheme="majorBidi"/>
          <w:vertAlign w:val="superscript"/>
        </w:rPr>
        <w:footnoteReference w:id="194"/>
      </w:r>
      <w:r w:rsidRPr="00F81612">
        <w:rPr>
          <w:rFonts w:asciiTheme="majorBidi" w:hAnsiTheme="majorBidi" w:cstheme="majorBidi"/>
        </w:rPr>
        <w:t xml:space="preserve"> This included the Asian empires </w:t>
      </w:r>
      <w:r w:rsidR="00EC3B5E">
        <w:rPr>
          <w:rFonts w:asciiTheme="majorBidi" w:hAnsiTheme="majorBidi" w:cstheme="majorBidi"/>
        </w:rPr>
        <w:t>that</w:t>
      </w:r>
      <w:r w:rsidRPr="00F81612">
        <w:rPr>
          <w:rFonts w:asciiTheme="majorBidi" w:hAnsiTheme="majorBidi" w:cstheme="majorBidi"/>
        </w:rPr>
        <w:t xml:space="preserve"> long </w:t>
      </w:r>
      <w:r w:rsidR="00EC3B5E">
        <w:rPr>
          <w:rFonts w:asciiTheme="majorBidi" w:hAnsiTheme="majorBidi" w:cstheme="majorBidi"/>
        </w:rPr>
        <w:t>forme</w:t>
      </w:r>
      <w:r w:rsidR="00A40C97">
        <w:rPr>
          <w:rFonts w:asciiTheme="majorBidi" w:hAnsiTheme="majorBidi" w:cstheme="majorBidi"/>
        </w:rPr>
        <w:t>d</w:t>
      </w:r>
      <w:r w:rsidRPr="00F81612">
        <w:rPr>
          <w:rFonts w:asciiTheme="majorBidi" w:hAnsiTheme="majorBidi" w:cstheme="majorBidi"/>
        </w:rPr>
        <w:t xml:space="preserve"> a barrier to European expansion.</w:t>
      </w:r>
      <w:r w:rsidRPr="00F81612">
        <w:rPr>
          <w:rFonts w:asciiTheme="majorBidi" w:hAnsiTheme="majorBidi" w:cstheme="majorBidi"/>
          <w:vertAlign w:val="superscript"/>
        </w:rPr>
        <w:footnoteReference w:id="195"/>
      </w:r>
      <w:r w:rsidRPr="00F81612">
        <w:rPr>
          <w:rFonts w:asciiTheme="majorBidi" w:hAnsiTheme="majorBidi" w:cstheme="majorBidi"/>
        </w:rPr>
        <w:t xml:space="preserve"> When considering how Europe</w:t>
      </w:r>
      <w:r w:rsidR="00A40C97">
        <w:rPr>
          <w:rFonts w:asciiTheme="majorBidi" w:hAnsiTheme="majorBidi" w:cstheme="majorBidi"/>
        </w:rPr>
        <w:t xml:space="preserve"> subordinated</w:t>
      </w:r>
      <w:r w:rsidRPr="00F81612">
        <w:rPr>
          <w:rFonts w:asciiTheme="majorBidi" w:hAnsiTheme="majorBidi" w:cstheme="majorBidi"/>
        </w:rPr>
        <w:t xml:space="preserve"> these empires that had long surpassed it militarily,</w:t>
      </w:r>
      <w:r w:rsidRPr="00F81612">
        <w:rPr>
          <w:rFonts w:asciiTheme="majorBidi" w:hAnsiTheme="majorBidi" w:cstheme="majorBidi"/>
          <w:vertAlign w:val="superscript"/>
        </w:rPr>
        <w:footnoteReference w:id="196"/>
      </w:r>
      <w:r w:rsidRPr="00F81612">
        <w:rPr>
          <w:rFonts w:asciiTheme="majorBidi" w:hAnsiTheme="majorBidi" w:cstheme="majorBidi"/>
        </w:rPr>
        <w:t xml:space="preserve"> the role of Russia as Europe’s greatest </w:t>
      </w:r>
      <w:r w:rsidRPr="00F81612">
        <w:rPr>
          <w:rFonts w:asciiTheme="majorBidi" w:hAnsiTheme="majorBidi" w:cstheme="majorBidi"/>
        </w:rPr>
        <w:lastRenderedPageBreak/>
        <w:t>land power proved highly relevant.</w:t>
      </w:r>
      <w:r w:rsidRPr="00F81612">
        <w:rPr>
          <w:rFonts w:asciiTheme="majorBidi" w:hAnsiTheme="majorBidi" w:cstheme="majorBidi"/>
          <w:vertAlign w:val="superscript"/>
        </w:rPr>
        <w:footnoteReference w:id="197"/>
      </w:r>
      <w:r w:rsidRPr="00F81612">
        <w:rPr>
          <w:rFonts w:asciiTheme="majorBidi" w:hAnsiTheme="majorBidi" w:cstheme="majorBidi"/>
        </w:rPr>
        <w:t xml:space="preserve"> With Russia’s relationships with Europe stabilised in the early nineteenth century, it turned its military attention back to the steppe and adjacent regions. Here, Russian efforts focused intensely on the Caucasus and Central Asia in a manner that led to ever-increasing encroachment on the terrestrial hinterlands of the Chinese, Persian, and Ottoman Empires.</w:t>
      </w:r>
      <w:r w:rsidRPr="00F81612">
        <w:rPr>
          <w:rFonts w:asciiTheme="majorBidi" w:hAnsiTheme="majorBidi" w:cstheme="majorBidi"/>
          <w:vertAlign w:val="superscript"/>
        </w:rPr>
        <w:footnoteReference w:id="198"/>
      </w:r>
      <w:r w:rsidRPr="00F81612">
        <w:rPr>
          <w:rFonts w:asciiTheme="majorBidi" w:hAnsiTheme="majorBidi" w:cstheme="majorBidi"/>
        </w:rPr>
        <w:t xml:space="preserve"> </w:t>
      </w:r>
    </w:p>
    <w:p w14:paraId="5BE60FFC" w14:textId="281594D1"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Simultaneously, these same empires faced maritime incursion by Western European powers who developed practices of ‘informal empire’ through mechanisms of capitulations, extraterritorial jurisdiction, and unequal treaties that proved highly profitable to European interests.</w:t>
      </w:r>
      <w:r w:rsidRPr="00F81612">
        <w:rPr>
          <w:rFonts w:asciiTheme="majorBidi" w:hAnsiTheme="majorBidi" w:cstheme="majorBidi"/>
          <w:vertAlign w:val="superscript"/>
        </w:rPr>
        <w:footnoteReference w:id="199"/>
      </w:r>
      <w:r w:rsidRPr="00F81612">
        <w:rPr>
          <w:rFonts w:asciiTheme="majorBidi" w:hAnsiTheme="majorBidi" w:cstheme="majorBidi"/>
        </w:rPr>
        <w:t xml:space="preserve"> While standard European explanations for their success here largely relied on Orientalist notions that these societies were suffering ‘inevitable decline’,</w:t>
      </w:r>
      <w:r w:rsidRPr="00F81612">
        <w:rPr>
          <w:rFonts w:asciiTheme="majorBidi" w:hAnsiTheme="majorBidi" w:cstheme="majorBidi"/>
          <w:vertAlign w:val="superscript"/>
        </w:rPr>
        <w:footnoteReference w:id="200"/>
      </w:r>
      <w:r w:rsidRPr="00F81612">
        <w:rPr>
          <w:rFonts w:asciiTheme="majorBidi" w:hAnsiTheme="majorBidi" w:cstheme="majorBidi"/>
        </w:rPr>
        <w:t xml:space="preserve"> the success of maritime Europeans cannot be decoupled from how these sites of informal empire were also being challenged from land by Russia.</w:t>
      </w:r>
      <w:r w:rsidRPr="00F81612">
        <w:rPr>
          <w:rFonts w:asciiTheme="majorBidi" w:hAnsiTheme="majorBidi" w:cstheme="majorBidi"/>
          <w:vertAlign w:val="superscript"/>
        </w:rPr>
        <w:footnoteReference w:id="201"/>
      </w:r>
      <w:r w:rsidRPr="00F81612">
        <w:rPr>
          <w:rFonts w:asciiTheme="majorBidi" w:hAnsiTheme="majorBidi" w:cstheme="majorBidi"/>
        </w:rPr>
        <w:t xml:space="preserve"> To highlight this intertwined systemic logic is not deny tensions between Russia and other European </w:t>
      </w:r>
      <w:r w:rsidR="00C40F25">
        <w:rPr>
          <w:rFonts w:asciiTheme="majorBidi" w:hAnsiTheme="majorBidi" w:cstheme="majorBidi"/>
        </w:rPr>
        <w:t>e</w:t>
      </w:r>
      <w:r w:rsidRPr="00F81612">
        <w:rPr>
          <w:rFonts w:asciiTheme="majorBidi" w:hAnsiTheme="majorBidi" w:cstheme="majorBidi"/>
        </w:rPr>
        <w:t>mpires, which included the Crimean War as well as subsequent ‘great games’ for influence in Persia, Central Asia, and Korea.</w:t>
      </w:r>
      <w:r w:rsidRPr="00F81612">
        <w:rPr>
          <w:rFonts w:asciiTheme="majorBidi" w:hAnsiTheme="majorBidi" w:cstheme="majorBidi"/>
          <w:vertAlign w:val="superscript"/>
        </w:rPr>
        <w:footnoteReference w:id="202"/>
      </w:r>
      <w:r w:rsidRPr="00F81612">
        <w:rPr>
          <w:rFonts w:asciiTheme="majorBidi" w:hAnsiTheme="majorBidi" w:cstheme="majorBidi"/>
        </w:rPr>
        <w:t xml:space="preserve"> However, the presence of such tensions does not change the reality that European imperialism during the ‘global transformation’ likely would have been far less successful had it not been for </w:t>
      </w:r>
      <w:r w:rsidR="00D12493">
        <w:rPr>
          <w:rFonts w:asciiTheme="majorBidi" w:hAnsiTheme="majorBidi" w:cstheme="majorBidi"/>
        </w:rPr>
        <w:t>Russian</w:t>
      </w:r>
      <w:r w:rsidRPr="00F81612">
        <w:rPr>
          <w:rFonts w:asciiTheme="majorBidi" w:hAnsiTheme="majorBidi" w:cstheme="majorBidi"/>
        </w:rPr>
        <w:t xml:space="preserve"> pressure exerted across the Eurasian landmass. </w:t>
      </w:r>
    </w:p>
    <w:p w14:paraId="24000F6A" w14:textId="0836B19E"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With the expansion of European empires by both land and sea came </w:t>
      </w:r>
      <w:r w:rsidR="009C3C08" w:rsidRPr="00F81612">
        <w:rPr>
          <w:rFonts w:asciiTheme="majorBidi" w:hAnsiTheme="majorBidi" w:cstheme="majorBidi"/>
        </w:rPr>
        <w:t>several</w:t>
      </w:r>
      <w:r w:rsidRPr="00F81612">
        <w:rPr>
          <w:rFonts w:asciiTheme="majorBidi" w:hAnsiTheme="majorBidi" w:cstheme="majorBidi"/>
        </w:rPr>
        <w:t xml:space="preserve"> common presumptions that grounded a ‘Standard of Civilisation’-fixated and self-styled progressive conception of universal international law as the ordering force behind this expansion. </w:t>
      </w:r>
      <w:r w:rsidR="009C3C08" w:rsidRPr="00F81612">
        <w:rPr>
          <w:rFonts w:asciiTheme="majorBidi" w:hAnsiTheme="majorBidi" w:cstheme="majorBidi"/>
        </w:rPr>
        <w:t>An</w:t>
      </w:r>
      <w:r w:rsidRPr="00F81612">
        <w:rPr>
          <w:rFonts w:asciiTheme="majorBidi" w:hAnsiTheme="majorBidi" w:cstheme="majorBidi"/>
        </w:rPr>
        <w:t xml:space="preserve"> important commonality between Russia and West concerned their views on the hierarchy of non-Europeans. While those with complex legal systems such as China, Japan, Persia, and the Ottoman Empire might be deemed ‘barbarians’ capable of limited conditional recognition (and subject to ‘informal empire’), the same could not be said for those considered ‘savage’ and </w:t>
      </w:r>
      <w:r w:rsidRPr="00F81612">
        <w:rPr>
          <w:rFonts w:asciiTheme="majorBidi" w:hAnsiTheme="majorBidi" w:cstheme="majorBidi"/>
        </w:rPr>
        <w:lastRenderedPageBreak/>
        <w:t>devoid of sovereign capacity.</w:t>
      </w:r>
      <w:r w:rsidRPr="00F81612">
        <w:rPr>
          <w:rFonts w:asciiTheme="majorBidi" w:hAnsiTheme="majorBidi" w:cstheme="majorBidi"/>
          <w:vertAlign w:val="superscript"/>
        </w:rPr>
        <w:footnoteReference w:id="203"/>
      </w:r>
      <w:r w:rsidRPr="00F81612">
        <w:rPr>
          <w:rFonts w:asciiTheme="majorBidi" w:hAnsiTheme="majorBidi" w:cstheme="majorBidi"/>
        </w:rPr>
        <w:t xml:space="preserve"> From Western perspective, while this category included the peoples of Americas, Australia, and Sub-Saharan Africa,</w:t>
      </w:r>
      <w:r w:rsidRPr="00F81612">
        <w:rPr>
          <w:rFonts w:asciiTheme="majorBidi" w:hAnsiTheme="majorBidi" w:cstheme="majorBidi"/>
          <w:vertAlign w:val="superscript"/>
        </w:rPr>
        <w:footnoteReference w:id="204"/>
      </w:r>
      <w:r w:rsidRPr="00F81612">
        <w:rPr>
          <w:rFonts w:asciiTheme="majorBidi" w:hAnsiTheme="majorBidi" w:cstheme="majorBidi"/>
        </w:rPr>
        <w:t xml:space="preserve"> Russians possessed functional equivalents via people such as “the tribes of Bukhara, Khiva, Eastern Turkestan and Afghanistan.”</w:t>
      </w:r>
      <w:r w:rsidRPr="00F81612">
        <w:rPr>
          <w:rFonts w:asciiTheme="majorBidi" w:hAnsiTheme="majorBidi" w:cstheme="majorBidi"/>
          <w:vertAlign w:val="superscript"/>
        </w:rPr>
        <w:footnoteReference w:id="205"/>
      </w:r>
      <w:r w:rsidRPr="00F81612">
        <w:rPr>
          <w:rFonts w:asciiTheme="majorBidi" w:hAnsiTheme="majorBidi" w:cstheme="majorBidi"/>
        </w:rPr>
        <w:t xml:space="preserve"> Importantly, in both Western and Russian contexts, the dispossession of these ‘primitives’ was often justified by calls for  farmlands to feed rapidly growing populations.</w:t>
      </w:r>
      <w:r w:rsidRPr="00F81612">
        <w:rPr>
          <w:rFonts w:asciiTheme="majorBidi" w:hAnsiTheme="majorBidi" w:cstheme="majorBidi"/>
          <w:vertAlign w:val="superscript"/>
        </w:rPr>
        <w:footnoteReference w:id="206"/>
      </w:r>
      <w:r w:rsidRPr="00F81612">
        <w:rPr>
          <w:rFonts w:asciiTheme="majorBidi" w:hAnsiTheme="majorBidi" w:cstheme="majorBidi"/>
        </w:rPr>
        <w:t xml:space="preserve"> Similar to other colonial proclamations, this process of agrarian settler colonialism on the steppe garnered the label of ‘New Russia.’</w:t>
      </w:r>
      <w:r w:rsidRPr="00F81612">
        <w:rPr>
          <w:rFonts w:asciiTheme="majorBidi" w:hAnsiTheme="majorBidi" w:cstheme="majorBidi"/>
          <w:vertAlign w:val="superscript"/>
        </w:rPr>
        <w:footnoteReference w:id="207"/>
      </w:r>
      <w:r w:rsidRPr="00F81612">
        <w:rPr>
          <w:rFonts w:asciiTheme="majorBidi" w:hAnsiTheme="majorBidi" w:cstheme="majorBidi"/>
        </w:rPr>
        <w:t xml:space="preserve"> Thus, the Russian steppe was  analogous to (and often directly influenced) settler agrarian ‘new lands’ in the Americas and Australasia.</w:t>
      </w:r>
      <w:r w:rsidRPr="00F81612">
        <w:rPr>
          <w:rFonts w:asciiTheme="majorBidi" w:hAnsiTheme="majorBidi" w:cstheme="majorBidi"/>
          <w:vertAlign w:val="superscript"/>
        </w:rPr>
        <w:footnoteReference w:id="208"/>
      </w:r>
      <w:r w:rsidRPr="00F81612">
        <w:rPr>
          <w:rFonts w:asciiTheme="majorBidi" w:hAnsiTheme="majorBidi" w:cstheme="majorBidi"/>
        </w:rPr>
        <w:t xml:space="preserve"> As these processes increasingly shaped an integrated, yet hierarchical, global system, it made sense that those  who benefited most  would seek to entrench their interests through systemic formulations of international legal standards. While Russia is only briefly mentioned in Martti Koskenniemi’s iconic account of this process, viewed on a broad scale, Russia was nonetheless vital role in establishing the conditions of European world dominance that made the systematic turn to international legal ‘science’ desirable to its implementors in the first instance.</w:t>
      </w:r>
      <w:r w:rsidRPr="00F81612">
        <w:rPr>
          <w:rFonts w:asciiTheme="majorBidi" w:hAnsiTheme="majorBidi" w:cstheme="majorBidi"/>
          <w:vertAlign w:val="superscript"/>
        </w:rPr>
        <w:footnoteReference w:id="209"/>
      </w:r>
      <w:r w:rsidRPr="00F81612">
        <w:rPr>
          <w:rFonts w:asciiTheme="majorBidi" w:hAnsiTheme="majorBidi" w:cstheme="majorBidi"/>
        </w:rPr>
        <w:t xml:space="preserve"> However, the same Russian imperialism that contributed to globalising international law would also produce distinct grounds for rejecting it. </w:t>
      </w:r>
    </w:p>
    <w:p w14:paraId="315C1952" w14:textId="77777777" w:rsidR="00F81612" w:rsidRPr="00F81612" w:rsidRDefault="00F81612" w:rsidP="00F81612">
      <w:pPr>
        <w:spacing w:line="360" w:lineRule="auto"/>
        <w:jc w:val="both"/>
        <w:rPr>
          <w:rFonts w:asciiTheme="majorBidi" w:hAnsiTheme="majorBidi" w:cstheme="majorBidi"/>
        </w:rPr>
      </w:pPr>
    </w:p>
    <w:p w14:paraId="35442107" w14:textId="0F1C114D" w:rsidR="00F81612" w:rsidRPr="000F2592" w:rsidRDefault="00F81612" w:rsidP="000F2592">
      <w:pPr>
        <w:pStyle w:val="ListParagraph"/>
        <w:numPr>
          <w:ilvl w:val="0"/>
          <w:numId w:val="2"/>
        </w:numPr>
        <w:spacing w:line="360" w:lineRule="auto"/>
        <w:jc w:val="both"/>
        <w:rPr>
          <w:rFonts w:asciiTheme="majorBidi" w:hAnsiTheme="majorBidi" w:cstheme="majorBidi"/>
          <w:b/>
          <w:bCs/>
        </w:rPr>
      </w:pPr>
      <w:r w:rsidRPr="000F2592">
        <w:rPr>
          <w:rFonts w:asciiTheme="majorBidi" w:hAnsiTheme="majorBidi" w:cstheme="majorBidi"/>
          <w:b/>
          <w:bCs/>
        </w:rPr>
        <w:t xml:space="preserve">Imperial Nationalism as Russia’s Critique of International Law </w:t>
      </w:r>
    </w:p>
    <w:p w14:paraId="11B3D2E7"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As the late nineteenth-century systematisation of amorally positivistic international law engendered much discontent, it is noteworthy that two very different critiques of this international legal positivism prominently emanated from Eastern European lands formed at </w:t>
      </w:r>
      <w:r w:rsidRPr="00F81612">
        <w:rPr>
          <w:rFonts w:asciiTheme="majorBidi" w:hAnsiTheme="majorBidi" w:cstheme="majorBidi"/>
        </w:rPr>
        <w:lastRenderedPageBreak/>
        <w:t>the intersection of steppe and forest. The first critique emanated from the lands of the partitioned Polish-Lithuanian Commonwealth that, despite lacking  personality under positive international law , were nevertheless  key sites of independence struggles.</w:t>
      </w:r>
      <w:r w:rsidRPr="00F81612">
        <w:rPr>
          <w:rFonts w:asciiTheme="majorBidi" w:hAnsiTheme="majorBidi" w:cstheme="majorBidi"/>
          <w:vertAlign w:val="superscript"/>
        </w:rPr>
        <w:footnoteReference w:id="210"/>
      </w:r>
      <w:r w:rsidRPr="00F81612">
        <w:rPr>
          <w:rFonts w:asciiTheme="majorBidi" w:hAnsiTheme="majorBidi" w:cstheme="majorBidi"/>
        </w:rPr>
        <w:t xml:space="preserve"> As Victor Kattan argues, this longstanding persistence forms a vital link in the genealogy of the right to self-determination in that it connects the late-eighteenth century ‘age of revolutions’ to the aftermath of the First World War.</w:t>
      </w:r>
      <w:r w:rsidRPr="00F81612">
        <w:rPr>
          <w:rFonts w:asciiTheme="majorBidi" w:hAnsiTheme="majorBidi" w:cstheme="majorBidi"/>
          <w:vertAlign w:val="superscript"/>
        </w:rPr>
        <w:footnoteReference w:id="211"/>
      </w:r>
      <w:r w:rsidRPr="00F81612">
        <w:rPr>
          <w:rFonts w:asciiTheme="majorBidi" w:hAnsiTheme="majorBidi" w:cstheme="majorBidi"/>
        </w:rPr>
        <w:t xml:space="preserve"> While these struggles for independence in the former Commonwealth proved captivating on a world-scale and across multiple ideologies, this struggle hosted many shifting understandings of independence and nationhood by those who waged it.</w:t>
      </w:r>
      <w:r w:rsidRPr="00F81612">
        <w:rPr>
          <w:rFonts w:asciiTheme="majorBidi" w:hAnsiTheme="majorBidi" w:cstheme="majorBidi"/>
          <w:vertAlign w:val="superscript"/>
        </w:rPr>
        <w:footnoteReference w:id="212"/>
      </w:r>
      <w:r w:rsidRPr="00F81612">
        <w:rPr>
          <w:rFonts w:asciiTheme="majorBidi" w:hAnsiTheme="majorBidi" w:cstheme="majorBidi"/>
        </w:rPr>
        <w:t xml:space="preserve"> </w:t>
      </w:r>
    </w:p>
    <w:p w14:paraId="3AAE94BA" w14:textId="40F892F3"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As the peoples of the former </w:t>
      </w:r>
      <w:proofErr w:type="gramStart"/>
      <w:r w:rsidRPr="00F81612">
        <w:rPr>
          <w:rFonts w:asciiTheme="majorBidi" w:hAnsiTheme="majorBidi" w:cstheme="majorBidi"/>
        </w:rPr>
        <w:t>Polish-Lithuanian</w:t>
      </w:r>
      <w:proofErr w:type="gramEnd"/>
      <w:r w:rsidRPr="00F81612">
        <w:rPr>
          <w:rFonts w:asciiTheme="majorBidi" w:hAnsiTheme="majorBidi" w:cstheme="majorBidi"/>
        </w:rPr>
        <w:t xml:space="preserve"> Commonwealth presented challenges to an order of positivist international law that enabled imperial domination, a very different critique contemporaneously developed in Russia. While many within the Russian Empire embraced international law as key to furthering Russian interests in a world defined by empires, not all agreed.</w:t>
      </w:r>
      <w:r w:rsidRPr="00F81612">
        <w:rPr>
          <w:rFonts w:asciiTheme="majorBidi" w:hAnsiTheme="majorBidi" w:cstheme="majorBidi"/>
          <w:vertAlign w:val="superscript"/>
        </w:rPr>
        <w:footnoteReference w:id="213"/>
      </w:r>
      <w:r w:rsidRPr="00F81612">
        <w:rPr>
          <w:rFonts w:asciiTheme="majorBidi" w:hAnsiTheme="majorBidi" w:cstheme="majorBidi"/>
        </w:rPr>
        <w:t xml:space="preserve"> To understand the nature of this distinctly Russian </w:t>
      </w:r>
      <w:r w:rsidR="00741A4C" w:rsidRPr="00F81612">
        <w:rPr>
          <w:rFonts w:asciiTheme="majorBidi" w:hAnsiTheme="majorBidi" w:cstheme="majorBidi"/>
        </w:rPr>
        <w:t>critique,</w:t>
      </w:r>
      <w:r w:rsidRPr="00F81612">
        <w:rPr>
          <w:rFonts w:asciiTheme="majorBidi" w:hAnsiTheme="majorBidi" w:cstheme="majorBidi"/>
        </w:rPr>
        <w:t xml:space="preserve"> is to understand key trajectories in the co-development of Russian imperialism and Russian nationalism. While nationalism in the partitioned Commonwealth was, for all of its conflicting aspects, developed in resistance to empire, contemporaneous Russian nationalism could not be separated from Russia’s rule over the man</w:t>
      </w:r>
      <w:r w:rsidR="00741A4C">
        <w:rPr>
          <w:rFonts w:asciiTheme="majorBidi" w:hAnsiTheme="majorBidi" w:cstheme="majorBidi"/>
        </w:rPr>
        <w:t>y</w:t>
      </w:r>
      <w:r w:rsidRPr="00F81612">
        <w:rPr>
          <w:rFonts w:asciiTheme="majorBidi" w:hAnsiTheme="majorBidi" w:cstheme="majorBidi"/>
        </w:rPr>
        <w:t xml:space="preserve"> non-Russian subjects it conquered.</w:t>
      </w:r>
      <w:r w:rsidRPr="00F81612">
        <w:rPr>
          <w:rFonts w:asciiTheme="majorBidi" w:hAnsiTheme="majorBidi" w:cstheme="majorBidi"/>
          <w:vertAlign w:val="superscript"/>
        </w:rPr>
        <w:footnoteReference w:id="214"/>
      </w:r>
      <w:r w:rsidRPr="00F81612">
        <w:rPr>
          <w:rFonts w:asciiTheme="majorBidi" w:hAnsiTheme="majorBidi" w:cstheme="majorBidi"/>
        </w:rPr>
        <w:t xml:space="preserve"> Moreover, conceptions of Russian national identity were substantially defined through subjecting former Commonwealth lands to the ‘Russification’ of language, culture, and government.</w:t>
      </w:r>
      <w:r w:rsidRPr="00F81612">
        <w:rPr>
          <w:rFonts w:asciiTheme="majorBidi" w:hAnsiTheme="majorBidi" w:cstheme="majorBidi"/>
          <w:vertAlign w:val="superscript"/>
        </w:rPr>
        <w:footnoteReference w:id="215"/>
      </w:r>
      <w:r w:rsidRPr="00F81612">
        <w:rPr>
          <w:rFonts w:asciiTheme="majorBidi" w:hAnsiTheme="majorBidi" w:cstheme="majorBidi"/>
        </w:rPr>
        <w:t xml:space="preserve"> While these western borderlands were seemingly far removed from imperial locations such as the Caucasus, Central Asia, and Siberia, discourses of ‘colony’ and ‘colonist’, as Alexander Etkind makes clear, applied to nearly all regions of Russia</w:t>
      </w:r>
      <w:r w:rsidR="00486C0D">
        <w:rPr>
          <w:rFonts w:asciiTheme="majorBidi" w:hAnsiTheme="majorBidi" w:cstheme="majorBidi"/>
        </w:rPr>
        <w:t>’s</w:t>
      </w:r>
      <w:r w:rsidRPr="00F81612">
        <w:rPr>
          <w:rFonts w:asciiTheme="majorBidi" w:hAnsiTheme="majorBidi" w:cstheme="majorBidi"/>
        </w:rPr>
        <w:t xml:space="preserve"> </w:t>
      </w:r>
      <w:r w:rsidR="00486C0D">
        <w:rPr>
          <w:rFonts w:asciiTheme="majorBidi" w:hAnsiTheme="majorBidi" w:cstheme="majorBidi"/>
        </w:rPr>
        <w:t>e</w:t>
      </w:r>
      <w:r w:rsidRPr="00F81612">
        <w:rPr>
          <w:rFonts w:asciiTheme="majorBidi" w:hAnsiTheme="majorBidi" w:cstheme="majorBidi"/>
        </w:rPr>
        <w:t>mpire.</w:t>
      </w:r>
      <w:r w:rsidRPr="00F81612">
        <w:rPr>
          <w:rFonts w:asciiTheme="majorBidi" w:hAnsiTheme="majorBidi" w:cstheme="majorBidi"/>
          <w:vertAlign w:val="superscript"/>
        </w:rPr>
        <w:footnoteReference w:id="216"/>
      </w:r>
      <w:r w:rsidRPr="00F81612">
        <w:rPr>
          <w:rFonts w:asciiTheme="majorBidi" w:hAnsiTheme="majorBidi" w:cstheme="majorBidi"/>
        </w:rPr>
        <w:t xml:space="preserve"> When comparatively analysing these imperial practices, while the ‘Standard of Civilisation’ provided justification for rule over non-European, when it came to articulating Russians as a people whose historic destiny justified their vast empire and its rule over Europeans as well as non-Europeans, Russian intellectuals </w:t>
      </w:r>
      <w:r w:rsidRPr="00F81612">
        <w:rPr>
          <w:rFonts w:asciiTheme="majorBidi" w:hAnsiTheme="majorBidi" w:cstheme="majorBidi"/>
        </w:rPr>
        <w:lastRenderedPageBreak/>
        <w:t>turned to the nationalist discourses that increasingly redefining political legitimacy in Europe and beyond.</w:t>
      </w:r>
      <w:r w:rsidRPr="00F81612">
        <w:rPr>
          <w:rFonts w:asciiTheme="majorBidi" w:hAnsiTheme="majorBidi" w:cstheme="majorBidi"/>
          <w:vertAlign w:val="superscript"/>
        </w:rPr>
        <w:footnoteReference w:id="217"/>
      </w:r>
    </w:p>
    <w:p w14:paraId="568C6EDF"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Forged in the mid-nineteenth century, this nationalistic vision posited three distinct types of Russians – the ‘Great Russians’, the ‘White Russians’ (Belarusians), and the ‘Little Russians’ (Ukrainians).</w:t>
      </w:r>
      <w:r w:rsidRPr="00F81612">
        <w:rPr>
          <w:rFonts w:asciiTheme="majorBidi" w:hAnsiTheme="majorBidi" w:cstheme="majorBidi"/>
          <w:vertAlign w:val="superscript"/>
        </w:rPr>
        <w:footnoteReference w:id="218"/>
      </w:r>
      <w:r w:rsidRPr="00F81612">
        <w:rPr>
          <w:rFonts w:asciiTheme="majorBidi" w:hAnsiTheme="majorBidi" w:cstheme="majorBidi"/>
        </w:rPr>
        <w:t xml:space="preserve"> A central feature of this mythmaking was envisioning a national homeland from which a vast empire originated from; a function served by invocations of the medieval Kyivan Rus as a land inhabited by the ‘Little Russians’ who were fundamentally bound to the empire-building ‘Great Russians’ who mastered the worlds of steppe and forest.</w:t>
      </w:r>
      <w:r w:rsidRPr="00F81612">
        <w:rPr>
          <w:rFonts w:asciiTheme="majorBidi" w:hAnsiTheme="majorBidi" w:cstheme="majorBidi"/>
          <w:vertAlign w:val="superscript"/>
        </w:rPr>
        <w:footnoteReference w:id="219"/>
      </w:r>
      <w:r w:rsidRPr="00F81612">
        <w:rPr>
          <w:rFonts w:asciiTheme="majorBidi" w:hAnsiTheme="majorBidi" w:cstheme="majorBidi"/>
        </w:rPr>
        <w:t xml:space="preserve"> While these presumptions of ‘three Russians’, drove Russification efforts in the partitioned Commonwealth, there remained the non-Russian zone of partition claimed to be part of the ancient Rus that the Austrian Habsburgs ruled as Galicia.  Given that toleration of diverse ethnicities was a structural feature of the Habsburg state, Polish and Ukrainian intellectuals in Galicia provided influential articulations that fuelled anti-imperial national movements across the former Commonwealth.</w:t>
      </w:r>
      <w:r w:rsidRPr="00F81612">
        <w:rPr>
          <w:rFonts w:asciiTheme="majorBidi" w:hAnsiTheme="majorBidi" w:cstheme="majorBidi"/>
          <w:vertAlign w:val="superscript"/>
        </w:rPr>
        <w:footnoteReference w:id="220"/>
      </w:r>
      <w:r w:rsidRPr="00F81612">
        <w:rPr>
          <w:rFonts w:asciiTheme="majorBidi" w:hAnsiTheme="majorBidi" w:cstheme="majorBidi"/>
        </w:rPr>
        <w:t xml:space="preserve"> Amongst the latter, a major focus was the proclamation of a national identity that firmly distinguished Ukrainians from Russians.</w:t>
      </w:r>
      <w:r w:rsidRPr="00F81612">
        <w:rPr>
          <w:rFonts w:asciiTheme="majorBidi" w:hAnsiTheme="majorBidi" w:cstheme="majorBidi"/>
          <w:vertAlign w:val="superscript"/>
        </w:rPr>
        <w:footnoteReference w:id="221"/>
      </w:r>
      <w:r w:rsidRPr="00F81612">
        <w:rPr>
          <w:rFonts w:asciiTheme="majorBidi" w:hAnsiTheme="majorBidi" w:cstheme="majorBidi"/>
        </w:rPr>
        <w:t xml:space="preserve"> From the perspective of Russian nationalism, it was patently intolerable that ‘Little Russians’ in former portions of the ancient Rus were developing an identity that disavowed belonging to Russia.</w:t>
      </w:r>
      <w:r w:rsidRPr="00F81612">
        <w:rPr>
          <w:rFonts w:asciiTheme="majorBidi" w:hAnsiTheme="majorBidi" w:cstheme="majorBidi"/>
          <w:vertAlign w:val="superscript"/>
        </w:rPr>
        <w:footnoteReference w:id="222"/>
      </w:r>
      <w:r w:rsidRPr="00F81612">
        <w:rPr>
          <w:rFonts w:asciiTheme="majorBidi" w:hAnsiTheme="majorBidi" w:cstheme="majorBidi"/>
        </w:rPr>
        <w:t xml:space="preserve"> As such, rival ‘</w:t>
      </w:r>
      <w:proofErr w:type="spellStart"/>
      <w:r w:rsidRPr="00F81612">
        <w:rPr>
          <w:rFonts w:asciiTheme="majorBidi" w:hAnsiTheme="majorBidi" w:cstheme="majorBidi"/>
        </w:rPr>
        <w:t>Ukrainophile</w:t>
      </w:r>
      <w:proofErr w:type="spellEnd"/>
      <w:r w:rsidRPr="00F81612">
        <w:rPr>
          <w:rFonts w:asciiTheme="majorBidi" w:hAnsiTheme="majorBidi" w:cstheme="majorBidi"/>
        </w:rPr>
        <w:t>’ and ‘Russophile’ identities became increasingly sharpened in opposition to one another in both the Habsburg and Russian empires.</w:t>
      </w:r>
      <w:r w:rsidRPr="00F81612">
        <w:rPr>
          <w:rFonts w:asciiTheme="majorBidi" w:hAnsiTheme="majorBidi" w:cstheme="majorBidi"/>
          <w:vertAlign w:val="superscript"/>
        </w:rPr>
        <w:footnoteReference w:id="223"/>
      </w:r>
      <w:r w:rsidRPr="00F81612">
        <w:rPr>
          <w:rFonts w:asciiTheme="majorBidi" w:hAnsiTheme="majorBidi" w:cstheme="majorBidi"/>
        </w:rPr>
        <w:t xml:space="preserve"> </w:t>
      </w:r>
    </w:p>
    <w:p w14:paraId="64864FE7" w14:textId="22EA295E"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Further refining Russia’s imperial politics of ethnicity, the presumption of ‘three Russians’ </w:t>
      </w:r>
      <w:r w:rsidR="00C92056" w:rsidRPr="00F81612">
        <w:rPr>
          <w:rFonts w:asciiTheme="majorBidi" w:hAnsiTheme="majorBidi" w:cstheme="majorBidi"/>
        </w:rPr>
        <w:t>informed distinctly</w:t>
      </w:r>
      <w:r w:rsidRPr="00F81612">
        <w:rPr>
          <w:rFonts w:asciiTheme="majorBidi" w:hAnsiTheme="majorBidi" w:cstheme="majorBidi"/>
        </w:rPr>
        <w:t xml:space="preserve"> Russian articulations of ‘Pan-Slavism’, a belief in the common destiny of all Slavic peoples. In its Russian version, Pan-Slavism declared the Russian Empire the prime agent in realising this destiny.</w:t>
      </w:r>
      <w:r w:rsidRPr="00F81612">
        <w:rPr>
          <w:rFonts w:asciiTheme="majorBidi" w:hAnsiTheme="majorBidi" w:cstheme="majorBidi"/>
          <w:vertAlign w:val="superscript"/>
        </w:rPr>
        <w:footnoteReference w:id="224"/>
      </w:r>
      <w:r w:rsidRPr="00F81612">
        <w:rPr>
          <w:rFonts w:asciiTheme="majorBidi" w:hAnsiTheme="majorBidi" w:cstheme="majorBidi"/>
        </w:rPr>
        <w:t xml:space="preserve"> From this perspective, while all Slavs fell into this vision on some level, and all subject peoples of the Russian Empire were ultimately part of the Great </w:t>
      </w:r>
      <w:r w:rsidRPr="00F81612">
        <w:rPr>
          <w:rFonts w:asciiTheme="majorBidi" w:hAnsiTheme="majorBidi" w:cstheme="majorBidi"/>
        </w:rPr>
        <w:lastRenderedPageBreak/>
        <w:t>Russian championing of Slavdom, Ukrainians as ‘Little Russians’ proved an exceptional point of fixation. A</w:t>
      </w:r>
      <w:r w:rsidR="00821B93">
        <w:rPr>
          <w:rFonts w:asciiTheme="majorBidi" w:hAnsiTheme="majorBidi" w:cstheme="majorBidi"/>
        </w:rPr>
        <w:t>ccording to</w:t>
      </w:r>
      <w:r w:rsidRPr="00F81612">
        <w:rPr>
          <w:rFonts w:asciiTheme="majorBidi" w:hAnsiTheme="majorBidi" w:cstheme="majorBidi"/>
        </w:rPr>
        <w:t xml:space="preserve"> Eugene Finkel, for Russia, “Polish, Jewish, Baltic, and other national projects were external challenges: threatening, but expected and natural…Ukrainian nationalism, on the other hand, was treason from within.”</w:t>
      </w:r>
      <w:r w:rsidRPr="00F81612">
        <w:rPr>
          <w:rFonts w:asciiTheme="majorBidi" w:hAnsiTheme="majorBidi" w:cstheme="majorBidi"/>
          <w:vertAlign w:val="superscript"/>
        </w:rPr>
        <w:footnoteReference w:id="225"/>
      </w:r>
      <w:r w:rsidRPr="00F81612">
        <w:rPr>
          <w:rFonts w:asciiTheme="majorBidi" w:hAnsiTheme="majorBidi" w:cstheme="majorBidi"/>
        </w:rPr>
        <w:t xml:space="preserve"> Devising justifications for conduct according to this notion, Nikolai Danilevskii, the most influential articulator of Russian Pan-Slavism and author of its defining 1869 manifesto </w:t>
      </w:r>
      <w:r w:rsidRPr="00F81612">
        <w:rPr>
          <w:rFonts w:asciiTheme="majorBidi" w:hAnsiTheme="majorBidi" w:cstheme="majorBidi"/>
          <w:i/>
          <w:iCs/>
        </w:rPr>
        <w:t>Russia and Europe</w:t>
      </w:r>
      <w:r w:rsidRPr="00F81612">
        <w:rPr>
          <w:rFonts w:asciiTheme="majorBidi" w:hAnsiTheme="majorBidi" w:cstheme="majorBidi"/>
        </w:rPr>
        <w:t>, used the foundations of this theory to attack  positive international law as inherently anti-Russian.</w:t>
      </w:r>
      <w:r w:rsidRPr="00F81612">
        <w:rPr>
          <w:rFonts w:asciiTheme="majorBidi" w:hAnsiTheme="majorBidi" w:cstheme="majorBidi"/>
          <w:vertAlign w:val="superscript"/>
        </w:rPr>
        <w:footnoteReference w:id="226"/>
      </w:r>
      <w:r w:rsidRPr="00F81612">
        <w:rPr>
          <w:rFonts w:asciiTheme="majorBidi" w:hAnsiTheme="majorBidi" w:cstheme="majorBidi"/>
        </w:rPr>
        <w:t xml:space="preserve"> </w:t>
      </w:r>
    </w:p>
    <w:p w14:paraId="0FB44A88"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Amongst several points, he proclaimed that, although Russia was unfairly blamed, Prussia and Austria were the two villains of the partitions of the Polish-Lithuanian Commonwealth, for Russia did not destroy a unique nation but merely assumed rightful ownership of Russian lands and subjects in “…fulfilment of a scared duty before its own descendants.”</w:t>
      </w:r>
      <w:r w:rsidRPr="00F81612">
        <w:rPr>
          <w:rFonts w:asciiTheme="majorBidi" w:hAnsiTheme="majorBidi" w:cstheme="majorBidi"/>
          <w:vertAlign w:val="superscript"/>
        </w:rPr>
        <w:footnoteReference w:id="227"/>
      </w:r>
      <w:r w:rsidRPr="00F81612">
        <w:rPr>
          <w:rFonts w:asciiTheme="majorBidi" w:hAnsiTheme="majorBidi" w:cstheme="majorBidi"/>
        </w:rPr>
        <w:t xml:space="preserve"> Such disdain for Prussia and Austria informed his greater condemnation of German colonisation of Eastern lands, as demonstrated by the Teutonic Order’s crusades in the Baltic.</w:t>
      </w:r>
      <w:r w:rsidRPr="00F81612">
        <w:rPr>
          <w:rFonts w:asciiTheme="majorBidi" w:hAnsiTheme="majorBidi" w:cstheme="majorBidi"/>
          <w:vertAlign w:val="superscript"/>
        </w:rPr>
        <w:footnoteReference w:id="228"/>
      </w:r>
      <w:r w:rsidRPr="00F81612">
        <w:rPr>
          <w:rFonts w:asciiTheme="majorBidi" w:hAnsiTheme="majorBidi" w:cstheme="majorBidi"/>
        </w:rPr>
        <w:t xml:space="preserve"> Subsequently, in perhaps his most direct condemnation of international law, </w:t>
      </w:r>
      <w:proofErr w:type="spellStart"/>
      <w:r w:rsidRPr="00F81612">
        <w:rPr>
          <w:rFonts w:asciiTheme="majorBidi" w:hAnsiTheme="majorBidi" w:cstheme="majorBidi"/>
        </w:rPr>
        <w:t>Danilevskii</w:t>
      </w:r>
      <w:proofErr w:type="spellEnd"/>
      <w:r w:rsidRPr="00F81612">
        <w:rPr>
          <w:rFonts w:asciiTheme="majorBidi" w:hAnsiTheme="majorBidi" w:cstheme="majorBidi"/>
        </w:rPr>
        <w:t xml:space="preserve"> could not tolerate how Russia’s authority in determining the terms of its victory over the Ottoman Empire in 1878 was limited by the other European powers via the Congress of Berlin.</w:t>
      </w:r>
      <w:r w:rsidRPr="00F81612">
        <w:rPr>
          <w:rFonts w:asciiTheme="majorBidi" w:hAnsiTheme="majorBidi" w:cstheme="majorBidi"/>
          <w:vertAlign w:val="superscript"/>
        </w:rPr>
        <w:footnoteReference w:id="229"/>
      </w:r>
      <w:r w:rsidRPr="00F81612">
        <w:rPr>
          <w:rFonts w:asciiTheme="majorBidi" w:hAnsiTheme="majorBidi" w:cstheme="majorBidi"/>
        </w:rPr>
        <w:t xml:space="preserve"> This, he claimed, was proof that Russian adherence to international law (something he claimed it flawlessly abided by) would only lead to complicity in its own exploitation by Western Europe.</w:t>
      </w:r>
      <w:r w:rsidRPr="00F81612">
        <w:rPr>
          <w:rFonts w:asciiTheme="majorBidi" w:hAnsiTheme="majorBidi" w:cstheme="majorBidi"/>
          <w:vertAlign w:val="superscript"/>
        </w:rPr>
        <w:footnoteReference w:id="230"/>
      </w:r>
      <w:r w:rsidRPr="00F81612">
        <w:rPr>
          <w:rFonts w:asciiTheme="majorBidi" w:hAnsiTheme="majorBidi" w:cstheme="majorBidi"/>
        </w:rPr>
        <w:t xml:space="preserve"> </w:t>
      </w:r>
    </w:p>
    <w:p w14:paraId="129BEF51"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Such condemnation bolstered his larger point that the highest authority in determining Russian territorial claims was Russia’s own unique sense of purpose. In describing the denial of claims based on past patterns of rule as the burying of ‘historical corpses’, </w:t>
      </w:r>
      <w:proofErr w:type="spellStart"/>
      <w:r w:rsidRPr="00F81612">
        <w:rPr>
          <w:rFonts w:asciiTheme="majorBidi" w:hAnsiTheme="majorBidi" w:cstheme="majorBidi"/>
        </w:rPr>
        <w:t>Danilevskii</w:t>
      </w:r>
      <w:proofErr w:type="spellEnd"/>
      <w:r w:rsidRPr="00F81612">
        <w:rPr>
          <w:rFonts w:asciiTheme="majorBidi" w:hAnsiTheme="majorBidi" w:cstheme="majorBidi"/>
        </w:rPr>
        <w:t xml:space="preserve"> stridently proclaimed that all the lands of the ancient Rus – including Habsburg Galicia – fundamentally belonged to Russia.</w:t>
      </w:r>
      <w:r w:rsidRPr="00F81612">
        <w:rPr>
          <w:rFonts w:asciiTheme="majorBidi" w:hAnsiTheme="majorBidi" w:cstheme="majorBidi"/>
          <w:vertAlign w:val="superscript"/>
        </w:rPr>
        <w:footnoteReference w:id="231"/>
      </w:r>
      <w:r w:rsidRPr="00F81612">
        <w:rPr>
          <w:rFonts w:asciiTheme="majorBidi" w:hAnsiTheme="majorBidi" w:cstheme="majorBidi"/>
        </w:rPr>
        <w:t xml:space="preserve"> Underscoring the profoundly imperial nature of his nationalist vision, </w:t>
      </w:r>
      <w:proofErr w:type="spellStart"/>
      <w:r w:rsidRPr="00F81612">
        <w:rPr>
          <w:rFonts w:asciiTheme="majorBidi" w:hAnsiTheme="majorBidi" w:cstheme="majorBidi"/>
        </w:rPr>
        <w:t>Danilevskii</w:t>
      </w:r>
      <w:proofErr w:type="spellEnd"/>
      <w:r w:rsidRPr="00F81612">
        <w:rPr>
          <w:rFonts w:asciiTheme="majorBidi" w:hAnsiTheme="majorBidi" w:cstheme="majorBidi"/>
        </w:rPr>
        <w:t xml:space="preserve"> glossed over Russia’s many instances of dominating non-Slavic subjects as </w:t>
      </w:r>
      <w:r w:rsidRPr="00F81612">
        <w:rPr>
          <w:rFonts w:asciiTheme="majorBidi" w:hAnsiTheme="majorBidi" w:cstheme="majorBidi"/>
        </w:rPr>
        <w:lastRenderedPageBreak/>
        <w:t>completely justified, and thus something other than the propping up of ‘historical corpses.’</w:t>
      </w:r>
      <w:r w:rsidRPr="00F81612">
        <w:rPr>
          <w:rFonts w:asciiTheme="majorBidi" w:hAnsiTheme="majorBidi" w:cstheme="majorBidi"/>
          <w:vertAlign w:val="superscript"/>
        </w:rPr>
        <w:footnoteReference w:id="232"/>
      </w:r>
      <w:r w:rsidRPr="00F81612">
        <w:rPr>
          <w:rFonts w:asciiTheme="majorBidi" w:hAnsiTheme="majorBidi" w:cstheme="majorBidi"/>
        </w:rPr>
        <w:t xml:space="preserve"> Here, while </w:t>
      </w:r>
      <w:proofErr w:type="spellStart"/>
      <w:r w:rsidRPr="00F81612">
        <w:rPr>
          <w:rFonts w:asciiTheme="majorBidi" w:hAnsiTheme="majorBidi" w:cstheme="majorBidi"/>
        </w:rPr>
        <w:t>Danilevskii</w:t>
      </w:r>
      <w:proofErr w:type="spellEnd"/>
      <w:r w:rsidRPr="00F81612">
        <w:rPr>
          <w:rFonts w:asciiTheme="majorBidi" w:hAnsiTheme="majorBidi" w:cstheme="majorBidi"/>
        </w:rPr>
        <w:t xml:space="preserve"> proclaimed Russia to be fundamentally distinct from Europe – and attacked Russian adherence to international legality on this basis – he could not help but make proclamations central to models of European imperialism justified through international law. In defending of Russia’s vast expansion, he stated that: “[a]bout Siberia there is nothing to say…Where are the conquered peoples and toppled kingdoms? All it takes is to count how many Russians there are in Siberia, and how many non-Russians, </w:t>
      </w:r>
      <w:proofErr w:type="gramStart"/>
      <w:r w:rsidRPr="00F81612">
        <w:rPr>
          <w:rFonts w:asciiTheme="majorBidi" w:hAnsiTheme="majorBidi" w:cstheme="majorBidi"/>
        </w:rPr>
        <w:t>in order to</w:t>
      </w:r>
      <w:proofErr w:type="gramEnd"/>
      <w:r w:rsidRPr="00F81612">
        <w:rPr>
          <w:rFonts w:asciiTheme="majorBidi" w:hAnsiTheme="majorBidi" w:cstheme="majorBidi"/>
        </w:rPr>
        <w:t xml:space="preserve"> understand that most of it was the occupation of empty lands.”</w:t>
      </w:r>
      <w:r w:rsidRPr="00F81612">
        <w:rPr>
          <w:rFonts w:asciiTheme="majorBidi" w:hAnsiTheme="majorBidi" w:cstheme="majorBidi"/>
          <w:vertAlign w:val="superscript"/>
        </w:rPr>
        <w:t xml:space="preserve"> </w:t>
      </w:r>
      <w:r w:rsidRPr="00F81612">
        <w:rPr>
          <w:rFonts w:asciiTheme="majorBidi" w:hAnsiTheme="majorBidi" w:cstheme="majorBidi"/>
          <w:vertAlign w:val="superscript"/>
        </w:rPr>
        <w:footnoteReference w:id="233"/>
      </w:r>
      <w:r w:rsidRPr="00F81612">
        <w:rPr>
          <w:rFonts w:asciiTheme="majorBidi" w:hAnsiTheme="majorBidi" w:cstheme="majorBidi"/>
        </w:rPr>
        <w:t xml:space="preserve"> Russia’s vast extent across spaces of steppe and forest was thus a naturalised assumption for </w:t>
      </w:r>
      <w:proofErr w:type="spellStart"/>
      <w:r w:rsidRPr="00F81612">
        <w:rPr>
          <w:rFonts w:asciiTheme="majorBidi" w:hAnsiTheme="majorBidi" w:cstheme="majorBidi"/>
        </w:rPr>
        <w:t>Danilevskii</w:t>
      </w:r>
      <w:proofErr w:type="spellEnd"/>
      <w:r w:rsidRPr="00F81612">
        <w:rPr>
          <w:rFonts w:asciiTheme="majorBidi" w:hAnsiTheme="majorBidi" w:cstheme="majorBidi"/>
        </w:rPr>
        <w:t xml:space="preserve">; ancient Rus was the seed that sprouted this tree.  </w:t>
      </w:r>
    </w:p>
    <w:p w14:paraId="0338BAD7" w14:textId="77777777" w:rsidR="00F81612" w:rsidRPr="00F81612" w:rsidRDefault="00F81612" w:rsidP="00F81612">
      <w:pPr>
        <w:spacing w:line="360" w:lineRule="auto"/>
        <w:jc w:val="both"/>
        <w:rPr>
          <w:rFonts w:asciiTheme="majorBidi" w:hAnsiTheme="majorBidi" w:cstheme="majorBidi"/>
        </w:rPr>
      </w:pPr>
      <w:r w:rsidRPr="00F81612">
        <w:rPr>
          <w:rFonts w:asciiTheme="majorBidi" w:hAnsiTheme="majorBidi" w:cstheme="majorBidi"/>
        </w:rPr>
        <w:t xml:space="preserve"> </w:t>
      </w:r>
    </w:p>
    <w:p w14:paraId="3264775D" w14:textId="7E58C094" w:rsidR="00F81612" w:rsidRPr="00A416F4" w:rsidRDefault="00F81612" w:rsidP="00A416F4">
      <w:pPr>
        <w:pStyle w:val="ListParagraph"/>
        <w:numPr>
          <w:ilvl w:val="0"/>
          <w:numId w:val="2"/>
        </w:numPr>
        <w:spacing w:line="360" w:lineRule="auto"/>
        <w:jc w:val="both"/>
        <w:rPr>
          <w:rFonts w:asciiTheme="majorBidi" w:hAnsiTheme="majorBidi" w:cstheme="majorBidi"/>
          <w:b/>
          <w:bCs/>
        </w:rPr>
      </w:pPr>
      <w:r w:rsidRPr="00A416F4">
        <w:rPr>
          <w:rFonts w:asciiTheme="majorBidi" w:hAnsiTheme="majorBidi" w:cstheme="majorBidi"/>
          <w:b/>
          <w:bCs/>
        </w:rPr>
        <w:t xml:space="preserve">Conclusion </w:t>
      </w:r>
    </w:p>
    <w:p w14:paraId="71C8E9F0" w14:textId="6DBFE320" w:rsidR="00F81612" w:rsidRPr="00F81612" w:rsidRDefault="00F81612" w:rsidP="00821B93">
      <w:pPr>
        <w:shd w:val="clear" w:color="auto" w:fill="FFFFFF"/>
        <w:spacing w:after="0" w:line="360" w:lineRule="auto"/>
        <w:jc w:val="both"/>
        <w:textAlignment w:val="baseline"/>
        <w:rPr>
          <w:rFonts w:ascii="Times New Roman" w:eastAsia="Times New Roman" w:hAnsi="Times New Roman" w:cs="Times New Roman"/>
          <w:color w:val="000000"/>
          <w:kern w:val="0"/>
          <w14:ligatures w14:val="none"/>
        </w:rPr>
      </w:pPr>
      <w:r w:rsidRPr="00F81612">
        <w:rPr>
          <w:rFonts w:ascii="Times New Roman" w:eastAsia="Times New Roman" w:hAnsi="Times New Roman" w:cs="Times New Roman"/>
          <w:color w:val="000000"/>
          <w:kern w:val="0"/>
          <w14:ligatures w14:val="none"/>
        </w:rPr>
        <w:t xml:space="preserve">Given how an alternative geography of international law centred on the ‘Second World’ can ground a new deep history, I conclude this piece where it began – with Putin’s rejection of international law’s ability to constrain his use of force coupled with his denial of Ukrainian sovereignty-cum-identity. Why exactly does Putin sound so much like </w:t>
      </w:r>
      <w:proofErr w:type="spellStart"/>
      <w:r w:rsidRPr="00F81612">
        <w:rPr>
          <w:rFonts w:ascii="Times New Roman" w:eastAsia="Times New Roman" w:hAnsi="Times New Roman" w:cs="Times New Roman"/>
          <w:color w:val="000000"/>
          <w:kern w:val="0"/>
          <w14:ligatures w14:val="none"/>
        </w:rPr>
        <w:t>Danilevskii</w:t>
      </w:r>
      <w:proofErr w:type="spellEnd"/>
      <w:r w:rsidRPr="00F81612">
        <w:rPr>
          <w:rFonts w:ascii="Times New Roman" w:eastAsia="Times New Roman" w:hAnsi="Times New Roman" w:cs="Times New Roman"/>
          <w:color w:val="000000"/>
          <w:kern w:val="0"/>
          <w14:ligatures w14:val="none"/>
        </w:rPr>
        <w:t xml:space="preserve"> in this regard? Both adhere to a similar structure of argument that deems international legal standards to be optional if they conflict with a conception of what Russia deems a sacrosanct matter of ethnic destiny. While Russia’s geopolitical identity is complex, a persistent fixation in its </w:t>
      </w:r>
      <w:r w:rsidR="00741A4C" w:rsidRPr="00F81612">
        <w:rPr>
          <w:rFonts w:ascii="Times New Roman" w:eastAsia="Times New Roman" w:hAnsi="Times New Roman" w:cs="Times New Roman"/>
          <w:color w:val="000000"/>
          <w:kern w:val="0"/>
          <w14:ligatures w14:val="none"/>
        </w:rPr>
        <w:t>varied constructions</w:t>
      </w:r>
      <w:r w:rsidRPr="00F81612">
        <w:rPr>
          <w:rFonts w:ascii="Times New Roman" w:eastAsia="Times New Roman" w:hAnsi="Times New Roman" w:cs="Times New Roman"/>
          <w:color w:val="000000"/>
          <w:kern w:val="0"/>
          <w14:ligatures w14:val="none"/>
        </w:rPr>
        <w:t xml:space="preserve"> is that Ukrainians and Russians must be ‘one people.’ One hundred and forty-five incomprehensibly consequential years separate the publication of </w:t>
      </w:r>
      <w:proofErr w:type="spellStart"/>
      <w:r w:rsidRPr="00F81612">
        <w:rPr>
          <w:rFonts w:ascii="Times New Roman" w:eastAsia="Times New Roman" w:hAnsi="Times New Roman" w:cs="Times New Roman"/>
          <w:color w:val="000000"/>
          <w:kern w:val="0"/>
          <w14:ligatures w14:val="none"/>
        </w:rPr>
        <w:t>Danilevskii’s</w:t>
      </w:r>
      <w:proofErr w:type="spellEnd"/>
      <w:r w:rsidRPr="00F81612">
        <w:rPr>
          <w:rFonts w:ascii="Times New Roman" w:eastAsia="Times New Roman" w:hAnsi="Times New Roman" w:cs="Times New Roman"/>
          <w:color w:val="000000"/>
          <w:kern w:val="0"/>
          <w14:ligatures w14:val="none"/>
        </w:rPr>
        <w:t xml:space="preserve"> </w:t>
      </w:r>
      <w:r w:rsidRPr="00F81612">
        <w:rPr>
          <w:rFonts w:ascii="Times New Roman" w:eastAsia="Times New Roman" w:hAnsi="Times New Roman" w:cs="Times New Roman"/>
          <w:i/>
          <w:iCs/>
          <w:color w:val="000000"/>
          <w:kern w:val="0"/>
          <w14:ligatures w14:val="none"/>
        </w:rPr>
        <w:t>Russia and Europe</w:t>
      </w:r>
      <w:r w:rsidRPr="00F81612">
        <w:rPr>
          <w:rFonts w:ascii="Times New Roman" w:eastAsia="Times New Roman" w:hAnsi="Times New Roman" w:cs="Times New Roman"/>
          <w:color w:val="000000"/>
          <w:kern w:val="0"/>
          <w14:ligatures w14:val="none"/>
        </w:rPr>
        <w:t xml:space="preserve"> and Putin’s full-scale invasion of Ukraine, but similar fixations nevertheless remain. Why, after the two World Wars, the Bolshevik Revolution, the Cold War, and the (re)independence of former Commonwealth lands via Poland, Lithuania, Belarus, and Ukraine, did a discourse of </w:t>
      </w:r>
      <w:proofErr w:type="spellStart"/>
      <w:r w:rsidRPr="00F81612">
        <w:rPr>
          <w:rFonts w:ascii="Times New Roman" w:eastAsia="Times New Roman" w:hAnsi="Times New Roman" w:cs="Times New Roman"/>
          <w:color w:val="000000"/>
          <w:kern w:val="0"/>
          <w14:ligatures w14:val="none"/>
        </w:rPr>
        <w:t>Panslavism</w:t>
      </w:r>
      <w:proofErr w:type="spellEnd"/>
      <w:r w:rsidRPr="00F81612">
        <w:rPr>
          <w:rFonts w:ascii="Times New Roman" w:eastAsia="Times New Roman" w:hAnsi="Times New Roman" w:cs="Times New Roman"/>
          <w:color w:val="000000"/>
          <w:kern w:val="0"/>
          <w14:ligatures w14:val="none"/>
        </w:rPr>
        <w:t xml:space="preserve"> proliferate in post-Soviet Russia to the extent that some of its sticking points, especially regarding Ukraine, became strong enough to become Putin’s ironclad state policy?</w:t>
      </w:r>
      <w:r w:rsidRPr="00F81612">
        <w:rPr>
          <w:rFonts w:ascii="Times New Roman" w:eastAsia="Times New Roman" w:hAnsi="Times New Roman" w:cs="Times New Roman"/>
          <w:color w:val="000000"/>
          <w:kern w:val="0"/>
          <w:vertAlign w:val="superscript"/>
          <w14:ligatures w14:val="none"/>
        </w:rPr>
        <w:footnoteReference w:id="234"/>
      </w:r>
      <w:r w:rsidRPr="00F81612">
        <w:rPr>
          <w:rFonts w:ascii="Times New Roman" w:eastAsia="Times New Roman" w:hAnsi="Times New Roman" w:cs="Times New Roman"/>
          <w:color w:val="000000"/>
          <w:kern w:val="0"/>
          <w14:ligatures w14:val="none"/>
        </w:rPr>
        <w:t xml:space="preserve"> </w:t>
      </w:r>
    </w:p>
    <w:p w14:paraId="4050F126" w14:textId="0F676C68" w:rsidR="00F81612" w:rsidRPr="00F81612" w:rsidRDefault="00F81612" w:rsidP="00821B93">
      <w:pPr>
        <w:shd w:val="clear" w:color="auto" w:fill="FFFFFF"/>
        <w:spacing w:after="0" w:line="360" w:lineRule="auto"/>
        <w:jc w:val="both"/>
        <w:textAlignment w:val="baseline"/>
        <w:rPr>
          <w:rFonts w:ascii="Times New Roman" w:eastAsia="Times New Roman" w:hAnsi="Times New Roman" w:cs="Times New Roman"/>
          <w:color w:val="000000"/>
          <w:kern w:val="0"/>
          <w14:ligatures w14:val="none"/>
        </w:rPr>
      </w:pPr>
      <w:r w:rsidRPr="00F81612">
        <w:rPr>
          <w:rFonts w:ascii="Times New Roman" w:eastAsia="Times New Roman" w:hAnsi="Times New Roman" w:cs="Times New Roman"/>
          <w:color w:val="000000"/>
          <w:kern w:val="0"/>
          <w14:ligatures w14:val="none"/>
        </w:rPr>
        <w:lastRenderedPageBreak/>
        <w:t xml:space="preserve">Any endeavour to address this question would be aided immensely by studying how events within the past one hundred and forty-five years – and their impact on both the region and the development of international law – might explain Putin’s seeming reception (implicit or otherwise) of </w:t>
      </w:r>
      <w:proofErr w:type="spellStart"/>
      <w:r w:rsidRPr="00F81612">
        <w:rPr>
          <w:rFonts w:ascii="Times New Roman" w:eastAsia="Times New Roman" w:hAnsi="Times New Roman" w:cs="Times New Roman"/>
          <w:color w:val="000000"/>
          <w:kern w:val="0"/>
          <w14:ligatures w14:val="none"/>
        </w:rPr>
        <w:t>Danilevskii</w:t>
      </w:r>
      <w:proofErr w:type="spellEnd"/>
      <w:r w:rsidRPr="00F81612">
        <w:rPr>
          <w:rFonts w:ascii="Times New Roman" w:eastAsia="Times New Roman" w:hAnsi="Times New Roman" w:cs="Times New Roman"/>
          <w:color w:val="000000"/>
          <w:kern w:val="0"/>
          <w14:ligatures w14:val="none"/>
        </w:rPr>
        <w:t xml:space="preserve">. Through this piece, I took a different approach by broadly detailing the historical geography of forces that led up to </w:t>
      </w:r>
      <w:proofErr w:type="spellStart"/>
      <w:r w:rsidRPr="00F81612">
        <w:rPr>
          <w:rFonts w:ascii="Times New Roman" w:eastAsia="Times New Roman" w:hAnsi="Times New Roman" w:cs="Times New Roman"/>
          <w:color w:val="000000"/>
          <w:kern w:val="0"/>
          <w14:ligatures w14:val="none"/>
        </w:rPr>
        <w:t>Danilevskii</w:t>
      </w:r>
      <w:proofErr w:type="spellEnd"/>
      <w:r w:rsidRPr="00F81612">
        <w:rPr>
          <w:rFonts w:ascii="Times New Roman" w:eastAsia="Times New Roman" w:hAnsi="Times New Roman" w:cs="Times New Roman"/>
          <w:color w:val="000000"/>
          <w:kern w:val="0"/>
          <w14:ligatures w14:val="none"/>
        </w:rPr>
        <w:t xml:space="preserve"> making the articulations he did. Finding a historical entry point was simple. After all, when understanding the core fixation of </w:t>
      </w:r>
      <w:proofErr w:type="spellStart"/>
      <w:r w:rsidRPr="00F81612">
        <w:rPr>
          <w:rFonts w:ascii="Times New Roman" w:eastAsia="Times New Roman" w:hAnsi="Times New Roman" w:cs="Times New Roman"/>
          <w:color w:val="000000"/>
          <w:kern w:val="0"/>
          <w14:ligatures w14:val="none"/>
        </w:rPr>
        <w:t>Danilevskii</w:t>
      </w:r>
      <w:proofErr w:type="spellEnd"/>
      <w:r w:rsidRPr="00F81612">
        <w:rPr>
          <w:rFonts w:ascii="Times New Roman" w:eastAsia="Times New Roman" w:hAnsi="Times New Roman" w:cs="Times New Roman"/>
          <w:color w:val="000000"/>
          <w:kern w:val="0"/>
          <w14:ligatures w14:val="none"/>
        </w:rPr>
        <w:t xml:space="preserve"> and Putin, all roads lead, not to the ‘Third Rome’, but to the Kyivan Rus that some believe the ‘Third Rome’ ultimately derived its significance from. On this point, if there is any truth to the arguments that </w:t>
      </w:r>
      <w:proofErr w:type="spellStart"/>
      <w:r w:rsidRPr="00F81612">
        <w:rPr>
          <w:rFonts w:ascii="Times New Roman" w:eastAsia="Times New Roman" w:hAnsi="Times New Roman" w:cs="Times New Roman"/>
          <w:color w:val="000000"/>
          <w:kern w:val="0"/>
          <w14:ligatures w14:val="none"/>
        </w:rPr>
        <w:t>Danilevskii’s</w:t>
      </w:r>
      <w:proofErr w:type="spellEnd"/>
      <w:r w:rsidRPr="00F81612">
        <w:rPr>
          <w:rFonts w:ascii="Times New Roman" w:eastAsia="Times New Roman" w:hAnsi="Times New Roman" w:cs="Times New Roman"/>
          <w:color w:val="000000"/>
          <w:kern w:val="0"/>
          <w14:ligatures w14:val="none"/>
        </w:rPr>
        <w:t xml:space="preserve"> </w:t>
      </w:r>
      <w:r w:rsidRPr="00F81612">
        <w:rPr>
          <w:rFonts w:ascii="Times New Roman" w:eastAsia="Times New Roman" w:hAnsi="Times New Roman" w:cs="Times New Roman"/>
          <w:i/>
          <w:iCs/>
          <w:color w:val="000000"/>
          <w:kern w:val="0"/>
          <w14:ligatures w14:val="none"/>
        </w:rPr>
        <w:t>Pan-Slavism</w:t>
      </w:r>
      <w:r w:rsidRPr="00F81612">
        <w:rPr>
          <w:rFonts w:ascii="Times New Roman" w:eastAsia="Times New Roman" w:hAnsi="Times New Roman" w:cs="Times New Roman"/>
          <w:color w:val="000000"/>
          <w:kern w:val="0"/>
          <w14:ligatures w14:val="none"/>
        </w:rPr>
        <w:t xml:space="preserve"> was both a critique of international legal positivism and some form of ultimate influence on Putin’s understanding of the world, then Putin’s claim that histories of the ancient Rus justify invading Ukraine cannot be challenged through international legal positivism alone. </w:t>
      </w:r>
    </w:p>
    <w:p w14:paraId="7C4020F5" w14:textId="186CEF67" w:rsidR="00F81612" w:rsidRPr="00F81612" w:rsidRDefault="00F81612" w:rsidP="00F81612">
      <w:pPr>
        <w:spacing w:line="360" w:lineRule="auto"/>
        <w:jc w:val="both"/>
        <w:rPr>
          <w:rFonts w:ascii="Times New Roman" w:hAnsi="Times New Roman" w:cs="Times New Roman"/>
        </w:rPr>
      </w:pPr>
      <w:r w:rsidRPr="00F81612">
        <w:rPr>
          <w:rFonts w:ascii="Times New Roman" w:hAnsi="Times New Roman" w:cs="Times New Roman"/>
        </w:rPr>
        <w:t>When faced with this need for expanding the array of engagements, it is true that international lawyers have become increasingly skilled at navigating their field’s past. However, this navigation process has been limited by core presumptions that configure modern international legal origins as Western Europe’s oceanic encounters that revived antiquarian doctrines to justify colonialism. A new spatial orientation can allow the theorisation of international legal origins to go deeper in time and expand consciousness of different forms of empire. Here, focus on Eastern Europe as the westward extent of a continent-spanning swarth of forest and steppe reveals a vast space of intersecting ‘shadow empires’ whereby imperial structures formed in often decentralised capacities and followed different evolutionary trajectories. While the ancient Rus was one such ‘shadow empire</w:t>
      </w:r>
      <w:r w:rsidR="00741A4C" w:rsidRPr="00F81612">
        <w:rPr>
          <w:rFonts w:ascii="Times New Roman" w:hAnsi="Times New Roman" w:cs="Times New Roman"/>
        </w:rPr>
        <w:t>’,</w:t>
      </w:r>
      <w:r w:rsidRPr="00F81612">
        <w:rPr>
          <w:rFonts w:ascii="Times New Roman" w:hAnsi="Times New Roman" w:cs="Times New Roman"/>
        </w:rPr>
        <w:t xml:space="preserve"> these lands became divided between two very different polities that ultimately became the </w:t>
      </w:r>
      <w:proofErr w:type="gramStart"/>
      <w:r w:rsidRPr="00F81612">
        <w:rPr>
          <w:rFonts w:ascii="Times New Roman" w:hAnsi="Times New Roman" w:cs="Times New Roman"/>
        </w:rPr>
        <w:t>Polish-Lithuanian</w:t>
      </w:r>
      <w:proofErr w:type="gramEnd"/>
      <w:r w:rsidRPr="00F81612">
        <w:rPr>
          <w:rFonts w:ascii="Times New Roman" w:hAnsi="Times New Roman" w:cs="Times New Roman"/>
        </w:rPr>
        <w:t xml:space="preserve"> Commonwealth and the Russian Empire. To focus on Rus is to ascribe immense meaning to these histories.</w:t>
      </w:r>
    </w:p>
    <w:p w14:paraId="799F424F" w14:textId="17967DE7" w:rsidR="00A048C7" w:rsidRPr="00F81612" w:rsidRDefault="00F81612" w:rsidP="00A048C7">
      <w:pPr>
        <w:shd w:val="clear" w:color="auto" w:fill="FFFFFF"/>
        <w:spacing w:after="0" w:line="360" w:lineRule="auto"/>
        <w:jc w:val="both"/>
        <w:textAlignment w:val="baseline"/>
        <w:rPr>
          <w:rFonts w:ascii="Times New Roman" w:eastAsia="Times New Roman" w:hAnsi="Times New Roman" w:cs="Times New Roman"/>
          <w:color w:val="000000"/>
          <w:kern w:val="0"/>
          <w14:ligatures w14:val="none"/>
        </w:rPr>
      </w:pPr>
      <w:r w:rsidRPr="00F81612">
        <w:rPr>
          <w:rFonts w:ascii="Times New Roman" w:eastAsia="Times New Roman" w:hAnsi="Times New Roman" w:cs="Times New Roman"/>
          <w:color w:val="000000"/>
          <w:kern w:val="0"/>
          <w14:ligatures w14:val="none"/>
        </w:rPr>
        <w:t>In centring Eastern Europe in this way, I present understandings of empire different from those that inhabit most critical histories of international law. Why is such an introduction of new histories and geographies of empire into the international legal corpus desirable, especially if it stretches conceptions of what international law is typically understood to be? On this point, the context of global geopolitics means a great deal. In the 1990s and early 2000s, TWAIL emerged to epistemically challenge the seemingly unquestionable hegemony of Western dominance.</w:t>
      </w:r>
      <w:r w:rsidRPr="00F81612">
        <w:rPr>
          <w:rFonts w:ascii="Times New Roman" w:eastAsia="Times New Roman" w:hAnsi="Times New Roman" w:cs="Times New Roman"/>
          <w:color w:val="000000"/>
          <w:kern w:val="0"/>
          <w:vertAlign w:val="superscript"/>
          <w14:ligatures w14:val="none"/>
        </w:rPr>
        <w:footnoteReference w:id="235"/>
      </w:r>
      <w:r w:rsidRPr="00F81612">
        <w:rPr>
          <w:rFonts w:ascii="Times New Roman" w:eastAsia="Times New Roman" w:hAnsi="Times New Roman" w:cs="Times New Roman"/>
          <w:color w:val="000000"/>
          <w:kern w:val="0"/>
          <w14:ligatures w14:val="none"/>
        </w:rPr>
        <w:t xml:space="preserve"> At the time, clear lines could be drawn between the rise of maritime empires and </w:t>
      </w:r>
      <w:r w:rsidRPr="00F81612">
        <w:rPr>
          <w:rFonts w:ascii="Times New Roman" w:eastAsia="Times New Roman" w:hAnsi="Times New Roman" w:cs="Times New Roman"/>
          <w:color w:val="000000"/>
          <w:kern w:val="0"/>
          <w14:ligatures w14:val="none"/>
        </w:rPr>
        <w:lastRenderedPageBreak/>
        <w:t>a normative Western default within international legal thought, especially when so many of international law’s canonical sources plainly exposed presumptions of Western European superiority in justifying colonialism.</w:t>
      </w:r>
    </w:p>
    <w:p w14:paraId="50C74533" w14:textId="77777777" w:rsidR="00F81612" w:rsidRPr="00F81612" w:rsidRDefault="00F81612" w:rsidP="00F81612">
      <w:pPr>
        <w:shd w:val="clear" w:color="auto" w:fill="FFFFFF"/>
        <w:spacing w:after="0" w:line="360" w:lineRule="auto"/>
        <w:jc w:val="both"/>
        <w:textAlignment w:val="baseline"/>
        <w:rPr>
          <w:rFonts w:ascii="Times New Roman" w:eastAsia="Times New Roman" w:hAnsi="Times New Roman" w:cs="Times New Roman"/>
          <w:color w:val="000000"/>
          <w:kern w:val="0"/>
          <w14:ligatures w14:val="none"/>
        </w:rPr>
      </w:pPr>
      <w:r w:rsidRPr="00F81612">
        <w:rPr>
          <w:rFonts w:ascii="Times New Roman" w:eastAsia="Times New Roman" w:hAnsi="Times New Roman" w:cs="Times New Roman"/>
          <w:color w:val="000000"/>
          <w:kern w:val="0"/>
          <w14:ligatures w14:val="none"/>
        </w:rPr>
        <w:t xml:space="preserve">However, as the self-proclaimed West faces decline, and actors with different histories and geographies become influential, how should these so-called ‘rising powers’ be theorised </w:t>
      </w:r>
      <w:proofErr w:type="gramStart"/>
      <w:r w:rsidRPr="00F81612">
        <w:rPr>
          <w:rFonts w:ascii="Times New Roman" w:eastAsia="Times New Roman" w:hAnsi="Times New Roman" w:cs="Times New Roman"/>
          <w:color w:val="000000"/>
          <w:kern w:val="0"/>
          <w14:ligatures w14:val="none"/>
        </w:rPr>
        <w:t>in light of</w:t>
      </w:r>
      <w:proofErr w:type="gramEnd"/>
      <w:r w:rsidRPr="00F81612">
        <w:rPr>
          <w:rFonts w:ascii="Times New Roman" w:eastAsia="Times New Roman" w:hAnsi="Times New Roman" w:cs="Times New Roman"/>
          <w:color w:val="000000"/>
          <w:kern w:val="0"/>
          <w14:ligatures w14:val="none"/>
        </w:rPr>
        <w:t xml:space="preserve"> their own imperial legacies? While often proclaiming non-Western identities in opposition to the West, these ‘new’ actors nevertheless share important commonalities with major Western states in that all seem to be experiencing a nostalgia-fixated ‘imperial hangover.’</w:t>
      </w:r>
      <w:r w:rsidRPr="00F81612">
        <w:rPr>
          <w:rFonts w:ascii="Times New Roman" w:eastAsia="Times New Roman" w:hAnsi="Times New Roman" w:cs="Times New Roman"/>
          <w:color w:val="000000"/>
          <w:kern w:val="0"/>
          <w:vertAlign w:val="superscript"/>
          <w14:ligatures w14:val="none"/>
        </w:rPr>
        <w:footnoteReference w:id="236"/>
      </w:r>
      <w:r w:rsidRPr="00F81612">
        <w:rPr>
          <w:rFonts w:ascii="Times New Roman" w:eastAsia="Times New Roman" w:hAnsi="Times New Roman" w:cs="Times New Roman"/>
          <w:color w:val="000000"/>
          <w:kern w:val="0"/>
          <w14:ligatures w14:val="none"/>
        </w:rPr>
        <w:t xml:space="preserve"> Here it makes great sense to engage the prospect of ‘empires of nostalgia’ that Barfield identifies as a manifestation of shadow empire.</w:t>
      </w:r>
      <w:r w:rsidRPr="00F81612">
        <w:rPr>
          <w:rFonts w:ascii="Times New Roman" w:eastAsia="Times New Roman" w:hAnsi="Times New Roman" w:cs="Times New Roman"/>
          <w:color w:val="000000"/>
          <w:kern w:val="0"/>
          <w:vertAlign w:val="superscript"/>
          <w14:ligatures w14:val="none"/>
        </w:rPr>
        <w:footnoteReference w:id="237"/>
      </w:r>
      <w:r w:rsidRPr="00F81612">
        <w:rPr>
          <w:rFonts w:ascii="Times New Roman" w:eastAsia="Times New Roman" w:hAnsi="Times New Roman" w:cs="Times New Roman"/>
          <w:color w:val="000000"/>
          <w:kern w:val="0"/>
          <w14:ligatures w14:val="none"/>
        </w:rPr>
        <w:t xml:space="preserve"> On this point, beyond empires themselves, one cannot ignore  those on the margins and borderlands who have their own identities shaped by engagement with empires, -Western and otherwise.</w:t>
      </w:r>
      <w:r w:rsidRPr="00F81612">
        <w:rPr>
          <w:rFonts w:ascii="Times New Roman" w:eastAsia="Times New Roman" w:hAnsi="Times New Roman" w:cs="Times New Roman"/>
          <w:color w:val="000000"/>
          <w:kern w:val="0"/>
          <w:vertAlign w:val="superscript"/>
          <w14:ligatures w14:val="none"/>
        </w:rPr>
        <w:footnoteReference w:id="238"/>
      </w:r>
      <w:r w:rsidRPr="00F81612">
        <w:rPr>
          <w:rFonts w:ascii="Times New Roman" w:eastAsia="Times New Roman" w:hAnsi="Times New Roman" w:cs="Times New Roman"/>
          <w:color w:val="000000"/>
          <w:kern w:val="0"/>
          <w14:ligatures w14:val="none"/>
        </w:rPr>
        <w:t xml:space="preserve"> This raises the question of what alternative histories and geographies of international law might be best suited to making sense of these varied identities. As I have sought to demonstrate above, to take this point seriously is to imagine immense potential for SWAIL, and its exposure of the significance of ‘shadow empires’, when decoding international legal thought within a perplexing geopolitical present.</w:t>
      </w:r>
    </w:p>
    <w:p w14:paraId="716A7800" w14:textId="77777777" w:rsidR="00D07667" w:rsidRPr="00F81612" w:rsidRDefault="00D07667" w:rsidP="00F81612">
      <w:pPr>
        <w:spacing w:line="360" w:lineRule="auto"/>
        <w:jc w:val="both"/>
        <w:rPr>
          <w:rFonts w:asciiTheme="majorBidi" w:hAnsiTheme="majorBidi" w:cstheme="majorBidi"/>
        </w:rPr>
      </w:pPr>
    </w:p>
    <w:sectPr w:rsidR="00D07667" w:rsidRPr="00F8161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4F4D3" w14:textId="77777777" w:rsidR="0072597C" w:rsidRDefault="0072597C" w:rsidP="00F81612">
      <w:pPr>
        <w:spacing w:after="0" w:line="240" w:lineRule="auto"/>
      </w:pPr>
      <w:r>
        <w:separator/>
      </w:r>
    </w:p>
  </w:endnote>
  <w:endnote w:type="continuationSeparator" w:id="0">
    <w:p w14:paraId="43F6E818" w14:textId="77777777" w:rsidR="0072597C" w:rsidRDefault="0072597C" w:rsidP="00F81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563322"/>
      <w:docPartObj>
        <w:docPartGallery w:val="Page Numbers (Bottom of Page)"/>
        <w:docPartUnique/>
      </w:docPartObj>
    </w:sdtPr>
    <w:sdtEndPr>
      <w:rPr>
        <w:noProof/>
      </w:rPr>
    </w:sdtEndPr>
    <w:sdtContent>
      <w:p w14:paraId="5050372B" w14:textId="7B98D19D" w:rsidR="007C47C0" w:rsidRDefault="007C47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DC61F0" w14:textId="77777777" w:rsidR="007C47C0" w:rsidRDefault="007C4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37264" w14:textId="77777777" w:rsidR="0072597C" w:rsidRDefault="0072597C" w:rsidP="00F81612">
      <w:pPr>
        <w:spacing w:after="0" w:line="240" w:lineRule="auto"/>
      </w:pPr>
      <w:r>
        <w:separator/>
      </w:r>
    </w:p>
  </w:footnote>
  <w:footnote w:type="continuationSeparator" w:id="0">
    <w:p w14:paraId="77152D3F" w14:textId="77777777" w:rsidR="0072597C" w:rsidRDefault="0072597C" w:rsidP="00F81612">
      <w:pPr>
        <w:spacing w:after="0" w:line="240" w:lineRule="auto"/>
      </w:pPr>
      <w:r>
        <w:continuationSeparator/>
      </w:r>
    </w:p>
  </w:footnote>
  <w:footnote w:id="1">
    <w:p w14:paraId="56C7C327"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Address by the President of the Russian Federation</w:t>
      </w:r>
      <w:r>
        <w:rPr>
          <w:rFonts w:asciiTheme="majorBidi" w:hAnsiTheme="majorBidi" w:cstheme="majorBidi"/>
          <w:sz w:val="22"/>
          <w:szCs w:val="22"/>
        </w:rPr>
        <w:t>”,</w:t>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i/>
          <w:iCs/>
          <w:sz w:val="22"/>
          <w:szCs w:val="22"/>
        </w:rPr>
        <w:t>President of Russia</w:t>
      </w:r>
      <w:r>
        <w:rPr>
          <w:rFonts w:asciiTheme="majorBidi" w:hAnsiTheme="majorBidi" w:cstheme="majorBidi"/>
          <w:sz w:val="22"/>
          <w:szCs w:val="22"/>
        </w:rPr>
        <w:t xml:space="preserve">, </w:t>
      </w:r>
      <w:r w:rsidRPr="00356EAE">
        <w:rPr>
          <w:rFonts w:asciiTheme="majorBidi" w:hAnsiTheme="majorBidi" w:cstheme="majorBidi"/>
          <w:sz w:val="22"/>
          <w:szCs w:val="22"/>
        </w:rPr>
        <w:t xml:space="preserve">24 February 2022) </w:t>
      </w:r>
    </w:p>
    <w:p w14:paraId="48968FAD" w14:textId="77777777" w:rsidR="00F81612" w:rsidRPr="00356EAE" w:rsidRDefault="00F81612" w:rsidP="00F81612">
      <w:pPr>
        <w:pStyle w:val="FootnoteText"/>
        <w:jc w:val="both"/>
        <w:rPr>
          <w:rFonts w:asciiTheme="majorBidi" w:hAnsiTheme="majorBidi" w:cstheme="majorBidi"/>
          <w:sz w:val="22"/>
          <w:szCs w:val="22"/>
        </w:rPr>
      </w:pPr>
      <w:r w:rsidRPr="00356EAE">
        <w:rPr>
          <w:rFonts w:asciiTheme="majorBidi" w:hAnsiTheme="majorBidi" w:cstheme="majorBidi"/>
          <w:sz w:val="22"/>
          <w:szCs w:val="22"/>
        </w:rPr>
        <w:t>&lt;</w:t>
      </w:r>
      <w:hyperlink r:id="rId1" w:history="1">
        <w:r w:rsidRPr="00356EAE">
          <w:rPr>
            <w:rStyle w:val="Hyperlink"/>
            <w:rFonts w:asciiTheme="majorBidi" w:hAnsiTheme="majorBidi" w:cstheme="majorBidi"/>
            <w:sz w:val="22"/>
            <w:szCs w:val="22"/>
          </w:rPr>
          <w:t>http://en.kremlin.ru/events/president/news/67843</w:t>
        </w:r>
      </w:hyperlink>
      <w:r w:rsidRPr="00356EAE">
        <w:rPr>
          <w:rFonts w:asciiTheme="majorBidi" w:hAnsiTheme="majorBidi" w:cstheme="majorBidi"/>
          <w:sz w:val="22"/>
          <w:szCs w:val="22"/>
        </w:rPr>
        <w:t>&gt;.</w:t>
      </w:r>
    </w:p>
  </w:footnote>
  <w:footnote w:id="2">
    <w:p w14:paraId="5312B7E3" w14:textId="71226A9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 xml:space="preserve">Article by Vladimir Putin </w:t>
      </w:r>
      <w:r>
        <w:rPr>
          <w:rFonts w:asciiTheme="majorBidi" w:hAnsiTheme="majorBidi" w:cstheme="majorBidi"/>
          <w:sz w:val="22"/>
          <w:szCs w:val="22"/>
        </w:rPr>
        <w:t>‘</w:t>
      </w:r>
      <w:r w:rsidRPr="00356EAE">
        <w:rPr>
          <w:rFonts w:asciiTheme="majorBidi" w:hAnsiTheme="majorBidi" w:cstheme="majorBidi"/>
          <w:sz w:val="22"/>
          <w:szCs w:val="22"/>
        </w:rPr>
        <w:t>On the Historical Unity of Russians and Ukrainians</w:t>
      </w:r>
      <w:r>
        <w:rPr>
          <w:rFonts w:asciiTheme="majorBidi" w:hAnsiTheme="majorBidi" w:cstheme="majorBidi"/>
          <w:sz w:val="22"/>
          <w:szCs w:val="22"/>
        </w:rPr>
        <w:t>’”, (</w:t>
      </w:r>
      <w:r w:rsidRPr="00356EAE">
        <w:rPr>
          <w:rFonts w:asciiTheme="majorBidi" w:hAnsiTheme="majorBidi" w:cstheme="majorBidi"/>
          <w:i/>
          <w:iCs/>
          <w:sz w:val="22"/>
          <w:szCs w:val="22"/>
        </w:rPr>
        <w:t>President of Russia</w:t>
      </w:r>
      <w:r>
        <w:rPr>
          <w:rFonts w:asciiTheme="majorBidi" w:hAnsiTheme="majorBidi" w:cstheme="majorBidi"/>
          <w:sz w:val="22"/>
          <w:szCs w:val="22"/>
        </w:rPr>
        <w:t xml:space="preserve">, </w:t>
      </w:r>
      <w:r w:rsidRPr="00356EAE">
        <w:rPr>
          <w:rFonts w:asciiTheme="majorBidi" w:hAnsiTheme="majorBidi" w:cstheme="majorBidi"/>
          <w:sz w:val="22"/>
          <w:szCs w:val="22"/>
        </w:rPr>
        <w:t>12 July 2021) &lt;http://en.kremlin.ru/events/president/news/6618</w:t>
      </w:r>
      <w:r w:rsidR="0074748D">
        <w:rPr>
          <w:rFonts w:asciiTheme="majorBidi" w:hAnsiTheme="majorBidi" w:cstheme="majorBidi"/>
          <w:sz w:val="22"/>
          <w:szCs w:val="22"/>
        </w:rPr>
        <w:t>1</w:t>
      </w:r>
      <w:r w:rsidRPr="00356EAE">
        <w:rPr>
          <w:rFonts w:asciiTheme="majorBidi" w:hAnsiTheme="majorBidi" w:cstheme="majorBidi"/>
          <w:sz w:val="22"/>
          <w:szCs w:val="22"/>
        </w:rPr>
        <w:t>&gt;.</w:t>
      </w:r>
    </w:p>
  </w:footnote>
  <w:footnote w:id="3">
    <w:p w14:paraId="102569B7"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(emphasis mine).</w:t>
      </w:r>
    </w:p>
  </w:footnote>
  <w:footnote w:id="4">
    <w:p w14:paraId="06555AB0"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p>
  </w:footnote>
  <w:footnote w:id="5">
    <w:p w14:paraId="1384D72D" w14:textId="034C783A"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Lauri </w:t>
      </w:r>
      <w:proofErr w:type="spellStart"/>
      <w:r w:rsidRPr="00356EAE">
        <w:rPr>
          <w:rFonts w:asciiTheme="majorBidi" w:hAnsiTheme="majorBidi" w:cstheme="majorBidi"/>
          <w:sz w:val="22"/>
          <w:szCs w:val="22"/>
        </w:rPr>
        <w:t>Mälksoo</w:t>
      </w:r>
      <w:proofErr w:type="spellEnd"/>
      <w:r>
        <w:rPr>
          <w:rFonts w:asciiTheme="majorBidi" w:hAnsiTheme="majorBidi" w:cstheme="majorBidi"/>
          <w:sz w:val="22"/>
          <w:szCs w:val="22"/>
        </w:rPr>
        <w:t>,</w:t>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 xml:space="preserve">Post-Soviet Eurasia, </w:t>
      </w:r>
      <w:r w:rsidRPr="00356EAE">
        <w:rPr>
          <w:rFonts w:asciiTheme="majorBidi" w:hAnsiTheme="majorBidi" w:cstheme="majorBidi"/>
          <w:i/>
          <w:iCs/>
          <w:sz w:val="22"/>
          <w:szCs w:val="22"/>
        </w:rPr>
        <w:t>Uti Possidetis</w:t>
      </w:r>
      <w:r w:rsidRPr="00356EAE">
        <w:rPr>
          <w:rFonts w:asciiTheme="majorBidi" w:hAnsiTheme="majorBidi" w:cstheme="majorBidi"/>
          <w:sz w:val="22"/>
          <w:szCs w:val="22"/>
        </w:rPr>
        <w:t xml:space="preserve"> and the Clash between Universal and Russian-Led Regional Understandings of International Law</w:t>
      </w:r>
      <w:r>
        <w:rPr>
          <w:rFonts w:asciiTheme="majorBidi" w:hAnsiTheme="majorBidi" w:cstheme="majorBidi"/>
          <w:sz w:val="22"/>
          <w:szCs w:val="22"/>
        </w:rPr>
        <w:t>”</w:t>
      </w:r>
      <w:r w:rsidR="0074748D">
        <w:rPr>
          <w:rFonts w:asciiTheme="majorBidi" w:hAnsiTheme="majorBidi" w:cstheme="majorBidi"/>
          <w:sz w:val="22"/>
          <w:szCs w:val="22"/>
        </w:rPr>
        <w:t>,</w:t>
      </w:r>
      <w:r w:rsidRPr="00356EAE">
        <w:rPr>
          <w:rFonts w:asciiTheme="majorBidi" w:hAnsiTheme="majorBidi" w:cstheme="majorBidi"/>
          <w:sz w:val="22"/>
          <w:szCs w:val="22"/>
        </w:rPr>
        <w:t xml:space="preserve"> 53</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 xml:space="preserve">New York University Journal of International Law and Politics </w:t>
      </w:r>
      <w:r>
        <w:rPr>
          <w:rFonts w:asciiTheme="majorBidi" w:hAnsiTheme="majorBidi" w:cstheme="majorBidi"/>
          <w:sz w:val="22"/>
          <w:szCs w:val="22"/>
        </w:rPr>
        <w:t>(2021) pp. 79</w:t>
      </w:r>
      <w:r w:rsidRPr="00356EAE">
        <w:rPr>
          <w:rFonts w:asciiTheme="majorBidi" w:hAnsiTheme="majorBidi" w:cstheme="majorBidi"/>
          <w:sz w:val="22"/>
          <w:szCs w:val="22"/>
        </w:rPr>
        <w:t>7</w:t>
      </w:r>
      <w:r>
        <w:rPr>
          <w:rFonts w:asciiTheme="majorBidi" w:hAnsiTheme="majorBidi" w:cstheme="majorBidi"/>
          <w:sz w:val="22"/>
          <w:szCs w:val="22"/>
        </w:rPr>
        <w:t>-799</w:t>
      </w:r>
      <w:r w:rsidRPr="00356EAE">
        <w:rPr>
          <w:rFonts w:asciiTheme="majorBidi" w:hAnsiTheme="majorBidi" w:cstheme="majorBidi"/>
          <w:sz w:val="22"/>
          <w:szCs w:val="22"/>
        </w:rPr>
        <w:t>.</w:t>
      </w:r>
    </w:p>
  </w:footnote>
  <w:footnote w:id="6">
    <w:p w14:paraId="6A3F8687" w14:textId="5024F16A"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See Ilya </w:t>
      </w:r>
      <w:proofErr w:type="spellStart"/>
      <w:r w:rsidRPr="00856941">
        <w:rPr>
          <w:rFonts w:asciiTheme="majorBidi" w:hAnsiTheme="majorBidi" w:cstheme="majorBidi"/>
          <w:sz w:val="22"/>
          <w:szCs w:val="22"/>
        </w:rPr>
        <w:t>Nuzov</w:t>
      </w:r>
      <w:proofErr w:type="spellEnd"/>
      <w:r w:rsidRPr="00856941">
        <w:rPr>
          <w:rFonts w:asciiTheme="majorBidi" w:hAnsiTheme="majorBidi" w:cstheme="majorBidi"/>
          <w:sz w:val="22"/>
          <w:szCs w:val="22"/>
        </w:rPr>
        <w:t xml:space="preserve">, </w:t>
      </w:r>
      <w:r>
        <w:rPr>
          <w:rFonts w:asciiTheme="majorBidi" w:hAnsiTheme="majorBidi" w:cstheme="majorBidi"/>
          <w:sz w:val="22"/>
          <w:szCs w:val="22"/>
        </w:rPr>
        <w:t>“</w:t>
      </w:r>
      <w:r w:rsidRPr="00856941">
        <w:rPr>
          <w:rFonts w:asciiTheme="majorBidi" w:hAnsiTheme="majorBidi" w:cstheme="majorBidi"/>
          <w:sz w:val="22"/>
          <w:szCs w:val="22"/>
        </w:rPr>
        <w:t>Legislating Propaganda: Russia’s Memory Laws Justify Aggression Against Ukraine</w:t>
      </w:r>
      <w:r>
        <w:rPr>
          <w:rFonts w:asciiTheme="majorBidi" w:hAnsiTheme="majorBidi" w:cstheme="majorBidi"/>
          <w:sz w:val="22"/>
          <w:szCs w:val="22"/>
        </w:rPr>
        <w:t>”</w:t>
      </w:r>
      <w:r w:rsidR="0074748D">
        <w:rPr>
          <w:rFonts w:asciiTheme="majorBidi" w:hAnsiTheme="majorBidi" w:cstheme="majorBidi"/>
          <w:sz w:val="22"/>
          <w:szCs w:val="22"/>
        </w:rPr>
        <w:t>,</w:t>
      </w:r>
      <w:r w:rsidRPr="00856941">
        <w:rPr>
          <w:rFonts w:asciiTheme="majorBidi" w:hAnsiTheme="majorBidi" w:cstheme="majorBidi"/>
          <w:sz w:val="22"/>
          <w:szCs w:val="22"/>
        </w:rPr>
        <w:t xml:space="preserve"> 20</w:t>
      </w:r>
      <w:r w:rsidR="0074748D">
        <w:rPr>
          <w:rFonts w:asciiTheme="majorBidi" w:hAnsiTheme="majorBidi" w:cstheme="majorBidi"/>
          <w:sz w:val="22"/>
          <w:szCs w:val="22"/>
        </w:rPr>
        <w:t>(4)</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Journal of International Criminal Justice</w:t>
      </w:r>
      <w:r w:rsidRPr="00856941">
        <w:rPr>
          <w:rFonts w:asciiTheme="majorBidi" w:hAnsiTheme="majorBidi" w:cstheme="majorBidi"/>
          <w:sz w:val="22"/>
          <w:szCs w:val="22"/>
        </w:rPr>
        <w:t xml:space="preserve"> </w:t>
      </w:r>
      <w:r>
        <w:rPr>
          <w:rFonts w:asciiTheme="majorBidi" w:hAnsiTheme="majorBidi" w:cstheme="majorBidi"/>
          <w:sz w:val="22"/>
          <w:szCs w:val="22"/>
        </w:rPr>
        <w:t xml:space="preserve">(2022) pp. </w:t>
      </w:r>
      <w:r w:rsidRPr="00856941">
        <w:rPr>
          <w:rFonts w:asciiTheme="majorBidi" w:hAnsiTheme="majorBidi" w:cstheme="majorBidi"/>
          <w:sz w:val="22"/>
          <w:szCs w:val="22"/>
        </w:rPr>
        <w:t>805</w:t>
      </w:r>
      <w:r>
        <w:rPr>
          <w:rFonts w:asciiTheme="majorBidi" w:hAnsiTheme="majorBidi" w:cstheme="majorBidi"/>
          <w:sz w:val="22"/>
          <w:szCs w:val="22"/>
        </w:rPr>
        <w:t>-818</w:t>
      </w:r>
      <w:r w:rsidRPr="00856941">
        <w:rPr>
          <w:rFonts w:asciiTheme="majorBidi" w:hAnsiTheme="majorBidi" w:cstheme="majorBidi"/>
          <w:sz w:val="22"/>
          <w:szCs w:val="22"/>
        </w:rPr>
        <w:t>.</w:t>
      </w:r>
    </w:p>
  </w:footnote>
  <w:footnote w:id="7">
    <w:p w14:paraId="2218D731" w14:textId="335C4D13"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See Viacheslav Grekov, “Interpretation of the ‘</w:t>
      </w:r>
      <w:proofErr w:type="spellStart"/>
      <w:r w:rsidRPr="00856941">
        <w:rPr>
          <w:rFonts w:asciiTheme="majorBidi" w:hAnsiTheme="majorBidi" w:cstheme="majorBidi"/>
          <w:sz w:val="22"/>
          <w:szCs w:val="22"/>
        </w:rPr>
        <w:t>Rus’</w:t>
      </w:r>
      <w:proofErr w:type="spellEnd"/>
      <w:r w:rsidRPr="00856941">
        <w:rPr>
          <w:rFonts w:asciiTheme="majorBidi" w:hAnsiTheme="majorBidi" w:cstheme="majorBidi"/>
          <w:sz w:val="22"/>
          <w:szCs w:val="22"/>
        </w:rPr>
        <w:t xml:space="preserve"> Concept in the Ukrainian and Russian Historiography in the Russian Empire (1805–1860)”</w:t>
      </w:r>
      <w:r w:rsidR="0074748D">
        <w:rPr>
          <w:rFonts w:asciiTheme="majorBidi" w:hAnsiTheme="majorBidi" w:cstheme="majorBidi"/>
          <w:sz w:val="22"/>
          <w:szCs w:val="22"/>
        </w:rPr>
        <w:t>,</w:t>
      </w:r>
      <w:r w:rsidRPr="00856941">
        <w:rPr>
          <w:rFonts w:asciiTheme="majorBidi" w:hAnsiTheme="majorBidi" w:cstheme="majorBidi"/>
          <w:sz w:val="22"/>
          <w:szCs w:val="22"/>
        </w:rPr>
        <w:t xml:space="preserve"> 60</w:t>
      </w:r>
      <w:r w:rsidR="0074748D">
        <w:rPr>
          <w:rFonts w:asciiTheme="majorBidi" w:hAnsiTheme="majorBidi" w:cstheme="majorBidi"/>
          <w:sz w:val="22"/>
          <w:szCs w:val="22"/>
        </w:rPr>
        <w:t>(1)</w:t>
      </w:r>
      <w:r>
        <w:rPr>
          <w:rFonts w:asciiTheme="majorBidi" w:hAnsiTheme="majorBidi" w:cstheme="majorBidi"/>
          <w:sz w:val="22"/>
          <w:szCs w:val="22"/>
        </w:rPr>
        <w:t xml:space="preserve"> </w:t>
      </w:r>
      <w:r w:rsidRPr="00856941">
        <w:rPr>
          <w:rFonts w:asciiTheme="majorBidi" w:hAnsiTheme="majorBidi" w:cstheme="majorBidi"/>
          <w:i/>
          <w:iCs/>
          <w:sz w:val="22"/>
          <w:szCs w:val="22"/>
        </w:rPr>
        <w:t xml:space="preserve">Slavica </w:t>
      </w:r>
      <w:proofErr w:type="spellStart"/>
      <w:r w:rsidRPr="00856941">
        <w:rPr>
          <w:rFonts w:asciiTheme="majorBidi" w:hAnsiTheme="majorBidi" w:cstheme="majorBidi"/>
          <w:i/>
          <w:iCs/>
          <w:sz w:val="22"/>
          <w:szCs w:val="22"/>
        </w:rPr>
        <w:t>Slovaca</w:t>
      </w:r>
      <w:proofErr w:type="spellEnd"/>
      <w:r w:rsidRPr="00856941">
        <w:rPr>
          <w:rFonts w:asciiTheme="majorBidi" w:hAnsiTheme="majorBidi" w:cstheme="majorBidi"/>
          <w:sz w:val="22"/>
          <w:szCs w:val="22"/>
        </w:rPr>
        <w:t xml:space="preserve"> (2025) pp. 58-70.</w:t>
      </w:r>
    </w:p>
  </w:footnote>
  <w:footnote w:id="8">
    <w:p w14:paraId="2E0426BA"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Eugene Finkel,</w:t>
      </w:r>
      <w:r>
        <w:rPr>
          <w:rFonts w:asciiTheme="majorBidi" w:hAnsiTheme="majorBidi" w:cstheme="majorBidi"/>
          <w:sz w:val="22"/>
          <w:szCs w:val="22"/>
        </w:rPr>
        <w:t xml:space="preserve"> </w:t>
      </w:r>
      <w:r w:rsidRPr="00856941">
        <w:rPr>
          <w:rFonts w:asciiTheme="majorBidi" w:hAnsiTheme="majorBidi" w:cstheme="majorBidi"/>
          <w:i/>
          <w:iCs/>
          <w:sz w:val="22"/>
          <w:szCs w:val="22"/>
        </w:rPr>
        <w:t xml:space="preserve">Intent to Destroy: Russia’s Two-Hundred-Year Quest to Dominate Ukraine </w:t>
      </w:r>
      <w:r w:rsidRPr="00856941">
        <w:rPr>
          <w:rFonts w:asciiTheme="majorBidi" w:hAnsiTheme="majorBidi" w:cstheme="majorBidi"/>
          <w:sz w:val="22"/>
          <w:szCs w:val="22"/>
        </w:rPr>
        <w:t>(</w:t>
      </w:r>
      <w:r>
        <w:rPr>
          <w:rFonts w:asciiTheme="majorBidi" w:hAnsiTheme="majorBidi" w:cstheme="majorBidi"/>
          <w:sz w:val="22"/>
          <w:szCs w:val="22"/>
        </w:rPr>
        <w:t>2024</w:t>
      </w:r>
      <w:r w:rsidRPr="00856941">
        <w:rPr>
          <w:rFonts w:asciiTheme="majorBidi" w:hAnsiTheme="majorBidi" w:cstheme="majorBidi"/>
          <w:sz w:val="22"/>
          <w:szCs w:val="22"/>
        </w:rPr>
        <w:t>)</w:t>
      </w:r>
      <w:r>
        <w:rPr>
          <w:rFonts w:asciiTheme="majorBidi" w:hAnsiTheme="majorBidi" w:cstheme="majorBidi"/>
          <w:sz w:val="22"/>
          <w:szCs w:val="22"/>
        </w:rPr>
        <w:t xml:space="preserve"> pp. 5-12</w:t>
      </w:r>
      <w:r w:rsidRPr="00856941">
        <w:rPr>
          <w:rFonts w:asciiTheme="majorBidi" w:hAnsiTheme="majorBidi" w:cstheme="majorBidi"/>
          <w:sz w:val="22"/>
          <w:szCs w:val="22"/>
        </w:rPr>
        <w:t>.</w:t>
      </w:r>
    </w:p>
  </w:footnote>
  <w:footnote w:id="9">
    <w:p w14:paraId="704E82B0" w14:textId="55D94CB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Dmitrii Sidorov, </w:t>
      </w:r>
      <w:r>
        <w:rPr>
          <w:rFonts w:asciiTheme="majorBidi" w:hAnsiTheme="majorBidi" w:cstheme="majorBidi"/>
          <w:sz w:val="22"/>
          <w:szCs w:val="22"/>
        </w:rPr>
        <w:t>“</w:t>
      </w:r>
      <w:r w:rsidRPr="00356EAE">
        <w:rPr>
          <w:rFonts w:asciiTheme="majorBidi" w:hAnsiTheme="majorBidi" w:cstheme="majorBidi"/>
          <w:sz w:val="22"/>
          <w:szCs w:val="22"/>
        </w:rPr>
        <w:t>Post-Imperial Third Romes: Resurrections of a Russian Orthodox Geopolitical Metaphor</w:t>
      </w:r>
      <w:r>
        <w:rPr>
          <w:rFonts w:asciiTheme="majorBidi" w:hAnsiTheme="majorBidi" w:cstheme="majorBidi"/>
          <w:sz w:val="22"/>
          <w:szCs w:val="22"/>
        </w:rPr>
        <w:t>”</w:t>
      </w:r>
      <w:r w:rsidR="0074748D">
        <w:rPr>
          <w:rFonts w:asciiTheme="majorBidi" w:hAnsiTheme="majorBidi" w:cstheme="majorBidi"/>
          <w:sz w:val="22"/>
          <w:szCs w:val="22"/>
        </w:rPr>
        <w:t xml:space="preserve">, </w:t>
      </w:r>
      <w:r w:rsidRPr="00356EAE">
        <w:rPr>
          <w:rFonts w:asciiTheme="majorBidi" w:hAnsiTheme="majorBidi" w:cstheme="majorBidi"/>
          <w:sz w:val="22"/>
          <w:szCs w:val="22"/>
        </w:rPr>
        <w:t>11</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Geopolitics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(2006) pp. </w:t>
      </w:r>
      <w:r w:rsidRPr="00356EAE">
        <w:rPr>
          <w:rFonts w:asciiTheme="majorBidi" w:hAnsiTheme="majorBidi" w:cstheme="majorBidi"/>
          <w:sz w:val="22"/>
          <w:szCs w:val="22"/>
        </w:rPr>
        <w:t>317</w:t>
      </w:r>
      <w:r>
        <w:rPr>
          <w:rFonts w:asciiTheme="majorBidi" w:hAnsiTheme="majorBidi" w:cstheme="majorBidi"/>
          <w:sz w:val="22"/>
          <w:szCs w:val="22"/>
        </w:rPr>
        <w:t>-347</w:t>
      </w:r>
      <w:r w:rsidRPr="00356EAE">
        <w:rPr>
          <w:rFonts w:asciiTheme="majorBidi" w:hAnsiTheme="majorBidi" w:cstheme="majorBidi"/>
          <w:sz w:val="22"/>
          <w:szCs w:val="22"/>
        </w:rPr>
        <w:t xml:space="preserve">; Hilary Rhodes, </w:t>
      </w:r>
      <w:r>
        <w:rPr>
          <w:rFonts w:asciiTheme="majorBidi" w:hAnsiTheme="majorBidi" w:cstheme="majorBidi"/>
          <w:sz w:val="22"/>
          <w:szCs w:val="22"/>
        </w:rPr>
        <w:t>“</w:t>
      </w:r>
      <w:r w:rsidRPr="00356EAE">
        <w:rPr>
          <w:rFonts w:asciiTheme="majorBidi" w:hAnsiTheme="majorBidi" w:cstheme="majorBidi"/>
          <w:sz w:val="22"/>
          <w:szCs w:val="22"/>
        </w:rPr>
        <w:t>The Lost Kingdom of St. Vladimir: Crusading Mentality, Medieval Memory, and the Russia-Ukraine War</w:t>
      </w:r>
      <w:r>
        <w:rPr>
          <w:rFonts w:asciiTheme="majorBidi" w:hAnsiTheme="majorBidi" w:cstheme="majorBidi"/>
          <w:sz w:val="22"/>
          <w:szCs w:val="22"/>
        </w:rPr>
        <w:t>”</w:t>
      </w:r>
      <w:r w:rsidR="0074748D">
        <w:rPr>
          <w:rFonts w:asciiTheme="majorBidi" w:hAnsiTheme="majorBidi" w:cstheme="majorBidi"/>
          <w:sz w:val="22"/>
          <w:szCs w:val="22"/>
        </w:rPr>
        <w:t>,</w:t>
      </w:r>
      <w:r w:rsidRPr="00356EAE">
        <w:rPr>
          <w:rFonts w:asciiTheme="majorBidi" w:hAnsiTheme="majorBidi" w:cstheme="majorBidi"/>
          <w:sz w:val="22"/>
          <w:szCs w:val="22"/>
        </w:rPr>
        <w:t xml:space="preserve"> 54</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Comitatus</w:t>
      </w:r>
      <w:r w:rsidRPr="00356EAE">
        <w:rPr>
          <w:rFonts w:asciiTheme="majorBidi" w:hAnsiTheme="majorBidi" w:cstheme="majorBidi"/>
          <w:sz w:val="22"/>
          <w:szCs w:val="22"/>
        </w:rPr>
        <w:t xml:space="preserve"> </w:t>
      </w:r>
      <w:r>
        <w:rPr>
          <w:rFonts w:asciiTheme="majorBidi" w:hAnsiTheme="majorBidi" w:cstheme="majorBidi"/>
          <w:sz w:val="22"/>
          <w:szCs w:val="22"/>
        </w:rPr>
        <w:t>(2023) pp.</w:t>
      </w:r>
      <w:r w:rsidRPr="00356EAE">
        <w:rPr>
          <w:rFonts w:asciiTheme="majorBidi" w:hAnsiTheme="majorBidi" w:cstheme="majorBidi"/>
          <w:sz w:val="22"/>
          <w:szCs w:val="22"/>
        </w:rPr>
        <w:t>177</w:t>
      </w:r>
      <w:r>
        <w:rPr>
          <w:rFonts w:asciiTheme="majorBidi" w:hAnsiTheme="majorBidi" w:cstheme="majorBidi"/>
          <w:sz w:val="22"/>
          <w:szCs w:val="22"/>
        </w:rPr>
        <w:t>-196</w:t>
      </w:r>
      <w:r w:rsidRPr="00356EAE">
        <w:rPr>
          <w:rFonts w:asciiTheme="majorBidi" w:hAnsiTheme="majorBidi" w:cstheme="majorBidi"/>
          <w:sz w:val="22"/>
          <w:szCs w:val="22"/>
        </w:rPr>
        <w:t>; Richard Arnold, ‘</w:t>
      </w:r>
      <w:r w:rsidRPr="00C65E02">
        <w:rPr>
          <w:rFonts w:asciiTheme="majorBidi" w:hAnsiTheme="majorBidi" w:cstheme="majorBidi"/>
          <w:sz w:val="22"/>
          <w:szCs w:val="22"/>
        </w:rPr>
        <w:t>Between Russia and Ukraine—The Cossack Boundary</w:t>
      </w:r>
      <w:r>
        <w:rPr>
          <w:rFonts w:asciiTheme="majorBidi" w:hAnsiTheme="majorBidi" w:cstheme="majorBidi"/>
          <w:sz w:val="22"/>
          <w:szCs w:val="22"/>
        </w:rPr>
        <w:t>”</w:t>
      </w:r>
      <w:r w:rsidR="0074748D">
        <w:rPr>
          <w:rFonts w:asciiTheme="majorBidi" w:hAnsiTheme="majorBidi" w:cstheme="majorBidi"/>
          <w:sz w:val="22"/>
          <w:szCs w:val="22"/>
        </w:rPr>
        <w:t>,</w:t>
      </w:r>
      <w:r w:rsidRPr="00356EAE">
        <w:rPr>
          <w:rFonts w:asciiTheme="majorBidi" w:hAnsiTheme="majorBidi" w:cstheme="majorBidi"/>
          <w:sz w:val="22"/>
          <w:szCs w:val="22"/>
        </w:rPr>
        <w:t xml:space="preserve"> 77</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Europe-Asia Studies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(2025) pp. </w:t>
      </w:r>
      <w:r w:rsidRPr="00356EAE">
        <w:rPr>
          <w:rFonts w:asciiTheme="majorBidi" w:hAnsiTheme="majorBidi" w:cstheme="majorBidi"/>
          <w:sz w:val="22"/>
          <w:szCs w:val="22"/>
        </w:rPr>
        <w:t>64</w:t>
      </w:r>
      <w:r>
        <w:rPr>
          <w:rFonts w:asciiTheme="majorBidi" w:hAnsiTheme="majorBidi" w:cstheme="majorBidi"/>
          <w:sz w:val="22"/>
          <w:szCs w:val="22"/>
        </w:rPr>
        <w:t>-87</w:t>
      </w:r>
      <w:r w:rsidRPr="00356EAE">
        <w:rPr>
          <w:rFonts w:asciiTheme="majorBidi" w:hAnsiTheme="majorBidi" w:cstheme="majorBidi"/>
          <w:sz w:val="22"/>
          <w:szCs w:val="22"/>
        </w:rPr>
        <w:t>.</w:t>
      </w:r>
    </w:p>
  </w:footnote>
  <w:footnote w:id="10">
    <w:p w14:paraId="0EF880F8" w14:textId="1A69DFFA" w:rsidR="00F81612" w:rsidRPr="001F35EB"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Kai Ambos, </w:t>
      </w:r>
      <w:r>
        <w:rPr>
          <w:rFonts w:asciiTheme="majorBidi" w:hAnsiTheme="majorBidi" w:cstheme="majorBidi"/>
          <w:sz w:val="22"/>
          <w:szCs w:val="22"/>
        </w:rPr>
        <w:t>“</w:t>
      </w:r>
      <w:r w:rsidRPr="00356EAE">
        <w:rPr>
          <w:rFonts w:asciiTheme="majorBidi" w:hAnsiTheme="majorBidi" w:cstheme="majorBidi"/>
          <w:sz w:val="22"/>
          <w:szCs w:val="22"/>
        </w:rPr>
        <w:t>Ukraine and the Double Standards of the West</w:t>
      </w:r>
      <w:r>
        <w:rPr>
          <w:rFonts w:asciiTheme="majorBidi" w:hAnsiTheme="majorBidi" w:cstheme="majorBidi"/>
          <w:sz w:val="22"/>
          <w:szCs w:val="22"/>
        </w:rPr>
        <w:t>”</w:t>
      </w:r>
      <w:r w:rsidR="0074748D">
        <w:rPr>
          <w:rFonts w:asciiTheme="majorBidi" w:hAnsiTheme="majorBidi" w:cstheme="majorBidi"/>
          <w:sz w:val="22"/>
          <w:szCs w:val="22"/>
        </w:rPr>
        <w:t>,</w:t>
      </w:r>
      <w:r w:rsidRPr="00356EAE">
        <w:rPr>
          <w:rFonts w:asciiTheme="majorBidi" w:hAnsiTheme="majorBidi" w:cstheme="majorBidi"/>
          <w:sz w:val="22"/>
          <w:szCs w:val="22"/>
        </w:rPr>
        <w:t xml:space="preserve"> 20</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 xml:space="preserve">Journal of International Criminal Justice </w:t>
      </w:r>
      <w:r>
        <w:rPr>
          <w:rFonts w:asciiTheme="majorBidi" w:hAnsiTheme="majorBidi" w:cstheme="majorBidi"/>
          <w:sz w:val="22"/>
          <w:szCs w:val="22"/>
        </w:rPr>
        <w:t>(2022) pp. 8</w:t>
      </w:r>
      <w:r w:rsidRPr="00356EAE">
        <w:rPr>
          <w:rFonts w:asciiTheme="majorBidi" w:hAnsiTheme="majorBidi" w:cstheme="majorBidi"/>
          <w:sz w:val="22"/>
          <w:szCs w:val="22"/>
        </w:rPr>
        <w:t>75</w:t>
      </w:r>
      <w:r>
        <w:rPr>
          <w:rFonts w:asciiTheme="majorBidi" w:hAnsiTheme="majorBidi" w:cstheme="majorBidi"/>
          <w:sz w:val="22"/>
          <w:szCs w:val="22"/>
        </w:rPr>
        <w:t>-892</w:t>
      </w:r>
      <w:r w:rsidRPr="00356EAE">
        <w:rPr>
          <w:rFonts w:asciiTheme="majorBidi" w:hAnsiTheme="majorBidi" w:cstheme="majorBidi"/>
          <w:sz w:val="22"/>
          <w:szCs w:val="22"/>
        </w:rPr>
        <w:t>.</w:t>
      </w:r>
      <w:r>
        <w:rPr>
          <w:rFonts w:asciiTheme="majorBidi" w:hAnsiTheme="majorBidi" w:cstheme="majorBidi"/>
          <w:sz w:val="22"/>
          <w:szCs w:val="22"/>
        </w:rPr>
        <w:t xml:space="preserve"> For a critique from an Eastern European perspective, see Patryk I. Labuda, “Countering Imperialism in International Law. Examining the Special Tribunal for Aggression against Ukraine through a Post-Colonial Eastern European Lens”</w:t>
      </w:r>
      <w:r w:rsidR="0074748D">
        <w:rPr>
          <w:rFonts w:asciiTheme="majorBidi" w:hAnsiTheme="majorBidi" w:cstheme="majorBidi"/>
          <w:sz w:val="22"/>
          <w:szCs w:val="22"/>
        </w:rPr>
        <w:t>,</w:t>
      </w:r>
      <w:r>
        <w:rPr>
          <w:rFonts w:asciiTheme="majorBidi" w:hAnsiTheme="majorBidi" w:cstheme="majorBidi"/>
          <w:sz w:val="22"/>
          <w:szCs w:val="22"/>
        </w:rPr>
        <w:t xml:space="preserve"> 49</w:t>
      </w:r>
      <w:r w:rsidR="0074748D">
        <w:rPr>
          <w:rFonts w:asciiTheme="majorBidi" w:hAnsiTheme="majorBidi" w:cstheme="majorBidi"/>
          <w:sz w:val="22"/>
          <w:szCs w:val="22"/>
        </w:rPr>
        <w:t>(2)</w:t>
      </w:r>
      <w:r>
        <w:rPr>
          <w:rFonts w:asciiTheme="majorBidi" w:hAnsiTheme="majorBidi" w:cstheme="majorBidi"/>
          <w:sz w:val="22"/>
          <w:szCs w:val="22"/>
        </w:rPr>
        <w:t xml:space="preserve"> </w:t>
      </w:r>
      <w:r>
        <w:rPr>
          <w:rFonts w:asciiTheme="majorBidi" w:hAnsiTheme="majorBidi" w:cstheme="majorBidi"/>
          <w:i/>
          <w:iCs/>
          <w:sz w:val="22"/>
          <w:szCs w:val="22"/>
        </w:rPr>
        <w:t>Yale Journal of International Law</w:t>
      </w:r>
      <w:r>
        <w:rPr>
          <w:rFonts w:asciiTheme="majorBidi" w:hAnsiTheme="majorBidi" w:cstheme="majorBidi"/>
          <w:sz w:val="22"/>
          <w:szCs w:val="22"/>
        </w:rPr>
        <w:t xml:space="preserve"> (2024) pp. 271-310.</w:t>
      </w:r>
    </w:p>
  </w:footnote>
  <w:footnote w:id="11">
    <w:p w14:paraId="6E785447"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especially Antony Anghie, </w:t>
      </w:r>
      <w:r w:rsidRPr="00356EAE">
        <w:rPr>
          <w:rFonts w:asciiTheme="majorBidi" w:hAnsiTheme="majorBidi" w:cstheme="majorBidi"/>
          <w:i/>
          <w:iCs/>
          <w:sz w:val="22"/>
          <w:szCs w:val="22"/>
        </w:rPr>
        <w:t>Imperialism, Sovereignty, and the Making of International Law</w:t>
      </w:r>
      <w:r w:rsidRPr="00356EAE">
        <w:rPr>
          <w:rFonts w:asciiTheme="majorBidi" w:hAnsiTheme="majorBidi" w:cstheme="majorBidi"/>
          <w:sz w:val="22"/>
          <w:szCs w:val="22"/>
        </w:rPr>
        <w:t xml:space="preserve"> (2004).</w:t>
      </w:r>
    </w:p>
  </w:footnote>
  <w:footnote w:id="12">
    <w:p w14:paraId="19460BC0"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292-302.</w:t>
      </w:r>
    </w:p>
  </w:footnote>
  <w:footnote w:id="13">
    <w:p w14:paraId="2F3D8437" w14:textId="77777777" w:rsidR="00F81612" w:rsidRPr="00856941" w:rsidRDefault="00F81612" w:rsidP="00F81612">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424BAB">
        <w:rPr>
          <w:rFonts w:asciiTheme="majorBidi" w:hAnsiTheme="majorBidi" w:cstheme="majorBidi"/>
          <w:sz w:val="22"/>
          <w:szCs w:val="22"/>
        </w:rPr>
        <w:t xml:space="preserve">Anne Orford, </w:t>
      </w:r>
      <w:r w:rsidRPr="00424BAB">
        <w:rPr>
          <w:rFonts w:asciiTheme="majorBidi" w:hAnsiTheme="majorBidi" w:cstheme="majorBidi"/>
          <w:i/>
          <w:iCs/>
          <w:sz w:val="22"/>
          <w:szCs w:val="22"/>
        </w:rPr>
        <w:t>International Law and the Politics of History</w:t>
      </w:r>
      <w:r w:rsidRPr="00424BAB">
        <w:rPr>
          <w:rFonts w:asciiTheme="majorBidi" w:hAnsiTheme="majorBidi" w:cstheme="majorBidi"/>
          <w:sz w:val="22"/>
          <w:szCs w:val="22"/>
        </w:rPr>
        <w:t xml:space="preserve"> (2021) pp. </w:t>
      </w:r>
      <w:r>
        <w:rPr>
          <w:rFonts w:asciiTheme="majorBidi" w:hAnsiTheme="majorBidi" w:cstheme="majorBidi"/>
          <w:sz w:val="22"/>
          <w:szCs w:val="22"/>
        </w:rPr>
        <w:t>34-35, 77-78</w:t>
      </w:r>
      <w:r w:rsidRPr="00424BAB">
        <w:rPr>
          <w:rFonts w:asciiTheme="majorBidi" w:hAnsiTheme="majorBidi" w:cstheme="majorBidi"/>
          <w:sz w:val="22"/>
          <w:szCs w:val="22"/>
        </w:rPr>
        <w:t>.</w:t>
      </w:r>
    </w:p>
  </w:footnote>
  <w:footnote w:id="14">
    <w:p w14:paraId="6606060C" w14:textId="11D91D8F"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Rose Paritt, </w:t>
      </w:r>
      <w:r>
        <w:rPr>
          <w:rFonts w:asciiTheme="majorBidi" w:hAnsiTheme="majorBidi" w:cstheme="majorBidi"/>
          <w:sz w:val="22"/>
          <w:szCs w:val="22"/>
        </w:rPr>
        <w:t>“</w:t>
      </w:r>
      <w:r w:rsidRPr="00356EAE">
        <w:rPr>
          <w:rFonts w:asciiTheme="majorBidi" w:hAnsiTheme="majorBidi" w:cstheme="majorBidi"/>
          <w:sz w:val="22"/>
          <w:szCs w:val="22"/>
        </w:rPr>
        <w:t>The Spectre of Sources</w:t>
      </w:r>
      <w:r>
        <w:rPr>
          <w:rFonts w:asciiTheme="majorBidi" w:hAnsiTheme="majorBidi" w:cstheme="majorBidi"/>
          <w:sz w:val="22"/>
          <w:szCs w:val="22"/>
        </w:rPr>
        <w:t>”,</w:t>
      </w:r>
      <w:r w:rsidRPr="00356EAE">
        <w:rPr>
          <w:rFonts w:asciiTheme="majorBidi" w:hAnsiTheme="majorBidi" w:cstheme="majorBidi"/>
          <w:sz w:val="22"/>
          <w:szCs w:val="22"/>
        </w:rPr>
        <w:t xml:space="preserve"> 25</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European Journal of International Law</w:t>
      </w:r>
      <w:r>
        <w:rPr>
          <w:rFonts w:asciiTheme="majorBidi" w:hAnsiTheme="majorBidi" w:cstheme="majorBidi"/>
          <w:sz w:val="22"/>
          <w:szCs w:val="22"/>
        </w:rPr>
        <w:t xml:space="preserve"> (2014) p.</w:t>
      </w:r>
      <w:r w:rsidRPr="00356EAE">
        <w:rPr>
          <w:rFonts w:asciiTheme="majorBidi" w:hAnsiTheme="majorBidi" w:cstheme="majorBidi"/>
          <w:sz w:val="22"/>
          <w:szCs w:val="22"/>
        </w:rPr>
        <w:t xml:space="preserve"> 298.</w:t>
      </w:r>
    </w:p>
  </w:footnote>
  <w:footnote w:id="15">
    <w:p w14:paraId="1022F2EC"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Ibid</w:t>
      </w:r>
      <w:r>
        <w:rPr>
          <w:rFonts w:asciiTheme="majorBidi" w:hAnsiTheme="majorBidi" w:cstheme="majorBidi"/>
          <w:sz w:val="22"/>
          <w:szCs w:val="22"/>
        </w:rPr>
        <w:t xml:space="preserve"> p. 299</w:t>
      </w:r>
      <w:r w:rsidRPr="00856941">
        <w:rPr>
          <w:rFonts w:asciiTheme="majorBidi" w:hAnsiTheme="majorBidi" w:cstheme="majorBidi"/>
          <w:sz w:val="22"/>
          <w:szCs w:val="22"/>
        </w:rPr>
        <w:t>.</w:t>
      </w:r>
    </w:p>
  </w:footnote>
  <w:footnote w:id="16">
    <w:p w14:paraId="27CE052D" w14:textId="484E9C6A"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Eric Loefflad, </w:t>
      </w:r>
      <w:r>
        <w:rPr>
          <w:rFonts w:asciiTheme="majorBidi" w:hAnsiTheme="majorBidi" w:cstheme="majorBidi"/>
          <w:sz w:val="22"/>
          <w:szCs w:val="22"/>
        </w:rPr>
        <w:t>“</w:t>
      </w:r>
      <w:r w:rsidRPr="00356EAE">
        <w:rPr>
          <w:rFonts w:asciiTheme="majorBidi" w:hAnsiTheme="majorBidi" w:cstheme="majorBidi"/>
          <w:sz w:val="22"/>
          <w:szCs w:val="22"/>
        </w:rPr>
        <w:t>In Search of Paulus Vladimiri: Canon, Reception, and the (In)Conceivability of an Eastern European ‘Founding Father’ of International Law</w:t>
      </w:r>
      <w:r>
        <w:rPr>
          <w:rFonts w:asciiTheme="majorBidi" w:hAnsiTheme="majorBidi" w:cstheme="majorBidi"/>
          <w:sz w:val="22"/>
          <w:szCs w:val="22"/>
        </w:rPr>
        <w:t>”,</w:t>
      </w:r>
      <w:r w:rsidRPr="00356EAE">
        <w:rPr>
          <w:rFonts w:asciiTheme="majorBidi" w:hAnsiTheme="majorBidi" w:cstheme="majorBidi"/>
          <w:sz w:val="22"/>
          <w:szCs w:val="22"/>
        </w:rPr>
        <w:t xml:space="preserve"> 36</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Leiden Journal of International Law</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(2023) pp. </w:t>
      </w:r>
      <w:r w:rsidRPr="00356EAE">
        <w:rPr>
          <w:rFonts w:asciiTheme="majorBidi" w:hAnsiTheme="majorBidi" w:cstheme="majorBidi"/>
          <w:sz w:val="22"/>
          <w:szCs w:val="22"/>
        </w:rPr>
        <w:t>833</w:t>
      </w:r>
      <w:r>
        <w:rPr>
          <w:rFonts w:asciiTheme="majorBidi" w:hAnsiTheme="majorBidi" w:cstheme="majorBidi"/>
          <w:sz w:val="22"/>
          <w:szCs w:val="22"/>
        </w:rPr>
        <w:t>-835</w:t>
      </w:r>
      <w:r w:rsidRPr="00356EAE">
        <w:rPr>
          <w:rFonts w:asciiTheme="majorBidi" w:hAnsiTheme="majorBidi" w:cstheme="majorBidi"/>
          <w:sz w:val="22"/>
          <w:szCs w:val="22"/>
        </w:rPr>
        <w:t>.</w:t>
      </w:r>
    </w:p>
  </w:footnote>
  <w:footnote w:id="17">
    <w:p w14:paraId="25A9671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Ibid</w:t>
      </w:r>
      <w:r>
        <w:rPr>
          <w:rFonts w:asciiTheme="majorBidi" w:hAnsiTheme="majorBidi" w:cstheme="majorBidi"/>
          <w:sz w:val="22"/>
          <w:szCs w:val="22"/>
        </w:rPr>
        <w:t xml:space="preserve"> pp. 835-838</w:t>
      </w:r>
      <w:r w:rsidRPr="00856941">
        <w:rPr>
          <w:rFonts w:asciiTheme="majorBidi" w:hAnsiTheme="majorBidi" w:cstheme="majorBidi"/>
          <w:sz w:val="22"/>
          <w:szCs w:val="22"/>
        </w:rPr>
        <w:t>.</w:t>
      </w:r>
    </w:p>
  </w:footnote>
  <w:footnote w:id="18">
    <w:p w14:paraId="6EE4ABBA"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Ibid</w:t>
      </w:r>
      <w:r>
        <w:rPr>
          <w:rFonts w:asciiTheme="majorBidi" w:hAnsiTheme="majorBidi" w:cstheme="majorBidi"/>
          <w:sz w:val="22"/>
          <w:szCs w:val="22"/>
        </w:rPr>
        <w:t xml:space="preserve"> pp. 843-847</w:t>
      </w:r>
      <w:r w:rsidRPr="00856941">
        <w:rPr>
          <w:rFonts w:asciiTheme="majorBidi" w:hAnsiTheme="majorBidi" w:cstheme="majorBidi"/>
          <w:sz w:val="22"/>
          <w:szCs w:val="22"/>
        </w:rPr>
        <w:t>.</w:t>
      </w:r>
    </w:p>
  </w:footnote>
  <w:footnote w:id="19">
    <w:p w14:paraId="559CFE9F" w14:textId="77777777" w:rsidR="00F81612" w:rsidRPr="00856941" w:rsidRDefault="00F81612" w:rsidP="00F81612">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Ibid p</w:t>
      </w:r>
      <w:r>
        <w:rPr>
          <w:rFonts w:asciiTheme="majorBidi" w:hAnsiTheme="majorBidi" w:cstheme="majorBidi"/>
          <w:sz w:val="22"/>
          <w:szCs w:val="22"/>
        </w:rPr>
        <w:t>p</w:t>
      </w:r>
      <w:r w:rsidRPr="00856941">
        <w:rPr>
          <w:rFonts w:asciiTheme="majorBidi" w:hAnsiTheme="majorBidi" w:cstheme="majorBidi"/>
          <w:sz w:val="22"/>
          <w:szCs w:val="22"/>
        </w:rPr>
        <w:t xml:space="preserve">. </w:t>
      </w:r>
      <w:r>
        <w:rPr>
          <w:rFonts w:asciiTheme="majorBidi" w:hAnsiTheme="majorBidi" w:cstheme="majorBidi"/>
          <w:sz w:val="22"/>
          <w:szCs w:val="22"/>
        </w:rPr>
        <w:t>849-851</w:t>
      </w:r>
      <w:r w:rsidRPr="00856941">
        <w:rPr>
          <w:rFonts w:asciiTheme="majorBidi" w:hAnsiTheme="majorBidi" w:cstheme="majorBidi"/>
          <w:sz w:val="22"/>
          <w:szCs w:val="22"/>
        </w:rPr>
        <w:t>.</w:t>
      </w:r>
    </w:p>
  </w:footnote>
  <w:footnote w:id="20">
    <w:p w14:paraId="02E103F0"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Ibid </w:t>
      </w:r>
      <w:r>
        <w:rPr>
          <w:rFonts w:asciiTheme="majorBidi" w:hAnsiTheme="majorBidi" w:cstheme="majorBidi"/>
          <w:sz w:val="22"/>
          <w:szCs w:val="22"/>
        </w:rPr>
        <w:t>p. 843</w:t>
      </w:r>
      <w:r w:rsidRPr="00856941">
        <w:rPr>
          <w:rFonts w:asciiTheme="majorBidi" w:hAnsiTheme="majorBidi" w:cstheme="majorBidi"/>
          <w:sz w:val="22"/>
          <w:szCs w:val="22"/>
        </w:rPr>
        <w:t>.</w:t>
      </w:r>
    </w:p>
  </w:footnote>
  <w:footnote w:id="21">
    <w:p w14:paraId="0D60D06D"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Orford</w:t>
      </w:r>
      <w:r>
        <w:rPr>
          <w:rFonts w:asciiTheme="majorBidi" w:hAnsiTheme="majorBidi" w:cstheme="majorBidi"/>
          <w:sz w:val="22"/>
          <w:szCs w:val="22"/>
        </w:rPr>
        <w:t xml:space="preserve"> </w:t>
      </w:r>
      <w:r w:rsidRPr="00356EAE">
        <w:rPr>
          <w:rFonts w:asciiTheme="majorBidi" w:hAnsiTheme="majorBidi" w:cstheme="majorBidi"/>
          <w:sz w:val="22"/>
          <w:szCs w:val="22"/>
        </w:rPr>
        <w:t>(</w:t>
      </w:r>
      <w:r>
        <w:rPr>
          <w:rFonts w:asciiTheme="majorBidi" w:hAnsiTheme="majorBidi" w:cstheme="majorBidi"/>
          <w:sz w:val="22"/>
          <w:szCs w:val="22"/>
        </w:rPr>
        <w:t>n 13</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255-257.</w:t>
      </w:r>
    </w:p>
  </w:footnote>
  <w:footnote w:id="22">
    <w:p w14:paraId="5628AEF4" w14:textId="02BC1029"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Gail Lythgoe, “Eradicating the </w:t>
      </w:r>
      <w:r>
        <w:rPr>
          <w:rFonts w:asciiTheme="majorBidi" w:hAnsiTheme="majorBidi" w:cstheme="majorBidi"/>
          <w:sz w:val="22"/>
          <w:szCs w:val="22"/>
        </w:rPr>
        <w:t>E</w:t>
      </w:r>
      <w:r w:rsidRPr="00356EAE">
        <w:rPr>
          <w:rFonts w:asciiTheme="majorBidi" w:hAnsiTheme="majorBidi" w:cstheme="majorBidi"/>
          <w:sz w:val="22"/>
          <w:szCs w:val="22"/>
        </w:rPr>
        <w:t xml:space="preserve">xceptional: The </w:t>
      </w:r>
      <w:r>
        <w:rPr>
          <w:rFonts w:asciiTheme="majorBidi" w:hAnsiTheme="majorBidi" w:cstheme="majorBidi"/>
          <w:sz w:val="22"/>
          <w:szCs w:val="22"/>
        </w:rPr>
        <w:t>R</w:t>
      </w:r>
      <w:r w:rsidRPr="00356EAE">
        <w:rPr>
          <w:rFonts w:asciiTheme="majorBidi" w:hAnsiTheme="majorBidi" w:cstheme="majorBidi"/>
          <w:sz w:val="22"/>
          <w:szCs w:val="22"/>
        </w:rPr>
        <w:t xml:space="preserve">ole of </w:t>
      </w:r>
      <w:r>
        <w:rPr>
          <w:rFonts w:asciiTheme="majorBidi" w:hAnsiTheme="majorBidi" w:cstheme="majorBidi"/>
          <w:sz w:val="22"/>
          <w:szCs w:val="22"/>
        </w:rPr>
        <w:t>T</w:t>
      </w:r>
      <w:r w:rsidRPr="00356EAE">
        <w:rPr>
          <w:rFonts w:asciiTheme="majorBidi" w:hAnsiTheme="majorBidi" w:cstheme="majorBidi"/>
          <w:sz w:val="22"/>
          <w:szCs w:val="22"/>
        </w:rPr>
        <w:t xml:space="preserve">erritory in </w:t>
      </w:r>
      <w:r>
        <w:rPr>
          <w:rFonts w:asciiTheme="majorBidi" w:hAnsiTheme="majorBidi" w:cstheme="majorBidi"/>
          <w:sz w:val="22"/>
          <w:szCs w:val="22"/>
        </w:rPr>
        <w:t>S</w:t>
      </w:r>
      <w:r w:rsidRPr="00356EAE">
        <w:rPr>
          <w:rFonts w:asciiTheme="majorBidi" w:hAnsiTheme="majorBidi" w:cstheme="majorBidi"/>
          <w:sz w:val="22"/>
          <w:szCs w:val="22"/>
        </w:rPr>
        <w:t xml:space="preserve">tructuring </w:t>
      </w:r>
      <w:r>
        <w:rPr>
          <w:rFonts w:asciiTheme="majorBidi" w:hAnsiTheme="majorBidi" w:cstheme="majorBidi"/>
          <w:sz w:val="22"/>
          <w:szCs w:val="22"/>
        </w:rPr>
        <w:t>I</w:t>
      </w:r>
      <w:r w:rsidRPr="00356EAE">
        <w:rPr>
          <w:rFonts w:asciiTheme="majorBidi" w:hAnsiTheme="majorBidi" w:cstheme="majorBidi"/>
          <w:sz w:val="22"/>
          <w:szCs w:val="22"/>
        </w:rPr>
        <w:t xml:space="preserve">nternational </w:t>
      </w:r>
      <w:r>
        <w:rPr>
          <w:rFonts w:asciiTheme="majorBidi" w:hAnsiTheme="majorBidi" w:cstheme="majorBidi"/>
          <w:sz w:val="22"/>
          <w:szCs w:val="22"/>
        </w:rPr>
        <w:t>L</w:t>
      </w:r>
      <w:r w:rsidRPr="00356EAE">
        <w:rPr>
          <w:rFonts w:asciiTheme="majorBidi" w:hAnsiTheme="majorBidi" w:cstheme="majorBidi"/>
          <w:sz w:val="22"/>
          <w:szCs w:val="22"/>
        </w:rPr>
        <w:t xml:space="preserve">egal </w:t>
      </w:r>
      <w:r>
        <w:rPr>
          <w:rFonts w:asciiTheme="majorBidi" w:hAnsiTheme="majorBidi" w:cstheme="majorBidi"/>
          <w:sz w:val="22"/>
          <w:szCs w:val="22"/>
        </w:rPr>
        <w:t>T</w:t>
      </w:r>
      <w:r w:rsidRPr="00356EAE">
        <w:rPr>
          <w:rFonts w:asciiTheme="majorBidi" w:hAnsiTheme="majorBidi" w:cstheme="majorBidi"/>
          <w:sz w:val="22"/>
          <w:szCs w:val="22"/>
        </w:rPr>
        <w:t>hought”,</w:t>
      </w:r>
      <w:r>
        <w:rPr>
          <w:rFonts w:asciiTheme="majorBidi" w:hAnsiTheme="majorBidi" w:cstheme="majorBidi"/>
          <w:sz w:val="22"/>
          <w:szCs w:val="22"/>
        </w:rPr>
        <w:t xml:space="preserve"> 37</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Leiden Journal of International Law</w:t>
      </w:r>
      <w:r w:rsidRPr="00356EAE">
        <w:rPr>
          <w:rFonts w:asciiTheme="majorBidi" w:hAnsiTheme="majorBidi" w:cstheme="majorBidi"/>
          <w:sz w:val="22"/>
          <w:szCs w:val="22"/>
        </w:rPr>
        <w:t xml:space="preserve"> (</w:t>
      </w:r>
      <w:r>
        <w:rPr>
          <w:rFonts w:asciiTheme="majorBidi" w:hAnsiTheme="majorBidi" w:cstheme="majorBidi"/>
          <w:sz w:val="22"/>
          <w:szCs w:val="22"/>
        </w:rPr>
        <w:t>2024</w:t>
      </w:r>
      <w:r w:rsidRPr="00356EAE">
        <w:rPr>
          <w:rFonts w:asciiTheme="majorBidi" w:hAnsiTheme="majorBidi" w:cstheme="majorBidi"/>
          <w:sz w:val="22"/>
          <w:szCs w:val="22"/>
        </w:rPr>
        <w:t>) pp. 311-314</w:t>
      </w:r>
      <w:r w:rsidRPr="00856941">
        <w:rPr>
          <w:rFonts w:asciiTheme="majorBidi" w:hAnsiTheme="majorBidi" w:cstheme="majorBidi"/>
          <w:sz w:val="22"/>
          <w:szCs w:val="22"/>
        </w:rPr>
        <w:t>.</w:t>
      </w:r>
    </w:p>
  </w:footnote>
  <w:footnote w:id="23">
    <w:p w14:paraId="71CCB0D0" w14:textId="4D78B086" w:rsidR="00F81612" w:rsidRPr="00856941" w:rsidRDefault="00F81612" w:rsidP="00F81612">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See Edward Casey. “Between Geography and Philosophy: What Does It Mean to Be in the Place-World?”, 91</w:t>
      </w:r>
      <w:r w:rsidR="0074748D">
        <w:rPr>
          <w:rFonts w:asciiTheme="majorBidi" w:hAnsiTheme="majorBidi" w:cstheme="majorBidi"/>
          <w:sz w:val="22"/>
          <w:szCs w:val="22"/>
        </w:rPr>
        <w:t>(4)</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Annals of the Association of American Geographers</w:t>
      </w:r>
      <w:r w:rsidRPr="00856941">
        <w:rPr>
          <w:rFonts w:asciiTheme="majorBidi" w:hAnsiTheme="majorBidi" w:cstheme="majorBidi"/>
          <w:sz w:val="22"/>
          <w:szCs w:val="22"/>
        </w:rPr>
        <w:t xml:space="preserve"> (2001) pp. 6</w:t>
      </w:r>
      <w:r w:rsidR="0074748D">
        <w:rPr>
          <w:rFonts w:asciiTheme="majorBidi" w:hAnsiTheme="majorBidi" w:cstheme="majorBidi"/>
          <w:sz w:val="22"/>
          <w:szCs w:val="22"/>
        </w:rPr>
        <w:t>8</w:t>
      </w:r>
      <w:r w:rsidRPr="00856941">
        <w:rPr>
          <w:rFonts w:asciiTheme="majorBidi" w:hAnsiTheme="majorBidi" w:cstheme="majorBidi"/>
          <w:sz w:val="22"/>
          <w:szCs w:val="22"/>
        </w:rPr>
        <w:t>3-6</w:t>
      </w:r>
      <w:r w:rsidR="0074748D">
        <w:rPr>
          <w:rFonts w:asciiTheme="majorBidi" w:hAnsiTheme="majorBidi" w:cstheme="majorBidi"/>
          <w:sz w:val="22"/>
          <w:szCs w:val="22"/>
        </w:rPr>
        <w:t>9</w:t>
      </w:r>
      <w:r w:rsidRPr="00856941">
        <w:rPr>
          <w:rFonts w:asciiTheme="majorBidi" w:hAnsiTheme="majorBidi" w:cstheme="majorBidi"/>
          <w:sz w:val="22"/>
          <w:szCs w:val="22"/>
        </w:rPr>
        <w:t>3.</w:t>
      </w:r>
    </w:p>
  </w:footnote>
  <w:footnote w:id="24">
    <w:p w14:paraId="54A80429"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Anthony Pagden, “</w:t>
      </w:r>
      <w:r w:rsidRPr="00C17959">
        <w:rPr>
          <w:rFonts w:asciiTheme="majorBidi" w:hAnsiTheme="majorBidi" w:cstheme="majorBidi"/>
          <w:sz w:val="22"/>
          <w:szCs w:val="22"/>
        </w:rPr>
        <w:t>Europe: Conceptualizing a Continent</w:t>
      </w:r>
      <w:r>
        <w:rPr>
          <w:rFonts w:asciiTheme="majorBidi" w:hAnsiTheme="majorBidi" w:cstheme="majorBidi"/>
          <w:sz w:val="22"/>
          <w:szCs w:val="22"/>
        </w:rPr>
        <w:t xml:space="preserve">”, in Anthony Pagden (ed), </w:t>
      </w:r>
      <w:r w:rsidRPr="00856941">
        <w:rPr>
          <w:rFonts w:asciiTheme="majorBidi" w:hAnsiTheme="majorBidi" w:cstheme="majorBidi"/>
          <w:i/>
          <w:iCs/>
          <w:sz w:val="22"/>
          <w:szCs w:val="22"/>
        </w:rPr>
        <w:t xml:space="preserve">The Idea of Europe: From Antiquity to the European Union </w:t>
      </w:r>
      <w:r w:rsidRPr="004847E0">
        <w:rPr>
          <w:rFonts w:asciiTheme="majorBidi" w:hAnsiTheme="majorBidi" w:cstheme="majorBidi"/>
          <w:sz w:val="22"/>
          <w:szCs w:val="22"/>
        </w:rPr>
        <w:t>(</w:t>
      </w:r>
      <w:r>
        <w:rPr>
          <w:rFonts w:asciiTheme="majorBidi" w:hAnsiTheme="majorBidi" w:cstheme="majorBidi"/>
          <w:sz w:val="22"/>
          <w:szCs w:val="22"/>
        </w:rPr>
        <w:t xml:space="preserve">2002) pp. 46-47.  </w:t>
      </w:r>
    </w:p>
  </w:footnote>
  <w:footnote w:id="25">
    <w:p w14:paraId="4CB4889D"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A</w:t>
      </w:r>
      <w:r>
        <w:rPr>
          <w:rFonts w:asciiTheme="majorBidi" w:hAnsiTheme="majorBidi" w:cstheme="majorBidi"/>
          <w:sz w:val="22"/>
          <w:szCs w:val="22"/>
        </w:rPr>
        <w:t>ccording to</w:t>
      </w:r>
      <w:r w:rsidRPr="00356EAE">
        <w:rPr>
          <w:rFonts w:asciiTheme="majorBidi" w:hAnsiTheme="majorBidi" w:cstheme="majorBidi"/>
          <w:sz w:val="22"/>
          <w:szCs w:val="22"/>
        </w:rPr>
        <w:t xml:space="preserve"> Roman geographers, most presently Slavic lands were largely Germanic </w:t>
      </w:r>
      <w:r>
        <w:rPr>
          <w:rFonts w:asciiTheme="majorBidi" w:hAnsiTheme="majorBidi" w:cstheme="majorBidi"/>
          <w:sz w:val="22"/>
          <w:szCs w:val="22"/>
        </w:rPr>
        <w:t>during</w:t>
      </w:r>
      <w:r w:rsidRPr="00356EAE">
        <w:rPr>
          <w:rFonts w:asciiTheme="majorBidi" w:hAnsiTheme="majorBidi" w:cstheme="majorBidi"/>
          <w:sz w:val="22"/>
          <w:szCs w:val="22"/>
        </w:rPr>
        <w:t xml:space="preserve"> Rom</w:t>
      </w:r>
      <w:r>
        <w:rPr>
          <w:rFonts w:asciiTheme="majorBidi" w:hAnsiTheme="majorBidi" w:cstheme="majorBidi"/>
          <w:sz w:val="22"/>
          <w:szCs w:val="22"/>
        </w:rPr>
        <w:t>e’s</w:t>
      </w:r>
      <w:r w:rsidRPr="00356EAE">
        <w:rPr>
          <w:rFonts w:asciiTheme="majorBidi" w:hAnsiTheme="majorBidi" w:cstheme="majorBidi"/>
          <w:sz w:val="22"/>
          <w:szCs w:val="22"/>
        </w:rPr>
        <w:t xml:space="preserve"> pre-eminence. Peter Heather, </w:t>
      </w:r>
      <w:r w:rsidRPr="00356EAE">
        <w:rPr>
          <w:rFonts w:asciiTheme="majorBidi" w:hAnsiTheme="majorBidi" w:cstheme="majorBidi"/>
          <w:i/>
          <w:iCs/>
          <w:sz w:val="22"/>
          <w:szCs w:val="22"/>
        </w:rPr>
        <w:t>Empires and Barbarians: The Fall of Rome and the Birth of Europe</w:t>
      </w:r>
      <w:r w:rsidRPr="00356EAE">
        <w:rPr>
          <w:rFonts w:asciiTheme="majorBidi" w:hAnsiTheme="majorBidi" w:cstheme="majorBidi"/>
          <w:sz w:val="22"/>
          <w:szCs w:val="22"/>
        </w:rPr>
        <w:t xml:space="preserve"> (2012) p. 386.</w:t>
      </w:r>
    </w:p>
  </w:footnote>
  <w:footnote w:id="26">
    <w:p w14:paraId="44E9C235"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387.</w:t>
      </w:r>
    </w:p>
  </w:footnote>
  <w:footnote w:id="27">
    <w:p w14:paraId="56CC368E"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For instance, the first known written sentence in Latin-originated Romanian is dated at 1521. Keith Hitchens, </w:t>
      </w:r>
      <w:r w:rsidRPr="00356EAE">
        <w:rPr>
          <w:rFonts w:asciiTheme="majorBidi" w:hAnsiTheme="majorBidi" w:cstheme="majorBidi"/>
          <w:i/>
          <w:iCs/>
          <w:sz w:val="22"/>
          <w:szCs w:val="22"/>
        </w:rPr>
        <w:t xml:space="preserve">A Concise History of Romania </w:t>
      </w:r>
      <w:r w:rsidRPr="00356EAE">
        <w:rPr>
          <w:rFonts w:asciiTheme="majorBidi" w:hAnsiTheme="majorBidi" w:cstheme="majorBidi"/>
          <w:sz w:val="22"/>
          <w:szCs w:val="22"/>
        </w:rPr>
        <w:t>(2014)</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40.</w:t>
      </w:r>
    </w:p>
  </w:footnote>
  <w:footnote w:id="28">
    <w:p w14:paraId="7355D47A" w14:textId="6ECE9BE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Daniel Quiroga-</w:t>
      </w:r>
      <w:proofErr w:type="spellStart"/>
      <w:r w:rsidRPr="00356EAE">
        <w:rPr>
          <w:rFonts w:asciiTheme="majorBidi" w:hAnsiTheme="majorBidi" w:cstheme="majorBidi"/>
          <w:sz w:val="22"/>
          <w:szCs w:val="22"/>
        </w:rPr>
        <w:t>Villamarín</w:t>
      </w:r>
      <w:proofErr w:type="spellEnd"/>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Beyond Texts? Towards a Material Turn in the Theory and History of International Law</w:t>
      </w:r>
      <w:r>
        <w:rPr>
          <w:rFonts w:asciiTheme="majorBidi" w:hAnsiTheme="majorBidi" w:cstheme="majorBidi"/>
          <w:sz w:val="22"/>
          <w:szCs w:val="22"/>
        </w:rPr>
        <w:t>”,</w:t>
      </w:r>
      <w:r w:rsidRPr="00356EAE">
        <w:rPr>
          <w:rFonts w:asciiTheme="majorBidi" w:hAnsiTheme="majorBidi" w:cstheme="majorBidi"/>
          <w:sz w:val="22"/>
          <w:szCs w:val="22"/>
        </w:rPr>
        <w:t xml:space="preserve"> 23</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Journal of the History of International Law</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(2020) pp. </w:t>
      </w:r>
      <w:r w:rsidRPr="00356EAE">
        <w:rPr>
          <w:rFonts w:asciiTheme="majorBidi" w:hAnsiTheme="majorBidi" w:cstheme="majorBidi"/>
          <w:sz w:val="22"/>
          <w:szCs w:val="22"/>
        </w:rPr>
        <w:t>466</w:t>
      </w:r>
      <w:r>
        <w:rPr>
          <w:rFonts w:asciiTheme="majorBidi" w:hAnsiTheme="majorBidi" w:cstheme="majorBidi"/>
          <w:sz w:val="22"/>
          <w:szCs w:val="22"/>
        </w:rPr>
        <w:t>-500</w:t>
      </w:r>
      <w:r w:rsidRPr="00356EAE">
        <w:rPr>
          <w:rFonts w:asciiTheme="majorBidi" w:hAnsiTheme="majorBidi" w:cstheme="majorBidi"/>
          <w:sz w:val="22"/>
          <w:szCs w:val="22"/>
        </w:rPr>
        <w:t>.</w:t>
      </w:r>
    </w:p>
  </w:footnote>
  <w:footnote w:id="29">
    <w:p w14:paraId="3EC545EE"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Pr>
          <w:rFonts w:asciiTheme="majorBidi" w:hAnsiTheme="majorBidi" w:cstheme="majorBidi"/>
          <w:sz w:val="22"/>
          <w:szCs w:val="22"/>
        </w:rPr>
        <w:t>Fixation on</w:t>
      </w:r>
      <w:r w:rsidRPr="00356EAE">
        <w:rPr>
          <w:rFonts w:asciiTheme="majorBidi" w:hAnsiTheme="majorBidi" w:cstheme="majorBidi"/>
          <w:sz w:val="22"/>
          <w:szCs w:val="22"/>
        </w:rPr>
        <w:t xml:space="preserve"> Ancient Greece and Rome informed the earliest attempts to </w:t>
      </w:r>
      <w:r>
        <w:rPr>
          <w:rFonts w:asciiTheme="majorBidi" w:hAnsiTheme="majorBidi" w:cstheme="majorBidi"/>
          <w:sz w:val="22"/>
          <w:szCs w:val="22"/>
        </w:rPr>
        <w:t xml:space="preserve">historicise international </w:t>
      </w:r>
      <w:proofErr w:type="gramStart"/>
      <w:r>
        <w:rPr>
          <w:rFonts w:asciiTheme="majorBidi" w:hAnsiTheme="majorBidi" w:cstheme="majorBidi"/>
          <w:sz w:val="22"/>
          <w:szCs w:val="22"/>
        </w:rPr>
        <w:t xml:space="preserve">law </w:t>
      </w:r>
      <w:r w:rsidRPr="00356EAE">
        <w:rPr>
          <w:rFonts w:asciiTheme="majorBidi" w:hAnsiTheme="majorBidi" w:cstheme="majorBidi"/>
          <w:sz w:val="22"/>
          <w:szCs w:val="22"/>
        </w:rPr>
        <w:t>.</w:t>
      </w:r>
      <w:proofErr w:type="gramEnd"/>
      <w:r>
        <w:rPr>
          <w:rFonts w:asciiTheme="majorBidi" w:hAnsiTheme="majorBidi" w:cstheme="majorBidi"/>
          <w:sz w:val="22"/>
          <w:szCs w:val="22"/>
        </w:rPr>
        <w:t xml:space="preserve"> See</w:t>
      </w:r>
      <w:r w:rsidRPr="00356EAE">
        <w:rPr>
          <w:rFonts w:asciiTheme="majorBidi" w:hAnsiTheme="majorBidi" w:cstheme="majorBidi"/>
          <w:sz w:val="22"/>
          <w:szCs w:val="22"/>
        </w:rPr>
        <w:t xml:space="preserve"> Robert Ward, </w:t>
      </w:r>
      <w:r w:rsidRPr="00356EAE">
        <w:rPr>
          <w:rFonts w:asciiTheme="majorBidi" w:hAnsiTheme="majorBidi" w:cstheme="majorBidi"/>
          <w:i/>
          <w:iCs/>
          <w:sz w:val="22"/>
          <w:szCs w:val="22"/>
        </w:rPr>
        <w:t xml:space="preserve">Enquiry into the Foundation and History of the Law of Nations in Europe, </w:t>
      </w:r>
      <w:proofErr w:type="gramStart"/>
      <w:r w:rsidRPr="00356EAE">
        <w:rPr>
          <w:rFonts w:asciiTheme="majorBidi" w:hAnsiTheme="majorBidi" w:cstheme="majorBidi"/>
          <w:i/>
          <w:iCs/>
          <w:sz w:val="22"/>
          <w:szCs w:val="22"/>
        </w:rPr>
        <w:t>from the Time of the Greeks and Romans,</w:t>
      </w:r>
      <w:proofErr w:type="gramEnd"/>
      <w:r w:rsidRPr="00356EAE">
        <w:rPr>
          <w:rFonts w:asciiTheme="majorBidi" w:hAnsiTheme="majorBidi" w:cstheme="majorBidi"/>
          <w:i/>
          <w:iCs/>
          <w:sz w:val="22"/>
          <w:szCs w:val="22"/>
        </w:rPr>
        <w:t xml:space="preserve"> to the Age of Grotius</w:t>
      </w:r>
      <w:r w:rsidRPr="00356EAE">
        <w:rPr>
          <w:rFonts w:asciiTheme="majorBidi" w:hAnsiTheme="majorBidi" w:cstheme="majorBidi"/>
          <w:sz w:val="22"/>
          <w:szCs w:val="22"/>
        </w:rPr>
        <w:t xml:space="preserve">, volume 1 (1795), pp. 103-120. </w:t>
      </w:r>
    </w:p>
  </w:footnote>
  <w:footnote w:id="30">
    <w:p w14:paraId="31188DCF"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James Blaut, </w:t>
      </w:r>
      <w:r w:rsidRPr="00356EAE">
        <w:rPr>
          <w:rFonts w:asciiTheme="majorBidi" w:hAnsiTheme="majorBidi" w:cstheme="majorBidi"/>
          <w:i/>
          <w:iCs/>
          <w:sz w:val="22"/>
          <w:szCs w:val="22"/>
        </w:rPr>
        <w:t>The Coloniser’s Model of the World: Geographical Diffusion and Eurocentric History</w:t>
      </w:r>
      <w:r w:rsidRPr="00356EAE">
        <w:rPr>
          <w:rFonts w:asciiTheme="majorBidi" w:hAnsiTheme="majorBidi" w:cstheme="majorBidi"/>
          <w:sz w:val="22"/>
          <w:szCs w:val="22"/>
        </w:rPr>
        <w:t xml:space="preserve"> (1993)</w:t>
      </w:r>
      <w:r>
        <w:rPr>
          <w:rFonts w:asciiTheme="majorBidi" w:hAnsiTheme="majorBidi" w:cstheme="majorBidi"/>
          <w:sz w:val="22"/>
          <w:szCs w:val="22"/>
        </w:rPr>
        <w:t xml:space="preserve"> pp. </w:t>
      </w:r>
      <w:r w:rsidRPr="00356EAE">
        <w:rPr>
          <w:rFonts w:asciiTheme="majorBidi" w:hAnsiTheme="majorBidi" w:cstheme="majorBidi"/>
          <w:sz w:val="22"/>
          <w:szCs w:val="22"/>
        </w:rPr>
        <w:t>11-17.</w:t>
      </w:r>
    </w:p>
  </w:footnote>
  <w:footnote w:id="31">
    <w:p w14:paraId="16050994"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Eric Wolf, </w:t>
      </w:r>
      <w:r w:rsidRPr="00356EAE">
        <w:rPr>
          <w:rFonts w:asciiTheme="majorBidi" w:hAnsiTheme="majorBidi" w:cstheme="majorBidi"/>
          <w:i/>
          <w:iCs/>
          <w:sz w:val="22"/>
          <w:szCs w:val="22"/>
        </w:rPr>
        <w:t>Europe and the People Without History</w:t>
      </w:r>
      <w:r w:rsidRPr="00356EAE">
        <w:rPr>
          <w:rFonts w:asciiTheme="majorBidi" w:hAnsiTheme="majorBidi" w:cstheme="majorBidi"/>
          <w:sz w:val="22"/>
          <w:szCs w:val="22"/>
        </w:rPr>
        <w:t xml:space="preserve"> (2</w:t>
      </w:r>
      <w:r w:rsidRPr="00356EAE">
        <w:rPr>
          <w:rFonts w:asciiTheme="majorBidi" w:hAnsiTheme="majorBidi" w:cstheme="majorBidi"/>
          <w:sz w:val="22"/>
          <w:szCs w:val="22"/>
          <w:vertAlign w:val="superscript"/>
        </w:rPr>
        <w:t>nd</w:t>
      </w:r>
      <w:r w:rsidRPr="00356EAE">
        <w:rPr>
          <w:rFonts w:asciiTheme="majorBidi" w:hAnsiTheme="majorBidi" w:cstheme="majorBidi"/>
          <w:sz w:val="22"/>
          <w:szCs w:val="22"/>
        </w:rPr>
        <w:t xml:space="preserve"> ed, 2010).</w:t>
      </w:r>
    </w:p>
  </w:footnote>
  <w:footnote w:id="32">
    <w:p w14:paraId="5A4D4243" w14:textId="7FFEE172"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Symptomatic: John Mearshiemer, </w:t>
      </w:r>
      <w:r>
        <w:rPr>
          <w:rFonts w:asciiTheme="majorBidi" w:hAnsiTheme="majorBidi" w:cstheme="majorBidi"/>
          <w:sz w:val="22"/>
          <w:szCs w:val="22"/>
        </w:rPr>
        <w:t>“</w:t>
      </w:r>
      <w:r w:rsidRPr="00356EAE">
        <w:rPr>
          <w:rFonts w:asciiTheme="majorBidi" w:hAnsiTheme="majorBidi" w:cstheme="majorBidi"/>
          <w:sz w:val="22"/>
          <w:szCs w:val="22"/>
        </w:rPr>
        <w:t xml:space="preserve">Why the Ukraine </w:t>
      </w:r>
      <w:r>
        <w:rPr>
          <w:rFonts w:asciiTheme="majorBidi" w:hAnsiTheme="majorBidi" w:cstheme="majorBidi"/>
          <w:sz w:val="22"/>
          <w:szCs w:val="22"/>
        </w:rPr>
        <w:t>C</w:t>
      </w:r>
      <w:r w:rsidRPr="00356EAE">
        <w:rPr>
          <w:rFonts w:asciiTheme="majorBidi" w:hAnsiTheme="majorBidi" w:cstheme="majorBidi"/>
          <w:sz w:val="22"/>
          <w:szCs w:val="22"/>
        </w:rPr>
        <w:t xml:space="preserve">risis is the West's </w:t>
      </w:r>
      <w:r>
        <w:rPr>
          <w:rFonts w:asciiTheme="majorBidi" w:hAnsiTheme="majorBidi" w:cstheme="majorBidi"/>
          <w:sz w:val="22"/>
          <w:szCs w:val="22"/>
        </w:rPr>
        <w:t>F</w:t>
      </w:r>
      <w:r w:rsidRPr="00356EAE">
        <w:rPr>
          <w:rFonts w:asciiTheme="majorBidi" w:hAnsiTheme="majorBidi" w:cstheme="majorBidi"/>
          <w:sz w:val="22"/>
          <w:szCs w:val="22"/>
        </w:rPr>
        <w:t xml:space="preserve">ault: </w:t>
      </w:r>
      <w:r>
        <w:rPr>
          <w:rFonts w:asciiTheme="majorBidi" w:hAnsiTheme="majorBidi" w:cstheme="majorBidi"/>
          <w:sz w:val="22"/>
          <w:szCs w:val="22"/>
        </w:rPr>
        <w:t>T</w:t>
      </w:r>
      <w:r w:rsidRPr="00356EAE">
        <w:rPr>
          <w:rFonts w:asciiTheme="majorBidi" w:hAnsiTheme="majorBidi" w:cstheme="majorBidi"/>
          <w:sz w:val="22"/>
          <w:szCs w:val="22"/>
        </w:rPr>
        <w:t xml:space="preserve">he </w:t>
      </w:r>
      <w:r>
        <w:rPr>
          <w:rFonts w:asciiTheme="majorBidi" w:hAnsiTheme="majorBidi" w:cstheme="majorBidi"/>
          <w:sz w:val="22"/>
          <w:szCs w:val="22"/>
        </w:rPr>
        <w:t>Li</w:t>
      </w:r>
      <w:r w:rsidRPr="00356EAE">
        <w:rPr>
          <w:rFonts w:asciiTheme="majorBidi" w:hAnsiTheme="majorBidi" w:cstheme="majorBidi"/>
          <w:sz w:val="22"/>
          <w:szCs w:val="22"/>
        </w:rPr>
        <w:t xml:space="preserve">beral </w:t>
      </w:r>
      <w:r>
        <w:rPr>
          <w:rFonts w:asciiTheme="majorBidi" w:hAnsiTheme="majorBidi" w:cstheme="majorBidi"/>
          <w:sz w:val="22"/>
          <w:szCs w:val="22"/>
        </w:rPr>
        <w:t>D</w:t>
      </w:r>
      <w:r w:rsidRPr="00356EAE">
        <w:rPr>
          <w:rFonts w:asciiTheme="majorBidi" w:hAnsiTheme="majorBidi" w:cstheme="majorBidi"/>
          <w:sz w:val="22"/>
          <w:szCs w:val="22"/>
        </w:rPr>
        <w:t xml:space="preserve">elusions that </w:t>
      </w:r>
      <w:r>
        <w:rPr>
          <w:rFonts w:asciiTheme="majorBidi" w:hAnsiTheme="majorBidi" w:cstheme="majorBidi"/>
          <w:sz w:val="22"/>
          <w:szCs w:val="22"/>
        </w:rPr>
        <w:t>P</w:t>
      </w:r>
      <w:r w:rsidRPr="00356EAE">
        <w:rPr>
          <w:rFonts w:asciiTheme="majorBidi" w:hAnsiTheme="majorBidi" w:cstheme="majorBidi"/>
          <w:sz w:val="22"/>
          <w:szCs w:val="22"/>
        </w:rPr>
        <w:t>rovoked Putin</w:t>
      </w:r>
      <w:r>
        <w:rPr>
          <w:rFonts w:asciiTheme="majorBidi" w:hAnsiTheme="majorBidi" w:cstheme="majorBidi"/>
          <w:sz w:val="22"/>
          <w:szCs w:val="22"/>
        </w:rPr>
        <w:t>”,</w:t>
      </w:r>
      <w:r w:rsidRPr="00356EAE">
        <w:rPr>
          <w:rFonts w:asciiTheme="majorBidi" w:hAnsiTheme="majorBidi" w:cstheme="majorBidi"/>
          <w:sz w:val="22"/>
          <w:szCs w:val="22"/>
        </w:rPr>
        <w:t xml:space="preserve"> 93</w:t>
      </w:r>
      <w:r w:rsidR="0074748D">
        <w:rPr>
          <w:rFonts w:asciiTheme="majorBidi" w:hAnsiTheme="majorBidi" w:cstheme="majorBidi"/>
          <w:sz w:val="22"/>
          <w:szCs w:val="22"/>
        </w:rPr>
        <w:t>(5)</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Foreign Affairs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(2014) pp. </w:t>
      </w:r>
      <w:r w:rsidRPr="00356EAE">
        <w:rPr>
          <w:rFonts w:asciiTheme="majorBidi" w:hAnsiTheme="majorBidi" w:cstheme="majorBidi"/>
          <w:sz w:val="22"/>
          <w:szCs w:val="22"/>
        </w:rPr>
        <w:t>77</w:t>
      </w:r>
      <w:r>
        <w:rPr>
          <w:rFonts w:asciiTheme="majorBidi" w:hAnsiTheme="majorBidi" w:cstheme="majorBidi"/>
          <w:sz w:val="22"/>
          <w:szCs w:val="22"/>
        </w:rPr>
        <w:t>-89</w:t>
      </w:r>
      <w:r w:rsidRPr="00356EAE">
        <w:rPr>
          <w:rFonts w:asciiTheme="majorBidi" w:hAnsiTheme="majorBidi" w:cstheme="majorBidi"/>
          <w:sz w:val="22"/>
          <w:szCs w:val="22"/>
        </w:rPr>
        <w:t>.</w:t>
      </w:r>
    </w:p>
  </w:footnote>
  <w:footnote w:id="33">
    <w:p w14:paraId="60F3F9D3"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especially Henri Lefebvre, </w:t>
      </w:r>
      <w:r w:rsidRPr="006729E9">
        <w:rPr>
          <w:rFonts w:asciiTheme="majorBidi" w:hAnsiTheme="majorBidi" w:cstheme="majorBidi"/>
          <w:i/>
          <w:iCs/>
          <w:sz w:val="22"/>
          <w:szCs w:val="22"/>
        </w:rPr>
        <w:t>The Production of Space</w:t>
      </w:r>
      <w:r w:rsidRPr="00356EAE">
        <w:rPr>
          <w:rFonts w:asciiTheme="majorBidi" w:hAnsiTheme="majorBidi" w:cstheme="majorBidi"/>
          <w:sz w:val="22"/>
          <w:szCs w:val="22"/>
        </w:rPr>
        <w:t>, Donald Nicholson-Smith trans (1991)</w:t>
      </w:r>
      <w:r w:rsidRPr="00856941">
        <w:rPr>
          <w:rFonts w:asciiTheme="majorBidi" w:hAnsiTheme="majorBidi" w:cstheme="majorBidi"/>
          <w:sz w:val="22"/>
          <w:szCs w:val="22"/>
        </w:rPr>
        <w:t>.</w:t>
      </w:r>
    </w:p>
  </w:footnote>
  <w:footnote w:id="34">
    <w:p w14:paraId="0AC40CAA"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Stuart Elden, </w:t>
      </w:r>
      <w:r w:rsidRPr="00856941">
        <w:rPr>
          <w:rFonts w:asciiTheme="majorBidi" w:hAnsiTheme="majorBidi" w:cstheme="majorBidi"/>
          <w:i/>
          <w:iCs/>
          <w:sz w:val="22"/>
          <w:szCs w:val="22"/>
        </w:rPr>
        <w:t>The Birth of Territory</w:t>
      </w:r>
      <w:r w:rsidRPr="00356EAE">
        <w:rPr>
          <w:rFonts w:asciiTheme="majorBidi" w:hAnsiTheme="majorBidi" w:cstheme="majorBidi"/>
          <w:sz w:val="22"/>
          <w:szCs w:val="22"/>
        </w:rPr>
        <w:t xml:space="preserve"> (2013) pp. 322-323.</w:t>
      </w:r>
    </w:p>
  </w:footnote>
  <w:footnote w:id="35">
    <w:p w14:paraId="1E2696A6" w14:textId="76B5FBFC" w:rsidR="00F81612" w:rsidRPr="00F81612" w:rsidRDefault="00F81612" w:rsidP="007A29DD">
      <w:pPr>
        <w:pStyle w:val="FootnoteText"/>
        <w:jc w:val="both"/>
        <w:rPr>
          <w:rFonts w:asciiTheme="majorBidi" w:hAnsiTheme="majorBidi" w:cstheme="majorBidi"/>
          <w:sz w:val="22"/>
          <w:szCs w:val="22"/>
        </w:rPr>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rPr>
        <w:t xml:space="preserve"> Stuart Elden, “Legal Terrain—The Political Materiality of Territory”, 5</w:t>
      </w:r>
      <w:r w:rsidR="0074748D">
        <w:rPr>
          <w:rFonts w:asciiTheme="majorBidi" w:hAnsiTheme="majorBidi" w:cstheme="majorBidi"/>
          <w:sz w:val="22"/>
          <w:szCs w:val="22"/>
        </w:rPr>
        <w:t>(2)</w:t>
      </w:r>
      <w:r w:rsidRPr="00F81612">
        <w:rPr>
          <w:rFonts w:asciiTheme="majorBidi" w:hAnsiTheme="majorBidi" w:cstheme="majorBidi"/>
          <w:sz w:val="22"/>
          <w:szCs w:val="22"/>
        </w:rPr>
        <w:t xml:space="preserve"> </w:t>
      </w:r>
      <w:r w:rsidRPr="00F81612">
        <w:rPr>
          <w:rFonts w:asciiTheme="majorBidi" w:hAnsiTheme="majorBidi" w:cstheme="majorBidi"/>
          <w:i/>
          <w:iCs/>
          <w:sz w:val="22"/>
          <w:szCs w:val="22"/>
        </w:rPr>
        <w:t>London Review of International Law</w:t>
      </w:r>
      <w:r w:rsidRPr="00F81612">
        <w:rPr>
          <w:rFonts w:asciiTheme="majorBidi" w:hAnsiTheme="majorBidi" w:cstheme="majorBidi"/>
          <w:sz w:val="22"/>
          <w:szCs w:val="22"/>
        </w:rPr>
        <w:t xml:space="preserve"> (2017) pp. 201-204</w:t>
      </w:r>
    </w:p>
  </w:footnote>
  <w:footnote w:id="36">
    <w:p w14:paraId="496E1D52" w14:textId="77777777" w:rsidR="00F81612" w:rsidRPr="00F81612" w:rsidRDefault="00F81612" w:rsidP="007A29DD">
      <w:pPr>
        <w:pStyle w:val="FootnoteText"/>
        <w:jc w:val="both"/>
        <w:rPr>
          <w:rFonts w:asciiTheme="majorBidi" w:hAnsiTheme="majorBidi" w:cstheme="majorBidi"/>
          <w:sz w:val="22"/>
          <w:szCs w:val="22"/>
          <w:lang w:val="nl-NL"/>
        </w:rPr>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lang w:val="nl-NL"/>
        </w:rPr>
        <w:t xml:space="preserve"> </w:t>
      </w:r>
      <w:proofErr w:type="spellStart"/>
      <w:r w:rsidRPr="00F81612">
        <w:rPr>
          <w:rFonts w:asciiTheme="majorBidi" w:hAnsiTheme="majorBidi" w:cstheme="majorBidi"/>
          <w:sz w:val="22"/>
          <w:szCs w:val="22"/>
          <w:lang w:val="nl-NL"/>
        </w:rPr>
        <w:t>Ibid</w:t>
      </w:r>
      <w:proofErr w:type="spellEnd"/>
      <w:r w:rsidRPr="00F81612">
        <w:rPr>
          <w:rFonts w:asciiTheme="majorBidi" w:hAnsiTheme="majorBidi" w:cstheme="majorBidi"/>
          <w:sz w:val="22"/>
          <w:szCs w:val="22"/>
          <w:lang w:val="nl-NL"/>
        </w:rPr>
        <w:t xml:space="preserve"> p. 202.</w:t>
      </w:r>
    </w:p>
  </w:footnote>
  <w:footnote w:id="37">
    <w:p w14:paraId="2067A36A" w14:textId="5A3B5DB5" w:rsidR="00F81612" w:rsidRPr="00F81612" w:rsidRDefault="00F81612" w:rsidP="007A29DD">
      <w:pPr>
        <w:pStyle w:val="FootnoteText"/>
        <w:jc w:val="both"/>
        <w:rPr>
          <w:rFonts w:asciiTheme="majorBidi" w:hAnsiTheme="majorBidi" w:cstheme="majorBidi"/>
          <w:sz w:val="22"/>
          <w:szCs w:val="22"/>
          <w:lang w:val="nl-NL"/>
        </w:rPr>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lang w:val="nl-NL"/>
        </w:rPr>
        <w:t xml:space="preserve"> Wolf (</w:t>
      </w:r>
      <w:r>
        <w:rPr>
          <w:rFonts w:asciiTheme="majorBidi" w:hAnsiTheme="majorBidi" w:cstheme="majorBidi"/>
          <w:sz w:val="22"/>
          <w:szCs w:val="22"/>
          <w:lang w:val="nl-NL"/>
        </w:rPr>
        <w:t>n 31</w:t>
      </w:r>
      <w:r w:rsidRPr="00F81612">
        <w:rPr>
          <w:rFonts w:asciiTheme="majorBidi" w:hAnsiTheme="majorBidi" w:cstheme="majorBidi"/>
          <w:sz w:val="22"/>
          <w:szCs w:val="22"/>
          <w:lang w:val="nl-NL"/>
        </w:rPr>
        <w:t>) 29.</w:t>
      </w:r>
    </w:p>
  </w:footnote>
  <w:footnote w:id="38">
    <w:p w14:paraId="42F4DE11" w14:textId="19FFFCBB" w:rsidR="00F81612" w:rsidRPr="00F81612" w:rsidRDefault="00F81612" w:rsidP="007A29DD">
      <w:pPr>
        <w:pStyle w:val="FootnoteText"/>
        <w:jc w:val="both"/>
        <w:rPr>
          <w:rFonts w:asciiTheme="majorBidi" w:hAnsiTheme="majorBidi" w:cstheme="majorBidi"/>
          <w:sz w:val="22"/>
          <w:szCs w:val="22"/>
          <w:lang w:val="nl-NL"/>
        </w:rPr>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lang w:val="nl-NL"/>
        </w:rPr>
        <w:t xml:space="preserve"> Elden (</w:t>
      </w:r>
      <w:r>
        <w:rPr>
          <w:rFonts w:asciiTheme="majorBidi" w:hAnsiTheme="majorBidi" w:cstheme="majorBidi"/>
          <w:sz w:val="22"/>
          <w:szCs w:val="22"/>
          <w:lang w:val="nl-NL"/>
        </w:rPr>
        <w:t>n 34</w:t>
      </w:r>
      <w:r w:rsidRPr="00F81612">
        <w:rPr>
          <w:rFonts w:asciiTheme="majorBidi" w:hAnsiTheme="majorBidi" w:cstheme="majorBidi"/>
          <w:sz w:val="22"/>
          <w:szCs w:val="22"/>
          <w:lang w:val="nl-NL"/>
        </w:rPr>
        <w:t>) pp. 213-233.</w:t>
      </w:r>
    </w:p>
  </w:footnote>
  <w:footnote w:id="39">
    <w:p w14:paraId="46F813BB" w14:textId="77777777" w:rsidR="00F81612" w:rsidRDefault="00F81612" w:rsidP="007A29DD">
      <w:pPr>
        <w:pStyle w:val="FootnoteText"/>
        <w:jc w:val="both"/>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rPr>
        <w:t xml:space="preserve"> Ibid pp. 243-245.</w:t>
      </w:r>
      <w:r w:rsidRPr="00356EAE">
        <w:rPr>
          <w:rFonts w:asciiTheme="majorBidi" w:hAnsiTheme="majorBidi" w:cstheme="majorBidi"/>
          <w:sz w:val="22"/>
          <w:szCs w:val="22"/>
        </w:rPr>
        <w:t xml:space="preserve">  </w:t>
      </w:r>
    </w:p>
  </w:footnote>
  <w:footnote w:id="40">
    <w:p w14:paraId="3619D9CE" w14:textId="18E8DD58"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Ibid</w:t>
      </w:r>
      <w:r w:rsidRPr="00356EAE">
        <w:rPr>
          <w:rFonts w:asciiTheme="majorBidi" w:hAnsiTheme="majorBidi" w:cstheme="majorBidi"/>
          <w:sz w:val="22"/>
          <w:szCs w:val="22"/>
        </w:rPr>
        <w:t xml:space="preserve"> </w:t>
      </w:r>
      <w:r>
        <w:rPr>
          <w:rFonts w:asciiTheme="majorBidi" w:hAnsiTheme="majorBidi" w:cstheme="majorBidi"/>
          <w:sz w:val="22"/>
          <w:szCs w:val="22"/>
        </w:rPr>
        <w:t xml:space="preserve">pp. </w:t>
      </w:r>
      <w:r w:rsidRPr="00356EAE">
        <w:rPr>
          <w:rFonts w:asciiTheme="majorBidi" w:hAnsiTheme="majorBidi" w:cstheme="majorBidi"/>
          <w:sz w:val="22"/>
          <w:szCs w:val="22"/>
        </w:rPr>
        <w:t>239-</w:t>
      </w:r>
      <w:r>
        <w:rPr>
          <w:rFonts w:asciiTheme="majorBidi" w:hAnsiTheme="majorBidi" w:cstheme="majorBidi"/>
          <w:sz w:val="22"/>
          <w:szCs w:val="22"/>
        </w:rPr>
        <w:t>241</w:t>
      </w:r>
      <w:r w:rsidRPr="00356EAE">
        <w:rPr>
          <w:rFonts w:asciiTheme="majorBidi" w:hAnsiTheme="majorBidi" w:cstheme="majorBidi"/>
          <w:sz w:val="22"/>
          <w:szCs w:val="22"/>
        </w:rPr>
        <w:t xml:space="preserve">; David Lupher, </w:t>
      </w:r>
      <w:r w:rsidRPr="00856941">
        <w:rPr>
          <w:rFonts w:asciiTheme="majorBidi" w:hAnsiTheme="majorBidi" w:cstheme="majorBidi"/>
          <w:i/>
          <w:iCs/>
          <w:sz w:val="22"/>
          <w:szCs w:val="22"/>
        </w:rPr>
        <w:t>Romans in a New World: Classical Models in Sixteenth-century Spanish America</w:t>
      </w:r>
      <w:r w:rsidRPr="00356EAE">
        <w:rPr>
          <w:rFonts w:asciiTheme="majorBidi" w:hAnsiTheme="majorBidi" w:cstheme="majorBidi"/>
          <w:sz w:val="22"/>
          <w:szCs w:val="22"/>
        </w:rPr>
        <w:t xml:space="preserve"> (2007);</w:t>
      </w:r>
      <w:r>
        <w:rPr>
          <w:rFonts w:asciiTheme="majorBidi" w:hAnsiTheme="majorBidi" w:cstheme="majorBidi"/>
          <w:sz w:val="22"/>
          <w:szCs w:val="22"/>
        </w:rPr>
        <w:t xml:space="preserve"> </w:t>
      </w:r>
      <w:r w:rsidRPr="00356EAE">
        <w:rPr>
          <w:rFonts w:asciiTheme="majorBidi" w:hAnsiTheme="majorBidi" w:cstheme="majorBidi"/>
          <w:sz w:val="22"/>
          <w:szCs w:val="22"/>
        </w:rPr>
        <w:t>Benjamin Straumann,</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Roman Law in the State of Nature: The Classical Foundations of Hugo Grotius’ Natural Law</w:t>
      </w:r>
      <w:r w:rsidRPr="00356EAE">
        <w:rPr>
          <w:rFonts w:asciiTheme="majorBidi" w:hAnsiTheme="majorBidi" w:cstheme="majorBidi"/>
          <w:sz w:val="22"/>
          <w:szCs w:val="22"/>
        </w:rPr>
        <w:t xml:space="preserve"> (2015).</w:t>
      </w:r>
    </w:p>
  </w:footnote>
  <w:footnote w:id="41">
    <w:p w14:paraId="18C58AC1" w14:textId="6FE3FC36" w:rsidR="00F81612" w:rsidRPr="00F81612" w:rsidRDefault="00F81612" w:rsidP="00F81612">
      <w:pPr>
        <w:pStyle w:val="FootnoteText"/>
        <w:jc w:val="both"/>
        <w:rPr>
          <w:rFonts w:asciiTheme="majorBidi" w:hAnsiTheme="majorBidi" w:cstheme="majorBidi"/>
          <w:sz w:val="22"/>
          <w:szCs w:val="22"/>
        </w:rPr>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rPr>
        <w:t xml:space="preserve"> Jordan Branch, “‘Colonial Reflection’ and Territoriality: The Peripheral Origins of Sovereign Statehood”, 18</w:t>
      </w:r>
      <w:r w:rsidR="0074748D">
        <w:rPr>
          <w:rFonts w:asciiTheme="majorBidi" w:hAnsiTheme="majorBidi" w:cstheme="majorBidi"/>
          <w:sz w:val="22"/>
          <w:szCs w:val="22"/>
        </w:rPr>
        <w:t>(2)</w:t>
      </w:r>
      <w:r w:rsidRPr="00F81612">
        <w:rPr>
          <w:rFonts w:asciiTheme="majorBidi" w:hAnsiTheme="majorBidi" w:cstheme="majorBidi"/>
          <w:sz w:val="22"/>
          <w:szCs w:val="22"/>
        </w:rPr>
        <w:t xml:space="preserve"> </w:t>
      </w:r>
      <w:r w:rsidRPr="00F81612">
        <w:rPr>
          <w:rFonts w:asciiTheme="majorBidi" w:hAnsiTheme="majorBidi" w:cstheme="majorBidi"/>
          <w:i/>
          <w:iCs/>
          <w:sz w:val="22"/>
          <w:szCs w:val="22"/>
        </w:rPr>
        <w:t>European Journal of International Relations</w:t>
      </w:r>
      <w:r w:rsidRPr="00F81612">
        <w:rPr>
          <w:rFonts w:asciiTheme="majorBidi" w:hAnsiTheme="majorBidi" w:cstheme="majorBidi"/>
          <w:sz w:val="22"/>
          <w:szCs w:val="22"/>
        </w:rPr>
        <w:t xml:space="preserve"> (2010) pp. 284-291</w:t>
      </w:r>
    </w:p>
  </w:footnote>
  <w:footnote w:id="42">
    <w:p w14:paraId="6D68DC90" w14:textId="5F27D781" w:rsidR="00F81612" w:rsidRPr="00F81612" w:rsidRDefault="00F81612" w:rsidP="00F81612">
      <w:pPr>
        <w:pStyle w:val="FootnoteText"/>
        <w:jc w:val="both"/>
        <w:rPr>
          <w:rFonts w:asciiTheme="majorBidi" w:hAnsiTheme="majorBidi" w:cstheme="majorBidi"/>
          <w:sz w:val="22"/>
          <w:szCs w:val="22"/>
        </w:rPr>
      </w:pPr>
      <w:r w:rsidRPr="00F81612">
        <w:rPr>
          <w:rStyle w:val="FootnoteReference"/>
          <w:rFonts w:asciiTheme="majorBidi" w:hAnsiTheme="majorBidi" w:cstheme="majorBidi"/>
          <w:sz w:val="22"/>
          <w:szCs w:val="22"/>
        </w:rPr>
        <w:footnoteRef/>
      </w:r>
      <w:r w:rsidRPr="00F81612">
        <w:rPr>
          <w:rFonts w:asciiTheme="majorBidi" w:hAnsiTheme="majorBidi" w:cstheme="majorBidi"/>
          <w:sz w:val="22"/>
          <w:szCs w:val="22"/>
        </w:rPr>
        <w:t xml:space="preserve"> J.C. Sharman, “Power and Profit at Sea: The Rise of the West in the Making of the International System”, 43</w:t>
      </w:r>
      <w:r w:rsidR="0074748D">
        <w:rPr>
          <w:rFonts w:asciiTheme="majorBidi" w:hAnsiTheme="majorBidi" w:cstheme="majorBidi"/>
          <w:sz w:val="22"/>
          <w:szCs w:val="22"/>
        </w:rPr>
        <w:t>(4)</w:t>
      </w:r>
      <w:r w:rsidRPr="00F81612">
        <w:rPr>
          <w:rFonts w:asciiTheme="majorBidi" w:hAnsiTheme="majorBidi" w:cstheme="majorBidi"/>
          <w:sz w:val="22"/>
          <w:szCs w:val="22"/>
        </w:rPr>
        <w:t xml:space="preserve"> </w:t>
      </w:r>
      <w:r w:rsidRPr="00F81612">
        <w:rPr>
          <w:rFonts w:asciiTheme="majorBidi" w:hAnsiTheme="majorBidi" w:cstheme="majorBidi"/>
          <w:i/>
          <w:iCs/>
          <w:sz w:val="22"/>
          <w:szCs w:val="22"/>
        </w:rPr>
        <w:t>International Security</w:t>
      </w:r>
      <w:r w:rsidRPr="00F81612">
        <w:rPr>
          <w:rFonts w:asciiTheme="majorBidi" w:hAnsiTheme="majorBidi" w:cstheme="majorBidi"/>
          <w:sz w:val="22"/>
          <w:szCs w:val="22"/>
        </w:rPr>
        <w:t xml:space="preserve"> (2019) pp. 163-196. </w:t>
      </w:r>
    </w:p>
  </w:footnote>
  <w:footnote w:id="43">
    <w:p w14:paraId="6AE260F8" w14:textId="3F0F9B1B"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 xml:space="preserve">See </w:t>
      </w:r>
      <w:proofErr w:type="spellStart"/>
      <w:r w:rsidRPr="00356EAE">
        <w:rPr>
          <w:rFonts w:asciiTheme="majorBidi" w:hAnsiTheme="majorBidi" w:cstheme="majorBidi"/>
          <w:sz w:val="22"/>
          <w:szCs w:val="22"/>
        </w:rPr>
        <w:t>Endalew</w:t>
      </w:r>
      <w:proofErr w:type="spellEnd"/>
      <w:r w:rsidRPr="00356EAE">
        <w:rPr>
          <w:rFonts w:asciiTheme="majorBidi" w:hAnsiTheme="majorBidi" w:cstheme="majorBidi"/>
          <w:sz w:val="22"/>
          <w:szCs w:val="22"/>
        </w:rPr>
        <w:t xml:space="preserve"> Lijalem Enyew, </w:t>
      </w:r>
      <w:r>
        <w:rPr>
          <w:rFonts w:asciiTheme="majorBidi" w:hAnsiTheme="majorBidi" w:cstheme="majorBidi"/>
          <w:sz w:val="22"/>
          <w:szCs w:val="22"/>
        </w:rPr>
        <w:t>“</w:t>
      </w:r>
      <w:r w:rsidRPr="00356EAE">
        <w:rPr>
          <w:rFonts w:asciiTheme="majorBidi" w:hAnsiTheme="majorBidi" w:cstheme="majorBidi"/>
          <w:sz w:val="22"/>
          <w:szCs w:val="22"/>
        </w:rPr>
        <w:t xml:space="preserve">Sailing with TWAIL: </w:t>
      </w:r>
      <w:r>
        <w:rPr>
          <w:rFonts w:asciiTheme="majorBidi" w:hAnsiTheme="majorBidi" w:cstheme="majorBidi"/>
          <w:sz w:val="22"/>
          <w:szCs w:val="22"/>
        </w:rPr>
        <w:t>A</w:t>
      </w:r>
      <w:r w:rsidRPr="00356EAE">
        <w:rPr>
          <w:rFonts w:asciiTheme="majorBidi" w:hAnsiTheme="majorBidi" w:cstheme="majorBidi"/>
          <w:sz w:val="22"/>
          <w:szCs w:val="22"/>
        </w:rPr>
        <w:t xml:space="preserve"> </w:t>
      </w:r>
      <w:r>
        <w:rPr>
          <w:rFonts w:asciiTheme="majorBidi" w:hAnsiTheme="majorBidi" w:cstheme="majorBidi"/>
          <w:sz w:val="22"/>
          <w:szCs w:val="22"/>
        </w:rPr>
        <w:t>H</w:t>
      </w:r>
      <w:r w:rsidRPr="00356EAE">
        <w:rPr>
          <w:rFonts w:asciiTheme="majorBidi" w:hAnsiTheme="majorBidi" w:cstheme="majorBidi"/>
          <w:sz w:val="22"/>
          <w:szCs w:val="22"/>
        </w:rPr>
        <w:t xml:space="preserve">istorical </w:t>
      </w:r>
      <w:r>
        <w:rPr>
          <w:rFonts w:asciiTheme="majorBidi" w:hAnsiTheme="majorBidi" w:cstheme="majorBidi"/>
          <w:sz w:val="22"/>
          <w:szCs w:val="22"/>
        </w:rPr>
        <w:t>I</w:t>
      </w:r>
      <w:r w:rsidRPr="00356EAE">
        <w:rPr>
          <w:rFonts w:asciiTheme="majorBidi" w:hAnsiTheme="majorBidi" w:cstheme="majorBidi"/>
          <w:sz w:val="22"/>
          <w:szCs w:val="22"/>
        </w:rPr>
        <w:t xml:space="preserve">nquiry into </w:t>
      </w:r>
      <w:r>
        <w:rPr>
          <w:rFonts w:asciiTheme="majorBidi" w:hAnsiTheme="majorBidi" w:cstheme="majorBidi"/>
          <w:sz w:val="22"/>
          <w:szCs w:val="22"/>
        </w:rPr>
        <w:t>T</w:t>
      </w:r>
      <w:r w:rsidRPr="00356EAE">
        <w:rPr>
          <w:rFonts w:asciiTheme="majorBidi" w:hAnsiTheme="majorBidi" w:cstheme="majorBidi"/>
          <w:sz w:val="22"/>
          <w:szCs w:val="22"/>
        </w:rPr>
        <w:t xml:space="preserve">hird </w:t>
      </w:r>
      <w:r>
        <w:rPr>
          <w:rFonts w:asciiTheme="majorBidi" w:hAnsiTheme="majorBidi" w:cstheme="majorBidi"/>
          <w:sz w:val="22"/>
          <w:szCs w:val="22"/>
        </w:rPr>
        <w:t>W</w:t>
      </w:r>
      <w:r w:rsidRPr="00356EAE">
        <w:rPr>
          <w:rFonts w:asciiTheme="majorBidi" w:hAnsiTheme="majorBidi" w:cstheme="majorBidi"/>
          <w:sz w:val="22"/>
          <w:szCs w:val="22"/>
        </w:rPr>
        <w:t xml:space="preserve">orld </w:t>
      </w:r>
      <w:r>
        <w:rPr>
          <w:rFonts w:asciiTheme="majorBidi" w:hAnsiTheme="majorBidi" w:cstheme="majorBidi"/>
          <w:sz w:val="22"/>
          <w:szCs w:val="22"/>
        </w:rPr>
        <w:t>P</w:t>
      </w:r>
      <w:r w:rsidRPr="00356EAE">
        <w:rPr>
          <w:rFonts w:asciiTheme="majorBidi" w:hAnsiTheme="majorBidi" w:cstheme="majorBidi"/>
          <w:sz w:val="22"/>
          <w:szCs w:val="22"/>
        </w:rPr>
        <w:t xml:space="preserve">erspectives on the </w:t>
      </w:r>
      <w:r>
        <w:rPr>
          <w:rFonts w:asciiTheme="majorBidi" w:hAnsiTheme="majorBidi" w:cstheme="majorBidi"/>
          <w:sz w:val="22"/>
          <w:szCs w:val="22"/>
        </w:rPr>
        <w:t>L</w:t>
      </w:r>
      <w:r w:rsidRPr="00356EAE">
        <w:rPr>
          <w:rFonts w:asciiTheme="majorBidi" w:hAnsiTheme="majorBidi" w:cstheme="majorBidi"/>
          <w:sz w:val="22"/>
          <w:szCs w:val="22"/>
        </w:rPr>
        <w:t xml:space="preserve">aw of the </w:t>
      </w:r>
      <w:r>
        <w:rPr>
          <w:rFonts w:asciiTheme="majorBidi" w:hAnsiTheme="majorBidi" w:cstheme="majorBidi"/>
          <w:sz w:val="22"/>
          <w:szCs w:val="22"/>
        </w:rPr>
        <w:t>S</w:t>
      </w:r>
      <w:r w:rsidRPr="00356EAE">
        <w:rPr>
          <w:rFonts w:asciiTheme="majorBidi" w:hAnsiTheme="majorBidi" w:cstheme="majorBidi"/>
          <w:sz w:val="22"/>
          <w:szCs w:val="22"/>
        </w:rPr>
        <w:t>ea</w:t>
      </w:r>
      <w:r>
        <w:rPr>
          <w:rFonts w:asciiTheme="majorBidi" w:hAnsiTheme="majorBidi" w:cstheme="majorBidi"/>
          <w:sz w:val="22"/>
          <w:szCs w:val="22"/>
        </w:rPr>
        <w:t>”,</w:t>
      </w:r>
      <w:r w:rsidRPr="00356EAE">
        <w:rPr>
          <w:rFonts w:asciiTheme="majorBidi" w:hAnsiTheme="majorBidi" w:cstheme="majorBidi"/>
          <w:sz w:val="22"/>
          <w:szCs w:val="22"/>
        </w:rPr>
        <w:t xml:space="preserve"> 21</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Chinese Journal of International Law</w:t>
      </w:r>
      <w:r w:rsidRPr="00356EAE">
        <w:rPr>
          <w:rFonts w:asciiTheme="majorBidi" w:hAnsiTheme="majorBidi" w:cstheme="majorBidi"/>
          <w:sz w:val="22"/>
          <w:szCs w:val="22"/>
        </w:rPr>
        <w:t xml:space="preserve"> (2022) pp. 439-497</w:t>
      </w:r>
      <w:r w:rsidRPr="00856941">
        <w:rPr>
          <w:rFonts w:asciiTheme="majorBidi" w:hAnsiTheme="majorBidi" w:cstheme="majorBidi"/>
          <w:sz w:val="22"/>
          <w:szCs w:val="22"/>
        </w:rPr>
        <w:t>.</w:t>
      </w:r>
    </w:p>
  </w:footnote>
  <w:footnote w:id="44">
    <w:p w14:paraId="09AEF03A" w14:textId="28677324"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For example:</w:t>
      </w:r>
      <w:r w:rsidRPr="00856941">
        <w:rPr>
          <w:rFonts w:asciiTheme="majorBidi" w:hAnsiTheme="majorBidi" w:cstheme="majorBidi"/>
          <w:sz w:val="22"/>
          <w:szCs w:val="22"/>
        </w:rPr>
        <w:t xml:space="preserve"> </w:t>
      </w:r>
      <w:proofErr w:type="spellStart"/>
      <w:r w:rsidRPr="00356EAE">
        <w:rPr>
          <w:rFonts w:asciiTheme="majorBidi" w:hAnsiTheme="majorBidi" w:cstheme="majorBidi"/>
          <w:sz w:val="22"/>
          <w:szCs w:val="22"/>
        </w:rPr>
        <w:t>Renisa</w:t>
      </w:r>
      <w:proofErr w:type="spellEnd"/>
      <w:r w:rsidRPr="00356EAE">
        <w:rPr>
          <w:rFonts w:asciiTheme="majorBidi" w:hAnsiTheme="majorBidi" w:cstheme="majorBidi"/>
          <w:sz w:val="22"/>
          <w:szCs w:val="22"/>
        </w:rPr>
        <w:t xml:space="preserve"> Mawani, </w:t>
      </w:r>
      <w:r>
        <w:rPr>
          <w:rFonts w:asciiTheme="majorBidi" w:hAnsiTheme="majorBidi" w:cstheme="majorBidi"/>
          <w:sz w:val="22"/>
          <w:szCs w:val="22"/>
        </w:rPr>
        <w:t>“</w:t>
      </w:r>
      <w:r w:rsidRPr="00356EAE">
        <w:rPr>
          <w:rFonts w:asciiTheme="majorBidi" w:hAnsiTheme="majorBidi" w:cstheme="majorBidi"/>
          <w:sz w:val="22"/>
          <w:szCs w:val="22"/>
        </w:rPr>
        <w:t xml:space="preserve">Law, Settler Colonialism, and </w:t>
      </w:r>
      <w:r>
        <w:rPr>
          <w:rFonts w:asciiTheme="majorBidi" w:hAnsiTheme="majorBidi" w:cstheme="majorBidi"/>
          <w:sz w:val="22"/>
          <w:szCs w:val="22"/>
        </w:rPr>
        <w:t>‘</w:t>
      </w:r>
      <w:r w:rsidRPr="00356EAE">
        <w:rPr>
          <w:rFonts w:asciiTheme="majorBidi" w:hAnsiTheme="majorBidi" w:cstheme="majorBidi"/>
          <w:sz w:val="22"/>
          <w:szCs w:val="22"/>
        </w:rPr>
        <w:t>the Forgotten Space</w:t>
      </w:r>
      <w:r>
        <w:rPr>
          <w:rFonts w:asciiTheme="majorBidi" w:hAnsiTheme="majorBidi" w:cstheme="majorBidi"/>
          <w:sz w:val="22"/>
          <w:szCs w:val="22"/>
        </w:rPr>
        <w:t>’</w:t>
      </w:r>
      <w:r w:rsidRPr="00356EAE">
        <w:rPr>
          <w:rFonts w:asciiTheme="majorBidi" w:hAnsiTheme="majorBidi" w:cstheme="majorBidi"/>
          <w:sz w:val="22"/>
          <w:szCs w:val="22"/>
        </w:rPr>
        <w:t xml:space="preserve"> of Maritime Worlds</w:t>
      </w:r>
      <w:r>
        <w:rPr>
          <w:rFonts w:asciiTheme="majorBidi" w:hAnsiTheme="majorBidi" w:cstheme="majorBidi"/>
          <w:sz w:val="22"/>
          <w:szCs w:val="22"/>
        </w:rPr>
        <w:t>”,</w:t>
      </w:r>
      <w:r w:rsidRPr="00356EAE">
        <w:rPr>
          <w:rFonts w:asciiTheme="majorBidi" w:hAnsiTheme="majorBidi" w:cstheme="majorBidi"/>
          <w:sz w:val="22"/>
          <w:szCs w:val="22"/>
        </w:rPr>
        <w:t xml:space="preserve"> 12</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Annual Review of Law and Social Science</w:t>
      </w:r>
      <w:r w:rsidRPr="00356EAE">
        <w:rPr>
          <w:rFonts w:asciiTheme="majorBidi" w:hAnsiTheme="majorBidi" w:cstheme="majorBidi"/>
          <w:sz w:val="22"/>
          <w:szCs w:val="22"/>
        </w:rPr>
        <w:t xml:space="preserve"> (2016) pp. 107-131; Surabhi Ranganathan, </w:t>
      </w:r>
      <w:r>
        <w:rPr>
          <w:rFonts w:asciiTheme="majorBidi" w:hAnsiTheme="majorBidi" w:cstheme="majorBidi"/>
          <w:sz w:val="22"/>
          <w:szCs w:val="22"/>
        </w:rPr>
        <w:t>“</w:t>
      </w:r>
      <w:r w:rsidRPr="00356EAE">
        <w:rPr>
          <w:rFonts w:asciiTheme="majorBidi" w:hAnsiTheme="majorBidi" w:cstheme="majorBidi"/>
          <w:sz w:val="22"/>
          <w:szCs w:val="22"/>
        </w:rPr>
        <w:t>Decolonization and International Law: Putting the Ocean on the Map</w:t>
      </w:r>
      <w:r>
        <w:rPr>
          <w:rFonts w:asciiTheme="majorBidi" w:hAnsiTheme="majorBidi" w:cstheme="majorBidi"/>
          <w:sz w:val="22"/>
          <w:szCs w:val="22"/>
        </w:rPr>
        <w:t>”,</w:t>
      </w:r>
      <w:r w:rsidRPr="00356EAE">
        <w:rPr>
          <w:rFonts w:asciiTheme="majorBidi" w:hAnsiTheme="majorBidi" w:cstheme="majorBidi"/>
          <w:sz w:val="22"/>
          <w:szCs w:val="22"/>
        </w:rPr>
        <w:t xml:space="preserve"> 23</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Journal of the History of International Law</w:t>
      </w:r>
      <w:r w:rsidRPr="00356EAE">
        <w:rPr>
          <w:rFonts w:asciiTheme="majorBidi" w:hAnsiTheme="majorBidi" w:cstheme="majorBidi"/>
          <w:sz w:val="22"/>
          <w:szCs w:val="22"/>
        </w:rPr>
        <w:t xml:space="preserve"> (2020) pp. 161-183.</w:t>
      </w:r>
    </w:p>
  </w:footnote>
  <w:footnote w:id="45">
    <w:p w14:paraId="1742845D"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Perry Anderson, </w:t>
      </w:r>
      <w:r w:rsidRPr="00856941">
        <w:rPr>
          <w:rFonts w:asciiTheme="majorBidi" w:hAnsiTheme="majorBidi" w:cstheme="majorBidi"/>
          <w:i/>
          <w:iCs/>
          <w:sz w:val="22"/>
          <w:szCs w:val="22"/>
        </w:rPr>
        <w:t>Passages from Antiquity to Feudalism</w:t>
      </w:r>
      <w:r w:rsidRPr="00356EAE">
        <w:rPr>
          <w:rFonts w:asciiTheme="majorBidi" w:hAnsiTheme="majorBidi" w:cstheme="majorBidi"/>
          <w:sz w:val="22"/>
          <w:szCs w:val="22"/>
        </w:rPr>
        <w:t xml:space="preserve"> (2013) pp. </w:t>
      </w:r>
      <w:r w:rsidRPr="00856941">
        <w:rPr>
          <w:rFonts w:asciiTheme="majorBidi" w:hAnsiTheme="majorBidi" w:cstheme="majorBidi"/>
          <w:sz w:val="22"/>
          <w:szCs w:val="22"/>
        </w:rPr>
        <w:t>213-216.</w:t>
      </w:r>
    </w:p>
  </w:footnote>
  <w:footnote w:id="46">
    <w:p w14:paraId="6DDCAC7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Sophie Pinkham, </w:t>
      </w:r>
      <w:r w:rsidRPr="00856941">
        <w:rPr>
          <w:rFonts w:asciiTheme="majorBidi" w:hAnsiTheme="majorBidi" w:cstheme="majorBidi"/>
          <w:i/>
          <w:iCs/>
          <w:sz w:val="22"/>
          <w:szCs w:val="22"/>
        </w:rPr>
        <w:t>The Oak and the Larch: A Forrest History of Russia and Its Empires</w:t>
      </w:r>
      <w:r w:rsidRPr="00356EAE">
        <w:rPr>
          <w:rFonts w:asciiTheme="majorBidi" w:hAnsiTheme="majorBidi" w:cstheme="majorBidi"/>
          <w:sz w:val="22"/>
          <w:szCs w:val="22"/>
        </w:rPr>
        <w:t xml:space="preserve"> (2026)</w:t>
      </w:r>
      <w:r w:rsidRPr="00856941">
        <w:rPr>
          <w:rFonts w:asciiTheme="majorBidi" w:hAnsiTheme="majorBidi" w:cstheme="majorBidi"/>
          <w:sz w:val="22"/>
          <w:szCs w:val="22"/>
        </w:rPr>
        <w:t>.</w:t>
      </w:r>
    </w:p>
  </w:footnote>
  <w:footnote w:id="47">
    <w:p w14:paraId="45D1326A"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 </w:t>
      </w:r>
      <w:r>
        <w:rPr>
          <w:rFonts w:asciiTheme="majorBidi" w:hAnsiTheme="majorBidi" w:cstheme="majorBidi"/>
          <w:sz w:val="22"/>
          <w:szCs w:val="22"/>
        </w:rPr>
        <w:t xml:space="preserve">As a </w:t>
      </w:r>
      <w:r w:rsidRPr="00356EAE">
        <w:rPr>
          <w:rFonts w:asciiTheme="majorBidi" w:hAnsiTheme="majorBidi" w:cstheme="majorBidi"/>
          <w:sz w:val="22"/>
          <w:szCs w:val="22"/>
        </w:rPr>
        <w:t xml:space="preserve">focus within international studies, see Iver Neuman and Einar Wigen, </w:t>
      </w:r>
      <w:r w:rsidRPr="00356EAE">
        <w:rPr>
          <w:rFonts w:asciiTheme="majorBidi" w:hAnsiTheme="majorBidi" w:cstheme="majorBidi"/>
          <w:i/>
          <w:iCs/>
          <w:sz w:val="22"/>
          <w:szCs w:val="22"/>
        </w:rPr>
        <w:t>The Steppe Tradition in International Relations: Russians, Turks and European State Building 4000 BCE-2018 CE</w:t>
      </w:r>
      <w:r w:rsidRPr="00356EAE">
        <w:rPr>
          <w:rFonts w:asciiTheme="majorBidi" w:hAnsiTheme="majorBidi" w:cstheme="majorBidi"/>
          <w:sz w:val="22"/>
          <w:szCs w:val="22"/>
        </w:rPr>
        <w:t xml:space="preserve"> (2018)</w:t>
      </w:r>
      <w:r w:rsidRPr="00856941">
        <w:rPr>
          <w:rFonts w:asciiTheme="majorBidi" w:hAnsiTheme="majorBidi" w:cstheme="majorBidi"/>
          <w:sz w:val="22"/>
          <w:szCs w:val="22"/>
        </w:rPr>
        <w:t>.</w:t>
      </w:r>
    </w:p>
  </w:footnote>
  <w:footnote w:id="48">
    <w:p w14:paraId="0587D69E" w14:textId="667F7BEC"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Mackinder’s influences, see Gerry Kearns, </w:t>
      </w:r>
      <w:r w:rsidRPr="00356EAE">
        <w:rPr>
          <w:rFonts w:asciiTheme="majorBidi" w:hAnsiTheme="majorBidi" w:cstheme="majorBidi"/>
          <w:i/>
          <w:iCs/>
          <w:sz w:val="22"/>
          <w:szCs w:val="22"/>
        </w:rPr>
        <w:t>Geopolitics and Empire: The Legacy of Halford Mackinder</w:t>
      </w:r>
      <w:r w:rsidRPr="00356EAE">
        <w:rPr>
          <w:rFonts w:asciiTheme="majorBidi" w:hAnsiTheme="majorBidi" w:cstheme="majorBidi"/>
          <w:sz w:val="22"/>
          <w:szCs w:val="22"/>
        </w:rPr>
        <w:t xml:space="preserve"> (2009); Lucien Ashworth, </w:t>
      </w:r>
      <w:r>
        <w:rPr>
          <w:rFonts w:asciiTheme="majorBidi" w:hAnsiTheme="majorBidi" w:cstheme="majorBidi"/>
          <w:sz w:val="22"/>
          <w:szCs w:val="22"/>
        </w:rPr>
        <w:t>“</w:t>
      </w:r>
      <w:r w:rsidRPr="00356EAE">
        <w:rPr>
          <w:rFonts w:asciiTheme="majorBidi" w:hAnsiTheme="majorBidi" w:cstheme="majorBidi"/>
          <w:sz w:val="22"/>
          <w:szCs w:val="22"/>
        </w:rPr>
        <w:t>Realism and the Spirit of 1919: Halford Mackinder, Geopolitics and the Reality of the League of Nations</w:t>
      </w:r>
      <w:r>
        <w:rPr>
          <w:rFonts w:asciiTheme="majorBidi" w:hAnsiTheme="majorBidi" w:cstheme="majorBidi"/>
          <w:sz w:val="22"/>
          <w:szCs w:val="22"/>
        </w:rPr>
        <w:t>”,</w:t>
      </w:r>
      <w:r w:rsidRPr="00356EAE">
        <w:rPr>
          <w:rFonts w:asciiTheme="majorBidi" w:hAnsiTheme="majorBidi" w:cstheme="majorBidi"/>
          <w:sz w:val="22"/>
          <w:szCs w:val="22"/>
        </w:rPr>
        <w:t xml:space="preserve"> 17 </w:t>
      </w:r>
      <w:r w:rsidRPr="00856941">
        <w:rPr>
          <w:rFonts w:asciiTheme="majorBidi" w:hAnsiTheme="majorBidi" w:cstheme="majorBidi"/>
          <w:i/>
          <w:iCs/>
          <w:sz w:val="22"/>
          <w:szCs w:val="22"/>
        </w:rPr>
        <w:t>European Journal of International Relations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(2011) pp. </w:t>
      </w:r>
      <w:r w:rsidRPr="00356EAE">
        <w:rPr>
          <w:rFonts w:asciiTheme="majorBidi" w:hAnsiTheme="majorBidi" w:cstheme="majorBidi"/>
          <w:sz w:val="22"/>
          <w:szCs w:val="22"/>
        </w:rPr>
        <w:t>279</w:t>
      </w:r>
      <w:r>
        <w:rPr>
          <w:rFonts w:asciiTheme="majorBidi" w:hAnsiTheme="majorBidi" w:cstheme="majorBidi"/>
          <w:sz w:val="22"/>
          <w:szCs w:val="22"/>
        </w:rPr>
        <w:t>-301</w:t>
      </w:r>
      <w:r w:rsidRPr="00356EAE">
        <w:rPr>
          <w:rFonts w:asciiTheme="majorBidi" w:hAnsiTheme="majorBidi" w:cstheme="majorBidi"/>
          <w:sz w:val="22"/>
          <w:szCs w:val="22"/>
        </w:rPr>
        <w:t xml:space="preserve">; Oliver Krause, </w:t>
      </w:r>
      <w:r>
        <w:rPr>
          <w:rFonts w:asciiTheme="majorBidi" w:hAnsiTheme="majorBidi" w:cstheme="majorBidi"/>
          <w:sz w:val="22"/>
          <w:szCs w:val="22"/>
        </w:rPr>
        <w:t>“</w:t>
      </w:r>
      <w:r w:rsidRPr="00356EAE">
        <w:rPr>
          <w:rFonts w:asciiTheme="majorBidi" w:hAnsiTheme="majorBidi" w:cstheme="majorBidi"/>
          <w:sz w:val="22"/>
          <w:szCs w:val="22"/>
        </w:rPr>
        <w:t xml:space="preserve">Mackinder's </w:t>
      </w:r>
      <w:r>
        <w:rPr>
          <w:rFonts w:asciiTheme="majorBidi" w:hAnsiTheme="majorBidi" w:cstheme="majorBidi"/>
          <w:sz w:val="22"/>
          <w:szCs w:val="22"/>
        </w:rPr>
        <w:t>‘</w:t>
      </w:r>
      <w:r w:rsidRPr="00356EAE">
        <w:rPr>
          <w:rFonts w:asciiTheme="majorBidi" w:hAnsiTheme="majorBidi" w:cstheme="majorBidi"/>
          <w:sz w:val="22"/>
          <w:szCs w:val="22"/>
        </w:rPr>
        <w:t>Heartland</w:t>
      </w:r>
      <w:r>
        <w:rPr>
          <w:rFonts w:asciiTheme="majorBidi" w:hAnsiTheme="majorBidi" w:cstheme="majorBidi"/>
          <w:sz w:val="22"/>
          <w:szCs w:val="22"/>
        </w:rPr>
        <w:t>’</w:t>
      </w:r>
      <w:r w:rsidRPr="00356EAE">
        <w:rPr>
          <w:rFonts w:asciiTheme="majorBidi" w:hAnsiTheme="majorBidi" w:cstheme="majorBidi"/>
          <w:sz w:val="22"/>
          <w:szCs w:val="22"/>
        </w:rPr>
        <w:t xml:space="preserve"> – Legitimation of US Foreign Policy in World War II and the Cold War of the 1950s</w:t>
      </w:r>
      <w:r>
        <w:rPr>
          <w:rFonts w:asciiTheme="majorBidi" w:hAnsiTheme="majorBidi" w:cstheme="majorBidi"/>
          <w:sz w:val="22"/>
          <w:szCs w:val="22"/>
        </w:rPr>
        <w:t>”,</w:t>
      </w:r>
      <w:r w:rsidRPr="00356EAE">
        <w:rPr>
          <w:rFonts w:asciiTheme="majorBidi" w:hAnsiTheme="majorBidi" w:cstheme="majorBidi"/>
          <w:sz w:val="22"/>
          <w:szCs w:val="22"/>
        </w:rPr>
        <w:t xml:space="preserve"> 78</w:t>
      </w:r>
      <w:r w:rsidRPr="00856941">
        <w:rPr>
          <w:rFonts w:asciiTheme="majorBidi" w:hAnsiTheme="majorBidi" w:cstheme="majorBidi"/>
          <w:sz w:val="22"/>
          <w:szCs w:val="22"/>
        </w:rPr>
        <w:t xml:space="preserve"> </w:t>
      </w:r>
      <w:proofErr w:type="spellStart"/>
      <w:r w:rsidRPr="00856941">
        <w:rPr>
          <w:rFonts w:asciiTheme="majorBidi" w:hAnsiTheme="majorBidi" w:cstheme="majorBidi"/>
          <w:i/>
          <w:iCs/>
          <w:sz w:val="22"/>
          <w:szCs w:val="22"/>
        </w:rPr>
        <w:t>Geographica</w:t>
      </w:r>
      <w:proofErr w:type="spellEnd"/>
      <w:r w:rsidRPr="00856941">
        <w:rPr>
          <w:rFonts w:asciiTheme="majorBidi" w:hAnsiTheme="majorBidi" w:cstheme="majorBidi"/>
          <w:i/>
          <w:iCs/>
          <w:sz w:val="22"/>
          <w:szCs w:val="22"/>
        </w:rPr>
        <w:t xml:space="preserve"> Helvetica</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(2023) pp. </w:t>
      </w:r>
      <w:r w:rsidRPr="00356EAE">
        <w:rPr>
          <w:rFonts w:asciiTheme="majorBidi" w:hAnsiTheme="majorBidi" w:cstheme="majorBidi"/>
          <w:sz w:val="22"/>
          <w:szCs w:val="22"/>
        </w:rPr>
        <w:t>183</w:t>
      </w:r>
      <w:r>
        <w:rPr>
          <w:rFonts w:asciiTheme="majorBidi" w:hAnsiTheme="majorBidi" w:cstheme="majorBidi"/>
          <w:sz w:val="22"/>
          <w:szCs w:val="22"/>
        </w:rPr>
        <w:t>-197</w:t>
      </w:r>
      <w:r w:rsidRPr="00356EAE">
        <w:rPr>
          <w:rFonts w:asciiTheme="majorBidi" w:hAnsiTheme="majorBidi" w:cstheme="majorBidi"/>
          <w:sz w:val="22"/>
          <w:szCs w:val="22"/>
        </w:rPr>
        <w:t>.</w:t>
      </w:r>
    </w:p>
  </w:footnote>
  <w:footnote w:id="49">
    <w:p w14:paraId="4741112A" w14:textId="629D356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Halford Mackinder, </w:t>
      </w:r>
      <w:r>
        <w:rPr>
          <w:rFonts w:asciiTheme="majorBidi" w:hAnsiTheme="majorBidi" w:cstheme="majorBidi"/>
          <w:sz w:val="22"/>
          <w:szCs w:val="22"/>
        </w:rPr>
        <w:t>“</w:t>
      </w:r>
      <w:r w:rsidRPr="00356EAE">
        <w:rPr>
          <w:rFonts w:asciiTheme="majorBidi" w:hAnsiTheme="majorBidi" w:cstheme="majorBidi"/>
          <w:sz w:val="22"/>
          <w:szCs w:val="22"/>
        </w:rPr>
        <w:t>The Geographical Pivot of History</w:t>
      </w:r>
      <w:r>
        <w:rPr>
          <w:rFonts w:asciiTheme="majorBidi" w:hAnsiTheme="majorBidi" w:cstheme="majorBidi"/>
          <w:sz w:val="22"/>
          <w:szCs w:val="22"/>
        </w:rPr>
        <w:t>”,</w:t>
      </w:r>
      <w:r w:rsidRPr="00356EAE">
        <w:rPr>
          <w:rFonts w:asciiTheme="majorBidi" w:hAnsiTheme="majorBidi" w:cstheme="majorBidi"/>
          <w:sz w:val="22"/>
          <w:szCs w:val="22"/>
        </w:rPr>
        <w:t xml:space="preserve"> 23</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Geographical Journal</w:t>
      </w:r>
      <w:r w:rsidRPr="00356EAE">
        <w:rPr>
          <w:rFonts w:asciiTheme="majorBidi" w:hAnsiTheme="majorBidi" w:cstheme="majorBidi"/>
          <w:sz w:val="22"/>
          <w:szCs w:val="22"/>
        </w:rPr>
        <w:t xml:space="preserve"> </w:t>
      </w:r>
      <w:r>
        <w:rPr>
          <w:rFonts w:asciiTheme="majorBidi" w:hAnsiTheme="majorBidi" w:cstheme="majorBidi"/>
          <w:sz w:val="22"/>
          <w:szCs w:val="22"/>
        </w:rPr>
        <w:t>(1904) p.</w:t>
      </w:r>
      <w:r w:rsidRPr="00356EAE">
        <w:rPr>
          <w:rFonts w:asciiTheme="majorBidi" w:hAnsiTheme="majorBidi" w:cstheme="majorBidi"/>
          <w:sz w:val="22"/>
          <w:szCs w:val="22"/>
        </w:rPr>
        <w:t xml:space="preserve"> 421.</w:t>
      </w:r>
    </w:p>
  </w:footnote>
  <w:footnote w:id="50">
    <w:p w14:paraId="263C40B7"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w:t>
      </w:r>
    </w:p>
  </w:footnote>
  <w:footnote w:id="51">
    <w:p w14:paraId="708B78C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429-430.</w:t>
      </w:r>
    </w:p>
  </w:footnote>
  <w:footnote w:id="52">
    <w:p w14:paraId="31A480DF"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432.</w:t>
      </w:r>
    </w:p>
  </w:footnote>
  <w:footnote w:id="53">
    <w:p w14:paraId="0EF0AF20" w14:textId="5776B759"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bookmarkStart w:id="0" w:name="_Hlk212653164"/>
      <w:r w:rsidRPr="00356EAE">
        <w:rPr>
          <w:rFonts w:asciiTheme="majorBidi" w:hAnsiTheme="majorBidi" w:cstheme="majorBidi"/>
          <w:sz w:val="22"/>
          <w:szCs w:val="22"/>
        </w:rPr>
        <w:t xml:space="preserve"> See Bernard Semmel, </w:t>
      </w:r>
      <w:r>
        <w:rPr>
          <w:rFonts w:asciiTheme="majorBidi" w:hAnsiTheme="majorBidi" w:cstheme="majorBidi"/>
          <w:sz w:val="22"/>
          <w:szCs w:val="22"/>
        </w:rPr>
        <w:t>“</w:t>
      </w:r>
      <w:r w:rsidRPr="00356EAE">
        <w:rPr>
          <w:rFonts w:asciiTheme="majorBidi" w:hAnsiTheme="majorBidi" w:cstheme="majorBidi"/>
          <w:sz w:val="22"/>
          <w:szCs w:val="22"/>
        </w:rPr>
        <w:t>Sir Halford Mackinder: Theorist of Imperialism</w:t>
      </w:r>
      <w:r>
        <w:rPr>
          <w:rFonts w:asciiTheme="majorBidi" w:hAnsiTheme="majorBidi" w:cstheme="majorBidi"/>
          <w:sz w:val="22"/>
          <w:szCs w:val="22"/>
        </w:rPr>
        <w:t>”,</w:t>
      </w:r>
      <w:r w:rsidRPr="00356EAE">
        <w:rPr>
          <w:rFonts w:asciiTheme="majorBidi" w:hAnsiTheme="majorBidi" w:cstheme="majorBidi"/>
          <w:sz w:val="22"/>
          <w:szCs w:val="22"/>
        </w:rPr>
        <w:t xml:space="preserve"> 24</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Canadian Journal of Economics and Political Science</w:t>
      </w:r>
      <w:r w:rsidRPr="00356EAE">
        <w:rPr>
          <w:rFonts w:asciiTheme="majorBidi" w:hAnsiTheme="majorBidi" w:cstheme="majorBidi"/>
          <w:sz w:val="22"/>
          <w:szCs w:val="22"/>
        </w:rPr>
        <w:t xml:space="preserve"> </w:t>
      </w:r>
      <w:r>
        <w:rPr>
          <w:rFonts w:asciiTheme="majorBidi" w:hAnsiTheme="majorBidi" w:cstheme="majorBidi"/>
          <w:sz w:val="22"/>
          <w:szCs w:val="22"/>
        </w:rPr>
        <w:t xml:space="preserve">(1958) pp. </w:t>
      </w:r>
      <w:r w:rsidRPr="00356EAE">
        <w:rPr>
          <w:rFonts w:asciiTheme="majorBidi" w:hAnsiTheme="majorBidi" w:cstheme="majorBidi"/>
          <w:sz w:val="22"/>
          <w:szCs w:val="22"/>
        </w:rPr>
        <w:t>554</w:t>
      </w:r>
      <w:r>
        <w:rPr>
          <w:rFonts w:asciiTheme="majorBidi" w:hAnsiTheme="majorBidi" w:cstheme="majorBidi"/>
          <w:sz w:val="22"/>
          <w:szCs w:val="22"/>
        </w:rPr>
        <w:t>-561</w:t>
      </w:r>
      <w:r w:rsidRPr="00356EAE">
        <w:rPr>
          <w:rFonts w:asciiTheme="majorBidi" w:hAnsiTheme="majorBidi" w:cstheme="majorBidi"/>
          <w:sz w:val="22"/>
          <w:szCs w:val="22"/>
        </w:rPr>
        <w:t xml:space="preserve">; Gerry Kearns, </w:t>
      </w:r>
      <w:r>
        <w:rPr>
          <w:rFonts w:asciiTheme="majorBidi" w:hAnsiTheme="majorBidi" w:cstheme="majorBidi"/>
          <w:sz w:val="22"/>
          <w:szCs w:val="22"/>
        </w:rPr>
        <w:t>“</w:t>
      </w:r>
      <w:r w:rsidRPr="00356EAE">
        <w:rPr>
          <w:rFonts w:asciiTheme="majorBidi" w:hAnsiTheme="majorBidi" w:cstheme="majorBidi"/>
          <w:sz w:val="22"/>
          <w:szCs w:val="22"/>
        </w:rPr>
        <w:t>Geography, Geopolitics, and Empire</w:t>
      </w:r>
      <w:r>
        <w:rPr>
          <w:rFonts w:asciiTheme="majorBidi" w:hAnsiTheme="majorBidi" w:cstheme="majorBidi"/>
          <w:sz w:val="22"/>
          <w:szCs w:val="22"/>
        </w:rPr>
        <w:t>”,</w:t>
      </w:r>
      <w:r w:rsidRPr="00356EAE">
        <w:rPr>
          <w:rFonts w:asciiTheme="majorBidi" w:hAnsiTheme="majorBidi" w:cstheme="majorBidi"/>
          <w:sz w:val="22"/>
          <w:szCs w:val="22"/>
        </w:rPr>
        <w:t xml:space="preserve"> 35</w:t>
      </w:r>
      <w:r w:rsidR="0074748D">
        <w:rPr>
          <w:rFonts w:asciiTheme="majorBidi" w:hAnsiTheme="majorBidi" w:cstheme="majorBidi"/>
          <w:sz w:val="22"/>
          <w:szCs w:val="22"/>
        </w:rPr>
        <w:t>(2)</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Transactions of the Institute of British Geographers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(2010) pp. </w:t>
      </w:r>
      <w:r w:rsidRPr="00356EAE">
        <w:rPr>
          <w:rFonts w:asciiTheme="majorBidi" w:hAnsiTheme="majorBidi" w:cstheme="majorBidi"/>
          <w:sz w:val="22"/>
          <w:szCs w:val="22"/>
        </w:rPr>
        <w:t>187</w:t>
      </w:r>
      <w:r>
        <w:rPr>
          <w:rFonts w:asciiTheme="majorBidi" w:hAnsiTheme="majorBidi" w:cstheme="majorBidi"/>
          <w:sz w:val="22"/>
          <w:szCs w:val="22"/>
        </w:rPr>
        <w:t>-203</w:t>
      </w:r>
      <w:r w:rsidRPr="00356EAE">
        <w:rPr>
          <w:rFonts w:asciiTheme="majorBidi" w:hAnsiTheme="majorBidi" w:cstheme="majorBidi"/>
          <w:sz w:val="22"/>
          <w:szCs w:val="22"/>
        </w:rPr>
        <w:t>.</w:t>
      </w:r>
      <w:bookmarkEnd w:id="0"/>
    </w:p>
  </w:footnote>
  <w:footnote w:id="54">
    <w:p w14:paraId="427B165F" w14:textId="3E671D8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Western conception</w:t>
      </w:r>
      <w:r w:rsidR="0074748D">
        <w:rPr>
          <w:rFonts w:asciiTheme="majorBidi" w:hAnsiTheme="majorBidi" w:cstheme="majorBidi"/>
          <w:sz w:val="22"/>
          <w:szCs w:val="22"/>
        </w:rPr>
        <w:t>s</w:t>
      </w:r>
      <w:r w:rsidRPr="00356EAE">
        <w:rPr>
          <w:rFonts w:asciiTheme="majorBidi" w:hAnsiTheme="majorBidi" w:cstheme="majorBidi"/>
          <w:sz w:val="22"/>
          <w:szCs w:val="22"/>
        </w:rPr>
        <w:t xml:space="preserve"> of steppe peoples </w:t>
      </w:r>
      <w:r w:rsidR="0074748D">
        <w:rPr>
          <w:rFonts w:asciiTheme="majorBidi" w:hAnsiTheme="majorBidi" w:cstheme="majorBidi"/>
          <w:sz w:val="22"/>
          <w:szCs w:val="22"/>
        </w:rPr>
        <w:t>with</w:t>
      </w:r>
      <w:r w:rsidRPr="00356EAE">
        <w:rPr>
          <w:rFonts w:asciiTheme="majorBidi" w:hAnsiTheme="majorBidi" w:cstheme="majorBidi"/>
          <w:sz w:val="22"/>
          <w:szCs w:val="22"/>
        </w:rPr>
        <w:t>in Mackinder’s timeframe, see Neuman and Wigen (</w:t>
      </w:r>
      <w:r>
        <w:rPr>
          <w:rFonts w:asciiTheme="majorBidi" w:hAnsiTheme="majorBidi" w:cstheme="majorBidi"/>
          <w:sz w:val="22"/>
          <w:szCs w:val="22"/>
        </w:rPr>
        <w:t xml:space="preserve">n </w:t>
      </w:r>
      <w:r w:rsidR="0074748D">
        <w:rPr>
          <w:rFonts w:asciiTheme="majorBidi" w:hAnsiTheme="majorBidi" w:cstheme="majorBidi"/>
          <w:sz w:val="22"/>
          <w:szCs w:val="22"/>
        </w:rPr>
        <w:t>47</w:t>
      </w:r>
      <w:r>
        <w:rPr>
          <w:rFonts w:asciiTheme="majorBidi" w:hAnsiTheme="majorBidi" w:cstheme="majorBidi"/>
          <w:sz w:val="22"/>
          <w:szCs w:val="22"/>
        </w:rPr>
        <w:t>)</w:t>
      </w:r>
      <w:r w:rsidRPr="00356EAE">
        <w:rPr>
          <w:rFonts w:asciiTheme="majorBidi" w:hAnsiTheme="majorBidi" w:cstheme="majorBidi"/>
          <w:sz w:val="22"/>
          <w:szCs w:val="22"/>
        </w:rPr>
        <w:t xml:space="preserve"> </w:t>
      </w:r>
      <w:r>
        <w:rPr>
          <w:rFonts w:asciiTheme="majorBidi" w:hAnsiTheme="majorBidi" w:cstheme="majorBidi"/>
          <w:sz w:val="22"/>
          <w:szCs w:val="22"/>
        </w:rPr>
        <w:t xml:space="preserve">pp. </w:t>
      </w:r>
      <w:r w:rsidRPr="00356EAE">
        <w:rPr>
          <w:rFonts w:asciiTheme="majorBidi" w:hAnsiTheme="majorBidi" w:cstheme="majorBidi"/>
          <w:sz w:val="22"/>
          <w:szCs w:val="22"/>
        </w:rPr>
        <w:t xml:space="preserve">26-38 </w:t>
      </w:r>
    </w:p>
  </w:footnote>
  <w:footnote w:id="55">
    <w:p w14:paraId="071619C0" w14:textId="267E923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Mackinder (n </w:t>
      </w:r>
      <w:r w:rsidR="0074748D">
        <w:rPr>
          <w:rFonts w:asciiTheme="majorBidi" w:hAnsiTheme="majorBidi" w:cstheme="majorBidi"/>
          <w:sz w:val="22"/>
          <w:szCs w:val="22"/>
        </w:rPr>
        <w:t>49</w:t>
      </w:r>
      <w:r w:rsidRPr="00356EAE">
        <w:rPr>
          <w:rFonts w:asciiTheme="majorBidi" w:hAnsiTheme="majorBidi" w:cstheme="majorBidi"/>
          <w:sz w:val="22"/>
          <w:szCs w:val="22"/>
        </w:rPr>
        <w:t xml:space="preserve">) </w:t>
      </w:r>
      <w:r>
        <w:rPr>
          <w:rFonts w:asciiTheme="majorBidi" w:hAnsiTheme="majorBidi" w:cstheme="majorBidi"/>
          <w:sz w:val="22"/>
          <w:szCs w:val="22"/>
        </w:rPr>
        <w:t xml:space="preserve">p. </w:t>
      </w:r>
      <w:r w:rsidRPr="00356EAE">
        <w:rPr>
          <w:rFonts w:asciiTheme="majorBidi" w:hAnsiTheme="majorBidi" w:cstheme="majorBidi"/>
          <w:sz w:val="22"/>
          <w:szCs w:val="22"/>
        </w:rPr>
        <w:t>422.</w:t>
      </w:r>
    </w:p>
  </w:footnote>
  <w:footnote w:id="56">
    <w:p w14:paraId="75E6890D"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422-423.</w:t>
      </w:r>
    </w:p>
  </w:footnote>
  <w:footnote w:id="57">
    <w:p w14:paraId="2824C1AB"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423.</w:t>
      </w:r>
    </w:p>
  </w:footnote>
  <w:footnote w:id="58">
    <w:p w14:paraId="25268009"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p>
  </w:footnote>
  <w:footnote w:id="59">
    <w:p w14:paraId="510A949D"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427.</w:t>
      </w:r>
    </w:p>
  </w:footnote>
  <w:footnote w:id="60">
    <w:p w14:paraId="1DF41F7B"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433.</w:t>
      </w:r>
    </w:p>
  </w:footnote>
  <w:footnote w:id="61">
    <w:p w14:paraId="3968805C"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433-434.</w:t>
      </w:r>
    </w:p>
  </w:footnote>
  <w:footnote w:id="62">
    <w:p w14:paraId="7911189E"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433.</w:t>
      </w:r>
    </w:p>
  </w:footnote>
  <w:footnote w:id="63">
    <w:p w14:paraId="1FEA656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437.</w:t>
      </w:r>
    </w:p>
  </w:footnote>
  <w:footnote w:id="64">
    <w:p w14:paraId="7E3FF700" w14:textId="036A5032"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For example:</w:t>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Mark Bassin and Konstantin Aksenov, </w:t>
      </w:r>
      <w:r>
        <w:rPr>
          <w:rFonts w:asciiTheme="majorBidi" w:hAnsiTheme="majorBidi" w:cstheme="majorBidi"/>
          <w:sz w:val="22"/>
          <w:szCs w:val="22"/>
        </w:rPr>
        <w:t>“</w:t>
      </w:r>
      <w:r w:rsidRPr="00356EAE">
        <w:rPr>
          <w:rFonts w:asciiTheme="majorBidi" w:hAnsiTheme="majorBidi" w:cstheme="majorBidi"/>
          <w:sz w:val="22"/>
          <w:szCs w:val="22"/>
        </w:rPr>
        <w:t>Mackinder and the Heartland Theory in Post-Soviet Geopolitical Discourse</w:t>
      </w:r>
      <w:r>
        <w:rPr>
          <w:rFonts w:asciiTheme="majorBidi" w:hAnsiTheme="majorBidi" w:cstheme="majorBidi"/>
          <w:sz w:val="22"/>
          <w:szCs w:val="22"/>
        </w:rPr>
        <w:t>”,</w:t>
      </w:r>
      <w:r w:rsidRPr="00356EAE">
        <w:rPr>
          <w:rFonts w:asciiTheme="majorBidi" w:hAnsiTheme="majorBidi" w:cstheme="majorBidi"/>
          <w:sz w:val="22"/>
          <w:szCs w:val="22"/>
        </w:rPr>
        <w:t xml:space="preserve"> 11</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Geopolitics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(2006) pp. </w:t>
      </w:r>
      <w:r w:rsidRPr="00356EAE">
        <w:rPr>
          <w:rFonts w:asciiTheme="majorBidi" w:hAnsiTheme="majorBidi" w:cstheme="majorBidi"/>
          <w:sz w:val="22"/>
          <w:szCs w:val="22"/>
        </w:rPr>
        <w:t>99</w:t>
      </w:r>
      <w:r>
        <w:rPr>
          <w:rFonts w:asciiTheme="majorBidi" w:hAnsiTheme="majorBidi" w:cstheme="majorBidi"/>
          <w:sz w:val="22"/>
          <w:szCs w:val="22"/>
        </w:rPr>
        <w:t>-118</w:t>
      </w:r>
      <w:r w:rsidRPr="00356EAE">
        <w:rPr>
          <w:rFonts w:asciiTheme="majorBidi" w:hAnsiTheme="majorBidi" w:cstheme="majorBidi"/>
          <w:sz w:val="22"/>
          <w:szCs w:val="22"/>
        </w:rPr>
        <w:t xml:space="preserve">; Krzysztof Feliks Śliwiński, </w:t>
      </w:r>
      <w:r>
        <w:rPr>
          <w:rFonts w:asciiTheme="majorBidi" w:hAnsiTheme="majorBidi" w:cstheme="majorBidi"/>
          <w:sz w:val="22"/>
          <w:szCs w:val="22"/>
        </w:rPr>
        <w:t>“</w:t>
      </w:r>
      <w:r w:rsidRPr="00356EAE">
        <w:rPr>
          <w:rFonts w:asciiTheme="majorBidi" w:hAnsiTheme="majorBidi" w:cstheme="majorBidi"/>
          <w:sz w:val="22"/>
          <w:szCs w:val="22"/>
        </w:rPr>
        <w:t>Is Geopolitics Still Relevant? Halford Mackinder and the War in Ukraine</w:t>
      </w:r>
      <w:r>
        <w:rPr>
          <w:rFonts w:asciiTheme="majorBidi" w:hAnsiTheme="majorBidi" w:cstheme="majorBidi"/>
          <w:sz w:val="22"/>
          <w:szCs w:val="22"/>
        </w:rPr>
        <w:t>”,</w:t>
      </w:r>
      <w:r w:rsidRPr="00356EAE">
        <w:rPr>
          <w:rFonts w:asciiTheme="majorBidi" w:hAnsiTheme="majorBidi" w:cstheme="majorBidi"/>
          <w:sz w:val="22"/>
          <w:szCs w:val="22"/>
        </w:rPr>
        <w:t xml:space="preserve"> 27</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 xml:space="preserve">Studia </w:t>
      </w:r>
      <w:proofErr w:type="spellStart"/>
      <w:r w:rsidRPr="00856941">
        <w:rPr>
          <w:rFonts w:asciiTheme="majorBidi" w:hAnsiTheme="majorBidi" w:cstheme="majorBidi"/>
          <w:i/>
          <w:iCs/>
          <w:sz w:val="22"/>
          <w:szCs w:val="22"/>
        </w:rPr>
        <w:t>Europejskie</w:t>
      </w:r>
      <w:proofErr w:type="spellEnd"/>
      <w:r w:rsidRPr="00856941">
        <w:rPr>
          <w:rFonts w:asciiTheme="majorBidi" w:hAnsiTheme="majorBidi" w:cstheme="majorBidi"/>
          <w:i/>
          <w:iCs/>
          <w:sz w:val="22"/>
          <w:szCs w:val="22"/>
        </w:rPr>
        <w:t xml:space="preserve"> </w:t>
      </w:r>
      <w:r>
        <w:rPr>
          <w:rFonts w:asciiTheme="majorBidi" w:hAnsiTheme="majorBidi" w:cstheme="majorBidi"/>
          <w:sz w:val="22"/>
          <w:szCs w:val="22"/>
        </w:rPr>
        <w:t>(2023) pp.7-25.</w:t>
      </w:r>
      <w:r w:rsidRPr="00356EAE">
        <w:rPr>
          <w:rFonts w:asciiTheme="majorBidi" w:hAnsiTheme="majorBidi" w:cstheme="majorBidi"/>
          <w:sz w:val="22"/>
          <w:szCs w:val="22"/>
        </w:rPr>
        <w:t xml:space="preserve"> </w:t>
      </w:r>
    </w:p>
  </w:footnote>
  <w:footnote w:id="65">
    <w:p w14:paraId="76F3C71D"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See Geoff Raby,</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Great Game On: The Contest for Central Asia and Global Supremacy</w:t>
      </w:r>
      <w:r w:rsidRPr="00356EAE">
        <w:rPr>
          <w:rFonts w:asciiTheme="majorBidi" w:hAnsiTheme="majorBidi" w:cstheme="majorBidi"/>
          <w:sz w:val="22"/>
          <w:szCs w:val="22"/>
        </w:rPr>
        <w:t xml:space="preserve"> (2024).</w:t>
      </w:r>
    </w:p>
  </w:footnote>
  <w:footnote w:id="66">
    <w:p w14:paraId="012A972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Hal Brands, </w:t>
      </w:r>
      <w:r w:rsidRPr="00356EAE">
        <w:rPr>
          <w:rFonts w:asciiTheme="majorBidi" w:hAnsiTheme="majorBidi" w:cstheme="majorBidi"/>
          <w:i/>
          <w:iCs/>
          <w:sz w:val="22"/>
          <w:szCs w:val="22"/>
        </w:rPr>
        <w:t>The Eurasian Century: Hot Wars, Cold Wars, and the Making of the Modern World</w:t>
      </w:r>
      <w:r w:rsidRPr="00356EAE">
        <w:rPr>
          <w:rFonts w:asciiTheme="majorBidi" w:hAnsiTheme="majorBidi" w:cstheme="majorBidi"/>
          <w:sz w:val="22"/>
          <w:szCs w:val="22"/>
        </w:rPr>
        <w:t xml:space="preserve"> (2025) p. 36.</w:t>
      </w:r>
    </w:p>
  </w:footnote>
  <w:footnote w:id="67">
    <w:p w14:paraId="59F57122" w14:textId="07CC012F"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Such presumptions informed Mackinder’s approach when </w:t>
      </w:r>
      <w:r>
        <w:rPr>
          <w:rFonts w:asciiTheme="majorBidi" w:hAnsiTheme="majorBidi" w:cstheme="majorBidi"/>
          <w:sz w:val="22"/>
          <w:szCs w:val="22"/>
        </w:rPr>
        <w:t xml:space="preserve">he </w:t>
      </w:r>
      <w:r w:rsidR="00977EB6" w:rsidRPr="00856941">
        <w:rPr>
          <w:rFonts w:asciiTheme="majorBidi" w:hAnsiTheme="majorBidi" w:cstheme="majorBidi"/>
          <w:sz w:val="22"/>
          <w:szCs w:val="22"/>
        </w:rPr>
        <w:t>devise</w:t>
      </w:r>
      <w:r w:rsidR="00977EB6">
        <w:rPr>
          <w:rFonts w:asciiTheme="majorBidi" w:hAnsiTheme="majorBidi" w:cstheme="majorBidi"/>
          <w:sz w:val="22"/>
          <w:szCs w:val="22"/>
        </w:rPr>
        <w:t>d</w:t>
      </w:r>
      <w:r w:rsidRPr="00856941">
        <w:rPr>
          <w:rFonts w:asciiTheme="majorBidi" w:hAnsiTheme="majorBidi" w:cstheme="majorBidi"/>
          <w:sz w:val="22"/>
          <w:szCs w:val="22"/>
        </w:rPr>
        <w:t xml:space="preserve"> Britain’s </w:t>
      </w:r>
      <w:r>
        <w:rPr>
          <w:rFonts w:asciiTheme="majorBidi" w:hAnsiTheme="majorBidi" w:cstheme="majorBidi"/>
          <w:sz w:val="22"/>
          <w:szCs w:val="22"/>
        </w:rPr>
        <w:t xml:space="preserve">post-First World War </w:t>
      </w:r>
      <w:r w:rsidRPr="00856941">
        <w:rPr>
          <w:rFonts w:asciiTheme="majorBidi" w:hAnsiTheme="majorBidi" w:cstheme="majorBidi"/>
          <w:sz w:val="22"/>
          <w:szCs w:val="22"/>
        </w:rPr>
        <w:t>Eastern Europe polic</w:t>
      </w:r>
      <w:r w:rsidR="00977EB6">
        <w:rPr>
          <w:rFonts w:asciiTheme="majorBidi" w:hAnsiTheme="majorBidi" w:cstheme="majorBidi"/>
          <w:sz w:val="22"/>
          <w:szCs w:val="22"/>
        </w:rPr>
        <w:t>ies</w:t>
      </w:r>
      <w:r w:rsidRPr="00356EAE">
        <w:rPr>
          <w:rFonts w:asciiTheme="majorBidi" w:hAnsiTheme="majorBidi" w:cstheme="majorBidi"/>
          <w:sz w:val="22"/>
          <w:szCs w:val="22"/>
        </w:rPr>
        <w:t>.</w:t>
      </w:r>
      <w:r w:rsidRPr="00856941">
        <w:rPr>
          <w:rFonts w:asciiTheme="majorBidi" w:hAnsiTheme="majorBidi" w:cstheme="majorBidi"/>
          <w:sz w:val="22"/>
          <w:szCs w:val="22"/>
        </w:rPr>
        <w:t xml:space="preserve"> </w:t>
      </w:r>
      <w:r w:rsidRPr="00356EAE">
        <w:rPr>
          <w:rFonts w:asciiTheme="majorBidi" w:hAnsiTheme="majorBidi" w:cstheme="majorBidi"/>
          <w:sz w:val="22"/>
          <w:szCs w:val="22"/>
        </w:rPr>
        <w:t>S</w:t>
      </w:r>
      <w:r w:rsidRPr="00856941">
        <w:rPr>
          <w:rFonts w:asciiTheme="majorBidi" w:hAnsiTheme="majorBidi" w:cstheme="majorBidi"/>
          <w:sz w:val="22"/>
          <w:szCs w:val="22"/>
        </w:rPr>
        <w:t xml:space="preserve">ee </w:t>
      </w:r>
      <w:r w:rsidRPr="00356EAE">
        <w:rPr>
          <w:rFonts w:asciiTheme="majorBidi" w:hAnsiTheme="majorBidi" w:cstheme="majorBidi"/>
          <w:sz w:val="22"/>
          <w:szCs w:val="22"/>
        </w:rPr>
        <w:t xml:space="preserve">Brian Blouet, </w:t>
      </w:r>
      <w:r>
        <w:rPr>
          <w:rFonts w:asciiTheme="majorBidi" w:hAnsiTheme="majorBidi" w:cstheme="majorBidi"/>
          <w:sz w:val="22"/>
          <w:szCs w:val="22"/>
        </w:rPr>
        <w:t>“</w:t>
      </w:r>
      <w:r w:rsidRPr="00356EAE">
        <w:rPr>
          <w:rFonts w:asciiTheme="majorBidi" w:hAnsiTheme="majorBidi" w:cstheme="majorBidi"/>
          <w:sz w:val="22"/>
          <w:szCs w:val="22"/>
        </w:rPr>
        <w:t>Sir Halford Mackinder as British High Commissioner to South Russia, 1919-1920</w:t>
      </w:r>
      <w:r>
        <w:rPr>
          <w:rFonts w:asciiTheme="majorBidi" w:hAnsiTheme="majorBidi" w:cstheme="majorBidi"/>
          <w:sz w:val="22"/>
          <w:szCs w:val="22"/>
        </w:rPr>
        <w:t>”,</w:t>
      </w:r>
      <w:r w:rsidRPr="00356EAE">
        <w:rPr>
          <w:rFonts w:asciiTheme="majorBidi" w:hAnsiTheme="majorBidi" w:cstheme="majorBidi"/>
          <w:sz w:val="22"/>
          <w:szCs w:val="22"/>
        </w:rPr>
        <w:t xml:space="preserve"> 142</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Geographical Journal</w:t>
      </w:r>
      <w:r w:rsidRPr="00356EAE">
        <w:rPr>
          <w:rFonts w:asciiTheme="majorBidi" w:hAnsiTheme="majorBidi" w:cstheme="majorBidi"/>
          <w:sz w:val="22"/>
          <w:szCs w:val="22"/>
        </w:rPr>
        <w:t xml:space="preserve"> </w:t>
      </w:r>
      <w:r>
        <w:rPr>
          <w:rFonts w:asciiTheme="majorBidi" w:hAnsiTheme="majorBidi" w:cstheme="majorBidi"/>
          <w:sz w:val="22"/>
          <w:szCs w:val="22"/>
        </w:rPr>
        <w:t xml:space="preserve">(1976) pp. </w:t>
      </w:r>
      <w:r w:rsidRPr="00356EAE">
        <w:rPr>
          <w:rFonts w:asciiTheme="majorBidi" w:hAnsiTheme="majorBidi" w:cstheme="majorBidi"/>
          <w:sz w:val="22"/>
          <w:szCs w:val="22"/>
        </w:rPr>
        <w:t>228</w:t>
      </w:r>
      <w:r>
        <w:rPr>
          <w:rFonts w:asciiTheme="majorBidi" w:hAnsiTheme="majorBidi" w:cstheme="majorBidi"/>
          <w:sz w:val="22"/>
          <w:szCs w:val="22"/>
        </w:rPr>
        <w:t>-236</w:t>
      </w:r>
      <w:r w:rsidRPr="00356EAE">
        <w:rPr>
          <w:rFonts w:asciiTheme="majorBidi" w:hAnsiTheme="majorBidi" w:cstheme="majorBidi"/>
          <w:sz w:val="22"/>
          <w:szCs w:val="22"/>
        </w:rPr>
        <w:t xml:space="preserve">; Simone Pelizza, </w:t>
      </w:r>
      <w:r>
        <w:rPr>
          <w:rFonts w:asciiTheme="majorBidi" w:hAnsiTheme="majorBidi" w:cstheme="majorBidi"/>
          <w:sz w:val="22"/>
          <w:szCs w:val="22"/>
        </w:rPr>
        <w:t>“</w:t>
      </w:r>
      <w:r w:rsidRPr="00356EAE">
        <w:rPr>
          <w:rFonts w:asciiTheme="majorBidi" w:hAnsiTheme="majorBidi" w:cstheme="majorBidi"/>
          <w:sz w:val="22"/>
          <w:szCs w:val="22"/>
        </w:rPr>
        <w:t>The Geopolitics of International Reconstruction: Halford Mackinder and Eastern Europe, 1919–20</w:t>
      </w:r>
      <w:r>
        <w:rPr>
          <w:rFonts w:asciiTheme="majorBidi" w:hAnsiTheme="majorBidi" w:cstheme="majorBidi"/>
          <w:sz w:val="22"/>
          <w:szCs w:val="22"/>
        </w:rPr>
        <w:t>”,</w:t>
      </w:r>
      <w:r w:rsidRPr="00356EAE">
        <w:rPr>
          <w:rFonts w:asciiTheme="majorBidi" w:hAnsiTheme="majorBidi" w:cstheme="majorBidi"/>
          <w:sz w:val="22"/>
          <w:szCs w:val="22"/>
        </w:rPr>
        <w:t xml:space="preserve"> 38</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International History Review</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(2016) pp. </w:t>
      </w:r>
      <w:r w:rsidRPr="00356EAE">
        <w:rPr>
          <w:rFonts w:asciiTheme="majorBidi" w:hAnsiTheme="majorBidi" w:cstheme="majorBidi"/>
          <w:sz w:val="22"/>
          <w:szCs w:val="22"/>
        </w:rPr>
        <w:t>174</w:t>
      </w:r>
      <w:r>
        <w:rPr>
          <w:rFonts w:asciiTheme="majorBidi" w:hAnsiTheme="majorBidi" w:cstheme="majorBidi"/>
          <w:sz w:val="22"/>
          <w:szCs w:val="22"/>
        </w:rPr>
        <w:t>-195</w:t>
      </w:r>
      <w:r w:rsidRPr="00856941">
        <w:rPr>
          <w:rFonts w:asciiTheme="majorBidi" w:hAnsiTheme="majorBidi" w:cstheme="majorBidi"/>
          <w:sz w:val="22"/>
          <w:szCs w:val="22"/>
        </w:rPr>
        <w:t>.</w:t>
      </w:r>
    </w:p>
  </w:footnote>
  <w:footnote w:id="68">
    <w:p w14:paraId="38020782" w14:textId="51A2BB58"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Mackinder (n </w:t>
      </w:r>
      <w:r w:rsidR="0074748D">
        <w:rPr>
          <w:rFonts w:asciiTheme="majorBidi" w:hAnsiTheme="majorBidi" w:cstheme="majorBidi"/>
          <w:sz w:val="22"/>
          <w:szCs w:val="22"/>
        </w:rPr>
        <w:t>49</w:t>
      </w:r>
      <w:r w:rsidRPr="00356EAE">
        <w:rPr>
          <w:rFonts w:asciiTheme="majorBidi" w:hAnsiTheme="majorBidi" w:cstheme="majorBidi"/>
          <w:sz w:val="22"/>
          <w:szCs w:val="22"/>
        </w:rPr>
        <w:t>) 437.</w:t>
      </w:r>
    </w:p>
  </w:footnote>
  <w:footnote w:id="69">
    <w:p w14:paraId="40E6E995"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Thomas Barfield, </w:t>
      </w:r>
      <w:r w:rsidRPr="00356EAE">
        <w:rPr>
          <w:rFonts w:asciiTheme="majorBidi" w:hAnsiTheme="majorBidi" w:cstheme="majorBidi"/>
          <w:i/>
          <w:iCs/>
          <w:sz w:val="22"/>
          <w:szCs w:val="22"/>
        </w:rPr>
        <w:t>Shadow Empires: An Alternative Imperial History</w:t>
      </w:r>
      <w:r w:rsidRPr="00356EAE">
        <w:rPr>
          <w:rFonts w:asciiTheme="majorBidi" w:hAnsiTheme="majorBidi" w:cstheme="majorBidi"/>
          <w:sz w:val="22"/>
          <w:szCs w:val="22"/>
        </w:rPr>
        <w:t xml:space="preserve"> (2023).</w:t>
      </w:r>
    </w:p>
  </w:footnote>
  <w:footnote w:id="70">
    <w:p w14:paraId="759BCD6C"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20-26</w:t>
      </w:r>
    </w:p>
  </w:footnote>
  <w:footnote w:id="71">
    <w:p w14:paraId="75248F55"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 </w:t>
      </w:r>
      <w:r w:rsidRPr="00356EAE">
        <w:rPr>
          <w:rFonts w:asciiTheme="majorBidi" w:hAnsiTheme="majorBidi" w:cstheme="majorBidi"/>
          <w:sz w:val="22"/>
          <w:szCs w:val="22"/>
        </w:rPr>
        <w:t>3</w:t>
      </w:r>
    </w:p>
  </w:footnote>
  <w:footnote w:id="72">
    <w:p w14:paraId="169BADB0"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3, 28-63.</w:t>
      </w:r>
    </w:p>
  </w:footnote>
  <w:footnote w:id="73">
    <w:p w14:paraId="6D62EB83"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Heather (n </w:t>
      </w:r>
      <w:r>
        <w:rPr>
          <w:rFonts w:asciiTheme="majorBidi" w:hAnsiTheme="majorBidi" w:cstheme="majorBidi"/>
          <w:sz w:val="22"/>
          <w:szCs w:val="22"/>
        </w:rPr>
        <w:t>25</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392-451.</w:t>
      </w:r>
    </w:p>
  </w:footnote>
  <w:footnote w:id="74">
    <w:p w14:paraId="06F1F1BC" w14:textId="429C76DB"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Barfield (n </w:t>
      </w:r>
      <w:r w:rsidR="0074748D">
        <w:rPr>
          <w:rFonts w:asciiTheme="majorBidi" w:hAnsiTheme="majorBidi" w:cstheme="majorBidi"/>
          <w:sz w:val="22"/>
          <w:szCs w:val="22"/>
        </w:rPr>
        <w:t>69</w:t>
      </w:r>
      <w:r w:rsidRPr="00356EAE">
        <w:rPr>
          <w:rFonts w:asciiTheme="majorBidi" w:hAnsiTheme="majorBidi" w:cstheme="majorBidi"/>
          <w:sz w:val="22"/>
          <w:szCs w:val="22"/>
        </w:rPr>
        <w:t xml:space="preserve">) </w:t>
      </w:r>
      <w:r>
        <w:rPr>
          <w:rFonts w:asciiTheme="majorBidi" w:hAnsiTheme="majorBidi" w:cstheme="majorBidi"/>
          <w:sz w:val="22"/>
          <w:szCs w:val="22"/>
        </w:rPr>
        <w:t xml:space="preserve">pp. </w:t>
      </w:r>
      <w:r w:rsidRPr="00356EAE">
        <w:rPr>
          <w:rFonts w:asciiTheme="majorBidi" w:hAnsiTheme="majorBidi" w:cstheme="majorBidi"/>
          <w:sz w:val="22"/>
          <w:szCs w:val="22"/>
        </w:rPr>
        <w:t>248-249.</w:t>
      </w:r>
    </w:p>
  </w:footnote>
  <w:footnote w:id="75">
    <w:p w14:paraId="0AD3779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119-138.</w:t>
      </w:r>
    </w:p>
  </w:footnote>
  <w:footnote w:id="76">
    <w:p w14:paraId="6D9EA6FA" w14:textId="0B3A982E"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Neuman and Wigen (n </w:t>
      </w:r>
      <w:r w:rsidR="0074748D">
        <w:rPr>
          <w:rFonts w:asciiTheme="majorBidi" w:hAnsiTheme="majorBidi" w:cstheme="majorBidi"/>
          <w:sz w:val="22"/>
          <w:szCs w:val="22"/>
        </w:rPr>
        <w:t>47</w:t>
      </w:r>
      <w:r w:rsidRPr="00356EAE">
        <w:rPr>
          <w:rFonts w:asciiTheme="majorBidi" w:hAnsiTheme="majorBidi" w:cstheme="majorBidi"/>
          <w:sz w:val="22"/>
          <w:szCs w:val="22"/>
        </w:rPr>
        <w:t>) 95-98</w:t>
      </w:r>
    </w:p>
  </w:footnote>
  <w:footnote w:id="77">
    <w:p w14:paraId="7A78B296" w14:textId="4F670DFB"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 xml:space="preserve">98-104; Hyun Jin Kim, </w:t>
      </w:r>
      <w:r w:rsidRPr="00356EAE">
        <w:rPr>
          <w:rFonts w:asciiTheme="majorBidi" w:hAnsiTheme="majorBidi" w:cstheme="majorBidi"/>
          <w:i/>
          <w:iCs/>
          <w:sz w:val="22"/>
          <w:szCs w:val="22"/>
        </w:rPr>
        <w:t>The Huns, Rome and the Birth of Europe</w:t>
      </w:r>
      <w:r w:rsidRPr="00356EAE">
        <w:rPr>
          <w:rFonts w:asciiTheme="majorBidi" w:hAnsiTheme="majorBidi" w:cstheme="majorBidi"/>
          <w:sz w:val="22"/>
          <w:szCs w:val="22"/>
        </w:rPr>
        <w:t xml:space="preserve"> (2013).</w:t>
      </w:r>
    </w:p>
  </w:footnote>
  <w:footnote w:id="78">
    <w:p w14:paraId="036828BF"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Christopher Wickham, </w:t>
      </w:r>
      <w:r w:rsidRPr="00356EAE">
        <w:rPr>
          <w:rFonts w:asciiTheme="majorBidi" w:hAnsiTheme="majorBidi" w:cstheme="majorBidi"/>
          <w:i/>
          <w:iCs/>
          <w:sz w:val="22"/>
          <w:szCs w:val="22"/>
        </w:rPr>
        <w:t>The Inheritance of Rome: A History of Europe from 400 to 1000</w:t>
      </w:r>
      <w:r w:rsidRPr="00356EAE">
        <w:rPr>
          <w:rFonts w:asciiTheme="majorBidi" w:hAnsiTheme="majorBidi" w:cstheme="majorBidi"/>
          <w:sz w:val="22"/>
          <w:szCs w:val="22"/>
        </w:rPr>
        <w:t xml:space="preserve"> (2009)</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76-108.</w:t>
      </w:r>
    </w:p>
  </w:footnote>
  <w:footnote w:id="79">
    <w:p w14:paraId="4DEFCB6D"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Kevin Blachford, </w:t>
      </w:r>
      <w:r w:rsidRPr="00356EAE">
        <w:rPr>
          <w:rFonts w:asciiTheme="majorBidi" w:hAnsiTheme="majorBidi" w:cstheme="majorBidi"/>
          <w:i/>
          <w:iCs/>
          <w:sz w:val="22"/>
          <w:szCs w:val="22"/>
        </w:rPr>
        <w:t>World Order in Late Antiquity: The ‘Two Eyes’ Rivalry of Byzantium and Sasanian Persia</w:t>
      </w:r>
      <w:r w:rsidRPr="00356EAE">
        <w:rPr>
          <w:rFonts w:asciiTheme="majorBidi" w:hAnsiTheme="majorBidi" w:cstheme="majorBidi"/>
          <w:sz w:val="22"/>
          <w:szCs w:val="22"/>
        </w:rPr>
        <w:t xml:space="preserve"> (2024). </w:t>
      </w:r>
    </w:p>
  </w:footnote>
  <w:footnote w:id="80">
    <w:p w14:paraId="035BFC9A"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Byzantium as Roman continuity, see Anthony Kaldellis, </w:t>
      </w:r>
      <w:proofErr w:type="spellStart"/>
      <w:r w:rsidRPr="00356EAE">
        <w:rPr>
          <w:rFonts w:asciiTheme="majorBidi" w:hAnsiTheme="majorBidi" w:cstheme="majorBidi"/>
          <w:i/>
          <w:iCs/>
          <w:sz w:val="22"/>
          <w:szCs w:val="22"/>
        </w:rPr>
        <w:t>Romanland</w:t>
      </w:r>
      <w:proofErr w:type="spellEnd"/>
      <w:r w:rsidRPr="00356EAE">
        <w:rPr>
          <w:rFonts w:asciiTheme="majorBidi" w:hAnsiTheme="majorBidi" w:cstheme="majorBidi"/>
          <w:i/>
          <w:iCs/>
          <w:sz w:val="22"/>
          <w:szCs w:val="22"/>
        </w:rPr>
        <w:t>: Ethnicity and Empire in Byzantium</w:t>
      </w:r>
      <w:r w:rsidRPr="00356EAE">
        <w:rPr>
          <w:rFonts w:asciiTheme="majorBidi" w:hAnsiTheme="majorBidi" w:cstheme="majorBidi"/>
          <w:sz w:val="22"/>
          <w:szCs w:val="22"/>
        </w:rPr>
        <w:t xml:space="preserve"> (2019).</w:t>
      </w:r>
    </w:p>
  </w:footnote>
  <w:footnote w:id="81">
    <w:p w14:paraId="7AF657EA"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Florian Curta, </w:t>
      </w:r>
      <w:r w:rsidRPr="00356EAE">
        <w:rPr>
          <w:rFonts w:asciiTheme="majorBidi" w:hAnsiTheme="majorBidi" w:cstheme="majorBidi"/>
          <w:i/>
          <w:iCs/>
          <w:sz w:val="22"/>
          <w:szCs w:val="22"/>
        </w:rPr>
        <w:t xml:space="preserve">The Other Europe in the Middle Ages: </w:t>
      </w:r>
      <w:proofErr w:type="spellStart"/>
      <w:r w:rsidRPr="00356EAE">
        <w:rPr>
          <w:rFonts w:asciiTheme="majorBidi" w:hAnsiTheme="majorBidi" w:cstheme="majorBidi"/>
          <w:i/>
          <w:iCs/>
          <w:sz w:val="22"/>
          <w:szCs w:val="22"/>
        </w:rPr>
        <w:t>Avars</w:t>
      </w:r>
      <w:proofErr w:type="spellEnd"/>
      <w:r w:rsidRPr="00356EAE">
        <w:rPr>
          <w:rFonts w:asciiTheme="majorBidi" w:hAnsiTheme="majorBidi" w:cstheme="majorBidi"/>
          <w:i/>
          <w:iCs/>
          <w:sz w:val="22"/>
          <w:szCs w:val="22"/>
        </w:rPr>
        <w:t xml:space="preserve">, Bulgars, </w:t>
      </w:r>
      <w:proofErr w:type="spellStart"/>
      <w:r w:rsidRPr="00356EAE">
        <w:rPr>
          <w:rFonts w:asciiTheme="majorBidi" w:hAnsiTheme="majorBidi" w:cstheme="majorBidi"/>
          <w:i/>
          <w:iCs/>
          <w:sz w:val="22"/>
          <w:szCs w:val="22"/>
        </w:rPr>
        <w:t>Khazars</w:t>
      </w:r>
      <w:proofErr w:type="spellEnd"/>
      <w:r w:rsidRPr="00356EAE">
        <w:rPr>
          <w:rFonts w:asciiTheme="majorBidi" w:hAnsiTheme="majorBidi" w:cstheme="majorBidi"/>
          <w:i/>
          <w:iCs/>
          <w:sz w:val="22"/>
          <w:szCs w:val="22"/>
        </w:rPr>
        <w:t xml:space="preserve"> and Cumans</w:t>
      </w:r>
      <w:r w:rsidRPr="00356EAE">
        <w:rPr>
          <w:rFonts w:asciiTheme="majorBidi" w:hAnsiTheme="majorBidi" w:cstheme="majorBidi"/>
          <w:sz w:val="22"/>
          <w:szCs w:val="22"/>
        </w:rPr>
        <w:t xml:space="preserve"> (2007).</w:t>
      </w:r>
    </w:p>
  </w:footnote>
  <w:footnote w:id="82">
    <w:p w14:paraId="5797A025" w14:textId="4BF07ED3"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Barfield (n </w:t>
      </w:r>
      <w:r w:rsidR="0074748D">
        <w:rPr>
          <w:rFonts w:asciiTheme="majorBidi" w:hAnsiTheme="majorBidi" w:cstheme="majorBidi"/>
          <w:sz w:val="22"/>
          <w:szCs w:val="22"/>
        </w:rPr>
        <w:t>69</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184-196. </w:t>
      </w:r>
    </w:p>
  </w:footnote>
  <w:footnote w:id="83">
    <w:p w14:paraId="6EE79A42" w14:textId="21293598"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Pal Engel, </w:t>
      </w:r>
      <w:r w:rsidR="00CC6CEC" w:rsidRPr="00CC6CEC">
        <w:rPr>
          <w:rFonts w:asciiTheme="majorBidi" w:hAnsiTheme="majorBidi" w:cstheme="majorBidi"/>
          <w:i/>
          <w:iCs/>
          <w:sz w:val="22"/>
          <w:szCs w:val="22"/>
        </w:rPr>
        <w:t>The</w:t>
      </w:r>
      <w:r w:rsidR="00CC6CEC">
        <w:rPr>
          <w:rFonts w:asciiTheme="majorBidi" w:hAnsiTheme="majorBidi" w:cstheme="majorBidi"/>
          <w:sz w:val="22"/>
          <w:szCs w:val="22"/>
        </w:rPr>
        <w:t xml:space="preserve"> </w:t>
      </w:r>
      <w:r w:rsidRPr="00356EAE">
        <w:rPr>
          <w:rFonts w:asciiTheme="majorBidi" w:hAnsiTheme="majorBidi" w:cstheme="majorBidi"/>
          <w:i/>
          <w:iCs/>
          <w:sz w:val="22"/>
          <w:szCs w:val="22"/>
        </w:rPr>
        <w:t>Realm of St Stephen: A History of Medieval Hungary 895–1526</w:t>
      </w:r>
      <w:r w:rsidRPr="00356EAE">
        <w:rPr>
          <w:rFonts w:asciiTheme="majorBidi" w:hAnsiTheme="majorBidi" w:cstheme="majorBidi"/>
          <w:sz w:val="22"/>
          <w:szCs w:val="22"/>
        </w:rPr>
        <w:t xml:space="preserve"> (2005)</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37-46</w:t>
      </w:r>
      <w:r>
        <w:rPr>
          <w:rFonts w:asciiTheme="majorBidi" w:hAnsiTheme="majorBidi" w:cstheme="majorBidi"/>
          <w:sz w:val="22"/>
          <w:szCs w:val="22"/>
        </w:rPr>
        <w:t>.</w:t>
      </w:r>
    </w:p>
  </w:footnote>
  <w:footnote w:id="84">
    <w:p w14:paraId="4615C89E"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Heather (n </w:t>
      </w:r>
      <w:r>
        <w:rPr>
          <w:rFonts w:asciiTheme="majorBidi" w:hAnsiTheme="majorBidi" w:cstheme="majorBidi"/>
          <w:sz w:val="22"/>
          <w:szCs w:val="22"/>
        </w:rPr>
        <w:t>25</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392-399.</w:t>
      </w:r>
    </w:p>
  </w:footnote>
  <w:footnote w:id="85">
    <w:p w14:paraId="4CBE2BF1" w14:textId="51B1F3A6"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Johannes Koder, </w:t>
      </w:r>
      <w:r w:rsidR="00CC6CEC">
        <w:rPr>
          <w:rFonts w:asciiTheme="majorBidi" w:hAnsiTheme="majorBidi" w:cstheme="majorBidi"/>
          <w:sz w:val="22"/>
          <w:szCs w:val="22"/>
        </w:rPr>
        <w:t>“</w:t>
      </w:r>
      <w:r w:rsidRPr="00356EAE">
        <w:rPr>
          <w:rFonts w:asciiTheme="majorBidi" w:hAnsiTheme="majorBidi" w:cstheme="majorBidi"/>
          <w:sz w:val="22"/>
          <w:szCs w:val="22"/>
        </w:rPr>
        <w:t>On the Slavic Immigration in the Byzantine Balkans</w:t>
      </w:r>
      <w:r w:rsidR="00CC6CEC">
        <w:rPr>
          <w:rFonts w:asciiTheme="majorBidi" w:hAnsiTheme="majorBidi" w:cstheme="majorBidi"/>
          <w:sz w:val="22"/>
          <w:szCs w:val="22"/>
        </w:rPr>
        <w:t>”,</w:t>
      </w:r>
      <w:r w:rsidRPr="00356EAE">
        <w:rPr>
          <w:rFonts w:asciiTheme="majorBidi" w:hAnsiTheme="majorBidi" w:cstheme="majorBidi"/>
          <w:sz w:val="22"/>
          <w:szCs w:val="22"/>
        </w:rPr>
        <w:t xml:space="preserve"> in Johannes Preiser-Kapeller, Lucian Reinfandt, and Yannis </w:t>
      </w:r>
      <w:proofErr w:type="spellStart"/>
      <w:r w:rsidRPr="00356EAE">
        <w:rPr>
          <w:rFonts w:asciiTheme="majorBidi" w:hAnsiTheme="majorBidi" w:cstheme="majorBidi"/>
          <w:sz w:val="22"/>
          <w:szCs w:val="22"/>
        </w:rPr>
        <w:t>Stouraitis</w:t>
      </w:r>
      <w:proofErr w:type="spellEnd"/>
      <w:r w:rsidRPr="00356EAE">
        <w:rPr>
          <w:rFonts w:asciiTheme="majorBidi" w:hAnsiTheme="majorBidi" w:cstheme="majorBidi"/>
          <w:sz w:val="22"/>
          <w:szCs w:val="22"/>
        </w:rPr>
        <w:t xml:space="preserve"> (eds), </w:t>
      </w:r>
      <w:r w:rsidRPr="00356EAE">
        <w:rPr>
          <w:rFonts w:asciiTheme="majorBidi" w:hAnsiTheme="majorBidi" w:cstheme="majorBidi"/>
          <w:i/>
          <w:iCs/>
          <w:sz w:val="22"/>
          <w:szCs w:val="22"/>
        </w:rPr>
        <w:t xml:space="preserve">Migration Histories of the Medieval </w:t>
      </w:r>
      <w:proofErr w:type="spellStart"/>
      <w:r w:rsidRPr="00356EAE">
        <w:rPr>
          <w:rFonts w:asciiTheme="majorBidi" w:hAnsiTheme="majorBidi" w:cstheme="majorBidi"/>
          <w:i/>
          <w:iCs/>
          <w:sz w:val="22"/>
          <w:szCs w:val="22"/>
        </w:rPr>
        <w:t>Afroeurasian</w:t>
      </w:r>
      <w:proofErr w:type="spellEnd"/>
      <w:r w:rsidRPr="00356EAE">
        <w:rPr>
          <w:rFonts w:asciiTheme="majorBidi" w:hAnsiTheme="majorBidi" w:cstheme="majorBidi"/>
          <w:i/>
          <w:iCs/>
          <w:sz w:val="22"/>
          <w:szCs w:val="22"/>
        </w:rPr>
        <w:t xml:space="preserve">: Transition Zone: Aspects of Mobility between Africa, Asia and Europe, 300-1500 </w:t>
      </w:r>
      <w:proofErr w:type="spellStart"/>
      <w:r w:rsidRPr="00356EAE">
        <w:rPr>
          <w:rFonts w:asciiTheme="majorBidi" w:hAnsiTheme="majorBidi" w:cstheme="majorBidi"/>
          <w:i/>
          <w:iCs/>
          <w:sz w:val="22"/>
          <w:szCs w:val="22"/>
        </w:rPr>
        <w:t>c.e.</w:t>
      </w:r>
      <w:proofErr w:type="spellEnd"/>
      <w:r w:rsidRPr="00356EAE">
        <w:rPr>
          <w:rFonts w:asciiTheme="majorBidi" w:hAnsiTheme="majorBidi" w:cstheme="majorBidi"/>
          <w:i/>
          <w:iCs/>
          <w:sz w:val="22"/>
          <w:szCs w:val="22"/>
        </w:rPr>
        <w:t xml:space="preserve"> </w:t>
      </w:r>
      <w:r w:rsidRPr="00356EAE">
        <w:rPr>
          <w:rFonts w:asciiTheme="majorBidi" w:hAnsiTheme="majorBidi" w:cstheme="majorBidi"/>
          <w:sz w:val="22"/>
          <w:szCs w:val="22"/>
        </w:rPr>
        <w:t xml:space="preserve">(2020) </w:t>
      </w:r>
      <w:r>
        <w:rPr>
          <w:rFonts w:asciiTheme="majorBidi" w:hAnsiTheme="majorBidi" w:cstheme="majorBidi"/>
          <w:sz w:val="22"/>
          <w:szCs w:val="22"/>
        </w:rPr>
        <w:t xml:space="preserve">pp. </w:t>
      </w:r>
      <w:r w:rsidRPr="00356EAE">
        <w:rPr>
          <w:rFonts w:asciiTheme="majorBidi" w:hAnsiTheme="majorBidi" w:cstheme="majorBidi"/>
          <w:sz w:val="22"/>
          <w:szCs w:val="22"/>
        </w:rPr>
        <w:t>81</w:t>
      </w:r>
      <w:r>
        <w:rPr>
          <w:rFonts w:asciiTheme="majorBidi" w:hAnsiTheme="majorBidi" w:cstheme="majorBidi"/>
          <w:sz w:val="22"/>
          <w:szCs w:val="22"/>
        </w:rPr>
        <w:t>-100.</w:t>
      </w:r>
    </w:p>
  </w:footnote>
  <w:footnote w:id="86">
    <w:p w14:paraId="36A88E86"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Wolf (n </w:t>
      </w:r>
      <w:r>
        <w:rPr>
          <w:rFonts w:asciiTheme="majorBidi" w:hAnsiTheme="majorBidi" w:cstheme="majorBidi"/>
          <w:sz w:val="22"/>
          <w:szCs w:val="22"/>
        </w:rPr>
        <w:t>31</w:t>
      </w:r>
      <w:r w:rsidRPr="00356EAE">
        <w:rPr>
          <w:rFonts w:asciiTheme="majorBidi" w:hAnsiTheme="majorBidi" w:cstheme="majorBidi"/>
          <w:sz w:val="22"/>
          <w:szCs w:val="22"/>
        </w:rPr>
        <w:t xml:space="preserve">) </w:t>
      </w:r>
      <w:r>
        <w:rPr>
          <w:rFonts w:asciiTheme="majorBidi" w:hAnsiTheme="majorBidi" w:cstheme="majorBidi"/>
          <w:sz w:val="22"/>
          <w:szCs w:val="22"/>
        </w:rPr>
        <w:t xml:space="preserve">p. </w:t>
      </w:r>
      <w:r w:rsidRPr="00356EAE">
        <w:rPr>
          <w:rFonts w:asciiTheme="majorBidi" w:hAnsiTheme="majorBidi" w:cstheme="majorBidi"/>
          <w:sz w:val="22"/>
          <w:szCs w:val="22"/>
        </w:rPr>
        <w:t>29.</w:t>
      </w:r>
    </w:p>
  </w:footnote>
  <w:footnote w:id="87">
    <w:p w14:paraId="7B707993" w14:textId="75CB964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Barfield (n </w:t>
      </w:r>
      <w:r w:rsidR="0074748D">
        <w:rPr>
          <w:rFonts w:asciiTheme="majorBidi" w:hAnsiTheme="majorBidi" w:cstheme="majorBidi"/>
          <w:sz w:val="22"/>
          <w:szCs w:val="22"/>
        </w:rPr>
        <w:t>69</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225-240. </w:t>
      </w:r>
    </w:p>
  </w:footnote>
  <w:footnote w:id="88">
    <w:p w14:paraId="24F506DF" w14:textId="75212CA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Jiří Macháček, </w:t>
      </w:r>
      <w:r>
        <w:rPr>
          <w:rFonts w:asciiTheme="majorBidi" w:hAnsiTheme="majorBidi" w:cstheme="majorBidi"/>
          <w:sz w:val="22"/>
          <w:szCs w:val="22"/>
        </w:rPr>
        <w:t>“</w:t>
      </w:r>
      <w:r w:rsidRPr="00356EAE">
        <w:rPr>
          <w:rFonts w:asciiTheme="majorBidi" w:hAnsiTheme="majorBidi" w:cstheme="majorBidi"/>
          <w:sz w:val="22"/>
          <w:szCs w:val="22"/>
        </w:rPr>
        <w:t>Disputes Over Great Moravia: Chiefdom or State? The Morava or the Tisza River?</w:t>
      </w:r>
      <w:r>
        <w:rPr>
          <w:rFonts w:asciiTheme="majorBidi" w:hAnsiTheme="majorBidi" w:cstheme="majorBidi"/>
          <w:sz w:val="22"/>
          <w:szCs w:val="22"/>
        </w:rPr>
        <w:t>”,</w:t>
      </w:r>
      <w:r w:rsidRPr="00356EAE">
        <w:rPr>
          <w:rFonts w:asciiTheme="majorBidi" w:hAnsiTheme="majorBidi" w:cstheme="majorBidi"/>
          <w:sz w:val="22"/>
          <w:szCs w:val="22"/>
        </w:rPr>
        <w:t xml:space="preserve"> 17</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Early Medieval Europe</w:t>
      </w:r>
      <w:r w:rsidRPr="00356EAE">
        <w:rPr>
          <w:rFonts w:asciiTheme="majorBidi" w:hAnsiTheme="majorBidi" w:cstheme="majorBidi"/>
          <w:sz w:val="22"/>
          <w:szCs w:val="22"/>
        </w:rPr>
        <w:t xml:space="preserve"> </w:t>
      </w:r>
      <w:r>
        <w:rPr>
          <w:rFonts w:asciiTheme="majorBidi" w:hAnsiTheme="majorBidi" w:cstheme="majorBidi"/>
          <w:sz w:val="22"/>
          <w:szCs w:val="22"/>
        </w:rPr>
        <w:t>(2009) pp. 248-267</w:t>
      </w:r>
      <w:r w:rsidRPr="00356EAE">
        <w:rPr>
          <w:rFonts w:asciiTheme="majorBidi" w:hAnsiTheme="majorBidi" w:cstheme="majorBidi"/>
          <w:sz w:val="22"/>
          <w:szCs w:val="22"/>
        </w:rPr>
        <w:t>.</w:t>
      </w:r>
    </w:p>
  </w:footnote>
  <w:footnote w:id="89">
    <w:p w14:paraId="67156643"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Heather (n </w:t>
      </w:r>
      <w:r>
        <w:rPr>
          <w:rFonts w:asciiTheme="majorBidi" w:hAnsiTheme="majorBidi" w:cstheme="majorBidi"/>
          <w:sz w:val="22"/>
          <w:szCs w:val="22"/>
        </w:rPr>
        <w:t>25</w:t>
      </w:r>
      <w:r w:rsidRPr="00356EAE">
        <w:rPr>
          <w:rFonts w:asciiTheme="majorBidi" w:hAnsiTheme="majorBidi" w:cstheme="majorBidi"/>
          <w:sz w:val="22"/>
          <w:szCs w:val="22"/>
        </w:rPr>
        <w:t xml:space="preserve">) </w:t>
      </w:r>
      <w:r>
        <w:rPr>
          <w:rFonts w:asciiTheme="majorBidi" w:hAnsiTheme="majorBidi" w:cstheme="majorBidi"/>
          <w:sz w:val="22"/>
          <w:szCs w:val="22"/>
        </w:rPr>
        <w:t xml:space="preserve">p. </w:t>
      </w:r>
      <w:r w:rsidRPr="00356EAE">
        <w:rPr>
          <w:rFonts w:asciiTheme="majorBidi" w:hAnsiTheme="majorBidi" w:cstheme="majorBidi"/>
          <w:sz w:val="22"/>
          <w:szCs w:val="22"/>
        </w:rPr>
        <w:t xml:space="preserve">407. </w:t>
      </w:r>
    </w:p>
  </w:footnote>
  <w:footnote w:id="90">
    <w:p w14:paraId="3B00FC98"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Christian Lubke, </w:t>
      </w:r>
      <w:r>
        <w:rPr>
          <w:rFonts w:asciiTheme="majorBidi" w:hAnsiTheme="majorBidi" w:cstheme="majorBidi"/>
          <w:sz w:val="22"/>
          <w:szCs w:val="22"/>
        </w:rPr>
        <w:t>“</w:t>
      </w:r>
      <w:r w:rsidRPr="00356EAE">
        <w:rPr>
          <w:rFonts w:asciiTheme="majorBidi" w:hAnsiTheme="majorBidi" w:cstheme="majorBidi"/>
          <w:sz w:val="22"/>
          <w:szCs w:val="22"/>
        </w:rPr>
        <w:t>Before Colonisation: Christendom at the Slav Frontier and Pagan Resistance</w:t>
      </w:r>
      <w:r>
        <w:rPr>
          <w:rFonts w:asciiTheme="majorBidi" w:hAnsiTheme="majorBidi" w:cstheme="majorBidi"/>
          <w:sz w:val="22"/>
          <w:szCs w:val="22"/>
        </w:rPr>
        <w:t>”,</w:t>
      </w:r>
      <w:r w:rsidRPr="00356EAE">
        <w:rPr>
          <w:rFonts w:asciiTheme="majorBidi" w:hAnsiTheme="majorBidi" w:cstheme="majorBidi"/>
          <w:sz w:val="22"/>
          <w:szCs w:val="22"/>
        </w:rPr>
        <w:t xml:space="preserve"> in Charles Ingrao and Franz Szabo (eds), </w:t>
      </w:r>
      <w:r w:rsidRPr="00356EAE">
        <w:rPr>
          <w:rFonts w:asciiTheme="majorBidi" w:hAnsiTheme="majorBidi" w:cstheme="majorBidi"/>
          <w:i/>
          <w:iCs/>
          <w:sz w:val="22"/>
          <w:szCs w:val="22"/>
        </w:rPr>
        <w:t>The Germans and the East</w:t>
      </w:r>
      <w:r w:rsidRPr="00356EAE">
        <w:rPr>
          <w:rFonts w:asciiTheme="majorBidi" w:hAnsiTheme="majorBidi" w:cstheme="majorBidi"/>
          <w:sz w:val="22"/>
          <w:szCs w:val="22"/>
        </w:rPr>
        <w:t xml:space="preserve"> (2008) </w:t>
      </w:r>
      <w:r>
        <w:rPr>
          <w:rFonts w:asciiTheme="majorBidi" w:hAnsiTheme="majorBidi" w:cstheme="majorBidi"/>
          <w:sz w:val="22"/>
          <w:szCs w:val="22"/>
        </w:rPr>
        <w:t>pp.</w:t>
      </w:r>
      <w:r w:rsidRPr="00356EAE">
        <w:rPr>
          <w:rFonts w:asciiTheme="majorBidi" w:hAnsiTheme="majorBidi" w:cstheme="majorBidi"/>
          <w:sz w:val="22"/>
          <w:szCs w:val="22"/>
        </w:rPr>
        <w:t xml:space="preserve"> 18-19.</w:t>
      </w:r>
    </w:p>
  </w:footnote>
  <w:footnote w:id="91">
    <w:p w14:paraId="2FE72E68"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Robert Bartlett, </w:t>
      </w:r>
      <w:r w:rsidRPr="00356EAE">
        <w:rPr>
          <w:rFonts w:asciiTheme="majorBidi" w:hAnsiTheme="majorBidi" w:cstheme="majorBidi"/>
          <w:i/>
          <w:iCs/>
          <w:sz w:val="22"/>
          <w:szCs w:val="22"/>
        </w:rPr>
        <w:t>The Making of Europe: Conquest, Colonization and Cultural Change 950-1350</w:t>
      </w:r>
      <w:r w:rsidRPr="00356EAE">
        <w:rPr>
          <w:rFonts w:asciiTheme="majorBidi" w:hAnsiTheme="majorBidi" w:cstheme="majorBidi"/>
          <w:sz w:val="22"/>
          <w:szCs w:val="22"/>
        </w:rPr>
        <w:t xml:space="preserve"> (1994)</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31-39.</w:t>
      </w:r>
    </w:p>
  </w:footnote>
  <w:footnote w:id="92">
    <w:p w14:paraId="52EC27CB"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Andrzej Pleszczynski, </w:t>
      </w:r>
      <w:r w:rsidRPr="00356EAE">
        <w:rPr>
          <w:rFonts w:asciiTheme="majorBidi" w:hAnsiTheme="majorBidi" w:cstheme="majorBidi"/>
          <w:i/>
          <w:iCs/>
          <w:sz w:val="22"/>
          <w:szCs w:val="22"/>
        </w:rPr>
        <w:t>The Birth of a Stereotype: Polish Rulers and Their Country in German Writings c. 1000 A.D.</w:t>
      </w:r>
      <w:r w:rsidRPr="00356EAE">
        <w:rPr>
          <w:rFonts w:asciiTheme="majorBidi" w:hAnsiTheme="majorBidi" w:cstheme="majorBidi"/>
          <w:sz w:val="22"/>
          <w:szCs w:val="22"/>
        </w:rPr>
        <w:t xml:space="preserve"> (2011).</w:t>
      </w:r>
    </w:p>
  </w:footnote>
  <w:footnote w:id="93">
    <w:p w14:paraId="48BF72AF" w14:textId="3370AAD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Barfield (n </w:t>
      </w:r>
      <w:r w:rsidR="0074748D">
        <w:rPr>
          <w:rFonts w:asciiTheme="majorBidi" w:hAnsiTheme="majorBidi" w:cstheme="majorBidi"/>
          <w:sz w:val="22"/>
          <w:szCs w:val="22"/>
        </w:rPr>
        <w:t>69</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250-253. </w:t>
      </w:r>
    </w:p>
  </w:footnote>
  <w:footnote w:id="94">
    <w:p w14:paraId="739F788A"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245-256.</w:t>
      </w:r>
    </w:p>
  </w:footnote>
  <w:footnote w:id="95">
    <w:p w14:paraId="47E04596"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258-259, 270.</w:t>
      </w:r>
    </w:p>
  </w:footnote>
  <w:footnote w:id="96">
    <w:p w14:paraId="01DA6449"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 </w:t>
      </w:r>
      <w:r>
        <w:rPr>
          <w:rFonts w:asciiTheme="majorBidi" w:hAnsiTheme="majorBidi" w:cstheme="majorBidi"/>
          <w:sz w:val="22"/>
          <w:szCs w:val="22"/>
        </w:rPr>
        <w:t xml:space="preserve">pp. </w:t>
      </w:r>
      <w:r w:rsidRPr="00356EAE">
        <w:rPr>
          <w:rFonts w:asciiTheme="majorBidi" w:hAnsiTheme="majorBidi" w:cstheme="majorBidi"/>
          <w:sz w:val="22"/>
          <w:szCs w:val="22"/>
        </w:rPr>
        <w:t xml:space="preserve">271-272; see also Christian Raffensperger, </w:t>
      </w:r>
      <w:r w:rsidRPr="00356EAE">
        <w:rPr>
          <w:rFonts w:asciiTheme="majorBidi" w:hAnsiTheme="majorBidi" w:cstheme="majorBidi"/>
          <w:i/>
          <w:iCs/>
          <w:sz w:val="22"/>
          <w:szCs w:val="22"/>
        </w:rPr>
        <w:t xml:space="preserve">Reimagining Europe: Kievan </w:t>
      </w:r>
      <w:proofErr w:type="spellStart"/>
      <w:r w:rsidRPr="00356EAE">
        <w:rPr>
          <w:rFonts w:asciiTheme="majorBidi" w:hAnsiTheme="majorBidi" w:cstheme="majorBidi"/>
          <w:i/>
          <w:iCs/>
          <w:sz w:val="22"/>
          <w:szCs w:val="22"/>
        </w:rPr>
        <w:t>Rus’</w:t>
      </w:r>
      <w:proofErr w:type="spellEnd"/>
      <w:r w:rsidRPr="00356EAE">
        <w:rPr>
          <w:rFonts w:asciiTheme="majorBidi" w:hAnsiTheme="majorBidi" w:cstheme="majorBidi"/>
          <w:i/>
          <w:iCs/>
          <w:sz w:val="22"/>
          <w:szCs w:val="22"/>
        </w:rPr>
        <w:t xml:space="preserve"> in the Medieval World, 988–1146</w:t>
      </w:r>
      <w:r w:rsidRPr="00356EAE">
        <w:rPr>
          <w:rFonts w:asciiTheme="majorBidi" w:hAnsiTheme="majorBidi" w:cstheme="majorBidi"/>
          <w:sz w:val="22"/>
          <w:szCs w:val="22"/>
        </w:rPr>
        <w:t xml:space="preserve"> (2012).</w:t>
      </w:r>
    </w:p>
  </w:footnote>
  <w:footnote w:id="97">
    <w:p w14:paraId="3246015D" w14:textId="2F0B7C2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Barfield (n </w:t>
      </w:r>
      <w:r w:rsidR="0074748D">
        <w:rPr>
          <w:rFonts w:asciiTheme="majorBidi" w:hAnsiTheme="majorBidi" w:cstheme="majorBidi"/>
          <w:sz w:val="22"/>
          <w:szCs w:val="22"/>
        </w:rPr>
        <w:t>69</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274-275.</w:t>
      </w:r>
    </w:p>
  </w:footnote>
  <w:footnote w:id="98">
    <w:p w14:paraId="42AF1325" w14:textId="66A656AE"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Robert Brenner, </w:t>
      </w:r>
      <w:r>
        <w:rPr>
          <w:rFonts w:asciiTheme="majorBidi" w:hAnsiTheme="majorBidi" w:cstheme="majorBidi"/>
          <w:sz w:val="22"/>
          <w:szCs w:val="22"/>
        </w:rPr>
        <w:t>“</w:t>
      </w:r>
      <w:r w:rsidRPr="00356EAE">
        <w:rPr>
          <w:rFonts w:asciiTheme="majorBidi" w:hAnsiTheme="majorBidi" w:cstheme="majorBidi"/>
          <w:sz w:val="22"/>
          <w:szCs w:val="22"/>
        </w:rPr>
        <w:t>Economic</w:t>
      </w:r>
      <w:r w:rsidRPr="00856941">
        <w:rPr>
          <w:rFonts w:asciiTheme="majorBidi" w:hAnsiTheme="majorBidi" w:cstheme="majorBidi"/>
          <w:sz w:val="22"/>
          <w:szCs w:val="22"/>
        </w:rPr>
        <w:t xml:space="preserve"> Backwardness in Eastern</w:t>
      </w:r>
      <w:r w:rsidRPr="00356EAE">
        <w:rPr>
          <w:rFonts w:asciiTheme="majorBidi" w:hAnsiTheme="majorBidi" w:cstheme="majorBidi"/>
          <w:sz w:val="22"/>
          <w:szCs w:val="22"/>
        </w:rPr>
        <w:t xml:space="preserve"> Europe in Light of Developments in the West</w:t>
      </w:r>
      <w:r>
        <w:rPr>
          <w:rFonts w:asciiTheme="majorBidi" w:hAnsiTheme="majorBidi" w:cstheme="majorBidi"/>
          <w:sz w:val="22"/>
          <w:szCs w:val="22"/>
        </w:rPr>
        <w:t>”,</w:t>
      </w:r>
      <w:r w:rsidRPr="00356EAE">
        <w:rPr>
          <w:rFonts w:asciiTheme="majorBidi" w:hAnsiTheme="majorBidi" w:cstheme="majorBidi"/>
          <w:sz w:val="22"/>
          <w:szCs w:val="22"/>
        </w:rPr>
        <w:t xml:space="preserve"> in Daniel Chirot (ed), </w:t>
      </w:r>
      <w:r w:rsidRPr="00856941">
        <w:rPr>
          <w:rFonts w:asciiTheme="majorBidi" w:hAnsiTheme="majorBidi" w:cstheme="majorBidi"/>
          <w:i/>
          <w:iCs/>
          <w:sz w:val="22"/>
          <w:szCs w:val="22"/>
        </w:rPr>
        <w:t>The Origins of Backwardness in Eastern Europe: Economics and Politics from the Middle Ages until the Early Twentieth Century</w:t>
      </w:r>
      <w:r w:rsidRPr="00356EAE">
        <w:rPr>
          <w:rFonts w:asciiTheme="majorBidi" w:hAnsiTheme="majorBidi" w:cstheme="majorBidi"/>
          <w:sz w:val="22"/>
          <w:szCs w:val="22"/>
        </w:rPr>
        <w:t xml:space="preserve"> (1989) </w:t>
      </w:r>
      <w:r w:rsidRPr="00856941">
        <w:rPr>
          <w:rFonts w:asciiTheme="majorBidi" w:hAnsiTheme="majorBidi" w:cstheme="majorBidi"/>
          <w:sz w:val="22"/>
          <w:szCs w:val="22"/>
        </w:rPr>
        <w:t>pp. 40-45.</w:t>
      </w:r>
    </w:p>
  </w:footnote>
  <w:footnote w:id="99">
    <w:p w14:paraId="517E526C" w14:textId="785953C9"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WR Jones, </w:t>
      </w:r>
      <w:r>
        <w:rPr>
          <w:rFonts w:asciiTheme="majorBidi" w:hAnsiTheme="majorBidi" w:cstheme="majorBidi"/>
          <w:sz w:val="22"/>
          <w:szCs w:val="22"/>
        </w:rPr>
        <w:t>“</w:t>
      </w:r>
      <w:r w:rsidRPr="00356EAE">
        <w:rPr>
          <w:rFonts w:asciiTheme="majorBidi" w:hAnsiTheme="majorBidi" w:cstheme="majorBidi"/>
          <w:sz w:val="22"/>
          <w:szCs w:val="22"/>
        </w:rPr>
        <w:t>The Image of the Barbarian in Medieval Europe</w:t>
      </w:r>
      <w:r>
        <w:rPr>
          <w:rFonts w:asciiTheme="majorBidi" w:hAnsiTheme="majorBidi" w:cstheme="majorBidi"/>
          <w:sz w:val="22"/>
          <w:szCs w:val="22"/>
        </w:rPr>
        <w:t>”,</w:t>
      </w:r>
      <w:r w:rsidRPr="00356EAE">
        <w:rPr>
          <w:rFonts w:asciiTheme="majorBidi" w:hAnsiTheme="majorBidi" w:cstheme="majorBidi"/>
          <w:sz w:val="22"/>
          <w:szCs w:val="22"/>
        </w:rPr>
        <w:t xml:space="preserve"> 13</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Comparative Studies in Society and History</w:t>
      </w:r>
      <w:r w:rsidRPr="00356EAE">
        <w:rPr>
          <w:rFonts w:asciiTheme="majorBidi" w:hAnsiTheme="majorBidi" w:cstheme="majorBidi"/>
          <w:sz w:val="22"/>
          <w:szCs w:val="22"/>
        </w:rPr>
        <w:t xml:space="preserve"> (1971) pp. 394-400</w:t>
      </w:r>
      <w:r>
        <w:rPr>
          <w:rFonts w:asciiTheme="majorBidi" w:hAnsiTheme="majorBidi" w:cstheme="majorBidi"/>
          <w:sz w:val="22"/>
          <w:szCs w:val="22"/>
        </w:rPr>
        <w:t xml:space="preserve">. </w:t>
      </w:r>
    </w:p>
  </w:footnote>
  <w:footnote w:id="100">
    <w:p w14:paraId="762CED38"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Burnham Reynolds, </w:t>
      </w:r>
      <w:r w:rsidRPr="00856941">
        <w:rPr>
          <w:rFonts w:asciiTheme="majorBidi" w:hAnsiTheme="majorBidi" w:cstheme="majorBidi"/>
          <w:i/>
          <w:iCs/>
          <w:sz w:val="22"/>
          <w:szCs w:val="22"/>
        </w:rPr>
        <w:t>Prehistory of the Crusades: Missionary War and the Baltic Crusades</w:t>
      </w:r>
      <w:r w:rsidRPr="00356EAE">
        <w:rPr>
          <w:rFonts w:asciiTheme="majorBidi" w:hAnsiTheme="majorBidi" w:cstheme="majorBidi"/>
          <w:sz w:val="22"/>
          <w:szCs w:val="22"/>
        </w:rPr>
        <w:t xml:space="preserve"> (2016) pp. 75-83</w:t>
      </w:r>
      <w:r w:rsidRPr="00856941">
        <w:rPr>
          <w:rFonts w:asciiTheme="majorBidi" w:hAnsiTheme="majorBidi" w:cstheme="majorBidi"/>
          <w:sz w:val="22"/>
          <w:szCs w:val="22"/>
        </w:rPr>
        <w:t>.</w:t>
      </w:r>
    </w:p>
  </w:footnote>
  <w:footnote w:id="101">
    <w:p w14:paraId="3495847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Jospeh Canning, </w:t>
      </w:r>
      <w:r>
        <w:rPr>
          <w:rFonts w:asciiTheme="majorBidi" w:hAnsiTheme="majorBidi" w:cstheme="majorBidi"/>
          <w:sz w:val="22"/>
          <w:szCs w:val="22"/>
        </w:rPr>
        <w:t>“</w:t>
      </w:r>
      <w:r w:rsidRPr="00356EAE">
        <w:rPr>
          <w:rFonts w:asciiTheme="majorBidi" w:hAnsiTheme="majorBidi" w:cstheme="majorBidi"/>
          <w:sz w:val="22"/>
          <w:szCs w:val="22"/>
        </w:rPr>
        <w:t>The Medieval Roman and Canon Law Origins of International Law</w:t>
      </w:r>
      <w:r>
        <w:rPr>
          <w:rFonts w:asciiTheme="majorBidi" w:hAnsiTheme="majorBidi" w:cstheme="majorBidi"/>
          <w:sz w:val="22"/>
          <w:szCs w:val="22"/>
        </w:rPr>
        <w:t>”,</w:t>
      </w:r>
      <w:r w:rsidRPr="00356EAE">
        <w:rPr>
          <w:rFonts w:asciiTheme="majorBidi" w:hAnsiTheme="majorBidi" w:cstheme="majorBidi"/>
          <w:sz w:val="22"/>
          <w:szCs w:val="22"/>
        </w:rPr>
        <w:t xml:space="preserve"> in William Bain (ed), </w:t>
      </w:r>
      <w:r w:rsidRPr="00356EAE">
        <w:rPr>
          <w:rFonts w:asciiTheme="majorBidi" w:hAnsiTheme="majorBidi" w:cstheme="majorBidi"/>
          <w:i/>
          <w:iCs/>
          <w:sz w:val="22"/>
          <w:szCs w:val="22"/>
        </w:rPr>
        <w:t>Medieval Foundations of International Relations</w:t>
      </w:r>
      <w:r w:rsidRPr="00356EAE">
        <w:rPr>
          <w:rFonts w:asciiTheme="majorBidi" w:hAnsiTheme="majorBidi" w:cstheme="majorBidi"/>
          <w:sz w:val="22"/>
          <w:szCs w:val="22"/>
        </w:rPr>
        <w:t xml:space="preserve"> (2017) </w:t>
      </w:r>
      <w:r>
        <w:rPr>
          <w:rFonts w:asciiTheme="majorBidi" w:hAnsiTheme="majorBidi" w:cstheme="majorBidi"/>
          <w:sz w:val="22"/>
          <w:szCs w:val="22"/>
        </w:rPr>
        <w:t>pp.</w:t>
      </w:r>
      <w:r w:rsidRPr="00356EAE">
        <w:rPr>
          <w:rFonts w:asciiTheme="majorBidi" w:hAnsiTheme="majorBidi" w:cstheme="majorBidi"/>
          <w:sz w:val="22"/>
          <w:szCs w:val="22"/>
        </w:rPr>
        <w:t xml:space="preserve"> 109-113.</w:t>
      </w:r>
    </w:p>
  </w:footnote>
  <w:footnote w:id="102">
    <w:p w14:paraId="6706A9B5"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James Muldoon, </w:t>
      </w:r>
      <w:r w:rsidRPr="00356EAE">
        <w:rPr>
          <w:rFonts w:asciiTheme="majorBidi" w:hAnsiTheme="majorBidi" w:cstheme="majorBidi"/>
          <w:i/>
          <w:iCs/>
          <w:sz w:val="22"/>
          <w:szCs w:val="22"/>
        </w:rPr>
        <w:t xml:space="preserve">Popes, Lawyers and Infidels: Church and the Non-Christian World, </w:t>
      </w:r>
      <w:r w:rsidRPr="0074748D">
        <w:rPr>
          <w:rFonts w:asciiTheme="majorBidi" w:hAnsiTheme="majorBidi" w:cstheme="majorBidi"/>
          <w:i/>
          <w:iCs/>
          <w:sz w:val="22"/>
          <w:szCs w:val="22"/>
        </w:rPr>
        <w:t>1250-1550</w:t>
      </w:r>
      <w:r w:rsidRPr="00356EAE">
        <w:rPr>
          <w:rFonts w:asciiTheme="majorBidi" w:hAnsiTheme="majorBidi" w:cstheme="majorBidi"/>
          <w:sz w:val="22"/>
          <w:szCs w:val="22"/>
        </w:rPr>
        <w:t xml:space="preserve"> (1979)</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4.</w:t>
      </w:r>
    </w:p>
  </w:footnote>
  <w:footnote w:id="103">
    <w:p w14:paraId="05A9699C"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Ariel Salzmann, </w:t>
      </w:r>
      <w:r w:rsidRPr="00356EAE">
        <w:rPr>
          <w:rFonts w:asciiTheme="majorBidi" w:hAnsiTheme="majorBidi" w:cstheme="majorBidi"/>
          <w:i/>
          <w:iCs/>
          <w:sz w:val="22"/>
          <w:szCs w:val="22"/>
        </w:rPr>
        <w:t>The Exclusionary West: Medieval Minorities and the Making of Modern Europe</w:t>
      </w:r>
      <w:r w:rsidRPr="00356EAE">
        <w:rPr>
          <w:rFonts w:asciiTheme="majorBidi" w:hAnsiTheme="majorBidi" w:cstheme="majorBidi"/>
          <w:sz w:val="22"/>
          <w:szCs w:val="22"/>
        </w:rPr>
        <w:t xml:space="preserve"> (2026). </w:t>
      </w:r>
    </w:p>
  </w:footnote>
  <w:footnote w:id="104">
    <w:p w14:paraId="4F454BE1" w14:textId="7E547892"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Jospeh </w:t>
      </w:r>
      <w:proofErr w:type="spellStart"/>
      <w:r w:rsidRPr="00356EAE">
        <w:rPr>
          <w:rFonts w:asciiTheme="majorBidi" w:hAnsiTheme="majorBidi" w:cstheme="majorBidi"/>
          <w:sz w:val="22"/>
          <w:szCs w:val="22"/>
        </w:rPr>
        <w:t>Ledit</w:t>
      </w:r>
      <w:proofErr w:type="spellEnd"/>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The Eastern Schism and the Division of Europe</w:t>
      </w:r>
      <w:r>
        <w:rPr>
          <w:rFonts w:asciiTheme="majorBidi" w:hAnsiTheme="majorBidi" w:cstheme="majorBidi"/>
          <w:sz w:val="22"/>
          <w:szCs w:val="22"/>
        </w:rPr>
        <w:t>”,</w:t>
      </w:r>
      <w:r w:rsidRPr="00356EAE">
        <w:rPr>
          <w:rFonts w:asciiTheme="majorBidi" w:hAnsiTheme="majorBidi" w:cstheme="majorBidi"/>
          <w:sz w:val="22"/>
          <w:szCs w:val="22"/>
        </w:rPr>
        <w:t xml:space="preserve"> 12</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Theological Studies</w:t>
      </w:r>
      <w:r w:rsidRPr="00356EAE">
        <w:rPr>
          <w:rFonts w:asciiTheme="majorBidi" w:hAnsiTheme="majorBidi" w:cstheme="majorBidi"/>
          <w:sz w:val="22"/>
          <w:szCs w:val="22"/>
        </w:rPr>
        <w:t xml:space="preserve"> </w:t>
      </w:r>
      <w:r>
        <w:rPr>
          <w:rFonts w:asciiTheme="majorBidi" w:hAnsiTheme="majorBidi" w:cstheme="majorBidi"/>
          <w:sz w:val="22"/>
          <w:szCs w:val="22"/>
        </w:rPr>
        <w:t xml:space="preserve">(1951) pp. </w:t>
      </w:r>
      <w:r w:rsidRPr="00356EAE">
        <w:rPr>
          <w:rFonts w:asciiTheme="majorBidi" w:hAnsiTheme="majorBidi" w:cstheme="majorBidi"/>
          <w:sz w:val="22"/>
          <w:szCs w:val="22"/>
        </w:rPr>
        <w:t>455</w:t>
      </w:r>
      <w:r>
        <w:rPr>
          <w:rFonts w:asciiTheme="majorBidi" w:hAnsiTheme="majorBidi" w:cstheme="majorBidi"/>
          <w:sz w:val="22"/>
          <w:szCs w:val="22"/>
        </w:rPr>
        <w:t>-480</w:t>
      </w:r>
      <w:r w:rsidRPr="00356EAE">
        <w:rPr>
          <w:rFonts w:asciiTheme="majorBidi" w:hAnsiTheme="majorBidi" w:cstheme="majorBidi"/>
          <w:sz w:val="22"/>
          <w:szCs w:val="22"/>
        </w:rPr>
        <w:t>.</w:t>
      </w:r>
    </w:p>
  </w:footnote>
  <w:footnote w:id="105">
    <w:p w14:paraId="307CD825" w14:textId="05248A09"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Erik Christensen, </w:t>
      </w:r>
      <w:r w:rsidRPr="00356EAE">
        <w:rPr>
          <w:rFonts w:asciiTheme="majorBidi" w:hAnsiTheme="majorBidi" w:cstheme="majorBidi"/>
          <w:i/>
          <w:iCs/>
          <w:sz w:val="22"/>
          <w:szCs w:val="22"/>
        </w:rPr>
        <w:t>The Northern Crusades</w:t>
      </w:r>
      <w:r w:rsidRPr="00356EAE">
        <w:rPr>
          <w:rFonts w:asciiTheme="majorBidi" w:hAnsiTheme="majorBidi" w:cstheme="majorBidi"/>
          <w:sz w:val="22"/>
          <w:szCs w:val="22"/>
        </w:rPr>
        <w:t xml:space="preserve"> (</w:t>
      </w:r>
      <w:r w:rsidR="003E5479">
        <w:rPr>
          <w:rFonts w:asciiTheme="majorBidi" w:hAnsiTheme="majorBidi" w:cstheme="majorBidi"/>
          <w:sz w:val="22"/>
          <w:szCs w:val="22"/>
        </w:rPr>
        <w:t>2</w:t>
      </w:r>
      <w:r w:rsidR="003E5479" w:rsidRPr="003E5479">
        <w:rPr>
          <w:rFonts w:asciiTheme="majorBidi" w:hAnsiTheme="majorBidi" w:cstheme="majorBidi"/>
          <w:sz w:val="22"/>
          <w:szCs w:val="22"/>
          <w:vertAlign w:val="superscript"/>
        </w:rPr>
        <w:t>nd</w:t>
      </w:r>
      <w:r w:rsidR="003E5479">
        <w:rPr>
          <w:rFonts w:asciiTheme="majorBidi" w:hAnsiTheme="majorBidi" w:cstheme="majorBidi"/>
          <w:sz w:val="22"/>
          <w:szCs w:val="22"/>
        </w:rPr>
        <w:t xml:space="preserve"> ed, </w:t>
      </w:r>
      <w:r w:rsidRPr="00356EAE">
        <w:rPr>
          <w:rFonts w:asciiTheme="majorBidi" w:hAnsiTheme="majorBidi" w:cstheme="majorBidi"/>
          <w:sz w:val="22"/>
          <w:szCs w:val="22"/>
        </w:rPr>
        <w:t>1997)</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47-48.</w:t>
      </w:r>
    </w:p>
  </w:footnote>
  <w:footnote w:id="106">
    <w:p w14:paraId="407CE260" w14:textId="01C4ECE1" w:rsidR="00F81612" w:rsidRPr="00C10185" w:rsidRDefault="00F81612" w:rsidP="00F81612">
      <w:pPr>
        <w:pStyle w:val="FootnoteText"/>
        <w:jc w:val="both"/>
        <w:rPr>
          <w:rFonts w:asciiTheme="majorBidi" w:hAnsiTheme="majorBidi" w:cstheme="majorBidi"/>
          <w:sz w:val="22"/>
          <w:szCs w:val="22"/>
        </w:rPr>
      </w:pPr>
      <w:r w:rsidRPr="00C10185">
        <w:rPr>
          <w:rStyle w:val="FootnoteReference"/>
          <w:rFonts w:asciiTheme="majorBidi" w:hAnsiTheme="majorBidi" w:cstheme="majorBidi"/>
          <w:sz w:val="22"/>
          <w:szCs w:val="22"/>
        </w:rPr>
        <w:footnoteRef/>
      </w:r>
      <w:r w:rsidRPr="00C10185">
        <w:rPr>
          <w:rFonts w:asciiTheme="majorBidi" w:hAnsiTheme="majorBidi" w:cstheme="majorBidi"/>
          <w:sz w:val="22"/>
          <w:szCs w:val="22"/>
        </w:rPr>
        <w:t xml:space="preserve"> Bartlett (</w:t>
      </w:r>
      <w:r>
        <w:rPr>
          <w:rFonts w:asciiTheme="majorBidi" w:hAnsiTheme="majorBidi" w:cstheme="majorBidi"/>
          <w:sz w:val="22"/>
          <w:szCs w:val="22"/>
        </w:rPr>
        <w:t xml:space="preserve">n </w:t>
      </w:r>
      <w:r w:rsidR="0074748D">
        <w:rPr>
          <w:rFonts w:asciiTheme="majorBidi" w:hAnsiTheme="majorBidi" w:cstheme="majorBidi"/>
          <w:sz w:val="22"/>
          <w:szCs w:val="22"/>
        </w:rPr>
        <w:t>91</w:t>
      </w:r>
      <w:r w:rsidRPr="00C10185">
        <w:rPr>
          <w:rFonts w:asciiTheme="majorBidi" w:hAnsiTheme="majorBidi" w:cstheme="majorBidi"/>
          <w:sz w:val="22"/>
          <w:szCs w:val="22"/>
        </w:rPr>
        <w:t>)</w:t>
      </w:r>
      <w:r>
        <w:rPr>
          <w:rFonts w:asciiTheme="majorBidi" w:hAnsiTheme="majorBidi" w:cstheme="majorBidi"/>
          <w:sz w:val="22"/>
          <w:szCs w:val="22"/>
        </w:rPr>
        <w:t xml:space="preserve"> pp.</w:t>
      </w:r>
      <w:r w:rsidRPr="00C10185">
        <w:rPr>
          <w:rFonts w:asciiTheme="majorBidi" w:hAnsiTheme="majorBidi" w:cstheme="majorBidi"/>
          <w:sz w:val="22"/>
          <w:szCs w:val="22"/>
        </w:rPr>
        <w:t xml:space="preserve"> 83-84. </w:t>
      </w:r>
    </w:p>
  </w:footnote>
  <w:footnote w:id="107">
    <w:p w14:paraId="12055C09" w14:textId="3502D1E2"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Pegatha</w:t>
      </w:r>
      <w:proofErr w:type="spellEnd"/>
      <w:r w:rsidRPr="00356EAE">
        <w:rPr>
          <w:rFonts w:asciiTheme="majorBidi" w:hAnsiTheme="majorBidi" w:cstheme="majorBidi"/>
          <w:sz w:val="22"/>
          <w:szCs w:val="22"/>
        </w:rPr>
        <w:t xml:space="preserve"> Taylor, </w:t>
      </w:r>
      <w:r>
        <w:rPr>
          <w:rFonts w:asciiTheme="majorBidi" w:hAnsiTheme="majorBidi" w:cstheme="majorBidi"/>
          <w:sz w:val="22"/>
          <w:szCs w:val="22"/>
        </w:rPr>
        <w:t>“</w:t>
      </w:r>
      <w:r w:rsidRPr="00356EAE">
        <w:rPr>
          <w:rFonts w:asciiTheme="majorBidi" w:hAnsiTheme="majorBidi" w:cstheme="majorBidi"/>
          <w:sz w:val="22"/>
          <w:szCs w:val="22"/>
        </w:rPr>
        <w:t xml:space="preserve">Moral Agency in Crusade and Colonization: Anselm of </w:t>
      </w:r>
      <w:proofErr w:type="spellStart"/>
      <w:r w:rsidRPr="00356EAE">
        <w:rPr>
          <w:rFonts w:asciiTheme="majorBidi" w:hAnsiTheme="majorBidi" w:cstheme="majorBidi"/>
          <w:sz w:val="22"/>
          <w:szCs w:val="22"/>
        </w:rPr>
        <w:t>Havelberg</w:t>
      </w:r>
      <w:proofErr w:type="spellEnd"/>
      <w:r w:rsidRPr="00356EAE">
        <w:rPr>
          <w:rFonts w:asciiTheme="majorBidi" w:hAnsiTheme="majorBidi" w:cstheme="majorBidi"/>
          <w:sz w:val="22"/>
          <w:szCs w:val="22"/>
        </w:rPr>
        <w:t xml:space="preserve"> and the Wendish Crusade of 1147</w:t>
      </w:r>
      <w:r>
        <w:rPr>
          <w:rFonts w:asciiTheme="majorBidi" w:hAnsiTheme="majorBidi" w:cstheme="majorBidi"/>
          <w:sz w:val="22"/>
          <w:szCs w:val="22"/>
        </w:rPr>
        <w:t>”,</w:t>
      </w:r>
      <w:r w:rsidRPr="00356EAE">
        <w:rPr>
          <w:rFonts w:asciiTheme="majorBidi" w:hAnsiTheme="majorBidi" w:cstheme="majorBidi"/>
          <w:sz w:val="22"/>
          <w:szCs w:val="22"/>
        </w:rPr>
        <w:t xml:space="preserve"> 22</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International History Review</w:t>
      </w:r>
      <w:r w:rsidRPr="00356EAE">
        <w:rPr>
          <w:rFonts w:asciiTheme="majorBidi" w:hAnsiTheme="majorBidi" w:cstheme="majorBidi"/>
          <w:sz w:val="22"/>
          <w:szCs w:val="22"/>
        </w:rPr>
        <w:t xml:space="preserve"> </w:t>
      </w:r>
      <w:r>
        <w:rPr>
          <w:rFonts w:asciiTheme="majorBidi" w:hAnsiTheme="majorBidi" w:cstheme="majorBidi"/>
          <w:sz w:val="22"/>
          <w:szCs w:val="22"/>
        </w:rPr>
        <w:t>(2000) pp.</w:t>
      </w:r>
      <w:r w:rsidRPr="00356EAE">
        <w:rPr>
          <w:rFonts w:asciiTheme="majorBidi" w:hAnsiTheme="majorBidi" w:cstheme="majorBidi"/>
          <w:sz w:val="22"/>
          <w:szCs w:val="22"/>
        </w:rPr>
        <w:t xml:space="preserve"> 772-773.</w:t>
      </w:r>
    </w:p>
  </w:footnote>
  <w:footnote w:id="108">
    <w:p w14:paraId="72A892F8" w14:textId="0AAC05AF"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linkage</w:t>
      </w:r>
      <w:r w:rsidR="003077C8">
        <w:rPr>
          <w:rFonts w:asciiTheme="majorBidi" w:hAnsiTheme="majorBidi" w:cstheme="majorBidi"/>
          <w:sz w:val="22"/>
          <w:szCs w:val="22"/>
        </w:rPr>
        <w:t>s</w:t>
      </w:r>
      <w:r w:rsidRPr="00356EAE">
        <w:rPr>
          <w:rFonts w:asciiTheme="majorBidi" w:hAnsiTheme="majorBidi" w:cstheme="majorBidi"/>
          <w:sz w:val="22"/>
          <w:szCs w:val="22"/>
        </w:rPr>
        <w:t xml:space="preserve"> to the Crusades more broadly, see Christopher Tyerman, </w:t>
      </w:r>
      <w:r w:rsidRPr="00356EAE">
        <w:rPr>
          <w:rFonts w:asciiTheme="majorBidi" w:hAnsiTheme="majorBidi" w:cstheme="majorBidi"/>
          <w:i/>
          <w:iCs/>
          <w:sz w:val="22"/>
          <w:szCs w:val="22"/>
        </w:rPr>
        <w:t>God’s War: A New History of the Crusades</w:t>
      </w:r>
      <w:r w:rsidRPr="00356EAE">
        <w:rPr>
          <w:rFonts w:asciiTheme="majorBidi" w:hAnsiTheme="majorBidi" w:cstheme="majorBidi"/>
          <w:sz w:val="22"/>
          <w:szCs w:val="22"/>
        </w:rPr>
        <w:t xml:space="preserve"> (2006) </w:t>
      </w:r>
      <w:r>
        <w:rPr>
          <w:rFonts w:asciiTheme="majorBidi" w:hAnsiTheme="majorBidi" w:cstheme="majorBidi"/>
          <w:sz w:val="22"/>
          <w:szCs w:val="22"/>
        </w:rPr>
        <w:t xml:space="preserve">pp. </w:t>
      </w:r>
      <w:r w:rsidRPr="00356EAE">
        <w:rPr>
          <w:rFonts w:asciiTheme="majorBidi" w:hAnsiTheme="majorBidi" w:cstheme="majorBidi"/>
          <w:sz w:val="22"/>
          <w:szCs w:val="22"/>
        </w:rPr>
        <w:t>674-712</w:t>
      </w:r>
      <w:r>
        <w:rPr>
          <w:rFonts w:asciiTheme="majorBidi" w:hAnsiTheme="majorBidi" w:cstheme="majorBidi"/>
          <w:sz w:val="22"/>
          <w:szCs w:val="22"/>
        </w:rPr>
        <w:t>.</w:t>
      </w:r>
    </w:p>
  </w:footnote>
  <w:footnote w:id="109">
    <w:p w14:paraId="481B1BCB" w14:textId="4664505C" w:rsidR="00F81612" w:rsidRPr="00856941" w:rsidRDefault="00F81612" w:rsidP="00F81612">
      <w:pPr>
        <w:pStyle w:val="FootnoteText"/>
        <w:jc w:val="both"/>
        <w:rPr>
          <w:rFonts w:asciiTheme="majorBidi" w:hAnsiTheme="majorBidi" w:cstheme="majorBidi"/>
          <w:sz w:val="22"/>
          <w:szCs w:val="22"/>
          <w:lang w:val="nl-NL"/>
        </w:rPr>
      </w:pPr>
      <w:r w:rsidRPr="00356EAE">
        <w:rPr>
          <w:rStyle w:val="FootnoteReference"/>
          <w:rFonts w:asciiTheme="majorBidi" w:hAnsiTheme="majorBidi" w:cstheme="majorBidi"/>
          <w:sz w:val="22"/>
          <w:szCs w:val="22"/>
        </w:rPr>
        <w:footnoteRef/>
      </w:r>
      <w:r w:rsidRPr="00856941">
        <w:rPr>
          <w:rFonts w:asciiTheme="majorBidi" w:hAnsiTheme="majorBidi" w:cstheme="majorBidi"/>
          <w:sz w:val="22"/>
          <w:szCs w:val="22"/>
          <w:lang w:val="nl-NL"/>
        </w:rPr>
        <w:t xml:space="preserve"> </w:t>
      </w:r>
      <w:proofErr w:type="spellStart"/>
      <w:r w:rsidRPr="00856941">
        <w:rPr>
          <w:rFonts w:asciiTheme="majorBidi" w:hAnsiTheme="majorBidi" w:cstheme="majorBidi"/>
          <w:sz w:val="22"/>
          <w:szCs w:val="22"/>
          <w:lang w:val="nl-NL"/>
        </w:rPr>
        <w:t>Muldoon</w:t>
      </w:r>
      <w:proofErr w:type="spellEnd"/>
      <w:r w:rsidRPr="00856941">
        <w:rPr>
          <w:rFonts w:asciiTheme="majorBidi" w:hAnsiTheme="majorBidi" w:cstheme="majorBidi"/>
          <w:sz w:val="22"/>
          <w:szCs w:val="22"/>
          <w:lang w:val="nl-NL"/>
        </w:rPr>
        <w:t xml:space="preserve"> (n 1</w:t>
      </w:r>
      <w:r w:rsidR="0074748D">
        <w:rPr>
          <w:rFonts w:asciiTheme="majorBidi" w:hAnsiTheme="majorBidi" w:cstheme="majorBidi"/>
          <w:sz w:val="22"/>
          <w:szCs w:val="22"/>
          <w:lang w:val="nl-NL"/>
        </w:rPr>
        <w:t>02</w:t>
      </w:r>
      <w:r w:rsidRPr="00856941">
        <w:rPr>
          <w:rFonts w:asciiTheme="majorBidi" w:hAnsiTheme="majorBidi" w:cstheme="majorBidi"/>
          <w:sz w:val="22"/>
          <w:szCs w:val="22"/>
          <w:lang w:val="nl-NL"/>
        </w:rPr>
        <w:t>) pp. 34-45.</w:t>
      </w:r>
    </w:p>
  </w:footnote>
  <w:footnote w:id="110">
    <w:p w14:paraId="53062392" w14:textId="6138971D" w:rsidR="00F81612" w:rsidRPr="00856941" w:rsidRDefault="00F81612" w:rsidP="00F81612">
      <w:pPr>
        <w:pStyle w:val="FootnoteText"/>
        <w:jc w:val="both"/>
        <w:rPr>
          <w:rFonts w:asciiTheme="majorBidi" w:hAnsiTheme="majorBidi" w:cstheme="majorBidi"/>
          <w:sz w:val="22"/>
          <w:szCs w:val="22"/>
          <w:lang w:val="nl-NL"/>
        </w:rPr>
      </w:pPr>
      <w:r w:rsidRPr="00356EAE">
        <w:rPr>
          <w:rStyle w:val="FootnoteReference"/>
          <w:rFonts w:asciiTheme="majorBidi" w:hAnsiTheme="majorBidi" w:cstheme="majorBidi"/>
          <w:sz w:val="22"/>
          <w:szCs w:val="22"/>
        </w:rPr>
        <w:footnoteRef/>
      </w:r>
      <w:r w:rsidRPr="00856941">
        <w:rPr>
          <w:rFonts w:asciiTheme="majorBidi" w:hAnsiTheme="majorBidi" w:cstheme="majorBidi"/>
          <w:sz w:val="22"/>
          <w:szCs w:val="22"/>
          <w:lang w:val="nl-NL"/>
        </w:rPr>
        <w:t xml:space="preserve"> </w:t>
      </w:r>
      <w:proofErr w:type="spellStart"/>
      <w:r w:rsidRPr="00856941">
        <w:rPr>
          <w:rFonts w:asciiTheme="majorBidi" w:hAnsiTheme="majorBidi" w:cstheme="majorBidi"/>
          <w:sz w:val="22"/>
          <w:szCs w:val="22"/>
          <w:lang w:val="nl-NL"/>
        </w:rPr>
        <w:t>Christensen</w:t>
      </w:r>
      <w:proofErr w:type="spellEnd"/>
      <w:r w:rsidRPr="00856941">
        <w:rPr>
          <w:rFonts w:asciiTheme="majorBidi" w:hAnsiTheme="majorBidi" w:cstheme="majorBidi"/>
          <w:sz w:val="22"/>
          <w:szCs w:val="22"/>
          <w:lang w:val="nl-NL"/>
        </w:rPr>
        <w:t xml:space="preserve"> (n 1</w:t>
      </w:r>
      <w:r w:rsidR="0074748D">
        <w:rPr>
          <w:rFonts w:asciiTheme="majorBidi" w:hAnsiTheme="majorBidi" w:cstheme="majorBidi"/>
          <w:sz w:val="22"/>
          <w:szCs w:val="22"/>
          <w:lang w:val="nl-NL"/>
        </w:rPr>
        <w:t>05</w:t>
      </w:r>
      <w:r w:rsidRPr="00856941">
        <w:rPr>
          <w:rFonts w:asciiTheme="majorBidi" w:hAnsiTheme="majorBidi" w:cstheme="majorBidi"/>
          <w:sz w:val="22"/>
          <w:szCs w:val="22"/>
          <w:lang w:val="nl-NL"/>
        </w:rPr>
        <w:t>) pp. 81-82.</w:t>
      </w:r>
    </w:p>
  </w:footnote>
  <w:footnote w:id="111">
    <w:p w14:paraId="2D8F764D" w14:textId="17064F2E" w:rsidR="00F81612" w:rsidRPr="00356EAE" w:rsidRDefault="00F81612" w:rsidP="00AD71B9">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Marek Tamm, </w:t>
      </w:r>
      <w:r>
        <w:rPr>
          <w:rFonts w:asciiTheme="majorBidi" w:hAnsiTheme="majorBidi" w:cstheme="majorBidi"/>
          <w:sz w:val="22"/>
          <w:szCs w:val="22"/>
        </w:rPr>
        <w:t>“</w:t>
      </w:r>
      <w:r w:rsidRPr="00356EAE">
        <w:rPr>
          <w:rFonts w:asciiTheme="majorBidi" w:hAnsiTheme="majorBidi" w:cstheme="majorBidi"/>
          <w:sz w:val="22"/>
          <w:szCs w:val="22"/>
        </w:rPr>
        <w:t>How to Justify a Crusade? The Conquest of Livonia and New Crusade Rhetoric in the Early Thirteenth Century</w:t>
      </w:r>
      <w:r>
        <w:rPr>
          <w:rFonts w:asciiTheme="majorBidi" w:hAnsiTheme="majorBidi" w:cstheme="majorBidi"/>
          <w:sz w:val="22"/>
          <w:szCs w:val="22"/>
        </w:rPr>
        <w:t>”,</w:t>
      </w:r>
      <w:r w:rsidRPr="00356EAE">
        <w:rPr>
          <w:rFonts w:asciiTheme="majorBidi" w:hAnsiTheme="majorBidi" w:cstheme="majorBidi"/>
          <w:sz w:val="22"/>
          <w:szCs w:val="22"/>
        </w:rPr>
        <w:t xml:space="preserve"> 39</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Journal of Medieval History</w:t>
      </w:r>
      <w:r w:rsidRPr="00356EAE">
        <w:rPr>
          <w:rFonts w:asciiTheme="majorBidi" w:hAnsiTheme="majorBidi" w:cstheme="majorBidi"/>
          <w:sz w:val="22"/>
          <w:szCs w:val="22"/>
        </w:rPr>
        <w:t xml:space="preserve"> </w:t>
      </w:r>
      <w:r>
        <w:rPr>
          <w:rFonts w:asciiTheme="majorBidi" w:hAnsiTheme="majorBidi" w:cstheme="majorBidi"/>
          <w:sz w:val="22"/>
          <w:szCs w:val="22"/>
        </w:rPr>
        <w:t>(2013) pp.</w:t>
      </w:r>
      <w:r w:rsidRPr="00356EAE">
        <w:rPr>
          <w:rFonts w:asciiTheme="majorBidi" w:hAnsiTheme="majorBidi" w:cstheme="majorBidi"/>
          <w:sz w:val="22"/>
          <w:szCs w:val="22"/>
        </w:rPr>
        <w:t xml:space="preserve"> 437-444.</w:t>
      </w:r>
    </w:p>
  </w:footnote>
  <w:footnote w:id="112">
    <w:p w14:paraId="73BA2EC7" w14:textId="77777777" w:rsidR="00F81612" w:rsidRPr="007E561C" w:rsidRDefault="00F81612" w:rsidP="00AD71B9">
      <w:pPr>
        <w:pStyle w:val="FootnoteText"/>
        <w:jc w:val="both"/>
        <w:rPr>
          <w:rFonts w:asciiTheme="majorBidi" w:hAnsiTheme="majorBidi" w:cstheme="majorBidi"/>
          <w:sz w:val="22"/>
          <w:szCs w:val="22"/>
        </w:rPr>
      </w:pPr>
      <w:r w:rsidRPr="007E561C">
        <w:rPr>
          <w:rStyle w:val="FootnoteReference"/>
          <w:rFonts w:asciiTheme="majorBidi" w:hAnsiTheme="majorBidi" w:cstheme="majorBidi"/>
          <w:sz w:val="22"/>
          <w:szCs w:val="22"/>
        </w:rPr>
        <w:footnoteRef/>
      </w:r>
      <w:r w:rsidRPr="007E561C">
        <w:rPr>
          <w:rFonts w:asciiTheme="majorBidi" w:hAnsiTheme="majorBidi" w:cstheme="majorBidi"/>
          <w:sz w:val="22"/>
          <w:szCs w:val="22"/>
        </w:rPr>
        <w:t xml:space="preserve"> </w:t>
      </w:r>
      <w:r w:rsidRPr="00362F7B">
        <w:rPr>
          <w:rFonts w:asciiTheme="majorBidi" w:hAnsiTheme="majorBidi" w:cstheme="majorBidi"/>
          <w:sz w:val="22"/>
          <w:szCs w:val="22"/>
        </w:rPr>
        <w:t xml:space="preserve">Aleksander Pluskowski, </w:t>
      </w:r>
      <w:r w:rsidRPr="00362F7B">
        <w:rPr>
          <w:rFonts w:asciiTheme="majorBidi" w:hAnsiTheme="majorBidi" w:cstheme="majorBidi"/>
          <w:i/>
          <w:iCs/>
          <w:sz w:val="22"/>
          <w:szCs w:val="22"/>
        </w:rPr>
        <w:t>The Teutonic Knights: Rise and Fall of a Religious Corporation</w:t>
      </w:r>
      <w:r w:rsidRPr="00362F7B">
        <w:rPr>
          <w:rFonts w:asciiTheme="majorBidi" w:hAnsiTheme="majorBidi" w:cstheme="majorBidi"/>
          <w:sz w:val="22"/>
          <w:szCs w:val="22"/>
        </w:rPr>
        <w:t xml:space="preserve"> (2024) pp. 56-68.</w:t>
      </w:r>
    </w:p>
  </w:footnote>
  <w:footnote w:id="113">
    <w:p w14:paraId="48A17B15" w14:textId="77777777" w:rsidR="00F81612" w:rsidRDefault="00F81612" w:rsidP="00AD71B9">
      <w:pPr>
        <w:pStyle w:val="FootnoteText"/>
        <w:jc w:val="both"/>
      </w:pPr>
      <w:r w:rsidRPr="007E561C">
        <w:rPr>
          <w:rStyle w:val="FootnoteReference"/>
          <w:rFonts w:asciiTheme="majorBidi" w:hAnsiTheme="majorBidi" w:cstheme="majorBidi"/>
          <w:sz w:val="22"/>
          <w:szCs w:val="22"/>
        </w:rPr>
        <w:footnoteRef/>
      </w:r>
      <w:r>
        <w:t xml:space="preserve"> </w:t>
      </w:r>
      <w:r>
        <w:rPr>
          <w:rFonts w:asciiTheme="majorBidi" w:hAnsiTheme="majorBidi" w:cstheme="majorBidi"/>
          <w:sz w:val="22"/>
          <w:szCs w:val="22"/>
        </w:rPr>
        <w:t xml:space="preserve">See </w:t>
      </w:r>
      <w:r w:rsidRPr="00356EAE">
        <w:rPr>
          <w:rFonts w:asciiTheme="majorBidi" w:hAnsiTheme="majorBidi" w:cstheme="majorBidi"/>
          <w:sz w:val="22"/>
          <w:szCs w:val="22"/>
        </w:rPr>
        <w:t xml:space="preserve">Paul Milliman, </w:t>
      </w:r>
      <w:r w:rsidRPr="00356EAE">
        <w:rPr>
          <w:rFonts w:asciiTheme="majorBidi" w:hAnsiTheme="majorBidi" w:cstheme="majorBidi"/>
          <w:i/>
          <w:iCs/>
          <w:sz w:val="22"/>
          <w:szCs w:val="22"/>
        </w:rPr>
        <w:t>‘The Slippery Memory of Men’: The Place of Pomerania in the Medieval Kingdom of Poland</w:t>
      </w:r>
      <w:r w:rsidRPr="00356EAE">
        <w:rPr>
          <w:rFonts w:asciiTheme="majorBidi" w:hAnsiTheme="majorBidi" w:cstheme="majorBidi"/>
          <w:sz w:val="22"/>
          <w:szCs w:val="22"/>
        </w:rPr>
        <w:t xml:space="preserve"> (2013).</w:t>
      </w:r>
    </w:p>
  </w:footnote>
  <w:footnote w:id="114">
    <w:p w14:paraId="75FBB8F4" w14:textId="25A4055F" w:rsidR="00F81612" w:rsidRPr="00356EAE" w:rsidRDefault="00F81612" w:rsidP="00AD71B9">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Sheila Hamilton-Dyer, Mark Brisbane, and Mark Maltby, </w:t>
      </w:r>
      <w:r>
        <w:rPr>
          <w:rFonts w:asciiTheme="majorBidi" w:hAnsiTheme="majorBidi" w:cstheme="majorBidi"/>
          <w:sz w:val="22"/>
          <w:szCs w:val="22"/>
        </w:rPr>
        <w:t>“</w:t>
      </w:r>
      <w:r w:rsidRPr="00356EAE">
        <w:rPr>
          <w:rFonts w:asciiTheme="majorBidi" w:hAnsiTheme="majorBidi" w:cstheme="majorBidi"/>
          <w:sz w:val="22"/>
          <w:szCs w:val="22"/>
        </w:rPr>
        <w:t>Fish, Feather, Fur and Forest: Exploitation of Wild Animals in Medieval Novgorod and Its Territory</w:t>
      </w:r>
      <w:r>
        <w:rPr>
          <w:rFonts w:asciiTheme="majorBidi" w:hAnsiTheme="majorBidi" w:cstheme="majorBidi"/>
          <w:sz w:val="22"/>
          <w:szCs w:val="22"/>
        </w:rPr>
        <w:t xml:space="preserve">”, </w:t>
      </w:r>
      <w:r w:rsidRPr="00356EAE">
        <w:rPr>
          <w:rFonts w:asciiTheme="majorBidi" w:hAnsiTheme="majorBidi" w:cstheme="majorBidi"/>
          <w:sz w:val="22"/>
          <w:szCs w:val="22"/>
        </w:rPr>
        <w:t>460</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Quaternary International</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(2017) pp. </w:t>
      </w:r>
      <w:r w:rsidRPr="00356EAE">
        <w:rPr>
          <w:rFonts w:asciiTheme="majorBidi" w:hAnsiTheme="majorBidi" w:cstheme="majorBidi"/>
          <w:sz w:val="22"/>
          <w:szCs w:val="22"/>
        </w:rPr>
        <w:t>97</w:t>
      </w:r>
      <w:r>
        <w:rPr>
          <w:rFonts w:asciiTheme="majorBidi" w:hAnsiTheme="majorBidi" w:cstheme="majorBidi"/>
          <w:sz w:val="22"/>
          <w:szCs w:val="22"/>
        </w:rPr>
        <w:t>-107</w:t>
      </w:r>
      <w:r w:rsidRPr="00356EAE">
        <w:rPr>
          <w:rFonts w:asciiTheme="majorBidi" w:hAnsiTheme="majorBidi" w:cstheme="majorBidi"/>
          <w:sz w:val="22"/>
          <w:szCs w:val="22"/>
        </w:rPr>
        <w:t>.</w:t>
      </w:r>
    </w:p>
  </w:footnote>
  <w:footnote w:id="115">
    <w:p w14:paraId="54F37129" w14:textId="3DE5A3D2" w:rsidR="00F81612" w:rsidRPr="00356EAE" w:rsidRDefault="00F81612" w:rsidP="00AD71B9">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Christensen (n </w:t>
      </w:r>
      <w:r>
        <w:rPr>
          <w:rFonts w:asciiTheme="majorBidi" w:hAnsiTheme="majorBidi" w:cstheme="majorBidi"/>
          <w:sz w:val="22"/>
          <w:szCs w:val="22"/>
        </w:rPr>
        <w:t>1</w:t>
      </w:r>
      <w:r w:rsidR="0074748D">
        <w:rPr>
          <w:rFonts w:asciiTheme="majorBidi" w:hAnsiTheme="majorBidi" w:cstheme="majorBidi"/>
          <w:sz w:val="22"/>
          <w:szCs w:val="22"/>
        </w:rPr>
        <w:t>05</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132-137</w:t>
      </w:r>
    </w:p>
  </w:footnote>
  <w:footnote w:id="116">
    <w:p w14:paraId="1A4909F0" w14:textId="77777777" w:rsidR="00F81612" w:rsidRPr="00356EAE" w:rsidRDefault="00F81612" w:rsidP="00AD71B9">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this development as a pivotally missing chapter in the history of international systems, see Ayşe Zarakol, </w:t>
      </w:r>
      <w:r w:rsidRPr="00356EAE">
        <w:rPr>
          <w:rFonts w:asciiTheme="majorBidi" w:hAnsiTheme="majorBidi" w:cstheme="majorBidi"/>
          <w:i/>
          <w:iCs/>
          <w:sz w:val="22"/>
          <w:szCs w:val="22"/>
        </w:rPr>
        <w:t>Before the West: The Rise and Fall of Eastern World Orders</w:t>
      </w:r>
      <w:r w:rsidRPr="00356EAE">
        <w:rPr>
          <w:rFonts w:asciiTheme="majorBidi" w:hAnsiTheme="majorBidi" w:cstheme="majorBidi"/>
          <w:sz w:val="22"/>
          <w:szCs w:val="22"/>
        </w:rPr>
        <w:t xml:space="preserve"> (2022).</w:t>
      </w:r>
    </w:p>
  </w:footnote>
  <w:footnote w:id="117">
    <w:p w14:paraId="7F0F0012" w14:textId="77777777" w:rsidR="00F81612" w:rsidRPr="00356EAE" w:rsidRDefault="00F81612" w:rsidP="00AD71B9">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Ian Barnes, </w:t>
      </w:r>
      <w:r w:rsidRPr="00356EAE">
        <w:rPr>
          <w:rFonts w:asciiTheme="majorBidi" w:hAnsiTheme="majorBidi" w:cstheme="majorBidi"/>
          <w:i/>
          <w:iCs/>
          <w:sz w:val="22"/>
          <w:szCs w:val="22"/>
        </w:rPr>
        <w:t>Restless Empire: A Historical Atlas of Russia</w:t>
      </w:r>
      <w:r w:rsidRPr="00356EAE">
        <w:rPr>
          <w:rFonts w:asciiTheme="majorBidi" w:hAnsiTheme="majorBidi" w:cstheme="majorBidi"/>
          <w:sz w:val="22"/>
          <w:szCs w:val="22"/>
        </w:rPr>
        <w:t xml:space="preserve"> (2015)</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19-20</w:t>
      </w:r>
      <w:r>
        <w:rPr>
          <w:rFonts w:asciiTheme="majorBidi" w:hAnsiTheme="majorBidi" w:cstheme="majorBidi"/>
          <w:sz w:val="22"/>
          <w:szCs w:val="22"/>
        </w:rPr>
        <w:t>.</w:t>
      </w:r>
    </w:p>
  </w:footnote>
  <w:footnote w:id="118">
    <w:p w14:paraId="7D82A21B" w14:textId="4BFEC36C"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w:t>
      </w:r>
      <w:r w:rsidR="00172F10">
        <w:rPr>
          <w:rFonts w:asciiTheme="majorBidi" w:hAnsiTheme="majorBidi" w:cstheme="majorBidi"/>
          <w:sz w:val="22"/>
          <w:szCs w:val="22"/>
        </w:rPr>
        <w:t>.</w:t>
      </w:r>
      <w:r w:rsidRPr="00356EAE">
        <w:rPr>
          <w:rFonts w:asciiTheme="majorBidi" w:hAnsiTheme="majorBidi" w:cstheme="majorBidi"/>
          <w:sz w:val="22"/>
          <w:szCs w:val="22"/>
        </w:rPr>
        <w:t>C</w:t>
      </w:r>
      <w:r w:rsidR="00172F10">
        <w:rPr>
          <w:rFonts w:asciiTheme="majorBidi" w:hAnsiTheme="majorBidi" w:cstheme="majorBidi"/>
          <w:sz w:val="22"/>
          <w:szCs w:val="22"/>
        </w:rPr>
        <w:t>.</w:t>
      </w:r>
      <w:r w:rsidRPr="00356EAE">
        <w:rPr>
          <w:rFonts w:asciiTheme="majorBidi" w:hAnsiTheme="majorBidi" w:cstheme="majorBidi"/>
          <w:sz w:val="22"/>
          <w:szCs w:val="22"/>
        </w:rPr>
        <w:t xml:space="preserve"> Rowell, </w:t>
      </w:r>
      <w:r w:rsidRPr="00356EAE">
        <w:rPr>
          <w:rFonts w:asciiTheme="majorBidi" w:hAnsiTheme="majorBidi" w:cstheme="majorBidi"/>
          <w:i/>
          <w:iCs/>
          <w:sz w:val="22"/>
          <w:szCs w:val="22"/>
        </w:rPr>
        <w:t>Lithuania Ascending: A Pagan Empire within East-Central Europe, 1295–1345</w:t>
      </w:r>
      <w:r w:rsidRPr="00356EAE">
        <w:rPr>
          <w:rFonts w:asciiTheme="majorBidi" w:hAnsiTheme="majorBidi" w:cstheme="majorBidi"/>
          <w:sz w:val="22"/>
          <w:szCs w:val="22"/>
        </w:rPr>
        <w:t xml:space="preserve"> (1994)</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97-98</w:t>
      </w:r>
      <w:r>
        <w:rPr>
          <w:rFonts w:asciiTheme="majorBidi" w:hAnsiTheme="majorBidi" w:cstheme="majorBidi"/>
          <w:sz w:val="22"/>
          <w:szCs w:val="22"/>
        </w:rPr>
        <w:t>.</w:t>
      </w:r>
    </w:p>
  </w:footnote>
  <w:footnote w:id="119">
    <w:p w14:paraId="1791D17C" w14:textId="7860BA7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Zenonas Norkus, </w:t>
      </w:r>
      <w:r>
        <w:rPr>
          <w:rFonts w:asciiTheme="majorBidi" w:hAnsiTheme="majorBidi" w:cstheme="majorBidi"/>
          <w:sz w:val="22"/>
          <w:szCs w:val="22"/>
        </w:rPr>
        <w:t>“</w:t>
      </w:r>
      <w:r w:rsidRPr="00356EAE">
        <w:rPr>
          <w:rFonts w:asciiTheme="majorBidi" w:hAnsiTheme="majorBidi" w:cstheme="majorBidi"/>
          <w:sz w:val="22"/>
          <w:szCs w:val="22"/>
        </w:rPr>
        <w:t>The Grand Duchy of Lithuania in the Retrospective of Comparative Historical Sociology of Empires</w:t>
      </w:r>
      <w:r>
        <w:rPr>
          <w:rFonts w:asciiTheme="majorBidi" w:hAnsiTheme="majorBidi" w:cstheme="majorBidi"/>
          <w:sz w:val="22"/>
          <w:szCs w:val="22"/>
        </w:rPr>
        <w:t xml:space="preserve">”, </w:t>
      </w:r>
      <w:r w:rsidRPr="00356EAE">
        <w:rPr>
          <w:rFonts w:asciiTheme="majorBidi" w:hAnsiTheme="majorBidi" w:cstheme="majorBidi"/>
          <w:sz w:val="22"/>
          <w:szCs w:val="22"/>
        </w:rPr>
        <w:t>3</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World Political Science Review</w:t>
      </w:r>
      <w:r w:rsidRPr="00356EAE">
        <w:rPr>
          <w:rFonts w:asciiTheme="majorBidi" w:hAnsiTheme="majorBidi" w:cstheme="majorBidi"/>
          <w:sz w:val="22"/>
          <w:szCs w:val="22"/>
        </w:rPr>
        <w:t xml:space="preserve"> </w:t>
      </w:r>
      <w:r>
        <w:rPr>
          <w:rFonts w:asciiTheme="majorBidi" w:hAnsiTheme="majorBidi" w:cstheme="majorBidi"/>
          <w:sz w:val="22"/>
          <w:szCs w:val="22"/>
        </w:rPr>
        <w:t>(2007) pp.</w:t>
      </w:r>
      <w:r w:rsidRPr="00356EAE">
        <w:rPr>
          <w:rFonts w:asciiTheme="majorBidi" w:hAnsiTheme="majorBidi" w:cstheme="majorBidi"/>
          <w:sz w:val="22"/>
          <w:szCs w:val="22"/>
        </w:rPr>
        <w:t xml:space="preserve"> 28-31.</w:t>
      </w:r>
    </w:p>
  </w:footnote>
  <w:footnote w:id="120">
    <w:p w14:paraId="501E3645" w14:textId="25CEA556"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Christensen (n </w:t>
      </w:r>
      <w:r>
        <w:rPr>
          <w:rFonts w:asciiTheme="majorBidi" w:hAnsiTheme="majorBidi" w:cstheme="majorBidi"/>
          <w:sz w:val="22"/>
          <w:szCs w:val="22"/>
        </w:rPr>
        <w:t>1</w:t>
      </w:r>
      <w:r w:rsidR="0074748D">
        <w:rPr>
          <w:rFonts w:asciiTheme="majorBidi" w:hAnsiTheme="majorBidi" w:cstheme="majorBidi"/>
          <w:sz w:val="22"/>
          <w:szCs w:val="22"/>
        </w:rPr>
        <w:t>05</w:t>
      </w:r>
      <w:r w:rsidRPr="00856941">
        <w:rPr>
          <w:rFonts w:asciiTheme="majorBidi" w:hAnsiTheme="majorBidi" w:cstheme="majorBidi"/>
          <w:sz w:val="22"/>
          <w:szCs w:val="22"/>
        </w:rPr>
        <w:t xml:space="preserve">) </w:t>
      </w:r>
      <w:r>
        <w:rPr>
          <w:rFonts w:asciiTheme="majorBidi" w:hAnsiTheme="majorBidi" w:cstheme="majorBidi"/>
          <w:sz w:val="22"/>
          <w:szCs w:val="22"/>
        </w:rPr>
        <w:t xml:space="preserve">p. </w:t>
      </w:r>
      <w:r w:rsidRPr="00856941">
        <w:rPr>
          <w:rFonts w:asciiTheme="majorBidi" w:hAnsiTheme="majorBidi" w:cstheme="majorBidi"/>
          <w:sz w:val="22"/>
          <w:szCs w:val="22"/>
        </w:rPr>
        <w:t>145.</w:t>
      </w:r>
    </w:p>
  </w:footnote>
  <w:footnote w:id="121">
    <w:p w14:paraId="3214E60F" w14:textId="0321EBF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Pluskowski</w:t>
      </w:r>
      <w:proofErr w:type="spellEnd"/>
      <w:r w:rsidRPr="00356EAE">
        <w:rPr>
          <w:rFonts w:asciiTheme="majorBidi" w:hAnsiTheme="majorBidi" w:cstheme="majorBidi"/>
          <w:sz w:val="22"/>
          <w:szCs w:val="22"/>
        </w:rPr>
        <w:t xml:space="preserve"> (n </w:t>
      </w:r>
      <w:r>
        <w:rPr>
          <w:rFonts w:asciiTheme="majorBidi" w:hAnsiTheme="majorBidi" w:cstheme="majorBidi"/>
          <w:sz w:val="22"/>
          <w:szCs w:val="22"/>
        </w:rPr>
        <w:t>11</w:t>
      </w:r>
      <w:r w:rsidR="0074748D">
        <w:rPr>
          <w:rFonts w:asciiTheme="majorBidi" w:hAnsiTheme="majorBidi" w:cstheme="majorBidi"/>
          <w:sz w:val="22"/>
          <w:szCs w:val="22"/>
        </w:rPr>
        <w:t>2</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117-133.</w:t>
      </w:r>
    </w:p>
  </w:footnote>
  <w:footnote w:id="122">
    <w:p w14:paraId="66CAA3FD" w14:textId="10C0EFEC"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Paul Knoll, </w:t>
      </w:r>
      <w:r>
        <w:rPr>
          <w:rFonts w:asciiTheme="majorBidi" w:hAnsiTheme="majorBidi" w:cstheme="majorBidi"/>
          <w:sz w:val="22"/>
          <w:szCs w:val="22"/>
        </w:rPr>
        <w:t>“</w:t>
      </w:r>
      <w:r w:rsidRPr="00356EAE">
        <w:rPr>
          <w:rFonts w:asciiTheme="majorBidi" w:hAnsiTheme="majorBidi" w:cstheme="majorBidi"/>
          <w:sz w:val="22"/>
          <w:szCs w:val="22"/>
        </w:rPr>
        <w:t>The Most Unique Crusader State: The Teutonic Order in the Development of the Political Culture of Northeastern Europe during the Middle Ages</w:t>
      </w:r>
      <w:r>
        <w:rPr>
          <w:rFonts w:asciiTheme="majorBidi" w:hAnsiTheme="majorBidi" w:cstheme="majorBidi"/>
          <w:sz w:val="22"/>
          <w:szCs w:val="22"/>
        </w:rPr>
        <w:t>”,</w:t>
      </w:r>
      <w:r w:rsidRPr="00356EAE">
        <w:rPr>
          <w:rFonts w:asciiTheme="majorBidi" w:hAnsiTheme="majorBidi" w:cstheme="majorBidi"/>
          <w:sz w:val="22"/>
          <w:szCs w:val="22"/>
        </w:rPr>
        <w:t xml:space="preserve"> in Ingrao and Szabo (n </w:t>
      </w:r>
      <w:r>
        <w:rPr>
          <w:rFonts w:asciiTheme="majorBidi" w:hAnsiTheme="majorBidi" w:cstheme="majorBidi"/>
          <w:sz w:val="22"/>
          <w:szCs w:val="22"/>
        </w:rPr>
        <w:t>9</w:t>
      </w:r>
      <w:r w:rsidR="0074748D">
        <w:rPr>
          <w:rFonts w:asciiTheme="majorBidi" w:hAnsiTheme="majorBidi" w:cstheme="majorBidi"/>
          <w:sz w:val="22"/>
          <w:szCs w:val="22"/>
        </w:rPr>
        <w:t>0</w:t>
      </w:r>
      <w:r w:rsidRPr="00356EAE">
        <w:rPr>
          <w:rFonts w:asciiTheme="majorBidi" w:hAnsiTheme="majorBidi" w:cstheme="majorBidi"/>
          <w:sz w:val="22"/>
          <w:szCs w:val="22"/>
        </w:rPr>
        <w:t xml:space="preserve">) </w:t>
      </w:r>
      <w:r>
        <w:rPr>
          <w:rFonts w:asciiTheme="majorBidi" w:hAnsiTheme="majorBidi" w:cstheme="majorBidi"/>
          <w:sz w:val="22"/>
          <w:szCs w:val="22"/>
        </w:rPr>
        <w:t xml:space="preserve">p. </w:t>
      </w:r>
      <w:r w:rsidRPr="00356EAE">
        <w:rPr>
          <w:rFonts w:asciiTheme="majorBidi" w:hAnsiTheme="majorBidi" w:cstheme="majorBidi"/>
          <w:sz w:val="22"/>
          <w:szCs w:val="22"/>
        </w:rPr>
        <w:t>40.</w:t>
      </w:r>
    </w:p>
  </w:footnote>
  <w:footnote w:id="123">
    <w:p w14:paraId="07021940" w14:textId="62EC631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Pluskowski</w:t>
      </w:r>
      <w:proofErr w:type="spellEnd"/>
      <w:r w:rsidRPr="00356EAE">
        <w:rPr>
          <w:rFonts w:asciiTheme="majorBidi" w:hAnsiTheme="majorBidi" w:cstheme="majorBidi"/>
          <w:sz w:val="22"/>
          <w:szCs w:val="22"/>
        </w:rPr>
        <w:t xml:space="preserve"> (n </w:t>
      </w:r>
      <w:r>
        <w:rPr>
          <w:rFonts w:asciiTheme="majorBidi" w:hAnsiTheme="majorBidi" w:cstheme="majorBidi"/>
          <w:sz w:val="22"/>
          <w:szCs w:val="22"/>
        </w:rPr>
        <w:t>1</w:t>
      </w:r>
      <w:r w:rsidR="0074748D">
        <w:rPr>
          <w:rFonts w:asciiTheme="majorBidi" w:hAnsiTheme="majorBidi" w:cstheme="majorBidi"/>
          <w:sz w:val="22"/>
          <w:szCs w:val="22"/>
        </w:rPr>
        <w:t>12</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152-153</w:t>
      </w:r>
    </w:p>
  </w:footnote>
  <w:footnote w:id="124">
    <w:p w14:paraId="768F54C9"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sidRPr="00856941">
        <w:rPr>
          <w:rFonts w:asciiTheme="majorBidi" w:hAnsiTheme="majorBidi" w:cstheme="majorBidi"/>
          <w:sz w:val="22"/>
          <w:szCs w:val="22"/>
        </w:rPr>
        <w:t xml:space="preserve">Robert Frost, </w:t>
      </w:r>
      <w:r w:rsidRPr="00856941">
        <w:rPr>
          <w:rFonts w:asciiTheme="majorBidi" w:hAnsiTheme="majorBidi" w:cstheme="majorBidi"/>
          <w:i/>
          <w:iCs/>
          <w:sz w:val="22"/>
          <w:szCs w:val="22"/>
        </w:rPr>
        <w:t xml:space="preserve">The Oxford History of Poland-Lithuania: Volume I: The Making of the </w:t>
      </w:r>
      <w:proofErr w:type="gramStart"/>
      <w:r w:rsidRPr="00856941">
        <w:rPr>
          <w:rFonts w:asciiTheme="majorBidi" w:hAnsiTheme="majorBidi" w:cstheme="majorBidi"/>
          <w:i/>
          <w:iCs/>
          <w:sz w:val="22"/>
          <w:szCs w:val="22"/>
        </w:rPr>
        <w:t>Polish-Lithuanian</w:t>
      </w:r>
      <w:proofErr w:type="gramEnd"/>
      <w:r w:rsidRPr="00856941">
        <w:rPr>
          <w:rFonts w:asciiTheme="majorBidi" w:hAnsiTheme="majorBidi" w:cstheme="majorBidi"/>
          <w:i/>
          <w:iCs/>
          <w:sz w:val="22"/>
          <w:szCs w:val="22"/>
        </w:rPr>
        <w:t xml:space="preserve"> Union, 1385-1569</w:t>
      </w:r>
      <w:r w:rsidRPr="00856941">
        <w:rPr>
          <w:rFonts w:asciiTheme="majorBidi" w:hAnsiTheme="majorBidi" w:cstheme="majorBidi"/>
          <w:sz w:val="22"/>
          <w:szCs w:val="22"/>
        </w:rPr>
        <w:t xml:space="preserve"> (2015)</w:t>
      </w:r>
      <w:r>
        <w:rPr>
          <w:rFonts w:asciiTheme="majorBidi" w:hAnsiTheme="majorBidi" w:cstheme="majorBidi"/>
          <w:sz w:val="22"/>
          <w:szCs w:val="22"/>
        </w:rPr>
        <w:t xml:space="preserve"> pp.</w:t>
      </w:r>
      <w:r w:rsidRPr="00856941">
        <w:rPr>
          <w:rFonts w:asciiTheme="majorBidi" w:hAnsiTheme="majorBidi" w:cstheme="majorBidi"/>
          <w:sz w:val="22"/>
          <w:szCs w:val="22"/>
        </w:rPr>
        <w:t xml:space="preserve"> 109-121.</w:t>
      </w:r>
    </w:p>
  </w:footnote>
  <w:footnote w:id="125">
    <w:p w14:paraId="73B4871F"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this matter </w:t>
      </w:r>
      <w:r>
        <w:rPr>
          <w:rFonts w:asciiTheme="majorBidi" w:hAnsiTheme="majorBidi" w:cstheme="majorBidi"/>
          <w:sz w:val="22"/>
          <w:szCs w:val="22"/>
        </w:rPr>
        <w:t>broadly</w:t>
      </w:r>
      <w:r w:rsidRPr="00356EAE">
        <w:rPr>
          <w:rFonts w:asciiTheme="majorBidi" w:hAnsiTheme="majorBidi" w:cstheme="majorBidi"/>
          <w:sz w:val="22"/>
          <w:szCs w:val="22"/>
        </w:rPr>
        <w:t xml:space="preserve">, see Richard Tuck, ‘Alliances with Infidels in European Imperial Expansion’ in Sankar Muthu (ed), </w:t>
      </w:r>
      <w:r w:rsidRPr="00356EAE">
        <w:rPr>
          <w:rFonts w:asciiTheme="majorBidi" w:hAnsiTheme="majorBidi" w:cstheme="majorBidi"/>
          <w:i/>
          <w:iCs/>
          <w:sz w:val="22"/>
          <w:szCs w:val="22"/>
        </w:rPr>
        <w:t>Empire and Modern Political Thought</w:t>
      </w:r>
      <w:r w:rsidRPr="00356EAE">
        <w:rPr>
          <w:rFonts w:asciiTheme="majorBidi" w:hAnsiTheme="majorBidi" w:cstheme="majorBidi"/>
          <w:sz w:val="22"/>
          <w:szCs w:val="22"/>
        </w:rPr>
        <w:t xml:space="preserve"> (2012) </w:t>
      </w:r>
      <w:r>
        <w:rPr>
          <w:rFonts w:asciiTheme="majorBidi" w:hAnsiTheme="majorBidi" w:cstheme="majorBidi"/>
          <w:sz w:val="22"/>
          <w:szCs w:val="22"/>
        </w:rPr>
        <w:t xml:space="preserve">pp. </w:t>
      </w:r>
      <w:r w:rsidRPr="00356EAE">
        <w:rPr>
          <w:rFonts w:asciiTheme="majorBidi" w:hAnsiTheme="majorBidi" w:cstheme="majorBidi"/>
          <w:sz w:val="22"/>
          <w:szCs w:val="22"/>
        </w:rPr>
        <w:t>61</w:t>
      </w:r>
      <w:r>
        <w:rPr>
          <w:rFonts w:asciiTheme="majorBidi" w:hAnsiTheme="majorBidi" w:cstheme="majorBidi"/>
          <w:sz w:val="22"/>
          <w:szCs w:val="22"/>
        </w:rPr>
        <w:t>-83</w:t>
      </w:r>
      <w:r w:rsidRPr="00356EAE">
        <w:rPr>
          <w:rFonts w:asciiTheme="majorBidi" w:hAnsiTheme="majorBidi" w:cstheme="majorBidi"/>
          <w:sz w:val="22"/>
          <w:szCs w:val="22"/>
        </w:rPr>
        <w:t>.</w:t>
      </w:r>
    </w:p>
  </w:footnote>
  <w:footnote w:id="126">
    <w:p w14:paraId="6FB0A3E0"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Timothy Brennan, ‘Just War, Sovereignty, and Canon Law: Legal Arguments over the Lithuanian Crusade and the Rights of Unbelievers at the Council of Constance (1414–1418)’ PhD Dissertation, University of Kansas (2006).</w:t>
      </w:r>
    </w:p>
  </w:footnote>
  <w:footnote w:id="127">
    <w:p w14:paraId="668BACB4"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For extensive study, see</w:t>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Stanislaus Belch, </w:t>
      </w:r>
      <w:r w:rsidRPr="00356EAE">
        <w:rPr>
          <w:rFonts w:asciiTheme="majorBidi" w:hAnsiTheme="majorBidi" w:cstheme="majorBidi"/>
          <w:i/>
          <w:iCs/>
          <w:sz w:val="22"/>
          <w:szCs w:val="22"/>
        </w:rPr>
        <w:t>Paulus Vladimiri and His Doctrine Concerning International Law and Politics</w:t>
      </w:r>
      <w:r w:rsidRPr="00356EAE">
        <w:rPr>
          <w:rFonts w:asciiTheme="majorBidi" w:hAnsiTheme="majorBidi" w:cstheme="majorBidi"/>
          <w:sz w:val="22"/>
          <w:szCs w:val="22"/>
        </w:rPr>
        <w:t xml:space="preserve">, 2 volumes (1965). </w:t>
      </w:r>
    </w:p>
  </w:footnote>
  <w:footnote w:id="128">
    <w:p w14:paraId="176D57A0" w14:textId="3A47E72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Christensen (n </w:t>
      </w:r>
      <w:r>
        <w:rPr>
          <w:rFonts w:asciiTheme="majorBidi" w:hAnsiTheme="majorBidi" w:cstheme="majorBidi"/>
          <w:sz w:val="22"/>
          <w:szCs w:val="22"/>
        </w:rPr>
        <w:t>1</w:t>
      </w:r>
      <w:r w:rsidR="0074748D">
        <w:rPr>
          <w:rFonts w:asciiTheme="majorBidi" w:hAnsiTheme="majorBidi" w:cstheme="majorBidi"/>
          <w:sz w:val="22"/>
          <w:szCs w:val="22"/>
        </w:rPr>
        <w:t>05</w:t>
      </w:r>
      <w:r w:rsidRPr="00356EAE">
        <w:rPr>
          <w:rFonts w:asciiTheme="majorBidi" w:hAnsiTheme="majorBidi" w:cstheme="majorBidi"/>
          <w:sz w:val="22"/>
          <w:szCs w:val="22"/>
        </w:rPr>
        <w:t>)</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241.</w:t>
      </w:r>
    </w:p>
  </w:footnote>
  <w:footnote w:id="129">
    <w:p w14:paraId="58C74D9F"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Jūratė Kiaupienė, </w:t>
      </w:r>
      <w:r w:rsidRPr="00356EAE">
        <w:rPr>
          <w:rFonts w:asciiTheme="majorBidi" w:hAnsiTheme="majorBidi" w:cstheme="majorBidi"/>
          <w:i/>
          <w:iCs/>
          <w:sz w:val="22"/>
          <w:szCs w:val="22"/>
        </w:rPr>
        <w:t>Between Rome and Byzantium: The Golden Age of the Grand Duchy of Lithuania’s Political Culture. Second Half of the Fifteenth Century to First Half of Seventeenth Century</w:t>
      </w:r>
      <w:r w:rsidRPr="00356EAE">
        <w:rPr>
          <w:rFonts w:asciiTheme="majorBidi" w:hAnsiTheme="majorBidi" w:cstheme="majorBidi"/>
          <w:sz w:val="22"/>
          <w:szCs w:val="22"/>
        </w:rPr>
        <w:t xml:space="preserve"> (2020)</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14-25.</w:t>
      </w:r>
    </w:p>
  </w:footnote>
  <w:footnote w:id="130">
    <w:p w14:paraId="70F9A4F3"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See Ibid</w:t>
      </w:r>
      <w:r>
        <w:rPr>
          <w:rFonts w:asciiTheme="majorBidi" w:hAnsiTheme="majorBidi" w:cstheme="majorBidi"/>
          <w:sz w:val="22"/>
          <w:szCs w:val="22"/>
        </w:rPr>
        <w:t xml:space="preserve"> pp.</w:t>
      </w:r>
      <w:r w:rsidRPr="00856941">
        <w:rPr>
          <w:rFonts w:asciiTheme="majorBidi" w:hAnsiTheme="majorBidi" w:cstheme="majorBidi"/>
          <w:sz w:val="22"/>
          <w:szCs w:val="22"/>
        </w:rPr>
        <w:t xml:space="preserve"> 28-34.</w:t>
      </w:r>
    </w:p>
  </w:footnote>
  <w:footnote w:id="131">
    <w:p w14:paraId="3439F677" w14:textId="000161EA"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Eric Loefflad, </w:t>
      </w:r>
      <w:r>
        <w:rPr>
          <w:rFonts w:asciiTheme="majorBidi" w:hAnsiTheme="majorBidi" w:cstheme="majorBidi"/>
          <w:sz w:val="22"/>
          <w:szCs w:val="22"/>
        </w:rPr>
        <w:t>“</w:t>
      </w:r>
      <w:r w:rsidRPr="00356EAE">
        <w:rPr>
          <w:rFonts w:asciiTheme="majorBidi" w:hAnsiTheme="majorBidi" w:cstheme="majorBidi"/>
          <w:sz w:val="22"/>
          <w:szCs w:val="22"/>
        </w:rPr>
        <w:t xml:space="preserve">Unpartitionable: C.H. Alexandrowicz, Sovereign Divisibility, and the Longue Durée of the </w:t>
      </w:r>
      <w:proofErr w:type="gramStart"/>
      <w:r w:rsidRPr="00356EAE">
        <w:rPr>
          <w:rFonts w:asciiTheme="majorBidi" w:hAnsiTheme="majorBidi" w:cstheme="majorBidi"/>
          <w:sz w:val="22"/>
          <w:szCs w:val="22"/>
        </w:rPr>
        <w:t>Polish-Lithuanian</w:t>
      </w:r>
      <w:proofErr w:type="gramEnd"/>
      <w:r w:rsidRPr="00356EAE">
        <w:rPr>
          <w:rFonts w:asciiTheme="majorBidi" w:hAnsiTheme="majorBidi" w:cstheme="majorBidi"/>
          <w:sz w:val="22"/>
          <w:szCs w:val="22"/>
        </w:rPr>
        <w:t xml:space="preserve"> Commonwealth</w:t>
      </w:r>
      <w:r>
        <w:rPr>
          <w:rFonts w:asciiTheme="majorBidi" w:hAnsiTheme="majorBidi" w:cstheme="majorBidi"/>
          <w:sz w:val="22"/>
          <w:szCs w:val="22"/>
        </w:rPr>
        <w:t>”,</w:t>
      </w:r>
      <w:r w:rsidRPr="00356EAE">
        <w:rPr>
          <w:rFonts w:asciiTheme="majorBidi" w:hAnsiTheme="majorBidi" w:cstheme="majorBidi"/>
          <w:sz w:val="22"/>
          <w:szCs w:val="22"/>
        </w:rPr>
        <w:t xml:space="preserve"> 24</w:t>
      </w:r>
      <w:r w:rsidR="0074748D">
        <w:rPr>
          <w:rFonts w:asciiTheme="majorBidi" w:hAnsiTheme="majorBidi" w:cstheme="majorBidi"/>
          <w:sz w:val="22"/>
          <w:szCs w:val="22"/>
        </w:rPr>
        <w:t>(5)</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German Law Journal</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(2023) p. </w:t>
      </w:r>
      <w:r w:rsidRPr="00356EAE">
        <w:rPr>
          <w:rFonts w:asciiTheme="majorBidi" w:hAnsiTheme="majorBidi" w:cstheme="majorBidi"/>
          <w:sz w:val="22"/>
          <w:szCs w:val="22"/>
        </w:rPr>
        <w:t>926.</w:t>
      </w:r>
    </w:p>
  </w:footnote>
  <w:footnote w:id="132">
    <w:p w14:paraId="2EB0F432"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Dorota Pietrzyk-Reeves, </w:t>
      </w:r>
      <w:r w:rsidRPr="00356EAE">
        <w:rPr>
          <w:rFonts w:asciiTheme="majorBidi" w:hAnsiTheme="majorBidi" w:cstheme="majorBidi"/>
          <w:i/>
          <w:iCs/>
          <w:sz w:val="22"/>
          <w:szCs w:val="22"/>
        </w:rPr>
        <w:t>Polish Republican Discourse in the Sixteenth Century</w:t>
      </w:r>
      <w:r w:rsidRPr="00356EAE">
        <w:rPr>
          <w:rFonts w:asciiTheme="majorBidi" w:hAnsiTheme="majorBidi" w:cstheme="majorBidi"/>
          <w:sz w:val="22"/>
          <w:szCs w:val="22"/>
        </w:rPr>
        <w:t xml:space="preserve"> (2020)</w:t>
      </w:r>
      <w:r>
        <w:rPr>
          <w:rFonts w:asciiTheme="majorBidi" w:hAnsiTheme="majorBidi" w:cstheme="majorBidi"/>
          <w:sz w:val="22"/>
          <w:szCs w:val="22"/>
        </w:rPr>
        <w:t>.</w:t>
      </w:r>
    </w:p>
  </w:footnote>
  <w:footnote w:id="133">
    <w:p w14:paraId="5594E825"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Timothy Sn</w:t>
      </w:r>
      <w:r>
        <w:rPr>
          <w:rFonts w:asciiTheme="majorBidi" w:hAnsiTheme="majorBidi" w:cstheme="majorBidi"/>
          <w:sz w:val="22"/>
          <w:szCs w:val="22"/>
        </w:rPr>
        <w:t>y</w:t>
      </w:r>
      <w:r w:rsidRPr="00356EAE">
        <w:rPr>
          <w:rFonts w:asciiTheme="majorBidi" w:hAnsiTheme="majorBidi" w:cstheme="majorBidi"/>
          <w:sz w:val="22"/>
          <w:szCs w:val="22"/>
        </w:rPr>
        <w:t xml:space="preserve">der, </w:t>
      </w:r>
      <w:r w:rsidRPr="00356EAE">
        <w:rPr>
          <w:rFonts w:asciiTheme="majorBidi" w:hAnsiTheme="majorBidi" w:cstheme="majorBidi"/>
          <w:i/>
          <w:iCs/>
          <w:sz w:val="22"/>
          <w:szCs w:val="22"/>
        </w:rPr>
        <w:t>The Reconstruction of Nations: Poland, Ukraine, Lithuania, Belarus, 1569–1999</w:t>
      </w:r>
      <w:r w:rsidRPr="00356EAE">
        <w:rPr>
          <w:rFonts w:asciiTheme="majorBidi" w:hAnsiTheme="majorBidi" w:cstheme="majorBidi"/>
          <w:sz w:val="22"/>
          <w:szCs w:val="22"/>
        </w:rPr>
        <w:t xml:space="preserve"> (2003)</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22.</w:t>
      </w:r>
    </w:p>
  </w:footnote>
  <w:footnote w:id="134">
    <w:p w14:paraId="4C9AC64E" w14:textId="500801EA"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Hieronim Grala, </w:t>
      </w:r>
      <w:r>
        <w:rPr>
          <w:rFonts w:asciiTheme="majorBidi" w:hAnsiTheme="majorBidi" w:cstheme="majorBidi"/>
          <w:sz w:val="22"/>
          <w:szCs w:val="22"/>
        </w:rPr>
        <w:t>“</w:t>
      </w:r>
      <w:r w:rsidRPr="00356EAE">
        <w:rPr>
          <w:rFonts w:asciiTheme="majorBidi" w:hAnsiTheme="majorBidi" w:cstheme="majorBidi"/>
          <w:sz w:val="22"/>
          <w:szCs w:val="22"/>
        </w:rPr>
        <w:t xml:space="preserve">Was the </w:t>
      </w:r>
      <w:proofErr w:type="gramStart"/>
      <w:r w:rsidRPr="00356EAE">
        <w:rPr>
          <w:rFonts w:asciiTheme="majorBidi" w:hAnsiTheme="majorBidi" w:cstheme="majorBidi"/>
          <w:sz w:val="22"/>
          <w:szCs w:val="22"/>
        </w:rPr>
        <w:t>Polish-Lithuanian</w:t>
      </w:r>
      <w:proofErr w:type="gramEnd"/>
      <w:r w:rsidRPr="00356EAE">
        <w:rPr>
          <w:rFonts w:asciiTheme="majorBidi" w:hAnsiTheme="majorBidi" w:cstheme="majorBidi"/>
          <w:sz w:val="22"/>
          <w:szCs w:val="22"/>
        </w:rPr>
        <w:t xml:space="preserve"> Commonwealth a Colonial State?</w:t>
      </w:r>
      <w:r>
        <w:rPr>
          <w:rFonts w:asciiTheme="majorBidi" w:hAnsiTheme="majorBidi" w:cstheme="majorBidi"/>
          <w:sz w:val="22"/>
          <w:szCs w:val="22"/>
        </w:rPr>
        <w:t>”,</w:t>
      </w:r>
      <w:r w:rsidRPr="00356EAE">
        <w:rPr>
          <w:rFonts w:asciiTheme="majorBidi" w:hAnsiTheme="majorBidi" w:cstheme="majorBidi"/>
          <w:sz w:val="22"/>
          <w:szCs w:val="22"/>
        </w:rPr>
        <w:t xml:space="preserve"> 26</w:t>
      </w:r>
      <w:r w:rsidR="0074748D">
        <w:rPr>
          <w:rFonts w:asciiTheme="majorBidi" w:hAnsiTheme="majorBidi" w:cstheme="majorBidi"/>
          <w:sz w:val="22"/>
          <w:szCs w:val="22"/>
        </w:rPr>
        <w:t>(4)</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Polish Quarterly of International Affairs</w:t>
      </w:r>
      <w:r w:rsidRPr="00356EAE">
        <w:rPr>
          <w:rFonts w:asciiTheme="majorBidi" w:hAnsiTheme="majorBidi" w:cstheme="majorBidi"/>
          <w:sz w:val="22"/>
          <w:szCs w:val="22"/>
        </w:rPr>
        <w:t xml:space="preserve"> (2017) pp. 132-135, 139-142</w:t>
      </w:r>
      <w:r w:rsidRPr="00856941">
        <w:rPr>
          <w:rFonts w:asciiTheme="majorBidi" w:hAnsiTheme="majorBidi" w:cstheme="majorBidi"/>
          <w:sz w:val="22"/>
          <w:szCs w:val="22"/>
        </w:rPr>
        <w:t>.</w:t>
      </w:r>
    </w:p>
  </w:footnote>
  <w:footnote w:id="135">
    <w:p w14:paraId="68B689A2"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Ibid pp. 149-150</w:t>
      </w:r>
      <w:r w:rsidRPr="00856941">
        <w:rPr>
          <w:rFonts w:asciiTheme="majorBidi" w:hAnsiTheme="majorBidi" w:cstheme="majorBidi"/>
          <w:sz w:val="22"/>
          <w:szCs w:val="22"/>
        </w:rPr>
        <w:t>.</w:t>
      </w:r>
    </w:p>
  </w:footnote>
  <w:footnote w:id="136">
    <w:p w14:paraId="3DCAE9E3" w14:textId="3CE6DEE2"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Zarakol</w:t>
      </w:r>
      <w:proofErr w:type="spellEnd"/>
      <w:r w:rsidRPr="00356EAE">
        <w:rPr>
          <w:rFonts w:asciiTheme="majorBidi" w:hAnsiTheme="majorBidi" w:cstheme="majorBidi"/>
          <w:sz w:val="22"/>
          <w:szCs w:val="22"/>
        </w:rPr>
        <w:t xml:space="preserve"> (n </w:t>
      </w:r>
      <w:r>
        <w:rPr>
          <w:rFonts w:asciiTheme="majorBidi" w:hAnsiTheme="majorBidi" w:cstheme="majorBidi"/>
          <w:sz w:val="22"/>
          <w:szCs w:val="22"/>
        </w:rPr>
        <w:t>1</w:t>
      </w:r>
      <w:r w:rsidR="0074748D">
        <w:rPr>
          <w:rFonts w:asciiTheme="majorBidi" w:hAnsiTheme="majorBidi" w:cstheme="majorBidi"/>
          <w:sz w:val="22"/>
          <w:szCs w:val="22"/>
        </w:rPr>
        <w:t>16</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190-192.</w:t>
      </w:r>
    </w:p>
  </w:footnote>
  <w:footnote w:id="137">
    <w:p w14:paraId="2C7B81BB"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Peter Golden, </w:t>
      </w:r>
      <w:r w:rsidRPr="00356EAE">
        <w:rPr>
          <w:rFonts w:asciiTheme="majorBidi" w:hAnsiTheme="majorBidi" w:cstheme="majorBidi"/>
          <w:i/>
          <w:iCs/>
          <w:sz w:val="22"/>
          <w:szCs w:val="22"/>
        </w:rPr>
        <w:t>An Introduction to the History of the Turkic Peoples: Ethnogenesis and State-Formation in Medieval and Early Modern Eurasia and the Middle East</w:t>
      </w:r>
      <w:r w:rsidRPr="00356EAE">
        <w:rPr>
          <w:rFonts w:asciiTheme="majorBidi" w:hAnsiTheme="majorBidi" w:cstheme="majorBidi"/>
          <w:sz w:val="22"/>
          <w:szCs w:val="22"/>
        </w:rPr>
        <w:t xml:space="preserve"> (1992)</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292.</w:t>
      </w:r>
    </w:p>
  </w:footnote>
  <w:footnote w:id="138">
    <w:p w14:paraId="192CBBBA"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Donald Ostrowski, </w:t>
      </w:r>
      <w:r w:rsidRPr="00356EAE">
        <w:rPr>
          <w:rFonts w:asciiTheme="majorBidi" w:hAnsiTheme="majorBidi" w:cstheme="majorBidi"/>
          <w:i/>
          <w:iCs/>
          <w:sz w:val="22"/>
          <w:szCs w:val="22"/>
        </w:rPr>
        <w:t>Muscovy and the Mongols: Cross-Cultural Influences on the Steppe Frontier, 1304-1589</w:t>
      </w:r>
      <w:r w:rsidRPr="00356EAE">
        <w:rPr>
          <w:rFonts w:asciiTheme="majorBidi" w:hAnsiTheme="majorBidi" w:cstheme="majorBidi"/>
          <w:sz w:val="22"/>
          <w:szCs w:val="22"/>
        </w:rPr>
        <w:t xml:space="preserve"> (1998)</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153-156.</w:t>
      </w:r>
    </w:p>
  </w:footnote>
  <w:footnote w:id="139">
    <w:p w14:paraId="642A8B69" w14:textId="4679BA71"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Barnes (n </w:t>
      </w:r>
      <w:r>
        <w:rPr>
          <w:rFonts w:asciiTheme="majorBidi" w:hAnsiTheme="majorBidi" w:cstheme="majorBidi"/>
          <w:sz w:val="22"/>
          <w:szCs w:val="22"/>
        </w:rPr>
        <w:t>1</w:t>
      </w:r>
      <w:r w:rsidR="0074748D">
        <w:rPr>
          <w:rFonts w:asciiTheme="majorBidi" w:hAnsiTheme="majorBidi" w:cstheme="majorBidi"/>
          <w:sz w:val="22"/>
          <w:szCs w:val="22"/>
        </w:rPr>
        <w:t>17</w:t>
      </w:r>
      <w:r w:rsidRPr="00356EAE">
        <w:rPr>
          <w:rFonts w:asciiTheme="majorBidi" w:hAnsiTheme="majorBidi" w:cstheme="majorBidi"/>
          <w:sz w:val="22"/>
          <w:szCs w:val="22"/>
        </w:rPr>
        <w:t>)</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22</w:t>
      </w:r>
    </w:p>
  </w:footnote>
  <w:footnote w:id="140">
    <w:p w14:paraId="4F3327DD"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Mari Isoaho, </w:t>
      </w:r>
      <w:r w:rsidRPr="00356EAE">
        <w:rPr>
          <w:rFonts w:asciiTheme="majorBidi" w:hAnsiTheme="majorBidi" w:cstheme="majorBidi"/>
          <w:i/>
          <w:iCs/>
          <w:sz w:val="22"/>
          <w:szCs w:val="22"/>
        </w:rPr>
        <w:t>The Image of Aleksandr Nevskiy in Medieval Russia: Warrior and Saint</w:t>
      </w:r>
      <w:r w:rsidRPr="00356EAE">
        <w:rPr>
          <w:rFonts w:asciiTheme="majorBidi" w:hAnsiTheme="majorBidi" w:cstheme="majorBidi"/>
          <w:sz w:val="22"/>
          <w:szCs w:val="22"/>
        </w:rPr>
        <w:t xml:space="preserve"> (2006).</w:t>
      </w:r>
    </w:p>
  </w:footnote>
  <w:footnote w:id="141">
    <w:p w14:paraId="788D38A0" w14:textId="066CDCB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Golden (n 1</w:t>
      </w:r>
      <w:r w:rsidR="0074748D">
        <w:rPr>
          <w:rFonts w:asciiTheme="majorBidi" w:hAnsiTheme="majorBidi" w:cstheme="majorBidi"/>
          <w:sz w:val="22"/>
          <w:szCs w:val="22"/>
        </w:rPr>
        <w:t>37</w:t>
      </w:r>
      <w:r w:rsidRPr="00356EAE">
        <w:rPr>
          <w:rFonts w:asciiTheme="majorBidi" w:hAnsiTheme="majorBidi" w:cstheme="majorBidi"/>
          <w:sz w:val="22"/>
          <w:szCs w:val="22"/>
        </w:rPr>
        <w:t>)</w:t>
      </w:r>
      <w:r w:rsidR="00171905">
        <w:rPr>
          <w:rFonts w:asciiTheme="majorBidi" w:hAnsiTheme="majorBidi" w:cstheme="majorBidi"/>
          <w:sz w:val="22"/>
          <w:szCs w:val="22"/>
        </w:rPr>
        <w:t xml:space="preserve"> pp.</w:t>
      </w:r>
      <w:r w:rsidRPr="00356EAE">
        <w:rPr>
          <w:rFonts w:asciiTheme="majorBidi" w:hAnsiTheme="majorBidi" w:cstheme="majorBidi"/>
          <w:sz w:val="22"/>
          <w:szCs w:val="22"/>
        </w:rPr>
        <w:t xml:space="preserve"> 317-323.</w:t>
      </w:r>
    </w:p>
  </w:footnote>
  <w:footnote w:id="142">
    <w:p w14:paraId="5CC24F2E" w14:textId="51680036"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Barnes (n </w:t>
      </w:r>
      <w:r>
        <w:rPr>
          <w:rFonts w:asciiTheme="majorBidi" w:hAnsiTheme="majorBidi" w:cstheme="majorBidi"/>
          <w:sz w:val="22"/>
          <w:szCs w:val="22"/>
        </w:rPr>
        <w:t>1</w:t>
      </w:r>
      <w:r w:rsidR="0074748D">
        <w:rPr>
          <w:rFonts w:asciiTheme="majorBidi" w:hAnsiTheme="majorBidi" w:cstheme="majorBidi"/>
          <w:sz w:val="22"/>
          <w:szCs w:val="22"/>
        </w:rPr>
        <w:t>17</w:t>
      </w:r>
      <w:r w:rsidRPr="00356EAE">
        <w:rPr>
          <w:rFonts w:asciiTheme="majorBidi" w:hAnsiTheme="majorBidi" w:cstheme="majorBidi"/>
          <w:sz w:val="22"/>
          <w:szCs w:val="22"/>
        </w:rPr>
        <w:t xml:space="preserve">) </w:t>
      </w:r>
      <w:r w:rsidR="00171905">
        <w:rPr>
          <w:rFonts w:asciiTheme="majorBidi" w:hAnsiTheme="majorBidi" w:cstheme="majorBidi"/>
          <w:sz w:val="22"/>
          <w:szCs w:val="22"/>
        </w:rPr>
        <w:t xml:space="preserve">p. </w:t>
      </w:r>
      <w:r w:rsidRPr="00356EAE">
        <w:rPr>
          <w:rFonts w:asciiTheme="majorBidi" w:hAnsiTheme="majorBidi" w:cstheme="majorBidi"/>
          <w:sz w:val="22"/>
          <w:szCs w:val="22"/>
        </w:rPr>
        <w:t>26.</w:t>
      </w:r>
    </w:p>
  </w:footnote>
  <w:footnote w:id="143">
    <w:p w14:paraId="256477B2" w14:textId="55518725"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Alexander Filyushkin, </w:t>
      </w:r>
      <w:r>
        <w:rPr>
          <w:rFonts w:asciiTheme="majorBidi" w:hAnsiTheme="majorBidi" w:cstheme="majorBidi"/>
          <w:sz w:val="22"/>
          <w:szCs w:val="22"/>
        </w:rPr>
        <w:t>“</w:t>
      </w:r>
      <w:r w:rsidRPr="00356EAE">
        <w:rPr>
          <w:rFonts w:asciiTheme="majorBidi" w:hAnsiTheme="majorBidi" w:cstheme="majorBidi"/>
          <w:sz w:val="22"/>
          <w:szCs w:val="22"/>
        </w:rPr>
        <w:t>Why Did Russia Not Become a Composite State?</w:t>
      </w:r>
      <w:r>
        <w:rPr>
          <w:rFonts w:asciiTheme="majorBidi" w:hAnsiTheme="majorBidi" w:cstheme="majorBidi"/>
          <w:sz w:val="22"/>
          <w:szCs w:val="22"/>
        </w:rPr>
        <w:t>”,</w:t>
      </w:r>
      <w:r w:rsidRPr="00356EAE">
        <w:rPr>
          <w:rFonts w:asciiTheme="majorBidi" w:hAnsiTheme="majorBidi" w:cstheme="majorBidi"/>
          <w:sz w:val="22"/>
          <w:szCs w:val="22"/>
        </w:rPr>
        <w:t xml:space="preserve"> 47</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Russian History</w:t>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20</w:t>
      </w:r>
      <w:r>
        <w:rPr>
          <w:rFonts w:asciiTheme="majorBidi" w:hAnsiTheme="majorBidi" w:cstheme="majorBidi"/>
          <w:sz w:val="22"/>
          <w:szCs w:val="22"/>
        </w:rPr>
        <w:t>2</w:t>
      </w:r>
      <w:r w:rsidRPr="00356EAE">
        <w:rPr>
          <w:rFonts w:asciiTheme="majorBidi" w:hAnsiTheme="majorBidi" w:cstheme="majorBidi"/>
          <w:sz w:val="22"/>
          <w:szCs w:val="22"/>
        </w:rPr>
        <w:t>1</w:t>
      </w:r>
      <w:r>
        <w:rPr>
          <w:rFonts w:asciiTheme="majorBidi" w:hAnsiTheme="majorBidi" w:cstheme="majorBidi"/>
          <w:sz w:val="22"/>
          <w:szCs w:val="22"/>
        </w:rPr>
        <w:t>) pp.</w:t>
      </w:r>
      <w:r w:rsidRPr="00356EAE">
        <w:rPr>
          <w:rFonts w:asciiTheme="majorBidi" w:hAnsiTheme="majorBidi" w:cstheme="majorBidi"/>
          <w:sz w:val="22"/>
          <w:szCs w:val="22"/>
        </w:rPr>
        <w:t xml:space="preserve"> 205-206.</w:t>
      </w:r>
    </w:p>
  </w:footnote>
  <w:footnote w:id="144">
    <w:p w14:paraId="1A50B54B" w14:textId="77CFD573" w:rsidR="00F81612" w:rsidRPr="007E561C" w:rsidRDefault="00F81612" w:rsidP="00F81612">
      <w:pPr>
        <w:pStyle w:val="FootnoteText"/>
        <w:jc w:val="both"/>
        <w:rPr>
          <w:rFonts w:asciiTheme="majorBidi" w:hAnsiTheme="majorBidi" w:cstheme="majorBidi"/>
        </w:rPr>
      </w:pPr>
      <w:r w:rsidRPr="007E561C">
        <w:rPr>
          <w:rStyle w:val="FootnoteReference"/>
          <w:rFonts w:asciiTheme="majorBidi" w:hAnsiTheme="majorBidi" w:cstheme="majorBidi"/>
        </w:rPr>
        <w:footnoteRef/>
      </w:r>
      <w:r w:rsidRPr="007E561C">
        <w:rPr>
          <w:rFonts w:asciiTheme="majorBidi" w:hAnsiTheme="majorBidi" w:cstheme="majorBidi"/>
        </w:rPr>
        <w:t xml:space="preserve"> </w:t>
      </w:r>
      <w:r w:rsidRPr="00CA2F7C">
        <w:rPr>
          <w:rFonts w:asciiTheme="majorBidi" w:hAnsiTheme="majorBidi" w:cstheme="majorBidi"/>
          <w:sz w:val="22"/>
          <w:szCs w:val="22"/>
        </w:rPr>
        <w:t>Ostrowski (n 1</w:t>
      </w:r>
      <w:r w:rsidR="0074748D">
        <w:rPr>
          <w:rFonts w:asciiTheme="majorBidi" w:hAnsiTheme="majorBidi" w:cstheme="majorBidi"/>
          <w:sz w:val="22"/>
          <w:szCs w:val="22"/>
        </w:rPr>
        <w:t>38</w:t>
      </w:r>
      <w:r w:rsidRPr="00CA2F7C">
        <w:rPr>
          <w:rFonts w:asciiTheme="majorBidi" w:hAnsiTheme="majorBidi" w:cstheme="majorBidi"/>
          <w:sz w:val="22"/>
          <w:szCs w:val="22"/>
        </w:rPr>
        <w:t>) pp. 244-248</w:t>
      </w:r>
    </w:p>
  </w:footnote>
  <w:footnote w:id="145">
    <w:p w14:paraId="2547B89E" w14:textId="77777777" w:rsidR="00F81612" w:rsidRPr="007E561C" w:rsidRDefault="00F81612" w:rsidP="00F81612">
      <w:pPr>
        <w:pStyle w:val="FootnoteText"/>
        <w:jc w:val="both"/>
        <w:rPr>
          <w:rFonts w:asciiTheme="majorBidi" w:hAnsiTheme="majorBidi" w:cstheme="majorBidi"/>
        </w:rPr>
      </w:pPr>
      <w:r w:rsidRPr="007E561C">
        <w:rPr>
          <w:rStyle w:val="FootnoteReference"/>
          <w:rFonts w:asciiTheme="majorBidi" w:hAnsiTheme="majorBidi" w:cstheme="majorBidi"/>
        </w:rPr>
        <w:footnoteRef/>
      </w:r>
      <w:r w:rsidRPr="007E561C">
        <w:rPr>
          <w:rFonts w:asciiTheme="majorBidi" w:hAnsiTheme="majorBidi" w:cstheme="majorBidi"/>
        </w:rPr>
        <w:t xml:space="preserve"> </w:t>
      </w:r>
      <w:r w:rsidRPr="00CA2F7C">
        <w:rPr>
          <w:rFonts w:asciiTheme="majorBidi" w:hAnsiTheme="majorBidi" w:cstheme="majorBidi"/>
          <w:sz w:val="22"/>
          <w:szCs w:val="22"/>
        </w:rPr>
        <w:t xml:space="preserve">Anti </w:t>
      </w:r>
      <w:proofErr w:type="spellStart"/>
      <w:r w:rsidRPr="00CA2F7C">
        <w:rPr>
          <w:rFonts w:asciiTheme="majorBidi" w:hAnsiTheme="majorBidi" w:cstheme="majorBidi"/>
          <w:sz w:val="22"/>
          <w:szCs w:val="22"/>
        </w:rPr>
        <w:t>Selart</w:t>
      </w:r>
      <w:proofErr w:type="spellEnd"/>
      <w:r w:rsidRPr="00CA2F7C">
        <w:rPr>
          <w:rFonts w:asciiTheme="majorBidi" w:hAnsiTheme="majorBidi" w:cstheme="majorBidi"/>
          <w:sz w:val="22"/>
          <w:szCs w:val="22"/>
        </w:rPr>
        <w:t>, “</w:t>
      </w:r>
      <w:proofErr w:type="spellStart"/>
      <w:r w:rsidRPr="00CA2F7C">
        <w:rPr>
          <w:rFonts w:asciiTheme="majorBidi" w:hAnsiTheme="majorBidi" w:cstheme="majorBidi"/>
          <w:sz w:val="22"/>
          <w:szCs w:val="22"/>
        </w:rPr>
        <w:t>Rus’</w:t>
      </w:r>
      <w:proofErr w:type="spellEnd"/>
      <w:r w:rsidRPr="00CA2F7C">
        <w:rPr>
          <w:rFonts w:asciiTheme="majorBidi" w:hAnsiTheme="majorBidi" w:cstheme="majorBidi"/>
          <w:sz w:val="22"/>
          <w:szCs w:val="22"/>
        </w:rPr>
        <w:t xml:space="preserve"> as a Target of the Crusades: History and Historical Memory”, in Mike Carr, Nikolaos Chrissis, and Gianluca </w:t>
      </w:r>
      <w:proofErr w:type="spellStart"/>
      <w:r w:rsidRPr="00CA2F7C">
        <w:rPr>
          <w:rFonts w:asciiTheme="majorBidi" w:hAnsiTheme="majorBidi" w:cstheme="majorBidi"/>
          <w:sz w:val="22"/>
          <w:szCs w:val="22"/>
        </w:rPr>
        <w:t>Raccagni</w:t>
      </w:r>
      <w:proofErr w:type="spellEnd"/>
      <w:r w:rsidRPr="00CA2F7C">
        <w:rPr>
          <w:rFonts w:asciiTheme="majorBidi" w:hAnsiTheme="majorBidi" w:cstheme="majorBidi"/>
          <w:sz w:val="22"/>
          <w:szCs w:val="22"/>
        </w:rPr>
        <w:t xml:space="preserve"> (eds), </w:t>
      </w:r>
      <w:r w:rsidRPr="00CA2F7C">
        <w:rPr>
          <w:rFonts w:asciiTheme="majorBidi" w:hAnsiTheme="majorBidi" w:cstheme="majorBidi"/>
          <w:i/>
          <w:iCs/>
          <w:sz w:val="22"/>
          <w:szCs w:val="22"/>
        </w:rPr>
        <w:t>Crusading Against Christians in the Middle Ages</w:t>
      </w:r>
      <w:r w:rsidRPr="00CA2F7C">
        <w:rPr>
          <w:rFonts w:asciiTheme="majorBidi" w:hAnsiTheme="majorBidi" w:cstheme="majorBidi"/>
          <w:sz w:val="22"/>
          <w:szCs w:val="22"/>
        </w:rPr>
        <w:t xml:space="preserve"> (2024) pp. 255-277.</w:t>
      </w:r>
    </w:p>
  </w:footnote>
  <w:footnote w:id="146">
    <w:p w14:paraId="4B824BFB" w14:textId="4C31DBA7" w:rsidR="00F81612" w:rsidRDefault="00F81612" w:rsidP="00F81612">
      <w:pPr>
        <w:pStyle w:val="FootnoteText"/>
      </w:pPr>
      <w:r w:rsidRPr="007E561C">
        <w:rPr>
          <w:rStyle w:val="FootnoteReference"/>
          <w:rFonts w:asciiTheme="majorBidi" w:hAnsiTheme="majorBidi" w:cstheme="majorBidi"/>
        </w:rPr>
        <w:footnoteRef/>
      </w:r>
      <w:r w:rsidRPr="007E561C">
        <w:rPr>
          <w:rFonts w:asciiTheme="majorBidi" w:hAnsiTheme="majorBidi" w:cstheme="majorBidi"/>
        </w:rPr>
        <w:t xml:space="preserve"> </w:t>
      </w:r>
      <w:r w:rsidRPr="00F81612">
        <w:rPr>
          <w:rFonts w:asciiTheme="majorBidi" w:hAnsiTheme="majorBidi" w:cstheme="majorBidi"/>
          <w:sz w:val="22"/>
          <w:szCs w:val="22"/>
        </w:rPr>
        <w:t>Ostrowski (n 1</w:t>
      </w:r>
      <w:r w:rsidR="0074748D">
        <w:rPr>
          <w:rFonts w:asciiTheme="majorBidi" w:hAnsiTheme="majorBidi" w:cstheme="majorBidi"/>
          <w:sz w:val="22"/>
          <w:szCs w:val="22"/>
        </w:rPr>
        <w:t>38</w:t>
      </w:r>
      <w:r w:rsidRPr="00F81612">
        <w:rPr>
          <w:rFonts w:asciiTheme="majorBidi" w:hAnsiTheme="majorBidi" w:cstheme="majorBidi"/>
          <w:sz w:val="22"/>
          <w:szCs w:val="22"/>
        </w:rPr>
        <w:t>) pp. 219-243.</w:t>
      </w:r>
    </w:p>
  </w:footnote>
  <w:footnote w:id="147">
    <w:p w14:paraId="60A9BA1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Michael Khodarkovsky, </w:t>
      </w:r>
      <w:r w:rsidRPr="00356EAE">
        <w:rPr>
          <w:rFonts w:asciiTheme="majorBidi" w:hAnsiTheme="majorBidi" w:cstheme="majorBidi"/>
          <w:i/>
          <w:iCs/>
          <w:sz w:val="22"/>
          <w:szCs w:val="22"/>
        </w:rPr>
        <w:t>Russia's Steppe Frontier: The Making of a Colonial Empire, 1500-1800</w:t>
      </w:r>
      <w:r w:rsidRPr="00356EAE">
        <w:rPr>
          <w:rFonts w:asciiTheme="majorBidi" w:hAnsiTheme="majorBidi" w:cstheme="majorBidi"/>
          <w:sz w:val="22"/>
          <w:szCs w:val="22"/>
        </w:rPr>
        <w:t xml:space="preserve"> (2002)</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1.</w:t>
      </w:r>
    </w:p>
  </w:footnote>
  <w:footnote w:id="148">
    <w:p w14:paraId="6A540EDE"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Carol Stevens, </w:t>
      </w:r>
      <w:r w:rsidRPr="00356EAE">
        <w:rPr>
          <w:rFonts w:asciiTheme="majorBidi" w:hAnsiTheme="majorBidi" w:cstheme="majorBidi"/>
          <w:i/>
          <w:iCs/>
          <w:sz w:val="22"/>
          <w:szCs w:val="22"/>
        </w:rPr>
        <w:t>Russia’s Wars of Emergence, 1460-1730</w:t>
      </w:r>
      <w:r w:rsidRPr="00356EAE">
        <w:rPr>
          <w:rFonts w:asciiTheme="majorBidi" w:hAnsiTheme="majorBidi" w:cstheme="majorBidi"/>
          <w:sz w:val="22"/>
          <w:szCs w:val="22"/>
        </w:rPr>
        <w:t xml:space="preserve"> (2013)</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71-82.</w:t>
      </w:r>
    </w:p>
  </w:footnote>
  <w:footnote w:id="149">
    <w:p w14:paraId="35CB3BAE" w14:textId="5B1CFE6F"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Pr>
          <w:rFonts w:asciiTheme="majorBidi" w:hAnsiTheme="majorBidi" w:cstheme="majorBidi"/>
          <w:sz w:val="22"/>
          <w:szCs w:val="22"/>
        </w:rPr>
        <w:t xml:space="preserve">See </w:t>
      </w:r>
      <w:r w:rsidRPr="00356EAE">
        <w:rPr>
          <w:rFonts w:asciiTheme="majorBidi" w:hAnsiTheme="majorBidi" w:cstheme="majorBidi"/>
          <w:sz w:val="22"/>
          <w:szCs w:val="22"/>
        </w:rPr>
        <w:t xml:space="preserve">Alper Başer, </w:t>
      </w:r>
      <w:r>
        <w:rPr>
          <w:rFonts w:asciiTheme="majorBidi" w:hAnsiTheme="majorBidi" w:cstheme="majorBidi"/>
          <w:sz w:val="22"/>
          <w:szCs w:val="22"/>
        </w:rPr>
        <w:t>“</w:t>
      </w:r>
      <w:r w:rsidRPr="00356EAE">
        <w:rPr>
          <w:rFonts w:asciiTheme="majorBidi" w:hAnsiTheme="majorBidi" w:cstheme="majorBidi"/>
          <w:sz w:val="22"/>
          <w:szCs w:val="22"/>
        </w:rPr>
        <w:t xml:space="preserve">Conflicting Legitimacies in the Triangle of the </w:t>
      </w:r>
      <w:proofErr w:type="spellStart"/>
      <w:r w:rsidRPr="00356EAE">
        <w:rPr>
          <w:rFonts w:asciiTheme="majorBidi" w:hAnsiTheme="majorBidi" w:cstheme="majorBidi"/>
          <w:sz w:val="22"/>
          <w:szCs w:val="22"/>
        </w:rPr>
        <w:t>Noghay</w:t>
      </w:r>
      <w:proofErr w:type="spellEnd"/>
      <w:r w:rsidRPr="00356EAE">
        <w:rPr>
          <w:rFonts w:asciiTheme="majorBidi" w:hAnsiTheme="majorBidi" w:cstheme="majorBidi"/>
          <w:sz w:val="22"/>
          <w:szCs w:val="22"/>
        </w:rPr>
        <w:t xml:space="preserve"> Hordes, Crimean Khanate, and Ottoman Empire</w:t>
      </w:r>
      <w:r>
        <w:rPr>
          <w:rFonts w:asciiTheme="majorBidi" w:hAnsiTheme="majorBidi" w:cstheme="majorBidi"/>
          <w:sz w:val="22"/>
          <w:szCs w:val="22"/>
        </w:rPr>
        <w:t>”,</w:t>
      </w:r>
      <w:r w:rsidRPr="00356EAE">
        <w:rPr>
          <w:rFonts w:asciiTheme="majorBidi" w:hAnsiTheme="majorBidi" w:cstheme="majorBidi"/>
          <w:sz w:val="22"/>
          <w:szCs w:val="22"/>
        </w:rPr>
        <w:t xml:space="preserve"> 36</w:t>
      </w:r>
      <w:r w:rsidR="0074748D">
        <w:rPr>
          <w:rFonts w:asciiTheme="majorBidi" w:hAnsiTheme="majorBidi" w:cstheme="majorBidi"/>
          <w:sz w:val="22"/>
          <w:szCs w:val="22"/>
        </w:rPr>
        <w:t>(1-2)</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Harvard Ukrainian Studies</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(2019) pp. </w:t>
      </w:r>
      <w:r w:rsidRPr="00356EAE">
        <w:rPr>
          <w:rFonts w:asciiTheme="majorBidi" w:hAnsiTheme="majorBidi" w:cstheme="majorBidi"/>
          <w:sz w:val="22"/>
          <w:szCs w:val="22"/>
        </w:rPr>
        <w:t>105</w:t>
      </w:r>
      <w:r>
        <w:rPr>
          <w:rFonts w:asciiTheme="majorBidi" w:hAnsiTheme="majorBidi" w:cstheme="majorBidi"/>
          <w:sz w:val="22"/>
          <w:szCs w:val="22"/>
        </w:rPr>
        <w:t>-122</w:t>
      </w:r>
      <w:r w:rsidRPr="00356EAE">
        <w:rPr>
          <w:rFonts w:asciiTheme="majorBidi" w:hAnsiTheme="majorBidi" w:cstheme="majorBidi"/>
          <w:sz w:val="22"/>
          <w:szCs w:val="22"/>
        </w:rPr>
        <w:t>.</w:t>
      </w:r>
    </w:p>
  </w:footnote>
  <w:footnote w:id="150">
    <w:p w14:paraId="50BD64AB" w14:textId="49F8D85D"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Khodarkovsky</w:t>
      </w:r>
      <w:proofErr w:type="spellEnd"/>
      <w:r w:rsidRPr="00356EAE">
        <w:rPr>
          <w:rFonts w:asciiTheme="majorBidi" w:hAnsiTheme="majorBidi" w:cstheme="majorBidi"/>
          <w:sz w:val="22"/>
          <w:szCs w:val="22"/>
        </w:rPr>
        <w:t xml:space="preserve"> (n 1</w:t>
      </w:r>
      <w:r w:rsidR="0074748D">
        <w:rPr>
          <w:rFonts w:asciiTheme="majorBidi" w:hAnsiTheme="majorBidi" w:cstheme="majorBidi"/>
          <w:sz w:val="22"/>
          <w:szCs w:val="22"/>
        </w:rPr>
        <w:t>47</w:t>
      </w:r>
      <w:r w:rsidRPr="00356EAE">
        <w:rPr>
          <w:rFonts w:asciiTheme="majorBidi" w:hAnsiTheme="majorBidi" w:cstheme="majorBidi"/>
          <w:sz w:val="22"/>
          <w:szCs w:val="22"/>
        </w:rPr>
        <w:t>)</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62.</w:t>
      </w:r>
    </w:p>
  </w:footnote>
  <w:footnote w:id="151">
    <w:p w14:paraId="0CCBC187" w14:textId="77777777" w:rsidR="00F81612" w:rsidRPr="00856941"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Francis Young,</w:t>
      </w:r>
      <w:r w:rsidRPr="00356EAE">
        <w:rPr>
          <w:rFonts w:asciiTheme="majorBidi" w:hAnsiTheme="majorBidi" w:cstheme="majorBidi"/>
          <w:i/>
          <w:iCs/>
          <w:sz w:val="22"/>
          <w:szCs w:val="22"/>
        </w:rPr>
        <w:t xml:space="preserve"> Silence of the Gods: The Untold History of Europe's Last Pagan Peoples </w:t>
      </w:r>
      <w:r w:rsidRPr="00356EAE">
        <w:rPr>
          <w:rFonts w:asciiTheme="majorBidi" w:hAnsiTheme="majorBidi" w:cstheme="majorBidi"/>
          <w:sz w:val="22"/>
          <w:szCs w:val="22"/>
        </w:rPr>
        <w:t>(2025)</w:t>
      </w:r>
      <w:r>
        <w:rPr>
          <w:rFonts w:asciiTheme="majorBidi" w:hAnsiTheme="majorBidi" w:cstheme="majorBidi"/>
          <w:sz w:val="22"/>
          <w:szCs w:val="22"/>
        </w:rPr>
        <w:t xml:space="preserve"> pp. </w:t>
      </w:r>
      <w:r w:rsidRPr="00856941">
        <w:rPr>
          <w:rFonts w:asciiTheme="majorBidi" w:hAnsiTheme="majorBidi" w:cstheme="majorBidi"/>
          <w:sz w:val="22"/>
          <w:szCs w:val="22"/>
        </w:rPr>
        <w:t>102-111.</w:t>
      </w:r>
    </w:p>
  </w:footnote>
  <w:footnote w:id="152">
    <w:p w14:paraId="7FCBFD8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Shane O’Rourke, </w:t>
      </w:r>
      <w:r w:rsidRPr="00356EAE">
        <w:rPr>
          <w:rFonts w:asciiTheme="majorBidi" w:hAnsiTheme="majorBidi" w:cstheme="majorBidi"/>
          <w:i/>
          <w:iCs/>
          <w:sz w:val="22"/>
          <w:szCs w:val="22"/>
        </w:rPr>
        <w:t>The Cossacks</w:t>
      </w:r>
      <w:r w:rsidRPr="00356EAE">
        <w:rPr>
          <w:rFonts w:asciiTheme="majorBidi" w:hAnsiTheme="majorBidi" w:cstheme="majorBidi"/>
          <w:sz w:val="22"/>
          <w:szCs w:val="22"/>
        </w:rPr>
        <w:t xml:space="preserve"> (2007)</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27-45</w:t>
      </w:r>
    </w:p>
  </w:footnote>
  <w:footnote w:id="153">
    <w:p w14:paraId="4FC9372C"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Ibid</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45-46.</w:t>
      </w:r>
    </w:p>
  </w:footnote>
  <w:footnote w:id="154">
    <w:p w14:paraId="75566FD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For document</w:t>
      </w:r>
      <w:r>
        <w:rPr>
          <w:rFonts w:asciiTheme="majorBidi" w:hAnsiTheme="majorBidi" w:cstheme="majorBidi"/>
          <w:sz w:val="22"/>
          <w:szCs w:val="22"/>
        </w:rPr>
        <w:t>s</w:t>
      </w:r>
      <w:r w:rsidRPr="00356EAE">
        <w:rPr>
          <w:rFonts w:asciiTheme="majorBidi" w:hAnsiTheme="majorBidi" w:cstheme="majorBidi"/>
          <w:sz w:val="22"/>
          <w:szCs w:val="22"/>
        </w:rPr>
        <w:t xml:space="preserve">/interpretations, see Dariusz Kołodziejczyk, </w:t>
      </w:r>
      <w:r w:rsidRPr="00356EAE">
        <w:rPr>
          <w:rFonts w:asciiTheme="majorBidi" w:hAnsiTheme="majorBidi" w:cstheme="majorBidi"/>
          <w:i/>
          <w:iCs/>
          <w:sz w:val="22"/>
          <w:szCs w:val="22"/>
        </w:rPr>
        <w:t>Ottoman-Polish Diplomatic Relations (15th-18th Century): An Annotated Edition of '</w:t>
      </w:r>
      <w:proofErr w:type="spellStart"/>
      <w:r w:rsidRPr="00356EAE">
        <w:rPr>
          <w:rFonts w:asciiTheme="majorBidi" w:hAnsiTheme="majorBidi" w:cstheme="majorBidi"/>
          <w:i/>
          <w:iCs/>
          <w:sz w:val="22"/>
          <w:szCs w:val="22"/>
        </w:rPr>
        <w:t>Ahdnames</w:t>
      </w:r>
      <w:proofErr w:type="spellEnd"/>
      <w:r w:rsidRPr="00356EAE">
        <w:rPr>
          <w:rFonts w:asciiTheme="majorBidi" w:hAnsiTheme="majorBidi" w:cstheme="majorBidi"/>
          <w:i/>
          <w:iCs/>
          <w:sz w:val="22"/>
          <w:szCs w:val="22"/>
        </w:rPr>
        <w:t xml:space="preserve"> and Other Documents</w:t>
      </w:r>
      <w:r w:rsidRPr="00356EAE">
        <w:rPr>
          <w:rFonts w:asciiTheme="majorBidi" w:hAnsiTheme="majorBidi" w:cstheme="majorBidi"/>
          <w:sz w:val="22"/>
          <w:szCs w:val="22"/>
        </w:rPr>
        <w:t xml:space="preserve"> (1999); Dariusz </w:t>
      </w:r>
      <w:proofErr w:type="spellStart"/>
      <w:r w:rsidRPr="00356EAE">
        <w:rPr>
          <w:rFonts w:asciiTheme="majorBidi" w:hAnsiTheme="majorBidi" w:cstheme="majorBidi"/>
          <w:sz w:val="22"/>
          <w:szCs w:val="22"/>
        </w:rPr>
        <w:t>Kołodziejczyk</w:t>
      </w:r>
      <w:proofErr w:type="spellEnd"/>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The Crimean Khanate and Poland-Lithuania: International Diplomacy on the European Periphery (15th-18th Century), a Study of Peace Treaties Followed by Annotated Documents</w:t>
      </w:r>
      <w:r w:rsidRPr="00356EAE">
        <w:rPr>
          <w:rFonts w:asciiTheme="majorBidi" w:hAnsiTheme="majorBidi" w:cstheme="majorBidi"/>
          <w:sz w:val="22"/>
          <w:szCs w:val="22"/>
        </w:rPr>
        <w:t xml:space="preserve"> (2011).</w:t>
      </w:r>
    </w:p>
  </w:footnote>
  <w:footnote w:id="155">
    <w:p w14:paraId="100CA728" w14:textId="2963E840"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Alexander Filyushkin, </w:t>
      </w:r>
      <w:r>
        <w:rPr>
          <w:rFonts w:asciiTheme="majorBidi" w:hAnsiTheme="majorBidi" w:cstheme="majorBidi"/>
          <w:sz w:val="22"/>
          <w:szCs w:val="22"/>
        </w:rPr>
        <w:t>“</w:t>
      </w:r>
      <w:r w:rsidRPr="00356EAE">
        <w:rPr>
          <w:rFonts w:asciiTheme="majorBidi" w:hAnsiTheme="majorBidi" w:cstheme="majorBidi"/>
          <w:sz w:val="22"/>
          <w:szCs w:val="22"/>
        </w:rPr>
        <w:t>Livonian War in the Context of the European Wars of the 16</w:t>
      </w:r>
      <w:r w:rsidRPr="00356EAE">
        <w:rPr>
          <w:rFonts w:asciiTheme="majorBidi" w:hAnsiTheme="majorBidi" w:cstheme="majorBidi"/>
          <w:sz w:val="22"/>
          <w:szCs w:val="22"/>
          <w:vertAlign w:val="superscript"/>
        </w:rPr>
        <w:t>th</w:t>
      </w:r>
      <w:r w:rsidRPr="00356EAE">
        <w:rPr>
          <w:rFonts w:asciiTheme="majorBidi" w:hAnsiTheme="majorBidi" w:cstheme="majorBidi"/>
          <w:sz w:val="22"/>
          <w:szCs w:val="22"/>
        </w:rPr>
        <w:t xml:space="preserve"> Century: Conquest, Borders, Geopolitics</w:t>
      </w:r>
      <w:r>
        <w:rPr>
          <w:rFonts w:asciiTheme="majorBidi" w:hAnsiTheme="majorBidi" w:cstheme="majorBidi"/>
          <w:sz w:val="22"/>
          <w:szCs w:val="22"/>
        </w:rPr>
        <w:t>”,</w:t>
      </w:r>
      <w:r w:rsidRPr="00356EAE">
        <w:rPr>
          <w:rFonts w:asciiTheme="majorBidi" w:hAnsiTheme="majorBidi" w:cstheme="majorBidi"/>
          <w:sz w:val="22"/>
          <w:szCs w:val="22"/>
        </w:rPr>
        <w:t xml:space="preserve"> 43</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Russian History</w:t>
      </w:r>
      <w:r w:rsidRPr="00356EAE">
        <w:rPr>
          <w:rFonts w:asciiTheme="majorBidi" w:hAnsiTheme="majorBidi" w:cstheme="majorBidi"/>
          <w:sz w:val="22"/>
          <w:szCs w:val="22"/>
        </w:rPr>
        <w:t xml:space="preserve"> </w:t>
      </w:r>
      <w:r>
        <w:rPr>
          <w:rFonts w:asciiTheme="majorBidi" w:hAnsiTheme="majorBidi" w:cstheme="majorBidi"/>
          <w:sz w:val="22"/>
          <w:szCs w:val="22"/>
        </w:rPr>
        <w:t>(2016) pp.</w:t>
      </w:r>
      <w:r w:rsidRPr="00356EAE">
        <w:rPr>
          <w:rFonts w:asciiTheme="majorBidi" w:hAnsiTheme="majorBidi" w:cstheme="majorBidi"/>
          <w:sz w:val="22"/>
          <w:szCs w:val="22"/>
        </w:rPr>
        <w:t xml:space="preserve"> 16-21.</w:t>
      </w:r>
    </w:p>
  </w:footnote>
  <w:footnote w:id="156">
    <w:p w14:paraId="50755151" w14:textId="0AD3C132"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Khodarkovsky</w:t>
      </w:r>
      <w:proofErr w:type="spellEnd"/>
      <w:r w:rsidRPr="00356EAE">
        <w:rPr>
          <w:rFonts w:asciiTheme="majorBidi" w:hAnsiTheme="majorBidi" w:cstheme="majorBidi"/>
          <w:sz w:val="22"/>
          <w:szCs w:val="22"/>
        </w:rPr>
        <w:t xml:space="preserve"> (n 1</w:t>
      </w:r>
      <w:r w:rsidR="0074748D">
        <w:rPr>
          <w:rFonts w:asciiTheme="majorBidi" w:hAnsiTheme="majorBidi" w:cstheme="majorBidi"/>
          <w:sz w:val="22"/>
          <w:szCs w:val="22"/>
        </w:rPr>
        <w:t>47</w:t>
      </w:r>
      <w:r w:rsidRPr="00356EAE">
        <w:rPr>
          <w:rFonts w:asciiTheme="majorBidi" w:hAnsiTheme="majorBidi" w:cstheme="majorBidi"/>
          <w:sz w:val="22"/>
          <w:szCs w:val="22"/>
        </w:rPr>
        <w:t xml:space="preserve">) </w:t>
      </w:r>
      <w:r>
        <w:rPr>
          <w:rFonts w:asciiTheme="majorBidi" w:hAnsiTheme="majorBidi" w:cstheme="majorBidi"/>
          <w:sz w:val="22"/>
          <w:szCs w:val="22"/>
        </w:rPr>
        <w:t xml:space="preserve">p. </w:t>
      </w:r>
      <w:r w:rsidRPr="00356EAE">
        <w:rPr>
          <w:rFonts w:asciiTheme="majorBidi" w:hAnsiTheme="majorBidi" w:cstheme="majorBidi"/>
          <w:sz w:val="22"/>
          <w:szCs w:val="22"/>
        </w:rPr>
        <w:t>117.</w:t>
      </w:r>
    </w:p>
  </w:footnote>
  <w:footnote w:id="157">
    <w:p w14:paraId="3FBD7B93" w14:textId="1A26CFC1" w:rsidR="00F81612" w:rsidRPr="002E2EBF"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2E2EBF">
        <w:rPr>
          <w:rFonts w:asciiTheme="majorBidi" w:hAnsiTheme="majorBidi" w:cstheme="majorBidi"/>
          <w:sz w:val="22"/>
          <w:szCs w:val="22"/>
        </w:rPr>
        <w:t xml:space="preserve"> O’Rourke (n 1</w:t>
      </w:r>
      <w:r w:rsidR="0074748D">
        <w:rPr>
          <w:rFonts w:asciiTheme="majorBidi" w:hAnsiTheme="majorBidi" w:cstheme="majorBidi"/>
          <w:sz w:val="22"/>
          <w:szCs w:val="22"/>
        </w:rPr>
        <w:t>52</w:t>
      </w:r>
      <w:r w:rsidRPr="002E2EBF">
        <w:rPr>
          <w:rFonts w:asciiTheme="majorBidi" w:hAnsiTheme="majorBidi" w:cstheme="majorBidi"/>
          <w:sz w:val="22"/>
          <w:szCs w:val="22"/>
        </w:rPr>
        <w:t>) pp. 78-85.</w:t>
      </w:r>
    </w:p>
  </w:footnote>
  <w:footnote w:id="158">
    <w:p w14:paraId="633A8680" w14:textId="6811AE22" w:rsidR="00F81612" w:rsidRPr="00165728"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165728">
        <w:rPr>
          <w:rFonts w:asciiTheme="majorBidi" w:hAnsiTheme="majorBidi" w:cstheme="majorBidi"/>
          <w:sz w:val="22"/>
          <w:szCs w:val="22"/>
        </w:rPr>
        <w:t xml:space="preserve"> Snyder (n 1</w:t>
      </w:r>
      <w:r w:rsidR="00187F33">
        <w:rPr>
          <w:rFonts w:asciiTheme="majorBidi" w:hAnsiTheme="majorBidi" w:cstheme="majorBidi"/>
          <w:sz w:val="22"/>
          <w:szCs w:val="22"/>
        </w:rPr>
        <w:t>33</w:t>
      </w:r>
      <w:r w:rsidRPr="00165728">
        <w:rPr>
          <w:rFonts w:asciiTheme="majorBidi" w:hAnsiTheme="majorBidi" w:cstheme="majorBidi"/>
          <w:sz w:val="22"/>
          <w:szCs w:val="22"/>
        </w:rPr>
        <w:t>) pp. 105-110.</w:t>
      </w:r>
    </w:p>
  </w:footnote>
  <w:footnote w:id="159">
    <w:p w14:paraId="5746BD02" w14:textId="77777777" w:rsidR="00F81612" w:rsidRPr="00165728"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165728">
        <w:rPr>
          <w:rFonts w:asciiTheme="majorBidi" w:hAnsiTheme="majorBidi" w:cstheme="majorBidi"/>
          <w:sz w:val="22"/>
          <w:szCs w:val="22"/>
        </w:rPr>
        <w:t xml:space="preserve"> Ibid pp. 112-114.</w:t>
      </w:r>
    </w:p>
  </w:footnote>
  <w:footnote w:id="160">
    <w:p w14:paraId="4FCDCDC4" w14:textId="77777777" w:rsidR="00F81612" w:rsidRPr="00165728"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165728">
        <w:rPr>
          <w:rFonts w:asciiTheme="majorBidi" w:hAnsiTheme="majorBidi" w:cstheme="majorBidi"/>
          <w:sz w:val="22"/>
          <w:szCs w:val="22"/>
        </w:rPr>
        <w:t xml:space="preserve"> Ibid p. 106.</w:t>
      </w:r>
    </w:p>
  </w:footnote>
  <w:footnote w:id="161">
    <w:p w14:paraId="255BC274" w14:textId="1AA4110B" w:rsidR="00F81612" w:rsidRPr="00165728"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165728">
        <w:rPr>
          <w:rFonts w:asciiTheme="majorBidi" w:hAnsiTheme="majorBidi" w:cstheme="majorBidi"/>
          <w:sz w:val="22"/>
          <w:szCs w:val="22"/>
        </w:rPr>
        <w:t xml:space="preserve"> See Bickford O’Brien, </w:t>
      </w:r>
      <w:r w:rsidRPr="00165728">
        <w:rPr>
          <w:rFonts w:asciiTheme="majorBidi" w:hAnsiTheme="majorBidi" w:cstheme="majorBidi"/>
          <w:i/>
          <w:iCs/>
          <w:sz w:val="22"/>
          <w:szCs w:val="22"/>
        </w:rPr>
        <w:t xml:space="preserve">Muscovy and the Ukraine: From the </w:t>
      </w:r>
      <w:proofErr w:type="spellStart"/>
      <w:r w:rsidRPr="00165728">
        <w:rPr>
          <w:rFonts w:asciiTheme="majorBidi" w:hAnsiTheme="majorBidi" w:cstheme="majorBidi"/>
          <w:i/>
          <w:iCs/>
          <w:sz w:val="22"/>
          <w:szCs w:val="22"/>
        </w:rPr>
        <w:t>Pereiaslavl</w:t>
      </w:r>
      <w:proofErr w:type="spellEnd"/>
      <w:r w:rsidRPr="00165728">
        <w:rPr>
          <w:rFonts w:asciiTheme="majorBidi" w:hAnsiTheme="majorBidi" w:cstheme="majorBidi"/>
          <w:i/>
          <w:iCs/>
          <w:sz w:val="22"/>
          <w:szCs w:val="22"/>
        </w:rPr>
        <w:t xml:space="preserve"> Agreement to the Truce of </w:t>
      </w:r>
      <w:proofErr w:type="spellStart"/>
      <w:r w:rsidRPr="00165728">
        <w:rPr>
          <w:rFonts w:asciiTheme="majorBidi" w:hAnsiTheme="majorBidi" w:cstheme="majorBidi"/>
          <w:i/>
          <w:iCs/>
          <w:sz w:val="22"/>
          <w:szCs w:val="22"/>
        </w:rPr>
        <w:t>Andrusovo</w:t>
      </w:r>
      <w:proofErr w:type="spellEnd"/>
      <w:r w:rsidRPr="00165728">
        <w:rPr>
          <w:rFonts w:asciiTheme="majorBidi" w:hAnsiTheme="majorBidi" w:cstheme="majorBidi"/>
          <w:i/>
          <w:iCs/>
          <w:sz w:val="22"/>
          <w:szCs w:val="22"/>
        </w:rPr>
        <w:t>, 1654–1667</w:t>
      </w:r>
      <w:r w:rsidRPr="00165728">
        <w:rPr>
          <w:rFonts w:asciiTheme="majorBidi" w:hAnsiTheme="majorBidi" w:cstheme="majorBidi"/>
          <w:sz w:val="22"/>
          <w:szCs w:val="22"/>
        </w:rPr>
        <w:t xml:space="preserve"> (1963); Yaroslav Pylypchuk, “The Alliance of the Crimean Khanate with Rzeczpospolita, 1654-1657: Military Aspects”, 12</w:t>
      </w:r>
      <w:r w:rsidR="0074748D">
        <w:rPr>
          <w:rFonts w:asciiTheme="majorBidi" w:hAnsiTheme="majorBidi" w:cstheme="majorBidi"/>
          <w:sz w:val="22"/>
          <w:szCs w:val="22"/>
        </w:rPr>
        <w:t>(1)</w:t>
      </w:r>
      <w:r w:rsidRPr="00165728">
        <w:rPr>
          <w:rFonts w:asciiTheme="majorBidi" w:hAnsiTheme="majorBidi" w:cstheme="majorBidi"/>
          <w:sz w:val="22"/>
          <w:szCs w:val="22"/>
        </w:rPr>
        <w:t xml:space="preserve"> </w:t>
      </w:r>
      <w:proofErr w:type="spellStart"/>
      <w:r w:rsidRPr="00165728">
        <w:rPr>
          <w:rFonts w:asciiTheme="majorBidi" w:hAnsiTheme="majorBidi" w:cstheme="majorBidi"/>
          <w:i/>
          <w:iCs/>
          <w:sz w:val="22"/>
          <w:szCs w:val="22"/>
        </w:rPr>
        <w:t>Tatarica</w:t>
      </w:r>
      <w:proofErr w:type="spellEnd"/>
      <w:r w:rsidRPr="00165728">
        <w:rPr>
          <w:rFonts w:asciiTheme="majorBidi" w:hAnsiTheme="majorBidi" w:cstheme="majorBidi"/>
          <w:sz w:val="22"/>
          <w:szCs w:val="22"/>
        </w:rPr>
        <w:t xml:space="preserve"> (2019) pp. 70-100.</w:t>
      </w:r>
    </w:p>
  </w:footnote>
  <w:footnote w:id="162">
    <w:p w14:paraId="4C3FA558" w14:textId="76CB510C"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On resulting Russian suppression of objecting Cossacks, see Stevens (n 1</w:t>
      </w:r>
      <w:r w:rsidR="0074748D">
        <w:rPr>
          <w:rFonts w:asciiTheme="majorBidi" w:hAnsiTheme="majorBidi" w:cstheme="majorBidi"/>
          <w:sz w:val="22"/>
          <w:szCs w:val="22"/>
        </w:rPr>
        <w:t>48</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168-172.</w:t>
      </w:r>
    </w:p>
  </w:footnote>
  <w:footnote w:id="163">
    <w:p w14:paraId="40B70C91"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Pr>
          <w:rFonts w:asciiTheme="majorBidi" w:hAnsiTheme="majorBidi" w:cstheme="majorBidi"/>
          <w:sz w:val="22"/>
          <w:szCs w:val="22"/>
        </w:rPr>
        <w:t xml:space="preserve">Perry </w:t>
      </w:r>
      <w:r w:rsidRPr="00356EAE">
        <w:rPr>
          <w:rFonts w:asciiTheme="majorBidi" w:hAnsiTheme="majorBidi" w:cstheme="majorBidi"/>
          <w:sz w:val="22"/>
          <w:szCs w:val="22"/>
        </w:rPr>
        <w:t>Anderson</w:t>
      </w:r>
      <w:r>
        <w:rPr>
          <w:rFonts w:asciiTheme="majorBidi" w:hAnsiTheme="majorBidi" w:cstheme="majorBidi"/>
          <w:sz w:val="22"/>
          <w:szCs w:val="22"/>
        </w:rPr>
        <w:t>,</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Lineages of the Absolutist State</w:t>
      </w:r>
      <w:r>
        <w:rPr>
          <w:rFonts w:asciiTheme="majorBidi" w:hAnsiTheme="majorBidi" w:cstheme="majorBidi"/>
          <w:sz w:val="22"/>
          <w:szCs w:val="22"/>
        </w:rPr>
        <w:t xml:space="preserve"> </w:t>
      </w:r>
      <w:r w:rsidRPr="00356EAE">
        <w:rPr>
          <w:rFonts w:asciiTheme="majorBidi" w:hAnsiTheme="majorBidi" w:cstheme="majorBidi"/>
          <w:sz w:val="22"/>
          <w:szCs w:val="22"/>
        </w:rPr>
        <w:t>(</w:t>
      </w:r>
      <w:r>
        <w:rPr>
          <w:rFonts w:asciiTheme="majorBidi" w:hAnsiTheme="majorBidi" w:cstheme="majorBidi"/>
          <w:sz w:val="22"/>
          <w:szCs w:val="22"/>
        </w:rPr>
        <w:t>2013</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291-295. </w:t>
      </w:r>
    </w:p>
  </w:footnote>
  <w:footnote w:id="164">
    <w:p w14:paraId="4969EA38" w14:textId="77777777"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Christoph Witzenrath, </w:t>
      </w:r>
      <w:r w:rsidRPr="00356EAE">
        <w:rPr>
          <w:rFonts w:asciiTheme="majorBidi" w:hAnsiTheme="majorBidi" w:cstheme="majorBidi"/>
          <w:i/>
          <w:iCs/>
          <w:sz w:val="22"/>
          <w:szCs w:val="22"/>
        </w:rPr>
        <w:t>Cossacks and the Russian Empire, 1598-1725: Manipulation, Rebellion and Expansion into Siberia</w:t>
      </w:r>
      <w:r w:rsidRPr="00356EAE">
        <w:rPr>
          <w:rFonts w:asciiTheme="majorBidi" w:hAnsiTheme="majorBidi" w:cstheme="majorBidi"/>
          <w:sz w:val="22"/>
          <w:szCs w:val="22"/>
        </w:rPr>
        <w:t xml:space="preserve"> (2007).</w:t>
      </w:r>
    </w:p>
  </w:footnote>
  <w:footnote w:id="165">
    <w:p w14:paraId="7F4B547C" w14:textId="457BEAC0" w:rsidR="00F81612" w:rsidRPr="00356EAE" w:rsidRDefault="00F81612" w:rsidP="00F81612">
      <w:pPr>
        <w:pStyle w:val="FootnoteText"/>
        <w:jc w:val="both"/>
        <w:rPr>
          <w:rFonts w:asciiTheme="majorBidi" w:hAnsiTheme="majorBidi" w:cstheme="majorBidi"/>
          <w:sz w:val="22"/>
          <w:szCs w:val="22"/>
        </w:rPr>
      </w:pPr>
      <w:r w:rsidRPr="00356EAE">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Dariusz Kołodziejczyk, </w:t>
      </w:r>
      <w:r>
        <w:rPr>
          <w:rFonts w:asciiTheme="majorBidi" w:hAnsiTheme="majorBidi" w:cstheme="majorBidi"/>
          <w:sz w:val="22"/>
          <w:szCs w:val="22"/>
        </w:rPr>
        <w:t>“</w:t>
      </w:r>
      <w:r w:rsidRPr="00356EAE">
        <w:rPr>
          <w:rFonts w:asciiTheme="majorBidi" w:hAnsiTheme="majorBidi" w:cstheme="majorBidi"/>
          <w:sz w:val="22"/>
          <w:szCs w:val="22"/>
        </w:rPr>
        <w:t>Captive Colonizers: The Role of the Prisoners of War from Poland-Lithuania and the Crimean Khanate in the Russian Subjugation of Eastern Siberia</w:t>
      </w:r>
      <w:r>
        <w:rPr>
          <w:rFonts w:asciiTheme="majorBidi" w:hAnsiTheme="majorBidi" w:cstheme="majorBidi"/>
          <w:sz w:val="22"/>
          <w:szCs w:val="22"/>
        </w:rPr>
        <w:t xml:space="preserve">”, </w:t>
      </w:r>
      <w:r w:rsidRPr="00856941">
        <w:rPr>
          <w:rFonts w:asciiTheme="majorBidi" w:hAnsiTheme="majorBidi" w:cstheme="majorBidi"/>
          <w:sz w:val="22"/>
          <w:szCs w:val="22"/>
        </w:rPr>
        <w:t>33</w:t>
      </w:r>
      <w:r w:rsidR="0074748D">
        <w:rPr>
          <w:rFonts w:asciiTheme="majorBidi" w:hAnsiTheme="majorBidi" w:cstheme="majorBidi"/>
          <w:sz w:val="22"/>
          <w:szCs w:val="22"/>
        </w:rPr>
        <w:t>(1)</w:t>
      </w:r>
      <w:r w:rsidRPr="00356EAE">
        <w:rPr>
          <w:rFonts w:asciiTheme="majorBidi" w:hAnsiTheme="majorBidi" w:cstheme="majorBidi"/>
          <w:i/>
          <w:iCs/>
          <w:sz w:val="22"/>
          <w:szCs w:val="22"/>
        </w:rPr>
        <w:t xml:space="preserve"> Journal of World History</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(2022) pp. </w:t>
      </w:r>
      <w:r w:rsidRPr="00356EAE">
        <w:rPr>
          <w:rFonts w:asciiTheme="majorBidi" w:hAnsiTheme="majorBidi" w:cstheme="majorBidi"/>
          <w:sz w:val="22"/>
          <w:szCs w:val="22"/>
        </w:rPr>
        <w:t>73</w:t>
      </w:r>
      <w:r>
        <w:rPr>
          <w:rFonts w:asciiTheme="majorBidi" w:hAnsiTheme="majorBidi" w:cstheme="majorBidi"/>
          <w:sz w:val="22"/>
          <w:szCs w:val="22"/>
        </w:rPr>
        <w:t>-102</w:t>
      </w:r>
      <w:r w:rsidRPr="00356EAE">
        <w:rPr>
          <w:rFonts w:asciiTheme="majorBidi" w:hAnsiTheme="majorBidi" w:cstheme="majorBidi"/>
          <w:sz w:val="22"/>
          <w:szCs w:val="22"/>
        </w:rPr>
        <w:t>.</w:t>
      </w:r>
    </w:p>
  </w:footnote>
  <w:footnote w:id="166">
    <w:p w14:paraId="07F519B4"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PP </w:t>
      </w:r>
      <w:proofErr w:type="spellStart"/>
      <w:r w:rsidRPr="00356EAE">
        <w:rPr>
          <w:rFonts w:asciiTheme="majorBidi" w:hAnsiTheme="majorBidi" w:cstheme="majorBidi"/>
          <w:sz w:val="22"/>
          <w:szCs w:val="22"/>
        </w:rPr>
        <w:t>Shafirov</w:t>
      </w:r>
      <w:proofErr w:type="spellEnd"/>
      <w:r w:rsidRPr="00356EAE">
        <w:rPr>
          <w:rFonts w:asciiTheme="majorBidi" w:hAnsiTheme="majorBidi" w:cstheme="majorBidi"/>
          <w:sz w:val="22"/>
          <w:szCs w:val="22"/>
        </w:rPr>
        <w:t>,</w:t>
      </w:r>
      <w:r w:rsidRPr="00356EAE">
        <w:rPr>
          <w:rFonts w:asciiTheme="majorBidi" w:hAnsiTheme="majorBidi" w:cstheme="majorBidi"/>
          <w:i/>
          <w:iCs/>
          <w:sz w:val="22"/>
          <w:szCs w:val="22"/>
        </w:rPr>
        <w:t xml:space="preserve"> A Discourse Concerning the Just Causes of the War Between Sweden and Russia: 1700-1721</w:t>
      </w:r>
      <w:r w:rsidRPr="00356EAE">
        <w:rPr>
          <w:rFonts w:asciiTheme="majorBidi" w:hAnsiTheme="majorBidi" w:cstheme="majorBidi"/>
          <w:sz w:val="22"/>
          <w:szCs w:val="22"/>
        </w:rPr>
        <w:t>, William Butler ed (1973) p</w:t>
      </w:r>
      <w:r>
        <w:rPr>
          <w:rFonts w:asciiTheme="majorBidi" w:hAnsiTheme="majorBidi" w:cstheme="majorBidi"/>
          <w:sz w:val="22"/>
          <w:szCs w:val="22"/>
        </w:rPr>
        <w:t>.</w:t>
      </w:r>
      <w:r w:rsidRPr="00856941">
        <w:rPr>
          <w:rFonts w:asciiTheme="majorBidi" w:hAnsiTheme="majorBidi" w:cstheme="majorBidi"/>
          <w:sz w:val="22"/>
          <w:szCs w:val="22"/>
        </w:rPr>
        <w:t xml:space="preserve"> 240</w:t>
      </w:r>
    </w:p>
  </w:footnote>
  <w:footnote w:id="167">
    <w:p w14:paraId="60E7BD38"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Ibid.</w:t>
      </w:r>
    </w:p>
  </w:footnote>
  <w:footnote w:id="168">
    <w:p w14:paraId="3552FB5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Ibid </w:t>
      </w:r>
      <w:r>
        <w:rPr>
          <w:rFonts w:asciiTheme="majorBidi" w:hAnsiTheme="majorBidi" w:cstheme="majorBidi"/>
          <w:sz w:val="22"/>
          <w:szCs w:val="22"/>
        </w:rPr>
        <w:t xml:space="preserve">pp. </w:t>
      </w:r>
      <w:r w:rsidRPr="00856941">
        <w:rPr>
          <w:rFonts w:asciiTheme="majorBidi" w:hAnsiTheme="majorBidi" w:cstheme="majorBidi"/>
          <w:sz w:val="22"/>
          <w:szCs w:val="22"/>
        </w:rPr>
        <w:t>335-336.</w:t>
      </w:r>
    </w:p>
  </w:footnote>
  <w:footnote w:id="169">
    <w:p w14:paraId="4B8104F5" w14:textId="5D89C80E"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Oona Hathaway et al, </w:t>
      </w:r>
      <w:r>
        <w:rPr>
          <w:rFonts w:asciiTheme="majorBidi" w:hAnsiTheme="majorBidi" w:cstheme="majorBidi"/>
          <w:sz w:val="22"/>
          <w:szCs w:val="22"/>
        </w:rPr>
        <w:t>“</w:t>
      </w:r>
      <w:r w:rsidRPr="00356EAE">
        <w:rPr>
          <w:rFonts w:asciiTheme="majorBidi" w:hAnsiTheme="majorBidi" w:cstheme="majorBidi"/>
          <w:sz w:val="22"/>
          <w:szCs w:val="22"/>
        </w:rPr>
        <w:t>War Manifestos</w:t>
      </w:r>
      <w:r>
        <w:rPr>
          <w:rFonts w:asciiTheme="majorBidi" w:hAnsiTheme="majorBidi" w:cstheme="majorBidi"/>
          <w:sz w:val="22"/>
          <w:szCs w:val="22"/>
        </w:rPr>
        <w:t>”,</w:t>
      </w:r>
      <w:r w:rsidRPr="00356EAE">
        <w:rPr>
          <w:rFonts w:asciiTheme="majorBidi" w:hAnsiTheme="majorBidi" w:cstheme="majorBidi"/>
          <w:sz w:val="22"/>
          <w:szCs w:val="22"/>
        </w:rPr>
        <w:t xml:space="preserve"> 85</w:t>
      </w:r>
      <w:r w:rsidR="0074748D">
        <w:rPr>
          <w:rFonts w:asciiTheme="majorBidi" w:hAnsiTheme="majorBidi" w:cstheme="majorBidi"/>
          <w:sz w:val="22"/>
          <w:szCs w:val="22"/>
        </w:rPr>
        <w:t>(5)</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University of Chicago Law Review</w:t>
      </w:r>
      <w:r w:rsidRPr="00356EAE">
        <w:rPr>
          <w:rFonts w:asciiTheme="majorBidi" w:hAnsiTheme="majorBidi" w:cstheme="majorBidi"/>
          <w:sz w:val="22"/>
          <w:szCs w:val="22"/>
        </w:rPr>
        <w:t xml:space="preserve"> (2018), pp. 1139-1226 </w:t>
      </w:r>
    </w:p>
  </w:footnote>
  <w:footnote w:id="170">
    <w:p w14:paraId="2FA8085E" w14:textId="09CCB048"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On Russia’s eventual military triumph in the region, see Robert Frost, </w:t>
      </w:r>
      <w:r w:rsidRPr="00856941">
        <w:rPr>
          <w:rFonts w:asciiTheme="majorBidi" w:hAnsiTheme="majorBidi" w:cstheme="majorBidi"/>
          <w:i/>
          <w:iCs/>
          <w:sz w:val="22"/>
          <w:szCs w:val="22"/>
        </w:rPr>
        <w:t>The Northern Wars: War, State, and Society in Northeastern Europe, 1558-1721</w:t>
      </w:r>
      <w:r w:rsidRPr="00356EAE">
        <w:rPr>
          <w:rFonts w:asciiTheme="majorBidi" w:hAnsiTheme="majorBidi" w:cstheme="majorBidi"/>
          <w:sz w:val="22"/>
          <w:szCs w:val="22"/>
        </w:rPr>
        <w:t xml:space="preserve"> (2014) pp. 294-296.</w:t>
      </w:r>
    </w:p>
  </w:footnote>
  <w:footnote w:id="171">
    <w:p w14:paraId="5C55BE10" w14:textId="47140B33"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Barfield (</w:t>
      </w:r>
      <w:r>
        <w:rPr>
          <w:rFonts w:asciiTheme="majorBidi" w:hAnsiTheme="majorBidi" w:cstheme="majorBidi"/>
          <w:sz w:val="22"/>
          <w:szCs w:val="22"/>
        </w:rPr>
        <w:t xml:space="preserve">n </w:t>
      </w:r>
      <w:r w:rsidR="0074748D">
        <w:rPr>
          <w:rFonts w:asciiTheme="majorBidi" w:hAnsiTheme="majorBidi" w:cstheme="majorBidi"/>
          <w:sz w:val="22"/>
          <w:szCs w:val="22"/>
        </w:rPr>
        <w:t>69</w:t>
      </w:r>
      <w:r w:rsidRPr="00356EAE">
        <w:rPr>
          <w:rFonts w:asciiTheme="majorBidi" w:hAnsiTheme="majorBidi" w:cstheme="majorBidi"/>
          <w:sz w:val="22"/>
          <w:szCs w:val="22"/>
        </w:rPr>
        <w:t>)</w:t>
      </w:r>
      <w:r>
        <w:rPr>
          <w:rFonts w:asciiTheme="majorBidi" w:hAnsiTheme="majorBidi" w:cstheme="majorBidi"/>
          <w:sz w:val="22"/>
          <w:szCs w:val="22"/>
        </w:rPr>
        <w:t xml:space="preserve"> pp.</w:t>
      </w:r>
      <w:r w:rsidRPr="00356EAE">
        <w:rPr>
          <w:rFonts w:asciiTheme="majorBidi" w:hAnsiTheme="majorBidi" w:cstheme="majorBidi"/>
          <w:sz w:val="22"/>
          <w:szCs w:val="22"/>
        </w:rPr>
        <w:t xml:space="preserve"> 286-291.</w:t>
      </w:r>
    </w:p>
  </w:footnote>
  <w:footnote w:id="172">
    <w:p w14:paraId="60694354"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Ibid </w:t>
      </w:r>
      <w:r>
        <w:rPr>
          <w:rFonts w:asciiTheme="majorBidi" w:hAnsiTheme="majorBidi" w:cstheme="majorBidi"/>
          <w:sz w:val="22"/>
          <w:szCs w:val="22"/>
        </w:rPr>
        <w:t xml:space="preserve">p. </w:t>
      </w:r>
      <w:r w:rsidRPr="00356EAE">
        <w:rPr>
          <w:rFonts w:asciiTheme="majorBidi" w:hAnsiTheme="majorBidi" w:cstheme="majorBidi"/>
          <w:sz w:val="22"/>
          <w:szCs w:val="22"/>
        </w:rPr>
        <w:t xml:space="preserve">289. </w:t>
      </w:r>
    </w:p>
  </w:footnote>
  <w:footnote w:id="173">
    <w:p w14:paraId="4148CD59" w14:textId="5D00B78A"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On Sweden as an exemplar of the Western model of monarchical absolutism, see Anderson</w:t>
      </w:r>
      <w:r>
        <w:rPr>
          <w:rFonts w:asciiTheme="majorBidi" w:hAnsiTheme="majorBidi" w:cstheme="majorBidi"/>
          <w:sz w:val="22"/>
          <w:szCs w:val="22"/>
        </w:rPr>
        <w:t>,</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Lineages</w:t>
      </w:r>
      <w:r>
        <w:rPr>
          <w:rFonts w:asciiTheme="majorBidi" w:hAnsiTheme="majorBidi" w:cstheme="majorBidi"/>
          <w:sz w:val="22"/>
          <w:szCs w:val="22"/>
        </w:rPr>
        <w:t xml:space="preserve"> </w:t>
      </w:r>
      <w:r w:rsidRPr="00356EAE">
        <w:rPr>
          <w:rFonts w:asciiTheme="majorBidi" w:hAnsiTheme="majorBidi" w:cstheme="majorBidi"/>
          <w:sz w:val="22"/>
          <w:szCs w:val="22"/>
        </w:rPr>
        <w:t>(</w:t>
      </w:r>
      <w:r>
        <w:rPr>
          <w:rFonts w:asciiTheme="majorBidi" w:hAnsiTheme="majorBidi" w:cstheme="majorBidi"/>
          <w:sz w:val="22"/>
          <w:szCs w:val="22"/>
        </w:rPr>
        <w:t>n 1</w:t>
      </w:r>
      <w:r w:rsidR="0074748D">
        <w:rPr>
          <w:rFonts w:asciiTheme="majorBidi" w:hAnsiTheme="majorBidi" w:cstheme="majorBidi"/>
          <w:sz w:val="22"/>
          <w:szCs w:val="22"/>
        </w:rPr>
        <w:t>63</w:t>
      </w:r>
      <w:r w:rsidRPr="00356EAE">
        <w:rPr>
          <w:rFonts w:asciiTheme="majorBidi" w:hAnsiTheme="majorBidi" w:cstheme="majorBidi"/>
          <w:sz w:val="22"/>
          <w:szCs w:val="22"/>
        </w:rPr>
        <w:t xml:space="preserve">) </w:t>
      </w:r>
      <w:r>
        <w:rPr>
          <w:rFonts w:asciiTheme="majorBidi" w:hAnsiTheme="majorBidi" w:cstheme="majorBidi"/>
          <w:sz w:val="22"/>
          <w:szCs w:val="22"/>
        </w:rPr>
        <w:t>pp. 173-191</w:t>
      </w:r>
      <w:r w:rsidRPr="00356EAE">
        <w:rPr>
          <w:rFonts w:asciiTheme="majorBidi" w:hAnsiTheme="majorBidi" w:cstheme="majorBidi"/>
          <w:sz w:val="22"/>
          <w:szCs w:val="22"/>
        </w:rPr>
        <w:t>.</w:t>
      </w:r>
    </w:p>
  </w:footnote>
  <w:footnote w:id="174">
    <w:p w14:paraId="20FAB563" w14:textId="087640B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J</w:t>
      </w:r>
      <w:r w:rsidR="0074748D">
        <w:rPr>
          <w:rFonts w:asciiTheme="majorBidi" w:hAnsiTheme="majorBidi" w:cstheme="majorBidi"/>
          <w:sz w:val="22"/>
          <w:szCs w:val="22"/>
        </w:rPr>
        <w:t>.</w:t>
      </w:r>
      <w:r w:rsidRPr="00356EAE">
        <w:rPr>
          <w:rFonts w:asciiTheme="majorBidi" w:hAnsiTheme="majorBidi" w:cstheme="majorBidi"/>
          <w:sz w:val="22"/>
          <w:szCs w:val="22"/>
        </w:rPr>
        <w:t>T</w:t>
      </w:r>
      <w:r w:rsidR="0074748D">
        <w:rPr>
          <w:rFonts w:asciiTheme="majorBidi" w:hAnsiTheme="majorBidi" w:cstheme="majorBidi"/>
          <w:sz w:val="22"/>
          <w:szCs w:val="22"/>
        </w:rPr>
        <w:t>.</w:t>
      </w:r>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Kotilaine</w:t>
      </w:r>
      <w:proofErr w:type="spellEnd"/>
      <w:r w:rsidRPr="00356EAE">
        <w:rPr>
          <w:rFonts w:asciiTheme="majorBidi" w:hAnsiTheme="majorBidi" w:cstheme="majorBidi"/>
          <w:sz w:val="22"/>
          <w:szCs w:val="22"/>
        </w:rPr>
        <w:t xml:space="preserve">, </w:t>
      </w:r>
      <w:r>
        <w:rPr>
          <w:rFonts w:asciiTheme="majorBidi" w:hAnsiTheme="majorBidi" w:cstheme="majorBidi"/>
          <w:sz w:val="22"/>
          <w:szCs w:val="22"/>
        </w:rPr>
        <w:t>“</w:t>
      </w:r>
      <w:r w:rsidRPr="00856941">
        <w:rPr>
          <w:rFonts w:asciiTheme="majorBidi" w:hAnsiTheme="majorBidi" w:cstheme="majorBidi"/>
          <w:sz w:val="22"/>
          <w:szCs w:val="22"/>
        </w:rPr>
        <w:t>Opening a Window on Europe: Foreign Trade and Military Conquest on Russia's Western Border in the 17th Century</w:t>
      </w:r>
      <w:r>
        <w:rPr>
          <w:rFonts w:asciiTheme="majorBidi" w:hAnsiTheme="majorBidi" w:cstheme="majorBidi"/>
          <w:sz w:val="22"/>
          <w:szCs w:val="22"/>
        </w:rPr>
        <w:t>”,</w:t>
      </w:r>
      <w:r w:rsidRPr="00356EAE">
        <w:rPr>
          <w:rFonts w:asciiTheme="majorBidi" w:hAnsiTheme="majorBidi" w:cstheme="majorBidi"/>
          <w:sz w:val="22"/>
          <w:szCs w:val="22"/>
        </w:rPr>
        <w:t xml:space="preserve"> 46</w:t>
      </w:r>
      <w:r w:rsidR="0074748D">
        <w:rPr>
          <w:rFonts w:asciiTheme="majorBidi" w:hAnsiTheme="majorBidi" w:cstheme="majorBidi"/>
          <w:sz w:val="22"/>
          <w:szCs w:val="22"/>
        </w:rPr>
        <w:t>(4)</w:t>
      </w:r>
      <w:r w:rsidRPr="00856941">
        <w:rPr>
          <w:rFonts w:asciiTheme="majorBidi" w:hAnsiTheme="majorBidi" w:cstheme="majorBidi"/>
          <w:sz w:val="22"/>
          <w:szCs w:val="22"/>
        </w:rPr>
        <w:t xml:space="preserve"> </w:t>
      </w:r>
      <w:proofErr w:type="spellStart"/>
      <w:r w:rsidRPr="00856941">
        <w:rPr>
          <w:rFonts w:asciiTheme="majorBidi" w:hAnsiTheme="majorBidi" w:cstheme="majorBidi"/>
          <w:i/>
          <w:iCs/>
          <w:sz w:val="22"/>
          <w:szCs w:val="22"/>
        </w:rPr>
        <w:t>Jahrbücher</w:t>
      </w:r>
      <w:proofErr w:type="spellEnd"/>
      <w:r w:rsidRPr="00856941">
        <w:rPr>
          <w:rFonts w:asciiTheme="majorBidi" w:hAnsiTheme="majorBidi" w:cstheme="majorBidi"/>
          <w:i/>
          <w:iCs/>
          <w:sz w:val="22"/>
          <w:szCs w:val="22"/>
        </w:rPr>
        <w:t xml:space="preserve"> für </w:t>
      </w:r>
      <w:proofErr w:type="spellStart"/>
      <w:r w:rsidRPr="00856941">
        <w:rPr>
          <w:rFonts w:asciiTheme="majorBidi" w:hAnsiTheme="majorBidi" w:cstheme="majorBidi"/>
          <w:i/>
          <w:iCs/>
          <w:sz w:val="22"/>
          <w:szCs w:val="22"/>
        </w:rPr>
        <w:t>Geschichte</w:t>
      </w:r>
      <w:proofErr w:type="spellEnd"/>
      <w:r w:rsidRPr="00856941">
        <w:rPr>
          <w:rFonts w:asciiTheme="majorBidi" w:hAnsiTheme="majorBidi" w:cstheme="majorBidi"/>
          <w:i/>
          <w:iCs/>
          <w:sz w:val="22"/>
          <w:szCs w:val="22"/>
        </w:rPr>
        <w:t xml:space="preserve"> </w:t>
      </w:r>
      <w:proofErr w:type="spellStart"/>
      <w:r w:rsidRPr="00856941">
        <w:rPr>
          <w:rFonts w:asciiTheme="majorBidi" w:hAnsiTheme="majorBidi" w:cstheme="majorBidi"/>
          <w:i/>
          <w:iCs/>
          <w:sz w:val="22"/>
          <w:szCs w:val="22"/>
        </w:rPr>
        <w:t>Osteuropas</w:t>
      </w:r>
      <w:proofErr w:type="spellEnd"/>
      <w:r w:rsidRPr="00356EAE">
        <w:rPr>
          <w:rFonts w:asciiTheme="majorBidi" w:hAnsiTheme="majorBidi" w:cstheme="majorBidi"/>
          <w:sz w:val="22"/>
          <w:szCs w:val="22"/>
        </w:rPr>
        <w:t xml:space="preserve"> (1998) pp. 495-530; </w:t>
      </w:r>
      <w:r>
        <w:rPr>
          <w:rFonts w:asciiTheme="majorBidi" w:hAnsiTheme="majorBidi" w:cstheme="majorBidi"/>
          <w:sz w:val="22"/>
          <w:szCs w:val="22"/>
        </w:rPr>
        <w:t xml:space="preserve">John LeDonne, </w:t>
      </w:r>
      <w:r w:rsidRPr="00856941">
        <w:rPr>
          <w:rFonts w:asciiTheme="majorBidi" w:hAnsiTheme="majorBidi" w:cstheme="majorBidi"/>
          <w:i/>
          <w:iCs/>
          <w:sz w:val="22"/>
          <w:szCs w:val="22"/>
        </w:rPr>
        <w:t>Absolutism and Ruling Class: The Formation of the Russian Political Order, 1700-1825</w:t>
      </w:r>
      <w:r w:rsidRPr="00356EAE">
        <w:rPr>
          <w:rFonts w:asciiTheme="majorBidi" w:hAnsiTheme="majorBidi" w:cstheme="majorBidi"/>
          <w:sz w:val="22"/>
          <w:szCs w:val="22"/>
        </w:rPr>
        <w:t xml:space="preserve"> (2018). </w:t>
      </w:r>
    </w:p>
  </w:footnote>
  <w:footnote w:id="175">
    <w:p w14:paraId="4D0D5993" w14:textId="74E9720B"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w:t>
      </w:r>
      <w:r>
        <w:rPr>
          <w:rFonts w:asciiTheme="majorBidi" w:hAnsiTheme="majorBidi" w:cstheme="majorBidi"/>
          <w:sz w:val="22"/>
          <w:szCs w:val="22"/>
        </w:rPr>
        <w:t>S</w:t>
      </w:r>
      <w:r w:rsidRPr="00356EAE">
        <w:rPr>
          <w:rFonts w:asciiTheme="majorBidi" w:hAnsiTheme="majorBidi" w:cstheme="majorBidi"/>
          <w:sz w:val="22"/>
          <w:szCs w:val="22"/>
        </w:rPr>
        <w:t xml:space="preserve">ee Richard Devetak, </w:t>
      </w:r>
      <w:r>
        <w:rPr>
          <w:rFonts w:asciiTheme="majorBidi" w:hAnsiTheme="majorBidi" w:cstheme="majorBidi"/>
          <w:sz w:val="22"/>
          <w:szCs w:val="22"/>
        </w:rPr>
        <w:t>“</w:t>
      </w:r>
      <w:r w:rsidRPr="00356EAE">
        <w:rPr>
          <w:rFonts w:asciiTheme="majorBidi" w:hAnsiTheme="majorBidi" w:cstheme="majorBidi"/>
          <w:sz w:val="22"/>
          <w:szCs w:val="22"/>
        </w:rPr>
        <w:t>Historiographical Foundations of Modern International Thought: Histories of the European States-System from Florence to Göttingen</w:t>
      </w:r>
      <w:r>
        <w:rPr>
          <w:rFonts w:asciiTheme="majorBidi" w:hAnsiTheme="majorBidi" w:cstheme="majorBidi"/>
          <w:sz w:val="22"/>
          <w:szCs w:val="22"/>
        </w:rPr>
        <w:t>”,</w:t>
      </w:r>
      <w:r w:rsidRPr="00356EAE">
        <w:rPr>
          <w:rFonts w:asciiTheme="majorBidi" w:hAnsiTheme="majorBidi" w:cstheme="majorBidi"/>
          <w:sz w:val="22"/>
          <w:szCs w:val="22"/>
        </w:rPr>
        <w:t xml:space="preserve"> </w:t>
      </w:r>
      <w:r>
        <w:rPr>
          <w:rFonts w:asciiTheme="majorBidi" w:hAnsiTheme="majorBidi" w:cstheme="majorBidi"/>
          <w:sz w:val="22"/>
          <w:szCs w:val="22"/>
        </w:rPr>
        <w:t>41</w:t>
      </w:r>
      <w:r w:rsidR="0074748D">
        <w:rPr>
          <w:rFonts w:asciiTheme="majorBidi" w:hAnsiTheme="majorBidi" w:cstheme="majorBidi"/>
          <w:sz w:val="22"/>
          <w:szCs w:val="22"/>
        </w:rPr>
        <w:t>(1)</w:t>
      </w:r>
      <w:r>
        <w:rPr>
          <w:rFonts w:asciiTheme="majorBidi" w:hAnsiTheme="majorBidi" w:cstheme="majorBidi"/>
          <w:sz w:val="22"/>
          <w:szCs w:val="22"/>
        </w:rPr>
        <w:t xml:space="preserve"> </w:t>
      </w:r>
      <w:r w:rsidRPr="00856941">
        <w:rPr>
          <w:rFonts w:asciiTheme="majorBidi" w:hAnsiTheme="majorBidi" w:cstheme="majorBidi"/>
          <w:i/>
          <w:iCs/>
          <w:sz w:val="22"/>
          <w:szCs w:val="22"/>
        </w:rPr>
        <w:t>History of European Ideas</w:t>
      </w:r>
      <w:r>
        <w:rPr>
          <w:rFonts w:asciiTheme="majorBidi" w:hAnsiTheme="majorBidi" w:cstheme="majorBidi"/>
          <w:sz w:val="22"/>
          <w:szCs w:val="22"/>
        </w:rPr>
        <w:t xml:space="preserve"> </w:t>
      </w:r>
      <w:r w:rsidRPr="00356EAE">
        <w:rPr>
          <w:rFonts w:asciiTheme="majorBidi" w:hAnsiTheme="majorBidi" w:cstheme="majorBidi"/>
          <w:sz w:val="22"/>
          <w:szCs w:val="22"/>
        </w:rPr>
        <w:t>(2015) pp. 62-77.</w:t>
      </w:r>
    </w:p>
  </w:footnote>
  <w:footnote w:id="176">
    <w:p w14:paraId="1432489A" w14:textId="4B1A98A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Olga </w:t>
      </w:r>
      <w:proofErr w:type="spellStart"/>
      <w:r w:rsidRPr="00356EAE">
        <w:rPr>
          <w:rFonts w:asciiTheme="majorBidi" w:hAnsiTheme="majorBidi" w:cstheme="majorBidi"/>
          <w:sz w:val="22"/>
          <w:szCs w:val="22"/>
        </w:rPr>
        <w:t>Gritsai</w:t>
      </w:r>
      <w:proofErr w:type="spellEnd"/>
      <w:r w:rsidRPr="00356EAE">
        <w:rPr>
          <w:rFonts w:asciiTheme="majorBidi" w:hAnsiTheme="majorBidi" w:cstheme="majorBidi"/>
          <w:sz w:val="22"/>
          <w:szCs w:val="22"/>
        </w:rPr>
        <w:t xml:space="preserve"> and Herman van der Wusten, </w:t>
      </w:r>
      <w:r>
        <w:rPr>
          <w:rFonts w:asciiTheme="majorBidi" w:hAnsiTheme="majorBidi" w:cstheme="majorBidi"/>
          <w:sz w:val="22"/>
          <w:szCs w:val="22"/>
        </w:rPr>
        <w:t>“</w:t>
      </w:r>
      <w:r w:rsidRPr="00356EAE">
        <w:rPr>
          <w:rFonts w:asciiTheme="majorBidi" w:hAnsiTheme="majorBidi" w:cstheme="majorBidi"/>
          <w:sz w:val="22"/>
          <w:szCs w:val="22"/>
        </w:rPr>
        <w:t>Moscow and St. Petersburg, a Sequence of Capitals, a Tale of Two Cities</w:t>
      </w:r>
      <w:r>
        <w:rPr>
          <w:rFonts w:asciiTheme="majorBidi" w:hAnsiTheme="majorBidi" w:cstheme="majorBidi"/>
          <w:sz w:val="22"/>
          <w:szCs w:val="22"/>
        </w:rPr>
        <w:t>”,</w:t>
      </w:r>
      <w:r w:rsidRPr="00356EAE">
        <w:rPr>
          <w:rFonts w:asciiTheme="majorBidi" w:hAnsiTheme="majorBidi" w:cstheme="majorBidi"/>
          <w:sz w:val="22"/>
          <w:szCs w:val="22"/>
        </w:rPr>
        <w:t xml:space="preserve"> 51</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proofErr w:type="spellStart"/>
      <w:r w:rsidRPr="00856941">
        <w:rPr>
          <w:rFonts w:asciiTheme="majorBidi" w:hAnsiTheme="majorBidi" w:cstheme="majorBidi"/>
          <w:i/>
          <w:iCs/>
          <w:sz w:val="22"/>
          <w:szCs w:val="22"/>
        </w:rPr>
        <w:t>GeoJournal</w:t>
      </w:r>
      <w:proofErr w:type="spellEnd"/>
      <w:r w:rsidRPr="00356EAE">
        <w:rPr>
          <w:rFonts w:asciiTheme="majorBidi" w:hAnsiTheme="majorBidi" w:cstheme="majorBidi"/>
          <w:sz w:val="22"/>
          <w:szCs w:val="22"/>
        </w:rPr>
        <w:t xml:space="preserve"> </w:t>
      </w:r>
      <w:r>
        <w:rPr>
          <w:rFonts w:asciiTheme="majorBidi" w:hAnsiTheme="majorBidi" w:cstheme="majorBidi"/>
          <w:sz w:val="22"/>
          <w:szCs w:val="22"/>
        </w:rPr>
        <w:t xml:space="preserve">(2000) pp. </w:t>
      </w:r>
      <w:r w:rsidRPr="00356EAE">
        <w:rPr>
          <w:rFonts w:asciiTheme="majorBidi" w:hAnsiTheme="majorBidi" w:cstheme="majorBidi"/>
          <w:sz w:val="22"/>
          <w:szCs w:val="22"/>
        </w:rPr>
        <w:t>33</w:t>
      </w:r>
      <w:r>
        <w:rPr>
          <w:rFonts w:asciiTheme="majorBidi" w:hAnsiTheme="majorBidi" w:cstheme="majorBidi"/>
          <w:sz w:val="22"/>
          <w:szCs w:val="22"/>
        </w:rPr>
        <w:t>-45</w:t>
      </w:r>
      <w:r w:rsidRPr="00356EAE">
        <w:rPr>
          <w:rFonts w:asciiTheme="majorBidi" w:hAnsiTheme="majorBidi" w:cstheme="majorBidi"/>
          <w:sz w:val="22"/>
          <w:szCs w:val="22"/>
        </w:rPr>
        <w:t>.</w:t>
      </w:r>
    </w:p>
  </w:footnote>
  <w:footnote w:id="177">
    <w:p w14:paraId="6817FA82" w14:textId="194D4420"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Andrew Phillips and J</w:t>
      </w:r>
      <w:r w:rsidR="0074748D">
        <w:rPr>
          <w:rFonts w:asciiTheme="majorBidi" w:hAnsiTheme="majorBidi" w:cstheme="majorBidi"/>
          <w:sz w:val="22"/>
          <w:szCs w:val="22"/>
        </w:rPr>
        <w:t>.</w:t>
      </w:r>
      <w:r w:rsidRPr="00356EAE">
        <w:rPr>
          <w:rFonts w:asciiTheme="majorBidi" w:hAnsiTheme="majorBidi" w:cstheme="majorBidi"/>
          <w:sz w:val="22"/>
          <w:szCs w:val="22"/>
        </w:rPr>
        <w:t>C</w:t>
      </w:r>
      <w:r w:rsidR="0074748D">
        <w:rPr>
          <w:rFonts w:asciiTheme="majorBidi" w:hAnsiTheme="majorBidi" w:cstheme="majorBidi"/>
          <w:sz w:val="22"/>
          <w:szCs w:val="22"/>
        </w:rPr>
        <w:t>.</w:t>
      </w:r>
      <w:r w:rsidRPr="00356EAE">
        <w:rPr>
          <w:rFonts w:asciiTheme="majorBidi" w:hAnsiTheme="majorBidi" w:cstheme="majorBidi"/>
          <w:sz w:val="22"/>
          <w:szCs w:val="22"/>
        </w:rPr>
        <w:t xml:space="preserve"> Sharman, </w:t>
      </w:r>
      <w:r w:rsidRPr="00856941">
        <w:rPr>
          <w:rFonts w:asciiTheme="majorBidi" w:hAnsiTheme="majorBidi" w:cstheme="majorBidi"/>
          <w:i/>
          <w:iCs/>
          <w:sz w:val="22"/>
          <w:szCs w:val="22"/>
        </w:rPr>
        <w:t xml:space="preserve">Outsourcing Empire: How Company States Made the Modern World </w:t>
      </w:r>
      <w:r w:rsidRPr="00356EAE">
        <w:rPr>
          <w:rFonts w:asciiTheme="majorBidi" w:hAnsiTheme="majorBidi" w:cstheme="majorBidi"/>
          <w:sz w:val="22"/>
          <w:szCs w:val="22"/>
        </w:rPr>
        <w:t>(2020), p. 109.</w:t>
      </w:r>
    </w:p>
  </w:footnote>
  <w:footnote w:id="178">
    <w:p w14:paraId="7AF240C3" w14:textId="0626AECC"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Y</w:t>
      </w:r>
      <w:r w:rsidR="0074748D">
        <w:rPr>
          <w:rFonts w:asciiTheme="majorBidi" w:hAnsiTheme="majorBidi" w:cstheme="majorBidi"/>
          <w:sz w:val="22"/>
          <w:szCs w:val="22"/>
        </w:rPr>
        <w:t>.</w:t>
      </w:r>
      <w:r w:rsidRPr="00356EAE">
        <w:rPr>
          <w:rFonts w:asciiTheme="majorBidi" w:hAnsiTheme="majorBidi" w:cstheme="majorBidi"/>
          <w:sz w:val="22"/>
          <w:szCs w:val="22"/>
        </w:rPr>
        <w:t xml:space="preserve"> Eyüp Özveren, </w:t>
      </w:r>
      <w:r>
        <w:rPr>
          <w:rFonts w:asciiTheme="majorBidi" w:hAnsiTheme="majorBidi" w:cstheme="majorBidi"/>
          <w:sz w:val="22"/>
          <w:szCs w:val="22"/>
        </w:rPr>
        <w:t>“</w:t>
      </w:r>
      <w:r w:rsidRPr="00856941">
        <w:rPr>
          <w:rFonts w:asciiTheme="majorBidi" w:hAnsiTheme="majorBidi" w:cstheme="majorBidi"/>
          <w:sz w:val="22"/>
          <w:szCs w:val="22"/>
        </w:rPr>
        <w:t>Shipbuilding, 1590-1790</w:t>
      </w:r>
      <w:r>
        <w:rPr>
          <w:rFonts w:asciiTheme="majorBidi" w:hAnsiTheme="majorBidi" w:cstheme="majorBidi"/>
          <w:sz w:val="22"/>
          <w:szCs w:val="22"/>
        </w:rPr>
        <w:t>”</w:t>
      </w:r>
      <w:r w:rsidRPr="00356EAE">
        <w:rPr>
          <w:rFonts w:asciiTheme="majorBidi" w:hAnsiTheme="majorBidi" w:cstheme="majorBidi"/>
          <w:sz w:val="22"/>
          <w:szCs w:val="22"/>
        </w:rPr>
        <w:t>,</w:t>
      </w:r>
      <w:r w:rsidRPr="00856941">
        <w:rPr>
          <w:rFonts w:asciiTheme="majorBidi" w:hAnsiTheme="majorBidi" w:cstheme="majorBidi"/>
          <w:sz w:val="22"/>
          <w:szCs w:val="22"/>
        </w:rPr>
        <w:t xml:space="preserve"> 23</w:t>
      </w:r>
      <w:r w:rsidR="0074748D">
        <w:rPr>
          <w:rFonts w:asciiTheme="majorBidi" w:hAnsiTheme="majorBidi" w:cstheme="majorBidi"/>
          <w:sz w:val="22"/>
          <w:szCs w:val="22"/>
        </w:rPr>
        <w:t>(1)</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 xml:space="preserve">Review (Fernand Braudel </w:t>
      </w:r>
      <w:proofErr w:type="spellStart"/>
      <w:r w:rsidRPr="00856941">
        <w:rPr>
          <w:rFonts w:asciiTheme="majorBidi" w:hAnsiTheme="majorBidi" w:cstheme="majorBidi"/>
          <w:i/>
          <w:iCs/>
          <w:sz w:val="22"/>
          <w:szCs w:val="22"/>
        </w:rPr>
        <w:t>Center</w:t>
      </w:r>
      <w:proofErr w:type="spellEnd"/>
      <w:r w:rsidRPr="00856941">
        <w:rPr>
          <w:rFonts w:asciiTheme="majorBidi" w:hAnsiTheme="majorBidi" w:cstheme="majorBidi"/>
          <w:i/>
          <w:iCs/>
          <w:sz w:val="22"/>
          <w:szCs w:val="22"/>
        </w:rPr>
        <w:t>)</w:t>
      </w:r>
      <w:r w:rsidRPr="00856941">
        <w:rPr>
          <w:rFonts w:asciiTheme="majorBidi" w:hAnsiTheme="majorBidi" w:cstheme="majorBidi"/>
          <w:sz w:val="22"/>
          <w:szCs w:val="22"/>
        </w:rPr>
        <w:t xml:space="preserve"> (2000)</w:t>
      </w:r>
      <w:r w:rsidRPr="00356EAE">
        <w:rPr>
          <w:rFonts w:asciiTheme="majorBidi" w:hAnsiTheme="majorBidi" w:cstheme="majorBidi"/>
          <w:sz w:val="22"/>
          <w:szCs w:val="22"/>
        </w:rPr>
        <w:t xml:space="preserve"> pp. </w:t>
      </w:r>
      <w:r w:rsidRPr="00856941">
        <w:rPr>
          <w:rFonts w:asciiTheme="majorBidi" w:hAnsiTheme="majorBidi" w:cstheme="majorBidi"/>
          <w:sz w:val="22"/>
          <w:szCs w:val="22"/>
        </w:rPr>
        <w:t>58, 62-67.</w:t>
      </w:r>
    </w:p>
  </w:footnote>
  <w:footnote w:id="179">
    <w:p w14:paraId="3AAB7C7D"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Michael North, </w:t>
      </w:r>
      <w:r w:rsidRPr="00856941">
        <w:rPr>
          <w:rFonts w:asciiTheme="majorBidi" w:hAnsiTheme="majorBidi" w:cstheme="majorBidi"/>
          <w:i/>
          <w:iCs/>
          <w:sz w:val="22"/>
          <w:szCs w:val="22"/>
        </w:rPr>
        <w:t>The Baltic: A History</w:t>
      </w:r>
      <w:r w:rsidRPr="00356EAE">
        <w:rPr>
          <w:rFonts w:asciiTheme="majorBidi" w:hAnsiTheme="majorBidi" w:cstheme="majorBidi"/>
          <w:sz w:val="22"/>
          <w:szCs w:val="22"/>
        </w:rPr>
        <w:t xml:space="preserve"> (2015) pp. 158-164</w:t>
      </w:r>
      <w:r>
        <w:rPr>
          <w:rFonts w:asciiTheme="majorBidi" w:hAnsiTheme="majorBidi" w:cstheme="majorBidi"/>
          <w:sz w:val="22"/>
          <w:szCs w:val="22"/>
        </w:rPr>
        <w:t>.</w:t>
      </w:r>
      <w:r w:rsidRPr="00356EAE">
        <w:rPr>
          <w:rFonts w:asciiTheme="majorBidi" w:hAnsiTheme="majorBidi" w:cstheme="majorBidi"/>
          <w:sz w:val="22"/>
          <w:szCs w:val="22"/>
        </w:rPr>
        <w:t xml:space="preserve"> </w:t>
      </w:r>
    </w:p>
  </w:footnote>
  <w:footnote w:id="180">
    <w:p w14:paraId="5FD3A6CB"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Ryan Tucker Jones, </w:t>
      </w:r>
      <w:r w:rsidRPr="00856941">
        <w:rPr>
          <w:rFonts w:asciiTheme="majorBidi" w:hAnsiTheme="majorBidi" w:cstheme="majorBidi"/>
          <w:i/>
          <w:iCs/>
          <w:sz w:val="22"/>
          <w:szCs w:val="22"/>
        </w:rPr>
        <w:t>Empire of Extinction: Russians and the North Pacific's Strange Beasts of the Sea, 1741-1867</w:t>
      </w:r>
      <w:r w:rsidRPr="00356EAE">
        <w:rPr>
          <w:rFonts w:asciiTheme="majorBidi" w:hAnsiTheme="majorBidi" w:cstheme="majorBidi"/>
          <w:sz w:val="22"/>
          <w:szCs w:val="22"/>
        </w:rPr>
        <w:t xml:space="preserve"> (2014).</w:t>
      </w:r>
    </w:p>
  </w:footnote>
  <w:footnote w:id="181">
    <w:p w14:paraId="55B29C5A" w14:textId="744BD431"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Karen Bird, </w:t>
      </w:r>
      <w:r>
        <w:rPr>
          <w:rFonts w:asciiTheme="majorBidi" w:hAnsiTheme="majorBidi" w:cstheme="majorBidi"/>
          <w:sz w:val="22"/>
          <w:szCs w:val="22"/>
        </w:rPr>
        <w:t>“</w:t>
      </w:r>
      <w:r w:rsidRPr="00356EAE">
        <w:rPr>
          <w:rFonts w:asciiTheme="majorBidi" w:hAnsiTheme="majorBidi" w:cstheme="majorBidi"/>
          <w:sz w:val="22"/>
          <w:szCs w:val="22"/>
        </w:rPr>
        <w:t>The Ottoman East and the ‘Moral Geography’ of Europe's Enlightenment</w:t>
      </w:r>
      <w:r>
        <w:rPr>
          <w:rFonts w:asciiTheme="majorBidi" w:hAnsiTheme="majorBidi" w:cstheme="majorBidi"/>
          <w:sz w:val="22"/>
          <w:szCs w:val="22"/>
        </w:rPr>
        <w:t>”</w:t>
      </w:r>
      <w:r w:rsidRPr="00356EAE">
        <w:rPr>
          <w:rFonts w:asciiTheme="majorBidi" w:hAnsiTheme="majorBidi" w:cstheme="majorBidi"/>
          <w:sz w:val="22"/>
          <w:szCs w:val="22"/>
        </w:rPr>
        <w:t>, 21</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Limina</w:t>
      </w:r>
      <w:r w:rsidRPr="00356EAE">
        <w:rPr>
          <w:rFonts w:asciiTheme="majorBidi" w:hAnsiTheme="majorBidi" w:cstheme="majorBidi"/>
          <w:sz w:val="22"/>
          <w:szCs w:val="22"/>
        </w:rPr>
        <w:t xml:space="preserve"> (2016) pp. 60-73.</w:t>
      </w:r>
    </w:p>
  </w:footnote>
  <w:footnote w:id="182">
    <w:p w14:paraId="40250409"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Will Smiley,</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From Slaves to Prisoners of War: The Ottoman Empire, Russia, and International Law</w:t>
      </w:r>
      <w:r w:rsidRPr="00356EAE">
        <w:rPr>
          <w:rFonts w:asciiTheme="majorBidi" w:hAnsiTheme="majorBidi" w:cstheme="majorBidi"/>
          <w:sz w:val="22"/>
          <w:szCs w:val="22"/>
        </w:rPr>
        <w:t xml:space="preserve"> (2018).</w:t>
      </w:r>
    </w:p>
  </w:footnote>
  <w:footnote w:id="183">
    <w:p w14:paraId="671890DA" w14:textId="78A70110"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Victor Taki, </w:t>
      </w:r>
      <w:r>
        <w:rPr>
          <w:rFonts w:asciiTheme="majorBidi" w:hAnsiTheme="majorBidi" w:cstheme="majorBidi"/>
          <w:sz w:val="22"/>
          <w:szCs w:val="22"/>
        </w:rPr>
        <w:t>“</w:t>
      </w:r>
      <w:r w:rsidRPr="00356EAE">
        <w:rPr>
          <w:rFonts w:asciiTheme="majorBidi" w:hAnsiTheme="majorBidi" w:cstheme="majorBidi"/>
          <w:sz w:val="22"/>
          <w:szCs w:val="22"/>
        </w:rPr>
        <w:t>Orientalism on the Margins: The Ottoman Empire under Russian Eyes</w:t>
      </w:r>
      <w:r>
        <w:rPr>
          <w:rFonts w:asciiTheme="majorBidi" w:hAnsiTheme="majorBidi" w:cstheme="majorBidi"/>
          <w:sz w:val="22"/>
          <w:szCs w:val="22"/>
        </w:rPr>
        <w:t>”</w:t>
      </w:r>
      <w:r w:rsidRPr="00356EAE">
        <w:rPr>
          <w:rFonts w:asciiTheme="majorBidi" w:hAnsiTheme="majorBidi" w:cstheme="majorBidi"/>
          <w:sz w:val="22"/>
          <w:szCs w:val="22"/>
        </w:rPr>
        <w:t>, 12</w:t>
      </w:r>
      <w:r w:rsidR="0074748D">
        <w:rPr>
          <w:rFonts w:asciiTheme="majorBidi" w:hAnsiTheme="majorBidi" w:cstheme="majorBidi"/>
          <w:sz w:val="22"/>
          <w:szCs w:val="22"/>
        </w:rPr>
        <w:t>(2)</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Kritika</w:t>
      </w:r>
      <w:r w:rsidRPr="00356EAE">
        <w:rPr>
          <w:rFonts w:asciiTheme="majorBidi" w:hAnsiTheme="majorBidi" w:cstheme="majorBidi"/>
          <w:sz w:val="22"/>
          <w:szCs w:val="22"/>
        </w:rPr>
        <w:t xml:space="preserve"> (2011) </w:t>
      </w:r>
      <w:r>
        <w:rPr>
          <w:rFonts w:asciiTheme="majorBidi" w:hAnsiTheme="majorBidi" w:cstheme="majorBidi"/>
          <w:sz w:val="22"/>
          <w:szCs w:val="22"/>
        </w:rPr>
        <w:t>pp.</w:t>
      </w:r>
      <w:r w:rsidRPr="00356EAE">
        <w:rPr>
          <w:rFonts w:asciiTheme="majorBidi" w:hAnsiTheme="majorBidi" w:cstheme="majorBidi"/>
          <w:sz w:val="22"/>
          <w:szCs w:val="22"/>
        </w:rPr>
        <w:t xml:space="preserve"> 330-336</w:t>
      </w:r>
    </w:p>
  </w:footnote>
  <w:footnote w:id="184">
    <w:p w14:paraId="3479F541"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S</w:t>
      </w:r>
      <w:r w:rsidRPr="00356EAE">
        <w:rPr>
          <w:rFonts w:asciiTheme="majorBidi" w:hAnsiTheme="majorBidi" w:cstheme="majorBidi"/>
          <w:sz w:val="22"/>
          <w:szCs w:val="22"/>
        </w:rPr>
        <w:t>ee Larry Wolff,</w:t>
      </w:r>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Inventing Eastern Europe: The Map of Civilization on the Mind of the Enlightenment</w:t>
      </w:r>
      <w:r w:rsidRPr="00356EAE">
        <w:rPr>
          <w:rFonts w:asciiTheme="majorBidi" w:hAnsiTheme="majorBidi" w:cstheme="majorBidi"/>
          <w:sz w:val="22"/>
          <w:szCs w:val="22"/>
        </w:rPr>
        <w:t xml:space="preserve"> (1996)</w:t>
      </w:r>
      <w:r>
        <w:rPr>
          <w:rFonts w:asciiTheme="majorBidi" w:hAnsiTheme="majorBidi" w:cstheme="majorBidi"/>
          <w:sz w:val="22"/>
          <w:szCs w:val="22"/>
        </w:rPr>
        <w:t>, pp. 195-202</w:t>
      </w:r>
      <w:r w:rsidRPr="00356EAE">
        <w:rPr>
          <w:rFonts w:asciiTheme="majorBidi" w:hAnsiTheme="majorBidi" w:cstheme="majorBidi"/>
          <w:sz w:val="22"/>
          <w:szCs w:val="22"/>
        </w:rPr>
        <w:t>.</w:t>
      </w:r>
    </w:p>
  </w:footnote>
  <w:footnote w:id="185">
    <w:p w14:paraId="45C29455" w14:textId="4F98BFE5"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Barne</w:t>
      </w:r>
      <w:r>
        <w:rPr>
          <w:rFonts w:asciiTheme="majorBidi" w:hAnsiTheme="majorBidi" w:cstheme="majorBidi"/>
          <w:sz w:val="22"/>
          <w:szCs w:val="22"/>
        </w:rPr>
        <w:t>s</w:t>
      </w:r>
      <w:r w:rsidRPr="00356EAE">
        <w:rPr>
          <w:rFonts w:asciiTheme="majorBidi" w:hAnsiTheme="majorBidi" w:cstheme="majorBidi"/>
          <w:sz w:val="22"/>
          <w:szCs w:val="22"/>
        </w:rPr>
        <w:t xml:space="preserve"> (n </w:t>
      </w:r>
      <w:r>
        <w:rPr>
          <w:rFonts w:asciiTheme="majorBidi" w:hAnsiTheme="majorBidi" w:cstheme="majorBidi"/>
          <w:sz w:val="22"/>
          <w:szCs w:val="22"/>
        </w:rPr>
        <w:t>1</w:t>
      </w:r>
      <w:r w:rsidR="0074748D">
        <w:rPr>
          <w:rFonts w:asciiTheme="majorBidi" w:hAnsiTheme="majorBidi" w:cstheme="majorBidi"/>
          <w:sz w:val="22"/>
          <w:szCs w:val="22"/>
        </w:rPr>
        <w:t>17</w:t>
      </w:r>
      <w:r w:rsidRPr="00356EAE">
        <w:rPr>
          <w:rFonts w:asciiTheme="majorBidi" w:hAnsiTheme="majorBidi" w:cstheme="majorBidi"/>
          <w:sz w:val="22"/>
          <w:szCs w:val="22"/>
        </w:rPr>
        <w:t>)</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53; Nihat Celik, </w:t>
      </w:r>
      <w:r>
        <w:rPr>
          <w:rFonts w:asciiTheme="majorBidi" w:hAnsiTheme="majorBidi" w:cstheme="majorBidi"/>
          <w:sz w:val="22"/>
          <w:szCs w:val="22"/>
        </w:rPr>
        <w:t>“</w:t>
      </w:r>
      <w:r w:rsidRPr="00356EAE">
        <w:rPr>
          <w:rFonts w:asciiTheme="majorBidi" w:hAnsiTheme="majorBidi" w:cstheme="majorBidi"/>
          <w:sz w:val="22"/>
          <w:szCs w:val="22"/>
        </w:rPr>
        <w:t>The Ottomans and International Law: The Russian Annexation of the Crimean Khanate in 1783 in the Light of the Documents from the Ottoman Archives</w:t>
      </w:r>
      <w:r>
        <w:rPr>
          <w:rFonts w:asciiTheme="majorBidi" w:hAnsiTheme="majorBidi" w:cstheme="majorBidi"/>
          <w:sz w:val="22"/>
          <w:szCs w:val="22"/>
        </w:rPr>
        <w:t xml:space="preserve">”, </w:t>
      </w:r>
      <w:r w:rsidRPr="00356EAE">
        <w:rPr>
          <w:rFonts w:asciiTheme="majorBidi" w:hAnsiTheme="majorBidi" w:cstheme="majorBidi"/>
          <w:sz w:val="22"/>
          <w:szCs w:val="22"/>
        </w:rPr>
        <w:t>5</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356EAE">
        <w:rPr>
          <w:rFonts w:asciiTheme="majorBidi" w:hAnsiTheme="majorBidi" w:cstheme="majorBidi"/>
          <w:i/>
          <w:iCs/>
          <w:sz w:val="22"/>
          <w:szCs w:val="22"/>
        </w:rPr>
        <w:t>Journal of Islamic Law</w:t>
      </w:r>
      <w:r w:rsidRPr="00356EAE">
        <w:rPr>
          <w:rFonts w:asciiTheme="majorBidi" w:hAnsiTheme="majorBidi" w:cstheme="majorBidi"/>
          <w:sz w:val="22"/>
          <w:szCs w:val="22"/>
        </w:rPr>
        <w:t xml:space="preserve"> </w:t>
      </w:r>
      <w:r>
        <w:rPr>
          <w:rFonts w:asciiTheme="majorBidi" w:hAnsiTheme="majorBidi" w:cstheme="majorBidi"/>
          <w:sz w:val="22"/>
          <w:szCs w:val="22"/>
        </w:rPr>
        <w:t xml:space="preserve">(2024) pp. </w:t>
      </w:r>
      <w:r w:rsidRPr="00356EAE">
        <w:rPr>
          <w:rFonts w:asciiTheme="majorBidi" w:hAnsiTheme="majorBidi" w:cstheme="majorBidi"/>
          <w:sz w:val="22"/>
          <w:szCs w:val="22"/>
        </w:rPr>
        <w:t>11</w:t>
      </w:r>
      <w:r>
        <w:rPr>
          <w:rFonts w:asciiTheme="majorBidi" w:hAnsiTheme="majorBidi" w:cstheme="majorBidi"/>
          <w:sz w:val="22"/>
          <w:szCs w:val="22"/>
        </w:rPr>
        <w:t>-64</w:t>
      </w:r>
      <w:r w:rsidRPr="00356EAE">
        <w:rPr>
          <w:rFonts w:asciiTheme="majorBidi" w:hAnsiTheme="majorBidi" w:cstheme="majorBidi"/>
          <w:sz w:val="22"/>
          <w:szCs w:val="22"/>
        </w:rPr>
        <w:t>.</w:t>
      </w:r>
    </w:p>
  </w:footnote>
  <w:footnote w:id="186">
    <w:p w14:paraId="54C152ED" w14:textId="6379AF73"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0074748D">
        <w:rPr>
          <w:rFonts w:asciiTheme="majorBidi" w:hAnsiTheme="majorBidi" w:cstheme="majorBidi"/>
          <w:sz w:val="22"/>
          <w:szCs w:val="22"/>
        </w:rPr>
        <w:t xml:space="preserve">Benno </w:t>
      </w:r>
      <w:r w:rsidRPr="00356EAE">
        <w:rPr>
          <w:rFonts w:asciiTheme="majorBidi" w:hAnsiTheme="majorBidi" w:cstheme="majorBidi"/>
          <w:sz w:val="22"/>
          <w:szCs w:val="22"/>
        </w:rPr>
        <w:t>Teschke</w:t>
      </w:r>
      <w:r w:rsidR="0074748D">
        <w:rPr>
          <w:rFonts w:asciiTheme="majorBidi" w:hAnsiTheme="majorBidi" w:cstheme="majorBidi"/>
          <w:sz w:val="22"/>
          <w:szCs w:val="22"/>
        </w:rPr>
        <w:t xml:space="preserve">, </w:t>
      </w:r>
      <w:r w:rsidR="0074748D" w:rsidRPr="0074748D">
        <w:rPr>
          <w:rFonts w:asciiTheme="majorBidi" w:hAnsiTheme="majorBidi" w:cstheme="majorBidi"/>
          <w:i/>
          <w:iCs/>
          <w:sz w:val="22"/>
          <w:szCs w:val="22"/>
        </w:rPr>
        <w:t>The Myth of 1648: Class, Geopolitics, and the Making of Modern International Relations</w:t>
      </w:r>
      <w:r w:rsidRPr="0074748D">
        <w:rPr>
          <w:rFonts w:asciiTheme="majorBidi" w:hAnsiTheme="majorBidi" w:cstheme="majorBidi"/>
          <w:i/>
          <w:iCs/>
          <w:sz w:val="22"/>
          <w:szCs w:val="22"/>
        </w:rPr>
        <w:t xml:space="preserve"> </w:t>
      </w:r>
      <w:r w:rsidRPr="00356EAE">
        <w:rPr>
          <w:rFonts w:asciiTheme="majorBidi" w:hAnsiTheme="majorBidi" w:cstheme="majorBidi"/>
          <w:sz w:val="22"/>
          <w:szCs w:val="22"/>
        </w:rPr>
        <w:t>(</w:t>
      </w:r>
      <w:r w:rsidR="0074748D">
        <w:rPr>
          <w:rFonts w:asciiTheme="majorBidi" w:hAnsiTheme="majorBidi" w:cstheme="majorBidi"/>
          <w:sz w:val="22"/>
          <w:szCs w:val="22"/>
        </w:rPr>
        <w:t>2003</w:t>
      </w:r>
      <w:r w:rsidRPr="00356EAE">
        <w:rPr>
          <w:rFonts w:asciiTheme="majorBidi" w:hAnsiTheme="majorBidi" w:cstheme="majorBidi"/>
          <w:sz w:val="22"/>
          <w:szCs w:val="22"/>
        </w:rPr>
        <w:t xml:space="preserve">) </w:t>
      </w:r>
      <w:r>
        <w:rPr>
          <w:rFonts w:asciiTheme="majorBidi" w:hAnsiTheme="majorBidi" w:cstheme="majorBidi"/>
          <w:sz w:val="22"/>
          <w:szCs w:val="22"/>
        </w:rPr>
        <w:t>pp. 236-237.</w:t>
      </w:r>
    </w:p>
  </w:footnote>
  <w:footnote w:id="187">
    <w:p w14:paraId="179723F8" w14:textId="0DB422BC"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Victor Kattan, </w:t>
      </w:r>
      <w:r>
        <w:rPr>
          <w:rFonts w:asciiTheme="majorBidi" w:hAnsiTheme="majorBidi" w:cstheme="majorBidi"/>
          <w:sz w:val="22"/>
          <w:szCs w:val="22"/>
        </w:rPr>
        <w:t>“</w:t>
      </w:r>
      <w:r w:rsidRPr="00356EAE">
        <w:rPr>
          <w:rFonts w:asciiTheme="majorBidi" w:hAnsiTheme="majorBidi" w:cstheme="majorBidi"/>
          <w:sz w:val="22"/>
          <w:szCs w:val="22"/>
        </w:rPr>
        <w:t>To Consent or Revolt? European Public Law, the Three Partitions of Poland (1772, 1793, and 1795) and the Birth of National Self-Determination</w:t>
      </w:r>
      <w:r>
        <w:rPr>
          <w:rFonts w:asciiTheme="majorBidi" w:hAnsiTheme="majorBidi" w:cstheme="majorBidi"/>
          <w:sz w:val="22"/>
          <w:szCs w:val="22"/>
        </w:rPr>
        <w:t>”</w:t>
      </w:r>
      <w:r w:rsidRPr="00356EAE">
        <w:rPr>
          <w:rFonts w:asciiTheme="majorBidi" w:hAnsiTheme="majorBidi" w:cstheme="majorBidi"/>
          <w:sz w:val="22"/>
          <w:szCs w:val="22"/>
        </w:rPr>
        <w:t>, 17</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 xml:space="preserve">Journal of the History of International Law </w:t>
      </w:r>
      <w:r w:rsidRPr="00356EAE">
        <w:rPr>
          <w:rFonts w:asciiTheme="majorBidi" w:hAnsiTheme="majorBidi" w:cstheme="majorBidi"/>
          <w:sz w:val="22"/>
          <w:szCs w:val="22"/>
        </w:rPr>
        <w:t>(2015) pp. 261-274.</w:t>
      </w:r>
    </w:p>
  </w:footnote>
  <w:footnote w:id="188">
    <w:p w14:paraId="1C4B9AB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Dominic Lieven, </w:t>
      </w:r>
      <w:r w:rsidRPr="00856941">
        <w:rPr>
          <w:rFonts w:asciiTheme="majorBidi" w:hAnsiTheme="majorBidi" w:cstheme="majorBidi"/>
          <w:i/>
          <w:iCs/>
          <w:sz w:val="22"/>
          <w:szCs w:val="22"/>
        </w:rPr>
        <w:t>Russia Against Napoleon: The Battle for Europe, 1807 to 1814</w:t>
      </w:r>
      <w:r w:rsidRPr="00356EAE">
        <w:rPr>
          <w:rFonts w:asciiTheme="majorBidi" w:hAnsiTheme="majorBidi" w:cstheme="majorBidi"/>
          <w:sz w:val="22"/>
          <w:szCs w:val="22"/>
        </w:rPr>
        <w:t xml:space="preserve"> (2010).</w:t>
      </w:r>
    </w:p>
  </w:footnote>
  <w:footnote w:id="189">
    <w:p w14:paraId="1B7B2C1C"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Gerry Simpson, </w:t>
      </w:r>
      <w:r w:rsidRPr="00856941">
        <w:rPr>
          <w:rFonts w:asciiTheme="majorBidi" w:hAnsiTheme="majorBidi" w:cstheme="majorBidi"/>
          <w:i/>
          <w:iCs/>
          <w:sz w:val="22"/>
          <w:szCs w:val="22"/>
        </w:rPr>
        <w:t xml:space="preserve">Great Powers and Outlaw States: Unequal Sovereigns in the International Legal Order </w:t>
      </w:r>
      <w:r w:rsidRPr="00356EAE">
        <w:rPr>
          <w:rFonts w:asciiTheme="majorBidi" w:hAnsiTheme="majorBidi" w:cstheme="majorBidi"/>
          <w:sz w:val="22"/>
          <w:szCs w:val="22"/>
        </w:rPr>
        <w:t xml:space="preserve">(2003), pp. 93-108. </w:t>
      </w:r>
    </w:p>
  </w:footnote>
  <w:footnote w:id="190">
    <w:p w14:paraId="5F57E88A"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Edward Keene, </w:t>
      </w:r>
      <w:r>
        <w:rPr>
          <w:rFonts w:asciiTheme="majorBidi" w:hAnsiTheme="majorBidi" w:cstheme="majorBidi"/>
          <w:sz w:val="22"/>
          <w:szCs w:val="22"/>
        </w:rPr>
        <w:t>“</w:t>
      </w:r>
      <w:r w:rsidRPr="00356EAE">
        <w:rPr>
          <w:rFonts w:asciiTheme="majorBidi" w:hAnsiTheme="majorBidi" w:cstheme="majorBidi"/>
          <w:sz w:val="22"/>
          <w:szCs w:val="22"/>
        </w:rPr>
        <w:t>The Treaty-Making Revolution of the Nineteenth Century</w:t>
      </w:r>
      <w:r>
        <w:rPr>
          <w:rFonts w:asciiTheme="majorBidi" w:hAnsiTheme="majorBidi" w:cstheme="majorBidi"/>
          <w:sz w:val="22"/>
          <w:szCs w:val="22"/>
        </w:rPr>
        <w:t>”</w:t>
      </w:r>
      <w:r w:rsidRPr="00356EAE">
        <w:rPr>
          <w:rFonts w:asciiTheme="majorBidi" w:hAnsiTheme="majorBidi" w:cstheme="majorBidi"/>
          <w:sz w:val="22"/>
          <w:szCs w:val="22"/>
        </w:rPr>
        <w:t xml:space="preserve">, 34 </w:t>
      </w:r>
      <w:r w:rsidRPr="00856941">
        <w:rPr>
          <w:rFonts w:asciiTheme="majorBidi" w:hAnsiTheme="majorBidi" w:cstheme="majorBidi"/>
          <w:i/>
          <w:iCs/>
          <w:sz w:val="22"/>
          <w:szCs w:val="22"/>
        </w:rPr>
        <w:t>International History Review</w:t>
      </w:r>
      <w:r w:rsidRPr="00356EAE">
        <w:rPr>
          <w:rFonts w:asciiTheme="majorBidi" w:hAnsiTheme="majorBidi" w:cstheme="majorBidi"/>
          <w:sz w:val="22"/>
          <w:szCs w:val="22"/>
        </w:rPr>
        <w:t xml:space="preserve"> (2012) pp. 494-495.</w:t>
      </w:r>
    </w:p>
  </w:footnote>
  <w:footnote w:id="191">
    <w:p w14:paraId="4A80E314"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George Lawson, </w:t>
      </w:r>
      <w:r>
        <w:rPr>
          <w:rFonts w:asciiTheme="majorBidi" w:hAnsiTheme="majorBidi" w:cstheme="majorBidi"/>
          <w:sz w:val="22"/>
          <w:szCs w:val="22"/>
        </w:rPr>
        <w:t>“</w:t>
      </w:r>
      <w:r w:rsidRPr="00356EAE">
        <w:rPr>
          <w:rFonts w:asciiTheme="majorBidi" w:hAnsiTheme="majorBidi" w:cstheme="majorBidi"/>
          <w:sz w:val="22"/>
          <w:szCs w:val="22"/>
        </w:rPr>
        <w:t>Ordering Europe: The Legalised Hegemony of the Concert of Europe</w:t>
      </w:r>
      <w:r>
        <w:rPr>
          <w:rFonts w:asciiTheme="majorBidi" w:hAnsiTheme="majorBidi" w:cstheme="majorBidi"/>
          <w:sz w:val="22"/>
          <w:szCs w:val="22"/>
        </w:rPr>
        <w:t>”,</w:t>
      </w:r>
      <w:r w:rsidRPr="00356EAE">
        <w:rPr>
          <w:rFonts w:asciiTheme="majorBidi" w:hAnsiTheme="majorBidi" w:cstheme="majorBidi"/>
          <w:sz w:val="22"/>
          <w:szCs w:val="22"/>
        </w:rPr>
        <w:t xml:space="preserve"> in Daniel Green (ed), </w:t>
      </w:r>
      <w:r w:rsidRPr="00856941">
        <w:rPr>
          <w:rFonts w:asciiTheme="majorBidi" w:hAnsiTheme="majorBidi" w:cstheme="majorBidi"/>
          <w:i/>
          <w:iCs/>
          <w:sz w:val="22"/>
          <w:szCs w:val="22"/>
        </w:rPr>
        <w:t>The Two Worlds of Nineteenth Century International Relations: The Bifurcated Century</w:t>
      </w:r>
      <w:r w:rsidRPr="00356EAE">
        <w:rPr>
          <w:rFonts w:asciiTheme="majorBidi" w:hAnsiTheme="majorBidi" w:cstheme="majorBidi"/>
          <w:sz w:val="22"/>
          <w:szCs w:val="22"/>
        </w:rPr>
        <w:t xml:space="preserve"> (2019) p. 108.</w:t>
      </w:r>
    </w:p>
  </w:footnote>
  <w:footnote w:id="192">
    <w:p w14:paraId="4D945426" w14:textId="5028A4A8"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Jared Warren, </w:t>
      </w:r>
      <w:r>
        <w:rPr>
          <w:rFonts w:asciiTheme="majorBidi" w:hAnsiTheme="majorBidi" w:cstheme="majorBidi"/>
          <w:sz w:val="22"/>
          <w:szCs w:val="22"/>
        </w:rPr>
        <w:t>“</w:t>
      </w:r>
      <w:r w:rsidRPr="00356EAE">
        <w:rPr>
          <w:rFonts w:asciiTheme="majorBidi" w:hAnsiTheme="majorBidi" w:cstheme="majorBidi"/>
          <w:sz w:val="22"/>
          <w:szCs w:val="22"/>
        </w:rPr>
        <w:t>In the Shadows of the Commonwealth: Catholicism, Religious Tolerance, and Nineteenth-Century Polish Independence</w:t>
      </w:r>
      <w:r>
        <w:rPr>
          <w:rFonts w:asciiTheme="majorBidi" w:hAnsiTheme="majorBidi" w:cstheme="majorBidi"/>
          <w:sz w:val="22"/>
          <w:szCs w:val="22"/>
        </w:rPr>
        <w:t>”</w:t>
      </w:r>
      <w:r w:rsidRPr="00356EAE">
        <w:rPr>
          <w:rFonts w:asciiTheme="majorBidi" w:hAnsiTheme="majorBidi" w:cstheme="majorBidi"/>
          <w:sz w:val="22"/>
          <w:szCs w:val="22"/>
        </w:rPr>
        <w:t>, 38</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East European Politics and Societies</w:t>
      </w:r>
      <w:r w:rsidRPr="00356EAE">
        <w:rPr>
          <w:rFonts w:asciiTheme="majorBidi" w:hAnsiTheme="majorBidi" w:cstheme="majorBidi"/>
          <w:sz w:val="22"/>
          <w:szCs w:val="22"/>
        </w:rPr>
        <w:t xml:space="preserve"> (2024) p. 557</w:t>
      </w:r>
    </w:p>
  </w:footnote>
  <w:footnote w:id="193">
    <w:p w14:paraId="4E6D267F" w14:textId="44137A8A"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 xml:space="preserve">See Lawson (n </w:t>
      </w:r>
      <w:r w:rsidR="0074748D">
        <w:rPr>
          <w:rFonts w:asciiTheme="majorBidi" w:hAnsiTheme="majorBidi" w:cstheme="majorBidi"/>
          <w:sz w:val="22"/>
          <w:szCs w:val="22"/>
        </w:rPr>
        <w:t>191</w:t>
      </w:r>
      <w:r>
        <w:rPr>
          <w:rFonts w:asciiTheme="majorBidi" w:hAnsiTheme="majorBidi" w:cstheme="majorBidi"/>
          <w:sz w:val="22"/>
          <w:szCs w:val="22"/>
        </w:rPr>
        <w:t>) p. 110</w:t>
      </w:r>
      <w:r w:rsidRPr="00356EAE">
        <w:rPr>
          <w:rFonts w:asciiTheme="majorBidi" w:hAnsiTheme="majorBidi" w:cstheme="majorBidi"/>
          <w:sz w:val="22"/>
          <w:szCs w:val="22"/>
        </w:rPr>
        <w:t>.</w:t>
      </w:r>
    </w:p>
  </w:footnote>
  <w:footnote w:id="194">
    <w:p w14:paraId="4C6AB72B"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Barry Buzan and George Lawson, </w:t>
      </w:r>
      <w:r w:rsidRPr="00856941">
        <w:rPr>
          <w:rFonts w:asciiTheme="majorBidi" w:hAnsiTheme="majorBidi" w:cstheme="majorBidi"/>
          <w:i/>
          <w:iCs/>
          <w:sz w:val="22"/>
          <w:szCs w:val="22"/>
        </w:rPr>
        <w:t>The Global Transformation: History, Modernity, and the Making of International Relations</w:t>
      </w:r>
      <w:r w:rsidRPr="00356EAE">
        <w:rPr>
          <w:rFonts w:asciiTheme="majorBidi" w:hAnsiTheme="majorBidi" w:cstheme="majorBidi"/>
          <w:sz w:val="22"/>
          <w:szCs w:val="22"/>
        </w:rPr>
        <w:t xml:space="preserve"> (2015) pp. 24-27</w:t>
      </w:r>
      <w:r w:rsidRPr="00856941">
        <w:rPr>
          <w:rFonts w:asciiTheme="majorBidi" w:hAnsiTheme="majorBidi" w:cstheme="majorBidi"/>
          <w:sz w:val="22"/>
          <w:szCs w:val="22"/>
        </w:rPr>
        <w:t>.</w:t>
      </w:r>
    </w:p>
  </w:footnote>
  <w:footnote w:id="195">
    <w:p w14:paraId="3501CF14" w14:textId="28776D73"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Perry Anderson, </w:t>
      </w:r>
      <w:r>
        <w:rPr>
          <w:rFonts w:asciiTheme="majorBidi" w:hAnsiTheme="majorBidi" w:cstheme="majorBidi"/>
          <w:sz w:val="22"/>
          <w:szCs w:val="22"/>
        </w:rPr>
        <w:t>“</w:t>
      </w:r>
      <w:r w:rsidRPr="00356EAE">
        <w:rPr>
          <w:rFonts w:asciiTheme="majorBidi" w:hAnsiTheme="majorBidi" w:cstheme="majorBidi"/>
          <w:sz w:val="22"/>
          <w:szCs w:val="22"/>
        </w:rPr>
        <w:t>The Standard of Civilisation</w:t>
      </w:r>
      <w:r>
        <w:rPr>
          <w:rFonts w:asciiTheme="majorBidi" w:hAnsiTheme="majorBidi" w:cstheme="majorBidi"/>
          <w:sz w:val="22"/>
          <w:szCs w:val="22"/>
        </w:rPr>
        <w:t>”</w:t>
      </w:r>
      <w:r w:rsidRPr="00356EAE">
        <w:rPr>
          <w:rFonts w:asciiTheme="majorBidi" w:hAnsiTheme="majorBidi" w:cstheme="majorBidi"/>
          <w:sz w:val="22"/>
          <w:szCs w:val="22"/>
        </w:rPr>
        <w:t>, 143</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 xml:space="preserve">New Left Review </w:t>
      </w:r>
      <w:r w:rsidRPr="00356EAE">
        <w:rPr>
          <w:rFonts w:asciiTheme="majorBidi" w:hAnsiTheme="majorBidi" w:cstheme="majorBidi"/>
          <w:sz w:val="22"/>
          <w:szCs w:val="22"/>
        </w:rPr>
        <w:t xml:space="preserve">(2023) p. </w:t>
      </w:r>
      <w:r w:rsidRPr="00856941">
        <w:rPr>
          <w:rFonts w:asciiTheme="majorBidi" w:hAnsiTheme="majorBidi" w:cstheme="majorBidi"/>
          <w:sz w:val="22"/>
          <w:szCs w:val="22"/>
        </w:rPr>
        <w:t>9</w:t>
      </w:r>
      <w:r w:rsidRPr="00356EAE">
        <w:rPr>
          <w:rFonts w:asciiTheme="majorBidi" w:hAnsiTheme="majorBidi" w:cstheme="majorBidi"/>
          <w:sz w:val="22"/>
          <w:szCs w:val="22"/>
        </w:rPr>
        <w:t>.</w:t>
      </w:r>
    </w:p>
  </w:footnote>
  <w:footnote w:id="196">
    <w:p w14:paraId="2171FFAB" w14:textId="0791130C"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See J</w:t>
      </w:r>
      <w:r w:rsidR="0074748D">
        <w:rPr>
          <w:rFonts w:asciiTheme="majorBidi" w:hAnsiTheme="majorBidi" w:cstheme="majorBidi"/>
          <w:sz w:val="22"/>
          <w:szCs w:val="22"/>
        </w:rPr>
        <w:t>.</w:t>
      </w:r>
      <w:r w:rsidRPr="00356EAE">
        <w:rPr>
          <w:rFonts w:asciiTheme="majorBidi" w:hAnsiTheme="majorBidi" w:cstheme="majorBidi"/>
          <w:sz w:val="22"/>
          <w:szCs w:val="22"/>
        </w:rPr>
        <w:t>C</w:t>
      </w:r>
      <w:r w:rsidR="0074748D">
        <w:rPr>
          <w:rFonts w:asciiTheme="majorBidi" w:hAnsiTheme="majorBidi" w:cstheme="majorBidi"/>
          <w:sz w:val="22"/>
          <w:szCs w:val="22"/>
        </w:rPr>
        <w:t>.</w:t>
      </w:r>
      <w:r w:rsidRPr="00356EAE">
        <w:rPr>
          <w:rFonts w:asciiTheme="majorBidi" w:hAnsiTheme="majorBidi" w:cstheme="majorBidi"/>
          <w:sz w:val="22"/>
          <w:szCs w:val="22"/>
        </w:rPr>
        <w:t xml:space="preserve"> Sharman, </w:t>
      </w:r>
      <w:r w:rsidRPr="00856941">
        <w:rPr>
          <w:rFonts w:asciiTheme="majorBidi" w:hAnsiTheme="majorBidi" w:cstheme="majorBidi"/>
          <w:i/>
          <w:iCs/>
          <w:sz w:val="22"/>
          <w:szCs w:val="22"/>
        </w:rPr>
        <w:t>Empires of the Weak: The Real Story of European Expansion and the Creation of the New World Order</w:t>
      </w:r>
      <w:r w:rsidRPr="00356EAE">
        <w:rPr>
          <w:rFonts w:asciiTheme="majorBidi" w:hAnsiTheme="majorBidi" w:cstheme="majorBidi"/>
          <w:sz w:val="22"/>
          <w:szCs w:val="22"/>
        </w:rPr>
        <w:t xml:space="preserve"> (2019).</w:t>
      </w:r>
    </w:p>
  </w:footnote>
  <w:footnote w:id="197">
    <w:p w14:paraId="2D6A0EF3" w14:textId="574B1D31"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Paul Schroeder, </w:t>
      </w:r>
      <w:r>
        <w:rPr>
          <w:rFonts w:asciiTheme="majorBidi" w:hAnsiTheme="majorBidi" w:cstheme="majorBidi"/>
          <w:sz w:val="22"/>
          <w:szCs w:val="22"/>
        </w:rPr>
        <w:t>“</w:t>
      </w:r>
      <w:r w:rsidRPr="00356EAE">
        <w:rPr>
          <w:rFonts w:asciiTheme="majorBidi" w:hAnsiTheme="majorBidi" w:cstheme="majorBidi"/>
          <w:sz w:val="22"/>
          <w:szCs w:val="22"/>
        </w:rPr>
        <w:t>Did the Vienna Settlement Rest on a Balance of Power?</w:t>
      </w:r>
      <w:r>
        <w:rPr>
          <w:rFonts w:asciiTheme="majorBidi" w:hAnsiTheme="majorBidi" w:cstheme="majorBidi"/>
          <w:sz w:val="22"/>
          <w:szCs w:val="22"/>
        </w:rPr>
        <w:t>”</w:t>
      </w:r>
      <w:r w:rsidRPr="00356EAE">
        <w:rPr>
          <w:rFonts w:asciiTheme="majorBidi" w:hAnsiTheme="majorBidi" w:cstheme="majorBidi"/>
          <w:sz w:val="22"/>
          <w:szCs w:val="22"/>
        </w:rPr>
        <w:t>, 97</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American Historical Review</w:t>
      </w:r>
      <w:r w:rsidRPr="00356EAE">
        <w:rPr>
          <w:rFonts w:asciiTheme="majorBidi" w:hAnsiTheme="majorBidi" w:cstheme="majorBidi"/>
          <w:sz w:val="22"/>
          <w:szCs w:val="22"/>
        </w:rPr>
        <w:t xml:space="preserve"> (1992), p. 697</w:t>
      </w:r>
      <w:r w:rsidRPr="00856941">
        <w:rPr>
          <w:rFonts w:asciiTheme="majorBidi" w:hAnsiTheme="majorBidi" w:cstheme="majorBidi"/>
          <w:sz w:val="22"/>
          <w:szCs w:val="22"/>
        </w:rPr>
        <w:t>.</w:t>
      </w:r>
    </w:p>
  </w:footnote>
  <w:footnote w:id="198">
    <w:p w14:paraId="58CC5339" w14:textId="77631546" w:rsidR="00F81612" w:rsidRPr="00856941" w:rsidRDefault="00F81612" w:rsidP="0074748D">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0074748D">
        <w:rPr>
          <w:rFonts w:asciiTheme="majorBidi" w:hAnsiTheme="majorBidi" w:cstheme="majorBidi"/>
          <w:sz w:val="22"/>
          <w:szCs w:val="22"/>
        </w:rPr>
        <w:t xml:space="preserve">John </w:t>
      </w:r>
      <w:r w:rsidRPr="00356EAE">
        <w:rPr>
          <w:rFonts w:asciiTheme="majorBidi" w:hAnsiTheme="majorBidi" w:cstheme="majorBidi"/>
          <w:sz w:val="22"/>
          <w:szCs w:val="22"/>
        </w:rPr>
        <w:t xml:space="preserve">Darwin, </w:t>
      </w:r>
      <w:r w:rsidR="0074748D" w:rsidRPr="0074748D">
        <w:rPr>
          <w:rFonts w:asciiTheme="majorBidi" w:hAnsiTheme="majorBidi" w:cstheme="majorBidi"/>
          <w:i/>
          <w:iCs/>
          <w:sz w:val="22"/>
          <w:szCs w:val="22"/>
        </w:rPr>
        <w:t>After Tamerlane: The Rise and Fall of Global Empires, 1400-2000</w:t>
      </w:r>
      <w:r w:rsidR="0074748D" w:rsidRPr="0074748D">
        <w:rPr>
          <w:rFonts w:asciiTheme="majorBidi" w:hAnsiTheme="majorBidi" w:cstheme="majorBidi"/>
          <w:sz w:val="22"/>
          <w:szCs w:val="22"/>
        </w:rPr>
        <w:t xml:space="preserve"> </w:t>
      </w:r>
      <w:r w:rsidRPr="00356EAE">
        <w:rPr>
          <w:rFonts w:asciiTheme="majorBidi" w:hAnsiTheme="majorBidi" w:cstheme="majorBidi"/>
          <w:sz w:val="22"/>
          <w:szCs w:val="22"/>
        </w:rPr>
        <w:t>(</w:t>
      </w:r>
      <w:r w:rsidR="0074748D">
        <w:rPr>
          <w:rFonts w:asciiTheme="majorBidi" w:hAnsiTheme="majorBidi" w:cstheme="majorBidi"/>
          <w:sz w:val="22"/>
          <w:szCs w:val="22"/>
        </w:rPr>
        <w:t>2007</w:t>
      </w:r>
      <w:r w:rsidRPr="00356EAE">
        <w:rPr>
          <w:rFonts w:asciiTheme="majorBidi" w:hAnsiTheme="majorBidi" w:cstheme="majorBidi"/>
          <w:sz w:val="22"/>
          <w:szCs w:val="22"/>
        </w:rPr>
        <w:t xml:space="preserve">) </w:t>
      </w:r>
      <w:r>
        <w:rPr>
          <w:rFonts w:asciiTheme="majorBidi" w:hAnsiTheme="majorBidi" w:cstheme="majorBidi"/>
          <w:sz w:val="22"/>
          <w:szCs w:val="22"/>
        </w:rPr>
        <w:t xml:space="preserve">pp. </w:t>
      </w:r>
      <w:r w:rsidRPr="00356EAE">
        <w:rPr>
          <w:rFonts w:asciiTheme="majorBidi" w:hAnsiTheme="majorBidi" w:cstheme="majorBidi"/>
          <w:sz w:val="22"/>
          <w:szCs w:val="22"/>
        </w:rPr>
        <w:t>331-333, 376-378.</w:t>
      </w:r>
    </w:p>
  </w:footnote>
  <w:footnote w:id="199">
    <w:p w14:paraId="31A18E78" w14:textId="70A46705"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Matthew Craven, </w:t>
      </w:r>
      <w:r>
        <w:rPr>
          <w:rFonts w:asciiTheme="majorBidi" w:hAnsiTheme="majorBidi" w:cstheme="majorBidi"/>
          <w:sz w:val="22"/>
          <w:szCs w:val="22"/>
        </w:rPr>
        <w:t>“</w:t>
      </w:r>
      <w:r w:rsidRPr="00356EAE">
        <w:rPr>
          <w:rFonts w:asciiTheme="majorBidi" w:hAnsiTheme="majorBidi" w:cstheme="majorBidi"/>
          <w:sz w:val="22"/>
          <w:szCs w:val="22"/>
        </w:rPr>
        <w:t>What Happened to Unequal Treaties? The Continuities of Informal Empire</w:t>
      </w:r>
      <w:r>
        <w:rPr>
          <w:rFonts w:asciiTheme="majorBidi" w:hAnsiTheme="majorBidi" w:cstheme="majorBidi"/>
          <w:sz w:val="22"/>
          <w:szCs w:val="22"/>
        </w:rPr>
        <w:t>”,</w:t>
      </w:r>
      <w:r w:rsidRPr="00356EAE">
        <w:rPr>
          <w:rFonts w:asciiTheme="majorBidi" w:hAnsiTheme="majorBidi" w:cstheme="majorBidi"/>
          <w:sz w:val="22"/>
          <w:szCs w:val="22"/>
        </w:rPr>
        <w:t xml:space="preserve"> 74</w:t>
      </w:r>
      <w:r w:rsidR="0074748D">
        <w:rPr>
          <w:rFonts w:asciiTheme="majorBidi" w:hAnsiTheme="majorBidi" w:cstheme="majorBidi"/>
          <w:sz w:val="22"/>
          <w:szCs w:val="22"/>
        </w:rPr>
        <w:t>(3)</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Nordic Journal of International Law</w:t>
      </w:r>
      <w:r w:rsidRPr="00356EAE">
        <w:rPr>
          <w:rFonts w:asciiTheme="majorBidi" w:hAnsiTheme="majorBidi" w:cstheme="majorBidi"/>
          <w:sz w:val="22"/>
          <w:szCs w:val="22"/>
        </w:rPr>
        <w:t xml:space="preserve"> (2005) pp. 335-382</w:t>
      </w:r>
      <w:r>
        <w:rPr>
          <w:rFonts w:asciiTheme="majorBidi" w:hAnsiTheme="majorBidi" w:cstheme="majorBidi"/>
          <w:sz w:val="22"/>
          <w:szCs w:val="22"/>
        </w:rPr>
        <w:t>.</w:t>
      </w:r>
      <w:r w:rsidRPr="00356EAE">
        <w:rPr>
          <w:rFonts w:asciiTheme="majorBidi" w:hAnsiTheme="majorBidi" w:cstheme="majorBidi"/>
          <w:sz w:val="22"/>
          <w:szCs w:val="22"/>
        </w:rPr>
        <w:t xml:space="preserve"> </w:t>
      </w:r>
    </w:p>
  </w:footnote>
  <w:footnote w:id="200">
    <w:p w14:paraId="1DE3667D" w14:textId="346F9B79"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Teemu Ruskola, </w:t>
      </w:r>
      <w:r>
        <w:rPr>
          <w:rFonts w:asciiTheme="majorBidi" w:hAnsiTheme="majorBidi" w:cstheme="majorBidi"/>
          <w:sz w:val="22"/>
          <w:szCs w:val="22"/>
        </w:rPr>
        <w:t>“</w:t>
      </w:r>
      <w:r w:rsidR="0074748D">
        <w:rPr>
          <w:rFonts w:asciiTheme="majorBidi" w:hAnsiTheme="majorBidi" w:cstheme="majorBidi"/>
          <w:sz w:val="22"/>
          <w:szCs w:val="22"/>
        </w:rPr>
        <w:t>Raping Like a State</w:t>
      </w:r>
      <w:r>
        <w:rPr>
          <w:rFonts w:asciiTheme="majorBidi" w:hAnsiTheme="majorBidi" w:cstheme="majorBidi"/>
          <w:sz w:val="22"/>
          <w:szCs w:val="22"/>
        </w:rPr>
        <w:t>”,</w:t>
      </w:r>
      <w:r w:rsidRPr="00356EAE">
        <w:rPr>
          <w:rFonts w:asciiTheme="majorBidi" w:hAnsiTheme="majorBidi" w:cstheme="majorBidi"/>
          <w:sz w:val="22"/>
          <w:szCs w:val="22"/>
        </w:rPr>
        <w:t xml:space="preserve"> 101</w:t>
      </w:r>
      <w:r w:rsidR="0074748D">
        <w:rPr>
          <w:rFonts w:asciiTheme="majorBidi" w:hAnsiTheme="majorBidi" w:cstheme="majorBidi"/>
          <w:sz w:val="22"/>
          <w:szCs w:val="22"/>
        </w:rPr>
        <w:t>(5)</w:t>
      </w:r>
      <w:r w:rsidRPr="00356EAE">
        <w:rPr>
          <w:rFonts w:asciiTheme="majorBidi" w:hAnsiTheme="majorBidi" w:cstheme="majorBidi"/>
          <w:sz w:val="22"/>
          <w:szCs w:val="22"/>
        </w:rPr>
        <w:t xml:space="preserve"> </w:t>
      </w:r>
      <w:r w:rsidR="0074748D">
        <w:rPr>
          <w:rFonts w:asciiTheme="majorBidi" w:hAnsiTheme="majorBidi" w:cstheme="majorBidi"/>
          <w:i/>
          <w:iCs/>
          <w:sz w:val="22"/>
          <w:szCs w:val="22"/>
        </w:rPr>
        <w:t>UCLA</w:t>
      </w:r>
      <w:r w:rsidRPr="00856941">
        <w:rPr>
          <w:rFonts w:asciiTheme="majorBidi" w:hAnsiTheme="majorBidi" w:cstheme="majorBidi"/>
          <w:i/>
          <w:iCs/>
          <w:sz w:val="22"/>
          <w:szCs w:val="22"/>
        </w:rPr>
        <w:t xml:space="preserve"> Law Review</w:t>
      </w:r>
      <w:r w:rsidRPr="00356EAE">
        <w:rPr>
          <w:rFonts w:asciiTheme="majorBidi" w:hAnsiTheme="majorBidi" w:cstheme="majorBidi"/>
          <w:sz w:val="22"/>
          <w:szCs w:val="22"/>
        </w:rPr>
        <w:t xml:space="preserve"> (20</w:t>
      </w:r>
      <w:r w:rsidR="0074748D">
        <w:rPr>
          <w:rFonts w:asciiTheme="majorBidi" w:hAnsiTheme="majorBidi" w:cstheme="majorBidi"/>
          <w:sz w:val="22"/>
          <w:szCs w:val="22"/>
        </w:rPr>
        <w:t>10</w:t>
      </w:r>
      <w:r w:rsidRPr="00356EAE">
        <w:rPr>
          <w:rFonts w:asciiTheme="majorBidi" w:hAnsiTheme="majorBidi" w:cstheme="majorBidi"/>
          <w:sz w:val="22"/>
          <w:szCs w:val="22"/>
        </w:rPr>
        <w:t>) pp.</w:t>
      </w:r>
      <w:r w:rsidR="0074748D">
        <w:rPr>
          <w:rFonts w:asciiTheme="majorBidi" w:hAnsiTheme="majorBidi" w:cstheme="majorBidi"/>
          <w:sz w:val="22"/>
          <w:szCs w:val="22"/>
        </w:rPr>
        <w:t xml:space="preserve"> 1507-1525</w:t>
      </w:r>
    </w:p>
  </w:footnote>
  <w:footnote w:id="201">
    <w:p w14:paraId="37DF9B88" w14:textId="5A670038"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Darwin (</w:t>
      </w:r>
      <w:r w:rsidR="0074748D">
        <w:rPr>
          <w:rFonts w:asciiTheme="majorBidi" w:hAnsiTheme="majorBidi" w:cstheme="majorBidi"/>
          <w:sz w:val="22"/>
          <w:szCs w:val="22"/>
        </w:rPr>
        <w:t>n 198</w:t>
      </w:r>
      <w:r w:rsidRPr="00356EAE">
        <w:rPr>
          <w:rFonts w:asciiTheme="majorBidi" w:hAnsiTheme="majorBidi" w:cstheme="majorBidi"/>
          <w:sz w:val="22"/>
          <w:szCs w:val="22"/>
        </w:rPr>
        <w:t>)</w:t>
      </w:r>
      <w:r>
        <w:rPr>
          <w:rFonts w:asciiTheme="majorBidi" w:hAnsiTheme="majorBidi" w:cstheme="majorBidi"/>
          <w:sz w:val="22"/>
          <w:szCs w:val="22"/>
        </w:rPr>
        <w:t xml:space="preserve"> p.</w:t>
      </w:r>
      <w:r w:rsidRPr="00356EAE">
        <w:rPr>
          <w:rFonts w:asciiTheme="majorBidi" w:hAnsiTheme="majorBidi" w:cstheme="majorBidi"/>
          <w:sz w:val="22"/>
          <w:szCs w:val="22"/>
        </w:rPr>
        <w:t xml:space="preserve"> 21.</w:t>
      </w:r>
    </w:p>
  </w:footnote>
  <w:footnote w:id="202">
    <w:p w14:paraId="185E8D3F"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Andrew Lambert, </w:t>
      </w:r>
      <w:r w:rsidRPr="00856941">
        <w:rPr>
          <w:rFonts w:asciiTheme="majorBidi" w:hAnsiTheme="majorBidi" w:cstheme="majorBidi"/>
          <w:i/>
          <w:iCs/>
          <w:sz w:val="22"/>
          <w:szCs w:val="22"/>
        </w:rPr>
        <w:t>The Crimean War: British Grand Strategy against Russia, 1853–56</w:t>
      </w:r>
      <w:r w:rsidRPr="00356EAE">
        <w:rPr>
          <w:rFonts w:asciiTheme="majorBidi" w:hAnsiTheme="majorBidi" w:cstheme="majorBidi"/>
          <w:sz w:val="22"/>
          <w:szCs w:val="22"/>
        </w:rPr>
        <w:t xml:space="preserve"> (2011); Peter Hopkirk, </w:t>
      </w:r>
      <w:r w:rsidRPr="00856941">
        <w:rPr>
          <w:rFonts w:asciiTheme="majorBidi" w:hAnsiTheme="majorBidi" w:cstheme="majorBidi"/>
          <w:i/>
          <w:iCs/>
          <w:sz w:val="22"/>
          <w:szCs w:val="22"/>
        </w:rPr>
        <w:t>The Great Game: On Secret Service in High Asia</w:t>
      </w:r>
      <w:r w:rsidRPr="00356EAE">
        <w:rPr>
          <w:rFonts w:asciiTheme="majorBidi" w:hAnsiTheme="majorBidi" w:cstheme="majorBidi"/>
          <w:sz w:val="22"/>
          <w:szCs w:val="22"/>
        </w:rPr>
        <w:t xml:space="preserve"> (1990); Sheila Miyoshi Jager, </w:t>
      </w:r>
      <w:r w:rsidRPr="00856941">
        <w:rPr>
          <w:rFonts w:asciiTheme="majorBidi" w:hAnsiTheme="majorBidi" w:cstheme="majorBidi"/>
          <w:i/>
          <w:iCs/>
          <w:sz w:val="22"/>
          <w:szCs w:val="22"/>
        </w:rPr>
        <w:t>The Other Great Game: The Opening of Korea and the Birth of Modern East Asia</w:t>
      </w:r>
      <w:r w:rsidRPr="00356EAE">
        <w:rPr>
          <w:rFonts w:asciiTheme="majorBidi" w:hAnsiTheme="majorBidi" w:cstheme="majorBidi"/>
          <w:sz w:val="22"/>
          <w:szCs w:val="22"/>
        </w:rPr>
        <w:t xml:space="preserve"> (2023).</w:t>
      </w:r>
    </w:p>
  </w:footnote>
  <w:footnote w:id="203">
    <w:p w14:paraId="7E5D5F62" w14:textId="1F2259A9"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Eric Myles, </w:t>
      </w:r>
      <w:r>
        <w:rPr>
          <w:rFonts w:asciiTheme="majorBidi" w:hAnsiTheme="majorBidi" w:cstheme="majorBidi"/>
          <w:sz w:val="22"/>
          <w:szCs w:val="22"/>
        </w:rPr>
        <w:t>“‘</w:t>
      </w:r>
      <w:r w:rsidRPr="00356EAE">
        <w:rPr>
          <w:rFonts w:asciiTheme="majorBidi" w:hAnsiTheme="majorBidi" w:cstheme="majorBidi"/>
          <w:sz w:val="22"/>
          <w:szCs w:val="22"/>
        </w:rPr>
        <w:t>Humanity</w:t>
      </w:r>
      <w:r>
        <w:rPr>
          <w:rFonts w:asciiTheme="majorBidi" w:hAnsiTheme="majorBidi" w:cstheme="majorBidi"/>
          <w:sz w:val="22"/>
          <w:szCs w:val="22"/>
        </w:rPr>
        <w:t>’</w:t>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Civilization</w:t>
      </w:r>
      <w:r>
        <w:rPr>
          <w:rFonts w:asciiTheme="majorBidi" w:hAnsiTheme="majorBidi" w:cstheme="majorBidi"/>
          <w:sz w:val="22"/>
          <w:szCs w:val="22"/>
        </w:rPr>
        <w:t>’</w:t>
      </w:r>
      <w:r w:rsidRPr="00356EAE">
        <w:rPr>
          <w:rFonts w:asciiTheme="majorBidi" w:hAnsiTheme="majorBidi" w:cstheme="majorBidi"/>
          <w:sz w:val="22"/>
          <w:szCs w:val="22"/>
        </w:rPr>
        <w:t xml:space="preserve"> and the </w:t>
      </w:r>
      <w:r>
        <w:rPr>
          <w:rFonts w:asciiTheme="majorBidi" w:hAnsiTheme="majorBidi" w:cstheme="majorBidi"/>
          <w:sz w:val="22"/>
          <w:szCs w:val="22"/>
        </w:rPr>
        <w:t>‘</w:t>
      </w:r>
      <w:r w:rsidRPr="00356EAE">
        <w:rPr>
          <w:rFonts w:asciiTheme="majorBidi" w:hAnsiTheme="majorBidi" w:cstheme="majorBidi"/>
          <w:sz w:val="22"/>
          <w:szCs w:val="22"/>
        </w:rPr>
        <w:t>International Community</w:t>
      </w:r>
      <w:r>
        <w:rPr>
          <w:rFonts w:asciiTheme="majorBidi" w:hAnsiTheme="majorBidi" w:cstheme="majorBidi"/>
          <w:sz w:val="22"/>
          <w:szCs w:val="22"/>
        </w:rPr>
        <w:t>’</w:t>
      </w:r>
      <w:r w:rsidRPr="00356EAE">
        <w:rPr>
          <w:rFonts w:asciiTheme="majorBidi" w:hAnsiTheme="majorBidi" w:cstheme="majorBidi"/>
          <w:sz w:val="22"/>
          <w:szCs w:val="22"/>
        </w:rPr>
        <w:t xml:space="preserve"> in the Late Imperial Russian Mirror: Three Ideas </w:t>
      </w:r>
      <w:r>
        <w:rPr>
          <w:rFonts w:asciiTheme="majorBidi" w:hAnsiTheme="majorBidi" w:cstheme="majorBidi"/>
          <w:sz w:val="22"/>
          <w:szCs w:val="22"/>
        </w:rPr>
        <w:t>‘</w:t>
      </w:r>
      <w:r w:rsidRPr="00356EAE">
        <w:rPr>
          <w:rFonts w:asciiTheme="majorBidi" w:hAnsiTheme="majorBidi" w:cstheme="majorBidi"/>
          <w:sz w:val="22"/>
          <w:szCs w:val="22"/>
        </w:rPr>
        <w:t>Topical for Our Days’</w:t>
      </w:r>
      <w:r>
        <w:rPr>
          <w:rFonts w:asciiTheme="majorBidi" w:hAnsiTheme="majorBidi" w:cstheme="majorBidi"/>
          <w:sz w:val="22"/>
          <w:szCs w:val="22"/>
        </w:rPr>
        <w:t xml:space="preserve">” </w:t>
      </w:r>
      <w:r w:rsidRPr="00356EAE">
        <w:rPr>
          <w:rFonts w:asciiTheme="majorBidi" w:hAnsiTheme="majorBidi" w:cstheme="majorBidi"/>
          <w:sz w:val="22"/>
          <w:szCs w:val="22"/>
        </w:rPr>
        <w:t>4</w:t>
      </w:r>
      <w:r w:rsidR="0074748D">
        <w:rPr>
          <w:rFonts w:asciiTheme="majorBidi" w:hAnsiTheme="majorBidi" w:cstheme="majorBidi"/>
          <w:sz w:val="22"/>
          <w:szCs w:val="22"/>
        </w:rPr>
        <w:t>(2)</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Journal of the History of International Law</w:t>
      </w:r>
      <w:r w:rsidRPr="00356EAE">
        <w:rPr>
          <w:rFonts w:asciiTheme="majorBidi" w:hAnsiTheme="majorBidi" w:cstheme="majorBidi"/>
          <w:sz w:val="22"/>
          <w:szCs w:val="22"/>
        </w:rPr>
        <w:t xml:space="preserve"> (2002) pp. 322-323. </w:t>
      </w:r>
    </w:p>
  </w:footnote>
  <w:footnote w:id="204">
    <w:p w14:paraId="5F2126F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Siba </w:t>
      </w:r>
      <w:proofErr w:type="spellStart"/>
      <w:r w:rsidRPr="00356EAE">
        <w:rPr>
          <w:rFonts w:asciiTheme="majorBidi" w:hAnsiTheme="majorBidi" w:cstheme="majorBidi"/>
          <w:sz w:val="22"/>
          <w:szCs w:val="22"/>
        </w:rPr>
        <w:t>N’Zatioula</w:t>
      </w:r>
      <w:proofErr w:type="spellEnd"/>
      <w:r w:rsidRPr="00356EAE">
        <w:rPr>
          <w:rFonts w:asciiTheme="majorBidi" w:hAnsiTheme="majorBidi" w:cstheme="majorBidi"/>
          <w:sz w:val="22"/>
          <w:szCs w:val="22"/>
        </w:rPr>
        <w:t xml:space="preserve"> </w:t>
      </w:r>
      <w:proofErr w:type="spellStart"/>
      <w:r w:rsidRPr="00356EAE">
        <w:rPr>
          <w:rFonts w:asciiTheme="majorBidi" w:hAnsiTheme="majorBidi" w:cstheme="majorBidi"/>
          <w:sz w:val="22"/>
          <w:szCs w:val="22"/>
        </w:rPr>
        <w:t>Grovogui</w:t>
      </w:r>
      <w:proofErr w:type="spellEnd"/>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Sovereigns, Quasi Sovereigns, and Africans: Race and Self-Determination in International Law</w:t>
      </w:r>
      <w:r w:rsidRPr="00356EAE">
        <w:rPr>
          <w:rFonts w:asciiTheme="majorBidi" w:hAnsiTheme="majorBidi" w:cstheme="majorBidi"/>
          <w:sz w:val="22"/>
          <w:szCs w:val="22"/>
        </w:rPr>
        <w:t xml:space="preserve"> (1996).</w:t>
      </w:r>
    </w:p>
  </w:footnote>
  <w:footnote w:id="205">
    <w:p w14:paraId="15E0AF05" w14:textId="0E653E34"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Myles (</w:t>
      </w:r>
      <w:r>
        <w:rPr>
          <w:rFonts w:asciiTheme="majorBidi" w:hAnsiTheme="majorBidi" w:cstheme="majorBidi"/>
          <w:sz w:val="22"/>
          <w:szCs w:val="22"/>
        </w:rPr>
        <w:t>n 2</w:t>
      </w:r>
      <w:r w:rsidR="0074748D">
        <w:rPr>
          <w:rFonts w:asciiTheme="majorBidi" w:hAnsiTheme="majorBidi" w:cstheme="majorBidi"/>
          <w:sz w:val="22"/>
          <w:szCs w:val="22"/>
        </w:rPr>
        <w:t>03</w:t>
      </w:r>
      <w:r w:rsidRPr="00356EAE">
        <w:rPr>
          <w:rFonts w:asciiTheme="majorBidi" w:hAnsiTheme="majorBidi" w:cstheme="majorBidi"/>
          <w:sz w:val="22"/>
          <w:szCs w:val="22"/>
        </w:rPr>
        <w:t xml:space="preserve">) 323. </w:t>
      </w:r>
    </w:p>
  </w:footnote>
  <w:footnote w:id="206">
    <w:p w14:paraId="67A70BC3"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356EAE">
        <w:rPr>
          <w:rFonts w:asciiTheme="majorBidi" w:hAnsiTheme="majorBidi" w:cstheme="majorBidi"/>
          <w:sz w:val="22"/>
          <w:szCs w:val="22"/>
        </w:rPr>
        <w:t xml:space="preserve"> See Jurgen Osterhammel, </w:t>
      </w:r>
      <w:r w:rsidRPr="00856941">
        <w:rPr>
          <w:rFonts w:asciiTheme="majorBidi" w:hAnsiTheme="majorBidi" w:cstheme="majorBidi"/>
          <w:i/>
          <w:iCs/>
          <w:sz w:val="22"/>
          <w:szCs w:val="22"/>
        </w:rPr>
        <w:t xml:space="preserve">The Transformation of the World: A Global History of the Nineteenth Century </w:t>
      </w:r>
      <w:r w:rsidRPr="00356EAE">
        <w:rPr>
          <w:rFonts w:asciiTheme="majorBidi" w:hAnsiTheme="majorBidi" w:cstheme="majorBidi"/>
          <w:sz w:val="22"/>
          <w:szCs w:val="22"/>
        </w:rPr>
        <w:t>(2014), pp. 211-216.</w:t>
      </w:r>
    </w:p>
  </w:footnote>
  <w:footnote w:id="207">
    <w:p w14:paraId="0E7B137B"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Willard Sunderland, </w:t>
      </w:r>
      <w:r w:rsidRPr="00856941">
        <w:rPr>
          <w:rFonts w:asciiTheme="majorBidi" w:hAnsiTheme="majorBidi" w:cstheme="majorBidi"/>
          <w:i/>
          <w:iCs/>
          <w:sz w:val="22"/>
          <w:szCs w:val="22"/>
        </w:rPr>
        <w:t>Taming the Wild Field: Colonization and Empire on the Russian Steppe</w:t>
      </w:r>
      <w:r w:rsidRPr="00356EAE">
        <w:rPr>
          <w:rFonts w:asciiTheme="majorBidi" w:hAnsiTheme="majorBidi" w:cstheme="majorBidi"/>
          <w:sz w:val="22"/>
          <w:szCs w:val="22"/>
        </w:rPr>
        <w:t xml:space="preserve"> (2004)</w:t>
      </w:r>
      <w:r>
        <w:rPr>
          <w:rFonts w:asciiTheme="majorBidi" w:hAnsiTheme="majorBidi" w:cstheme="majorBidi"/>
          <w:sz w:val="22"/>
          <w:szCs w:val="22"/>
        </w:rPr>
        <w:t>, pp. 67-72</w:t>
      </w:r>
      <w:r w:rsidRPr="00856941">
        <w:rPr>
          <w:rFonts w:asciiTheme="majorBidi" w:hAnsiTheme="majorBidi" w:cstheme="majorBidi"/>
          <w:sz w:val="22"/>
          <w:szCs w:val="22"/>
        </w:rPr>
        <w:t>.</w:t>
      </w:r>
    </w:p>
  </w:footnote>
  <w:footnote w:id="208">
    <w:p w14:paraId="22A70EC8"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 xml:space="preserve">See </w:t>
      </w:r>
      <w:r w:rsidRPr="00356EAE">
        <w:rPr>
          <w:rFonts w:asciiTheme="majorBidi" w:hAnsiTheme="majorBidi" w:cstheme="majorBidi"/>
          <w:sz w:val="22"/>
          <w:szCs w:val="22"/>
        </w:rPr>
        <w:t xml:space="preserve">David Moon, </w:t>
      </w:r>
      <w:r w:rsidRPr="00856941">
        <w:rPr>
          <w:rFonts w:asciiTheme="majorBidi" w:hAnsiTheme="majorBidi" w:cstheme="majorBidi"/>
          <w:i/>
          <w:iCs/>
          <w:sz w:val="22"/>
          <w:szCs w:val="22"/>
        </w:rPr>
        <w:t>The Plough that Broke the Steppes: Agriculture and Environment on Russia’s Grasslands, 1700–1914</w:t>
      </w:r>
      <w:r w:rsidRPr="00356EAE">
        <w:rPr>
          <w:rFonts w:asciiTheme="majorBidi" w:hAnsiTheme="majorBidi" w:cstheme="majorBidi"/>
          <w:sz w:val="22"/>
          <w:szCs w:val="22"/>
        </w:rPr>
        <w:t xml:space="preserve"> (2013); James Belich, </w:t>
      </w:r>
      <w:r w:rsidRPr="00856941">
        <w:rPr>
          <w:rFonts w:asciiTheme="majorBidi" w:hAnsiTheme="majorBidi" w:cstheme="majorBidi"/>
          <w:i/>
          <w:iCs/>
          <w:sz w:val="22"/>
          <w:szCs w:val="22"/>
        </w:rPr>
        <w:t xml:space="preserve">Replenishing the Earth: The Settler Revolution and the Rise of the </w:t>
      </w:r>
      <w:proofErr w:type="spellStart"/>
      <w:r w:rsidRPr="00856941">
        <w:rPr>
          <w:rFonts w:asciiTheme="majorBidi" w:hAnsiTheme="majorBidi" w:cstheme="majorBidi"/>
          <w:i/>
          <w:iCs/>
          <w:sz w:val="22"/>
          <w:szCs w:val="22"/>
        </w:rPr>
        <w:t>Angloworld</w:t>
      </w:r>
      <w:proofErr w:type="spellEnd"/>
      <w:r w:rsidRPr="00856941">
        <w:rPr>
          <w:rFonts w:asciiTheme="majorBidi" w:hAnsiTheme="majorBidi" w:cstheme="majorBidi"/>
          <w:i/>
          <w:iCs/>
          <w:sz w:val="22"/>
          <w:szCs w:val="22"/>
        </w:rPr>
        <w:t xml:space="preserve">, 1783-1939 </w:t>
      </w:r>
      <w:r w:rsidRPr="00356EAE">
        <w:rPr>
          <w:rFonts w:asciiTheme="majorBidi" w:hAnsiTheme="majorBidi" w:cstheme="majorBidi"/>
          <w:sz w:val="22"/>
          <w:szCs w:val="22"/>
        </w:rPr>
        <w:t xml:space="preserve">(2009); David Moon, </w:t>
      </w:r>
      <w:r w:rsidRPr="00856941">
        <w:rPr>
          <w:rFonts w:asciiTheme="majorBidi" w:hAnsiTheme="majorBidi" w:cstheme="majorBidi"/>
          <w:i/>
          <w:iCs/>
          <w:sz w:val="22"/>
          <w:szCs w:val="22"/>
        </w:rPr>
        <w:t>The American Steppes: The Unexpected Russian Roots of Great Plains Agriculture, 1870s–1930s</w:t>
      </w:r>
      <w:r w:rsidRPr="00356EAE">
        <w:rPr>
          <w:rFonts w:asciiTheme="majorBidi" w:hAnsiTheme="majorBidi" w:cstheme="majorBidi"/>
          <w:sz w:val="22"/>
          <w:szCs w:val="22"/>
        </w:rPr>
        <w:t xml:space="preserve"> (2020).</w:t>
      </w:r>
    </w:p>
  </w:footnote>
  <w:footnote w:id="209">
    <w:p w14:paraId="7DEED1DD"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proofErr w:type="spellStart"/>
      <w:r w:rsidRPr="00356EAE">
        <w:rPr>
          <w:rFonts w:asciiTheme="majorBidi" w:hAnsiTheme="majorBidi" w:cstheme="majorBidi"/>
          <w:sz w:val="22"/>
          <w:szCs w:val="22"/>
        </w:rPr>
        <w:t>Koskenniemi’s</w:t>
      </w:r>
      <w:proofErr w:type="spellEnd"/>
      <w:r w:rsidRPr="00356EAE">
        <w:rPr>
          <w:rFonts w:asciiTheme="majorBidi" w:hAnsiTheme="majorBidi" w:cstheme="majorBidi"/>
          <w:sz w:val="22"/>
          <w:szCs w:val="22"/>
        </w:rPr>
        <w:t xml:space="preserve"> discussion is largely limited to the Estonia jurist Fedor Fedorovich Martens –Russia’s</w:t>
      </w:r>
      <w:r>
        <w:rPr>
          <w:rFonts w:asciiTheme="majorBidi" w:hAnsiTheme="majorBidi" w:cstheme="majorBidi"/>
          <w:sz w:val="22"/>
          <w:szCs w:val="22"/>
        </w:rPr>
        <w:t xml:space="preserve"> </w:t>
      </w:r>
      <w:r w:rsidRPr="00356EAE">
        <w:rPr>
          <w:rFonts w:asciiTheme="majorBidi" w:hAnsiTheme="majorBidi" w:cstheme="majorBidi"/>
          <w:sz w:val="22"/>
          <w:szCs w:val="22"/>
        </w:rPr>
        <w:t xml:space="preserve">leading international legal voice. Martti Koskenniemi, The Gentle Civilizer of Nations: The Rise and Fall of International Law 1870–1960 (2001), </w:t>
      </w:r>
      <w:r>
        <w:rPr>
          <w:rFonts w:asciiTheme="majorBidi" w:hAnsiTheme="majorBidi" w:cstheme="majorBidi"/>
          <w:sz w:val="22"/>
          <w:szCs w:val="22"/>
        </w:rPr>
        <w:t>pp. 113-115, 157.</w:t>
      </w:r>
    </w:p>
  </w:footnote>
  <w:footnote w:id="210">
    <w:p w14:paraId="4DF608DD"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Lassa Oppenheim</w:t>
      </w:r>
      <w:r>
        <w:rPr>
          <w:rFonts w:asciiTheme="majorBidi" w:hAnsiTheme="majorBidi" w:cstheme="majorBidi"/>
          <w:sz w:val="22"/>
          <w:szCs w:val="22"/>
        </w:rPr>
        <w:t>, International</w:t>
      </w:r>
      <w:r w:rsidRPr="00856941">
        <w:rPr>
          <w:rFonts w:asciiTheme="majorBidi" w:hAnsiTheme="majorBidi" w:cstheme="majorBidi"/>
          <w:i/>
          <w:iCs/>
          <w:sz w:val="22"/>
          <w:szCs w:val="22"/>
        </w:rPr>
        <w:t xml:space="preserve"> Law: A Treatise</w:t>
      </w:r>
      <w:r w:rsidRPr="00356EAE">
        <w:rPr>
          <w:rFonts w:asciiTheme="majorBidi" w:hAnsiTheme="majorBidi" w:cstheme="majorBidi"/>
          <w:sz w:val="22"/>
          <w:szCs w:val="22"/>
        </w:rPr>
        <w:t xml:space="preserve"> (1905) </w:t>
      </w:r>
      <w:r>
        <w:rPr>
          <w:rFonts w:asciiTheme="majorBidi" w:hAnsiTheme="majorBidi" w:cstheme="majorBidi"/>
          <w:sz w:val="22"/>
          <w:szCs w:val="22"/>
        </w:rPr>
        <w:t>v</w:t>
      </w:r>
      <w:r w:rsidRPr="00356EAE">
        <w:rPr>
          <w:rFonts w:asciiTheme="majorBidi" w:hAnsiTheme="majorBidi" w:cstheme="majorBidi"/>
          <w:sz w:val="22"/>
          <w:szCs w:val="22"/>
        </w:rPr>
        <w:t>ol. I, p. 100</w:t>
      </w:r>
    </w:p>
  </w:footnote>
  <w:footnote w:id="211">
    <w:p w14:paraId="72BEF09B" w14:textId="7837B354"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Kattan (</w:t>
      </w:r>
      <w:r>
        <w:rPr>
          <w:rFonts w:asciiTheme="majorBidi" w:hAnsiTheme="majorBidi" w:cstheme="majorBidi"/>
          <w:sz w:val="22"/>
          <w:szCs w:val="22"/>
        </w:rPr>
        <w:t xml:space="preserve">n </w:t>
      </w:r>
      <w:r w:rsidR="0074748D">
        <w:rPr>
          <w:rFonts w:asciiTheme="majorBidi" w:hAnsiTheme="majorBidi" w:cstheme="majorBidi"/>
          <w:sz w:val="22"/>
          <w:szCs w:val="22"/>
        </w:rPr>
        <w:t>187</w:t>
      </w:r>
      <w:r w:rsidRPr="00356EAE">
        <w:rPr>
          <w:rFonts w:asciiTheme="majorBidi" w:hAnsiTheme="majorBidi" w:cstheme="majorBidi"/>
          <w:sz w:val="22"/>
          <w:szCs w:val="22"/>
        </w:rPr>
        <w:t>) 251.</w:t>
      </w:r>
    </w:p>
  </w:footnote>
  <w:footnote w:id="212">
    <w:p w14:paraId="222160D9"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See </w:t>
      </w:r>
      <w:r>
        <w:rPr>
          <w:rFonts w:asciiTheme="majorBidi" w:hAnsiTheme="majorBidi" w:cstheme="majorBidi"/>
          <w:sz w:val="22"/>
          <w:szCs w:val="22"/>
        </w:rPr>
        <w:t xml:space="preserve">Eric </w:t>
      </w:r>
      <w:r w:rsidRPr="00856941">
        <w:rPr>
          <w:rFonts w:asciiTheme="majorBidi" w:hAnsiTheme="majorBidi" w:cstheme="majorBidi"/>
          <w:sz w:val="22"/>
          <w:szCs w:val="22"/>
        </w:rPr>
        <w:t xml:space="preserve">Loefflad, </w:t>
      </w:r>
      <w:r>
        <w:rPr>
          <w:rFonts w:asciiTheme="majorBidi" w:hAnsiTheme="majorBidi" w:cstheme="majorBidi"/>
          <w:sz w:val="22"/>
          <w:szCs w:val="22"/>
        </w:rPr>
        <w:t>“</w:t>
      </w:r>
      <w:r w:rsidRPr="006D6273">
        <w:rPr>
          <w:rFonts w:asciiTheme="majorBidi" w:hAnsiTheme="majorBidi" w:cstheme="majorBidi"/>
          <w:sz w:val="22"/>
          <w:szCs w:val="22"/>
        </w:rPr>
        <w:t xml:space="preserve">The </w:t>
      </w:r>
      <w:r>
        <w:rPr>
          <w:rFonts w:asciiTheme="majorBidi" w:hAnsiTheme="majorBidi" w:cstheme="majorBidi"/>
          <w:sz w:val="22"/>
          <w:szCs w:val="22"/>
        </w:rPr>
        <w:t>E</w:t>
      </w:r>
      <w:r w:rsidRPr="006D6273">
        <w:rPr>
          <w:rFonts w:asciiTheme="majorBidi" w:hAnsiTheme="majorBidi" w:cstheme="majorBidi"/>
          <w:sz w:val="22"/>
          <w:szCs w:val="22"/>
        </w:rPr>
        <w:t xml:space="preserve">veryday </w:t>
      </w:r>
      <w:r>
        <w:rPr>
          <w:rFonts w:asciiTheme="majorBidi" w:hAnsiTheme="majorBidi" w:cstheme="majorBidi"/>
          <w:sz w:val="22"/>
          <w:szCs w:val="22"/>
        </w:rPr>
        <w:t>B</w:t>
      </w:r>
      <w:r w:rsidRPr="006D6273">
        <w:rPr>
          <w:rFonts w:asciiTheme="majorBidi" w:hAnsiTheme="majorBidi" w:cstheme="majorBidi"/>
          <w:sz w:val="22"/>
          <w:szCs w:val="22"/>
        </w:rPr>
        <w:t xml:space="preserve">anality of </w:t>
      </w:r>
      <w:r>
        <w:rPr>
          <w:rFonts w:asciiTheme="majorBidi" w:hAnsiTheme="majorBidi" w:cstheme="majorBidi"/>
          <w:sz w:val="22"/>
          <w:szCs w:val="22"/>
        </w:rPr>
        <w:t>D</w:t>
      </w:r>
      <w:r w:rsidRPr="006D6273">
        <w:rPr>
          <w:rFonts w:asciiTheme="majorBidi" w:hAnsiTheme="majorBidi" w:cstheme="majorBidi"/>
          <w:sz w:val="22"/>
          <w:szCs w:val="22"/>
        </w:rPr>
        <w:t xml:space="preserve">omination and the </w:t>
      </w:r>
      <w:r>
        <w:rPr>
          <w:rFonts w:asciiTheme="majorBidi" w:hAnsiTheme="majorBidi" w:cstheme="majorBidi"/>
          <w:sz w:val="22"/>
          <w:szCs w:val="22"/>
        </w:rPr>
        <w:t>E</w:t>
      </w:r>
      <w:r w:rsidRPr="006D6273">
        <w:rPr>
          <w:rFonts w:asciiTheme="majorBidi" w:hAnsiTheme="majorBidi" w:cstheme="majorBidi"/>
          <w:sz w:val="22"/>
          <w:szCs w:val="22"/>
        </w:rPr>
        <w:t xml:space="preserve">xceptional </w:t>
      </w:r>
      <w:r>
        <w:rPr>
          <w:rFonts w:asciiTheme="majorBidi" w:hAnsiTheme="majorBidi" w:cstheme="majorBidi"/>
          <w:sz w:val="22"/>
          <w:szCs w:val="22"/>
        </w:rPr>
        <w:t>D</w:t>
      </w:r>
      <w:r w:rsidRPr="006D6273">
        <w:rPr>
          <w:rFonts w:asciiTheme="majorBidi" w:hAnsiTheme="majorBidi" w:cstheme="majorBidi"/>
          <w:sz w:val="22"/>
          <w:szCs w:val="22"/>
        </w:rPr>
        <w:t xml:space="preserve">rama of </w:t>
      </w:r>
      <w:r>
        <w:rPr>
          <w:rFonts w:asciiTheme="majorBidi" w:hAnsiTheme="majorBidi" w:cstheme="majorBidi"/>
          <w:sz w:val="22"/>
          <w:szCs w:val="22"/>
        </w:rPr>
        <w:t>C</w:t>
      </w:r>
      <w:r w:rsidRPr="006D6273">
        <w:rPr>
          <w:rFonts w:asciiTheme="majorBidi" w:hAnsiTheme="majorBidi" w:cstheme="majorBidi"/>
          <w:sz w:val="22"/>
          <w:szCs w:val="22"/>
        </w:rPr>
        <w:t xml:space="preserve">onquest: Rosa Luxemburg’s </w:t>
      </w:r>
      <w:r>
        <w:rPr>
          <w:rFonts w:asciiTheme="majorBidi" w:hAnsiTheme="majorBidi" w:cstheme="majorBidi"/>
          <w:sz w:val="22"/>
          <w:szCs w:val="22"/>
        </w:rPr>
        <w:t>C</w:t>
      </w:r>
      <w:r w:rsidRPr="006D6273">
        <w:rPr>
          <w:rFonts w:asciiTheme="majorBidi" w:hAnsiTheme="majorBidi" w:cstheme="majorBidi"/>
          <w:sz w:val="22"/>
          <w:szCs w:val="22"/>
        </w:rPr>
        <w:t xml:space="preserve">ritique of </w:t>
      </w:r>
      <w:r>
        <w:rPr>
          <w:rFonts w:asciiTheme="majorBidi" w:hAnsiTheme="majorBidi" w:cstheme="majorBidi"/>
          <w:sz w:val="22"/>
          <w:szCs w:val="22"/>
        </w:rPr>
        <w:t>S</w:t>
      </w:r>
      <w:r w:rsidRPr="006D6273">
        <w:rPr>
          <w:rFonts w:asciiTheme="majorBidi" w:hAnsiTheme="majorBidi" w:cstheme="majorBidi"/>
          <w:sz w:val="22"/>
          <w:szCs w:val="22"/>
        </w:rPr>
        <w:t>elf-</w:t>
      </w:r>
      <w:r>
        <w:rPr>
          <w:rFonts w:asciiTheme="majorBidi" w:hAnsiTheme="majorBidi" w:cstheme="majorBidi"/>
          <w:sz w:val="22"/>
          <w:szCs w:val="22"/>
        </w:rPr>
        <w:t>D</w:t>
      </w:r>
      <w:r w:rsidRPr="006D6273">
        <w:rPr>
          <w:rFonts w:asciiTheme="majorBidi" w:hAnsiTheme="majorBidi" w:cstheme="majorBidi"/>
          <w:sz w:val="22"/>
          <w:szCs w:val="22"/>
        </w:rPr>
        <w:t xml:space="preserve">etermination </w:t>
      </w:r>
      <w:r>
        <w:rPr>
          <w:rFonts w:asciiTheme="majorBidi" w:hAnsiTheme="majorBidi" w:cstheme="majorBidi"/>
          <w:sz w:val="22"/>
          <w:szCs w:val="22"/>
        </w:rPr>
        <w:t>T</w:t>
      </w:r>
      <w:r w:rsidRPr="006D6273">
        <w:rPr>
          <w:rFonts w:asciiTheme="majorBidi" w:hAnsiTheme="majorBidi" w:cstheme="majorBidi"/>
          <w:sz w:val="22"/>
          <w:szCs w:val="22"/>
        </w:rPr>
        <w:t xml:space="preserve">hrough the </w:t>
      </w:r>
      <w:r>
        <w:rPr>
          <w:rFonts w:asciiTheme="majorBidi" w:hAnsiTheme="majorBidi" w:cstheme="majorBidi"/>
          <w:sz w:val="22"/>
          <w:szCs w:val="22"/>
        </w:rPr>
        <w:t>M</w:t>
      </w:r>
      <w:r w:rsidRPr="006D6273">
        <w:rPr>
          <w:rFonts w:asciiTheme="majorBidi" w:hAnsiTheme="majorBidi" w:cstheme="majorBidi"/>
          <w:sz w:val="22"/>
          <w:szCs w:val="22"/>
        </w:rPr>
        <w:t xml:space="preserve">any </w:t>
      </w:r>
      <w:r>
        <w:rPr>
          <w:rFonts w:asciiTheme="majorBidi" w:hAnsiTheme="majorBidi" w:cstheme="majorBidi"/>
          <w:sz w:val="22"/>
          <w:szCs w:val="22"/>
        </w:rPr>
        <w:t>L</w:t>
      </w:r>
      <w:r w:rsidRPr="006D6273">
        <w:rPr>
          <w:rFonts w:asciiTheme="majorBidi" w:hAnsiTheme="majorBidi" w:cstheme="majorBidi"/>
          <w:sz w:val="22"/>
          <w:szCs w:val="22"/>
        </w:rPr>
        <w:t xml:space="preserve">ives of the </w:t>
      </w:r>
      <w:proofErr w:type="gramStart"/>
      <w:r w:rsidRPr="006D6273">
        <w:rPr>
          <w:rFonts w:asciiTheme="majorBidi" w:hAnsiTheme="majorBidi" w:cstheme="majorBidi"/>
          <w:sz w:val="22"/>
          <w:szCs w:val="22"/>
        </w:rPr>
        <w:t>Polish-Lithuanian</w:t>
      </w:r>
      <w:proofErr w:type="gramEnd"/>
      <w:r w:rsidRPr="006D6273">
        <w:rPr>
          <w:rFonts w:asciiTheme="majorBidi" w:hAnsiTheme="majorBidi" w:cstheme="majorBidi"/>
          <w:sz w:val="22"/>
          <w:szCs w:val="22"/>
        </w:rPr>
        <w:t xml:space="preserve"> Commonwealth</w:t>
      </w:r>
      <w:r>
        <w:rPr>
          <w:rFonts w:asciiTheme="majorBidi" w:hAnsiTheme="majorBidi" w:cstheme="majorBidi"/>
          <w:sz w:val="22"/>
          <w:szCs w:val="22"/>
        </w:rPr>
        <w:t xml:space="preserve">”, </w:t>
      </w:r>
      <w:r w:rsidRPr="00856941">
        <w:rPr>
          <w:rFonts w:asciiTheme="majorBidi" w:hAnsiTheme="majorBidi" w:cstheme="majorBidi"/>
          <w:i/>
          <w:iCs/>
          <w:sz w:val="22"/>
          <w:szCs w:val="22"/>
        </w:rPr>
        <w:t>London Review of International Law</w:t>
      </w:r>
      <w:r>
        <w:rPr>
          <w:rFonts w:asciiTheme="majorBidi" w:hAnsiTheme="majorBidi" w:cstheme="majorBidi"/>
          <w:sz w:val="22"/>
          <w:szCs w:val="22"/>
        </w:rPr>
        <w:t xml:space="preserve"> (2026) pp. 14-19.</w:t>
      </w:r>
    </w:p>
  </w:footnote>
  <w:footnote w:id="213">
    <w:p w14:paraId="758D2617" w14:textId="58C36516"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Lauri </w:t>
      </w:r>
      <w:proofErr w:type="spellStart"/>
      <w:r w:rsidRPr="00356EAE">
        <w:rPr>
          <w:rFonts w:asciiTheme="majorBidi" w:hAnsiTheme="majorBidi" w:cstheme="majorBidi"/>
          <w:sz w:val="22"/>
          <w:szCs w:val="22"/>
        </w:rPr>
        <w:t>Mälksoo</w:t>
      </w:r>
      <w:proofErr w:type="spellEnd"/>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Russian Approaches to International Law</w:t>
      </w:r>
      <w:r w:rsidRPr="00356EAE">
        <w:rPr>
          <w:rFonts w:asciiTheme="majorBidi" w:hAnsiTheme="majorBidi" w:cstheme="majorBidi"/>
          <w:sz w:val="22"/>
          <w:szCs w:val="22"/>
        </w:rPr>
        <w:t xml:space="preserve"> (2015) pp. 39-47.</w:t>
      </w:r>
    </w:p>
  </w:footnote>
  <w:footnote w:id="214">
    <w:p w14:paraId="42FB4893"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Pr>
          <w:rFonts w:asciiTheme="majorBidi" w:hAnsiTheme="majorBidi" w:cstheme="majorBidi"/>
          <w:sz w:val="22"/>
          <w:szCs w:val="22"/>
        </w:rPr>
        <w:t xml:space="preserve">Alexander Etkind, </w:t>
      </w:r>
      <w:r w:rsidRPr="00856941">
        <w:rPr>
          <w:rFonts w:asciiTheme="majorBidi" w:hAnsiTheme="majorBidi" w:cstheme="majorBidi"/>
          <w:i/>
          <w:iCs/>
          <w:sz w:val="22"/>
          <w:szCs w:val="22"/>
        </w:rPr>
        <w:t>Internal Colonization: Russia’s Imperial Experience</w:t>
      </w:r>
      <w:r>
        <w:rPr>
          <w:rFonts w:asciiTheme="majorBidi" w:hAnsiTheme="majorBidi" w:cstheme="majorBidi"/>
          <w:sz w:val="22"/>
          <w:szCs w:val="22"/>
        </w:rPr>
        <w:t xml:space="preserve"> (2011) pp. 68-71, 145-149</w:t>
      </w:r>
      <w:r w:rsidRPr="00856941">
        <w:rPr>
          <w:rFonts w:asciiTheme="majorBidi" w:hAnsiTheme="majorBidi" w:cstheme="majorBidi"/>
          <w:sz w:val="22"/>
          <w:szCs w:val="22"/>
        </w:rPr>
        <w:t>.</w:t>
      </w:r>
    </w:p>
  </w:footnote>
  <w:footnote w:id="215">
    <w:p w14:paraId="3D1C11EF"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Pr>
          <w:rFonts w:asciiTheme="majorBidi" w:hAnsiTheme="majorBidi" w:cstheme="majorBidi"/>
          <w:sz w:val="22"/>
          <w:szCs w:val="22"/>
        </w:rPr>
        <w:t xml:space="preserve"> </w:t>
      </w:r>
      <w:r w:rsidRPr="0037588B">
        <w:rPr>
          <w:rFonts w:asciiTheme="majorBidi" w:hAnsiTheme="majorBidi" w:cstheme="majorBidi"/>
          <w:sz w:val="22"/>
          <w:szCs w:val="22"/>
        </w:rPr>
        <w:t xml:space="preserve">Darius Staliūnas, </w:t>
      </w:r>
      <w:r w:rsidRPr="00856941">
        <w:rPr>
          <w:rFonts w:asciiTheme="majorBidi" w:hAnsiTheme="majorBidi" w:cstheme="majorBidi"/>
          <w:i/>
          <w:iCs/>
          <w:sz w:val="22"/>
          <w:szCs w:val="22"/>
        </w:rPr>
        <w:t xml:space="preserve">Making Russians: Meaning and Practice of Russification in Lithuania and Belarus </w:t>
      </w:r>
      <w:r>
        <w:rPr>
          <w:rFonts w:asciiTheme="majorBidi" w:hAnsiTheme="majorBidi" w:cstheme="majorBidi"/>
          <w:i/>
          <w:iCs/>
          <w:sz w:val="22"/>
          <w:szCs w:val="22"/>
        </w:rPr>
        <w:t>A</w:t>
      </w:r>
      <w:r w:rsidRPr="00856941">
        <w:rPr>
          <w:rFonts w:asciiTheme="majorBidi" w:hAnsiTheme="majorBidi" w:cstheme="majorBidi"/>
          <w:i/>
          <w:iCs/>
          <w:sz w:val="22"/>
          <w:szCs w:val="22"/>
        </w:rPr>
        <w:t xml:space="preserve">fter 1863 </w:t>
      </w:r>
      <w:r w:rsidRPr="0037588B">
        <w:rPr>
          <w:rFonts w:asciiTheme="majorBidi" w:hAnsiTheme="majorBidi" w:cstheme="majorBidi"/>
          <w:sz w:val="22"/>
          <w:szCs w:val="22"/>
        </w:rPr>
        <w:t>(2007)</w:t>
      </w:r>
      <w:r w:rsidRPr="00856941">
        <w:rPr>
          <w:rFonts w:asciiTheme="majorBidi" w:hAnsiTheme="majorBidi" w:cstheme="majorBidi"/>
          <w:sz w:val="22"/>
          <w:szCs w:val="22"/>
        </w:rPr>
        <w:t>.</w:t>
      </w:r>
    </w:p>
  </w:footnote>
  <w:footnote w:id="216">
    <w:p w14:paraId="78E8D231" w14:textId="64F1F1C8"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proofErr w:type="spellStart"/>
      <w:r>
        <w:rPr>
          <w:rFonts w:asciiTheme="majorBidi" w:hAnsiTheme="majorBidi" w:cstheme="majorBidi"/>
          <w:sz w:val="22"/>
          <w:szCs w:val="22"/>
        </w:rPr>
        <w:t>Etkind</w:t>
      </w:r>
      <w:proofErr w:type="spellEnd"/>
      <w:r>
        <w:rPr>
          <w:rFonts w:asciiTheme="majorBidi" w:hAnsiTheme="majorBidi" w:cstheme="majorBidi"/>
          <w:sz w:val="22"/>
          <w:szCs w:val="22"/>
        </w:rPr>
        <w:t xml:space="preserve"> (n 2</w:t>
      </w:r>
      <w:r w:rsidR="0074748D">
        <w:rPr>
          <w:rFonts w:asciiTheme="majorBidi" w:hAnsiTheme="majorBidi" w:cstheme="majorBidi"/>
          <w:sz w:val="22"/>
          <w:szCs w:val="22"/>
        </w:rPr>
        <w:t>14</w:t>
      </w:r>
      <w:r>
        <w:rPr>
          <w:rFonts w:asciiTheme="majorBidi" w:hAnsiTheme="majorBidi" w:cstheme="majorBidi"/>
          <w:sz w:val="22"/>
          <w:szCs w:val="22"/>
        </w:rPr>
        <w:t xml:space="preserve">) pp. </w:t>
      </w:r>
      <w:r w:rsidRPr="00856941">
        <w:rPr>
          <w:rFonts w:asciiTheme="majorBidi" w:hAnsiTheme="majorBidi" w:cstheme="majorBidi"/>
          <w:sz w:val="22"/>
          <w:szCs w:val="22"/>
        </w:rPr>
        <w:t>135-136.</w:t>
      </w:r>
    </w:p>
  </w:footnote>
  <w:footnote w:id="217">
    <w:p w14:paraId="16D48FE0" w14:textId="1B2A510B" w:rsidR="00F81612" w:rsidRDefault="00F81612" w:rsidP="00F81612">
      <w:pPr>
        <w:pStyle w:val="FootnoteText"/>
      </w:pPr>
      <w:r>
        <w:rPr>
          <w:rStyle w:val="FootnoteReference"/>
        </w:rPr>
        <w:footnoteRef/>
      </w:r>
      <w:r>
        <w:t xml:space="preserve"> </w:t>
      </w:r>
      <w:r w:rsidRPr="00856941">
        <w:rPr>
          <w:rFonts w:asciiTheme="majorBidi" w:hAnsiTheme="majorBidi" w:cstheme="majorBidi"/>
          <w:sz w:val="22"/>
          <w:szCs w:val="22"/>
        </w:rPr>
        <w:t>Lawson and Buzan (</w:t>
      </w:r>
      <w:r>
        <w:rPr>
          <w:rFonts w:asciiTheme="majorBidi" w:hAnsiTheme="majorBidi" w:cstheme="majorBidi"/>
          <w:sz w:val="22"/>
          <w:szCs w:val="22"/>
        </w:rPr>
        <w:t xml:space="preserve">n </w:t>
      </w:r>
      <w:r w:rsidR="0074748D">
        <w:rPr>
          <w:rFonts w:asciiTheme="majorBidi" w:hAnsiTheme="majorBidi" w:cstheme="majorBidi"/>
          <w:sz w:val="22"/>
          <w:szCs w:val="22"/>
        </w:rPr>
        <w:t>194</w:t>
      </w:r>
      <w:r w:rsidRPr="00856941">
        <w:rPr>
          <w:rFonts w:asciiTheme="majorBidi" w:hAnsiTheme="majorBidi" w:cstheme="majorBidi"/>
          <w:sz w:val="22"/>
          <w:szCs w:val="22"/>
        </w:rPr>
        <w:t>) pp. 114-118</w:t>
      </w:r>
      <w:r w:rsidR="00012EC3">
        <w:rPr>
          <w:rFonts w:asciiTheme="majorBidi" w:hAnsiTheme="majorBidi" w:cstheme="majorBidi"/>
          <w:sz w:val="22"/>
          <w:szCs w:val="22"/>
        </w:rPr>
        <w:t>.</w:t>
      </w:r>
    </w:p>
  </w:footnote>
  <w:footnote w:id="218">
    <w:p w14:paraId="73A03167"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Serhii </w:t>
      </w:r>
      <w:proofErr w:type="spellStart"/>
      <w:r w:rsidRPr="00856941">
        <w:rPr>
          <w:rFonts w:asciiTheme="majorBidi" w:hAnsiTheme="majorBidi" w:cstheme="majorBidi"/>
          <w:sz w:val="22"/>
          <w:szCs w:val="22"/>
        </w:rPr>
        <w:t>Plokhy</w:t>
      </w:r>
      <w:proofErr w:type="spellEnd"/>
      <w:r w:rsidRPr="00856941">
        <w:rPr>
          <w:rFonts w:asciiTheme="majorBidi" w:hAnsiTheme="majorBidi" w:cstheme="majorBidi"/>
          <w:sz w:val="22"/>
          <w:szCs w:val="22"/>
        </w:rPr>
        <w:t xml:space="preserve">, </w:t>
      </w:r>
      <w:r w:rsidRPr="00856941">
        <w:rPr>
          <w:rFonts w:asciiTheme="majorBidi" w:hAnsiTheme="majorBidi" w:cstheme="majorBidi"/>
          <w:i/>
          <w:iCs/>
          <w:sz w:val="22"/>
          <w:szCs w:val="22"/>
        </w:rPr>
        <w:t xml:space="preserve">Lost Kingdom: A History of Russian Nationalism from Ivan the Great to Vladimir Putin </w:t>
      </w:r>
      <w:r w:rsidRPr="00856941">
        <w:rPr>
          <w:rFonts w:asciiTheme="majorBidi" w:hAnsiTheme="majorBidi" w:cstheme="majorBidi"/>
          <w:sz w:val="22"/>
          <w:szCs w:val="22"/>
        </w:rPr>
        <w:t xml:space="preserve">(2017) pp. </w:t>
      </w:r>
      <w:r w:rsidRPr="00356EAE">
        <w:rPr>
          <w:rFonts w:asciiTheme="majorBidi" w:hAnsiTheme="majorBidi" w:cstheme="majorBidi"/>
          <w:sz w:val="22"/>
          <w:szCs w:val="22"/>
        </w:rPr>
        <w:t>121-135.</w:t>
      </w:r>
    </w:p>
  </w:footnote>
  <w:footnote w:id="219">
    <w:p w14:paraId="639442FD" w14:textId="13A7CED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On </w:t>
      </w:r>
      <w:r w:rsidRPr="00856941">
        <w:rPr>
          <w:rFonts w:asciiTheme="majorBidi" w:hAnsiTheme="majorBidi" w:cstheme="majorBidi"/>
          <w:sz w:val="22"/>
          <w:szCs w:val="22"/>
        </w:rPr>
        <w:t xml:space="preserve">the influence of </w:t>
      </w:r>
      <w:r w:rsidRPr="00356EAE">
        <w:rPr>
          <w:rFonts w:asciiTheme="majorBidi" w:hAnsiTheme="majorBidi" w:cstheme="majorBidi"/>
          <w:sz w:val="22"/>
          <w:szCs w:val="22"/>
        </w:rPr>
        <w:t xml:space="preserve">some Ukrainian intellectuals </w:t>
      </w:r>
      <w:r>
        <w:rPr>
          <w:rFonts w:asciiTheme="majorBidi" w:hAnsiTheme="majorBidi" w:cstheme="majorBidi"/>
          <w:sz w:val="22"/>
          <w:szCs w:val="22"/>
        </w:rPr>
        <w:t>here</w:t>
      </w:r>
      <w:r w:rsidRPr="00356EAE">
        <w:rPr>
          <w:rFonts w:asciiTheme="majorBidi" w:hAnsiTheme="majorBidi" w:cstheme="majorBidi"/>
          <w:sz w:val="22"/>
          <w:szCs w:val="22"/>
        </w:rPr>
        <w:t xml:space="preserve">, see Faith Hillis, </w:t>
      </w:r>
      <w:r w:rsidRPr="00856941">
        <w:rPr>
          <w:rFonts w:asciiTheme="majorBidi" w:hAnsiTheme="majorBidi" w:cstheme="majorBidi"/>
          <w:i/>
          <w:iCs/>
          <w:sz w:val="22"/>
          <w:szCs w:val="22"/>
        </w:rPr>
        <w:t>Children of Rus</w:t>
      </w:r>
      <w:r w:rsidR="00C53876">
        <w:rPr>
          <w:rFonts w:asciiTheme="majorBidi" w:hAnsiTheme="majorBidi" w:cstheme="majorBidi"/>
          <w:i/>
          <w:iCs/>
          <w:sz w:val="22"/>
          <w:szCs w:val="22"/>
        </w:rPr>
        <w:t>’</w:t>
      </w:r>
      <w:r w:rsidRPr="00856941">
        <w:rPr>
          <w:rFonts w:asciiTheme="majorBidi" w:hAnsiTheme="majorBidi" w:cstheme="majorBidi"/>
          <w:i/>
          <w:iCs/>
          <w:sz w:val="22"/>
          <w:szCs w:val="22"/>
        </w:rPr>
        <w:t>: Right-Bank Ukraine and the Invention of a Russian Nation</w:t>
      </w:r>
      <w:r w:rsidRPr="00356EAE">
        <w:rPr>
          <w:rFonts w:asciiTheme="majorBidi" w:hAnsiTheme="majorBidi" w:cstheme="majorBidi"/>
          <w:sz w:val="22"/>
          <w:szCs w:val="22"/>
        </w:rPr>
        <w:t xml:space="preserve"> (2013).</w:t>
      </w:r>
    </w:p>
  </w:footnote>
  <w:footnote w:id="220">
    <w:p w14:paraId="49DAC671" w14:textId="77777777" w:rsidR="00F81612" w:rsidRPr="00A206C6" w:rsidRDefault="00F81612" w:rsidP="00F81612">
      <w:pPr>
        <w:pStyle w:val="FootnoteText"/>
        <w:jc w:val="both"/>
        <w:rPr>
          <w:rFonts w:asciiTheme="majorBidi" w:hAnsiTheme="majorBidi" w:cstheme="majorBidi"/>
          <w:sz w:val="22"/>
          <w:szCs w:val="22"/>
        </w:rPr>
      </w:pPr>
      <w:r w:rsidRPr="00A206C6">
        <w:rPr>
          <w:rStyle w:val="FootnoteReference"/>
          <w:rFonts w:asciiTheme="majorBidi" w:hAnsiTheme="majorBidi" w:cstheme="majorBidi"/>
          <w:sz w:val="22"/>
          <w:szCs w:val="22"/>
        </w:rPr>
        <w:footnoteRef/>
      </w:r>
      <w:r w:rsidRPr="00A206C6">
        <w:rPr>
          <w:rFonts w:asciiTheme="majorBidi" w:hAnsiTheme="majorBidi" w:cstheme="majorBidi"/>
          <w:sz w:val="22"/>
          <w:szCs w:val="22"/>
        </w:rPr>
        <w:t xml:space="preserve"> </w:t>
      </w:r>
      <w:r w:rsidRPr="00356EAE">
        <w:rPr>
          <w:rFonts w:asciiTheme="majorBidi" w:hAnsiTheme="majorBidi" w:cstheme="majorBidi"/>
          <w:sz w:val="22"/>
          <w:szCs w:val="22"/>
        </w:rPr>
        <w:t>See Larry Wolf,</w:t>
      </w:r>
      <w:r w:rsidRPr="00A86E46">
        <w:t xml:space="preserve"> </w:t>
      </w:r>
      <w:r w:rsidRPr="00856941">
        <w:rPr>
          <w:rFonts w:asciiTheme="majorBidi" w:hAnsiTheme="majorBidi" w:cstheme="majorBidi"/>
          <w:i/>
          <w:iCs/>
          <w:sz w:val="22"/>
          <w:szCs w:val="22"/>
        </w:rPr>
        <w:t>The Idea of Galicia: History and Fantasy in Habsburg Political Culture</w:t>
      </w:r>
      <w:r w:rsidRPr="00356EAE">
        <w:rPr>
          <w:rFonts w:asciiTheme="majorBidi" w:hAnsiTheme="majorBidi" w:cstheme="majorBidi"/>
          <w:sz w:val="22"/>
          <w:szCs w:val="22"/>
        </w:rPr>
        <w:t xml:space="preserve"> (2010), pp. 336-341.</w:t>
      </w:r>
    </w:p>
  </w:footnote>
  <w:footnote w:id="221">
    <w:p w14:paraId="68FBB16B" w14:textId="55CF4156" w:rsidR="00F81612" w:rsidRPr="00A86E46" w:rsidRDefault="00F81612" w:rsidP="00F81612">
      <w:pPr>
        <w:pStyle w:val="FootnoteText"/>
        <w:jc w:val="both"/>
        <w:rPr>
          <w:rFonts w:asciiTheme="majorBidi" w:hAnsiTheme="majorBidi" w:cstheme="majorBidi"/>
          <w:sz w:val="22"/>
          <w:szCs w:val="22"/>
        </w:rPr>
      </w:pPr>
      <w:r w:rsidRPr="00A206C6">
        <w:rPr>
          <w:rStyle w:val="FootnoteReference"/>
          <w:rFonts w:asciiTheme="majorBidi" w:hAnsiTheme="majorBidi" w:cstheme="majorBidi"/>
          <w:sz w:val="22"/>
          <w:szCs w:val="22"/>
        </w:rPr>
        <w:footnoteRef/>
      </w:r>
      <w:r w:rsidRPr="00A86E46">
        <w:rPr>
          <w:rFonts w:asciiTheme="majorBidi" w:hAnsiTheme="majorBidi" w:cstheme="majorBidi"/>
          <w:sz w:val="22"/>
          <w:szCs w:val="22"/>
        </w:rPr>
        <w:t xml:space="preserve"> Snyder (n 1</w:t>
      </w:r>
      <w:r w:rsidR="00C92056">
        <w:rPr>
          <w:rFonts w:asciiTheme="majorBidi" w:hAnsiTheme="majorBidi" w:cstheme="majorBidi"/>
          <w:sz w:val="22"/>
          <w:szCs w:val="22"/>
        </w:rPr>
        <w:t>33</w:t>
      </w:r>
      <w:r w:rsidRPr="00A86E46">
        <w:rPr>
          <w:rFonts w:asciiTheme="majorBidi" w:hAnsiTheme="majorBidi" w:cstheme="majorBidi"/>
          <w:sz w:val="22"/>
          <w:szCs w:val="22"/>
        </w:rPr>
        <w:t>)</w:t>
      </w:r>
      <w:r w:rsidRPr="00856941">
        <w:rPr>
          <w:rFonts w:asciiTheme="majorBidi" w:hAnsiTheme="majorBidi" w:cstheme="majorBidi"/>
          <w:sz w:val="22"/>
          <w:szCs w:val="22"/>
        </w:rPr>
        <w:t xml:space="preserve"> pp.</w:t>
      </w:r>
      <w:r w:rsidRPr="00A86E46">
        <w:rPr>
          <w:rFonts w:asciiTheme="majorBidi" w:hAnsiTheme="majorBidi" w:cstheme="majorBidi"/>
          <w:sz w:val="22"/>
          <w:szCs w:val="22"/>
        </w:rPr>
        <w:t xml:space="preserve"> 123-132.</w:t>
      </w:r>
    </w:p>
  </w:footnote>
  <w:footnote w:id="222">
    <w:p w14:paraId="1AD243F1"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A86E46">
        <w:rPr>
          <w:rFonts w:asciiTheme="majorBidi" w:hAnsiTheme="majorBidi" w:cstheme="majorBidi"/>
          <w:sz w:val="22"/>
          <w:szCs w:val="22"/>
        </w:rPr>
        <w:t xml:space="preserve">Finkel (n </w:t>
      </w:r>
      <w:r w:rsidRPr="00856941">
        <w:rPr>
          <w:rFonts w:asciiTheme="majorBidi" w:hAnsiTheme="majorBidi" w:cstheme="majorBidi"/>
          <w:sz w:val="22"/>
          <w:szCs w:val="22"/>
        </w:rPr>
        <w:t>8</w:t>
      </w:r>
      <w:r w:rsidRPr="00A86E46">
        <w:rPr>
          <w:rFonts w:asciiTheme="majorBidi" w:hAnsiTheme="majorBidi" w:cstheme="majorBidi"/>
          <w:sz w:val="22"/>
          <w:szCs w:val="22"/>
        </w:rPr>
        <w:t xml:space="preserve">) </w:t>
      </w:r>
      <w:r>
        <w:rPr>
          <w:rFonts w:asciiTheme="majorBidi" w:hAnsiTheme="majorBidi" w:cstheme="majorBidi"/>
          <w:sz w:val="22"/>
          <w:szCs w:val="22"/>
        </w:rPr>
        <w:t xml:space="preserve">pp. </w:t>
      </w:r>
      <w:r w:rsidRPr="00A86E46">
        <w:rPr>
          <w:rFonts w:asciiTheme="majorBidi" w:hAnsiTheme="majorBidi" w:cstheme="majorBidi"/>
          <w:sz w:val="22"/>
          <w:szCs w:val="22"/>
        </w:rPr>
        <w:t>42-43.</w:t>
      </w:r>
    </w:p>
  </w:footnote>
  <w:footnote w:id="223">
    <w:p w14:paraId="0F8547E0" w14:textId="255043EF" w:rsidR="00F81612" w:rsidRPr="00856941" w:rsidRDefault="00F81612" w:rsidP="00F81612">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proofErr w:type="spellStart"/>
      <w:r w:rsidRPr="00A86E46">
        <w:rPr>
          <w:rFonts w:asciiTheme="majorBidi" w:hAnsiTheme="majorBidi" w:cstheme="majorBidi"/>
          <w:sz w:val="22"/>
          <w:szCs w:val="22"/>
        </w:rPr>
        <w:t>Plokhy</w:t>
      </w:r>
      <w:proofErr w:type="spellEnd"/>
      <w:r w:rsidRPr="00A86E46">
        <w:rPr>
          <w:rFonts w:asciiTheme="majorBidi" w:hAnsiTheme="majorBidi" w:cstheme="majorBidi"/>
          <w:sz w:val="22"/>
          <w:szCs w:val="22"/>
        </w:rPr>
        <w:t xml:space="preserve"> (</w:t>
      </w:r>
      <w:r w:rsidRPr="00856941">
        <w:rPr>
          <w:rFonts w:asciiTheme="majorBidi" w:hAnsiTheme="majorBidi" w:cstheme="majorBidi"/>
          <w:sz w:val="22"/>
          <w:szCs w:val="22"/>
        </w:rPr>
        <w:t>n 2</w:t>
      </w:r>
      <w:r w:rsidR="0074748D">
        <w:rPr>
          <w:rFonts w:asciiTheme="majorBidi" w:hAnsiTheme="majorBidi" w:cstheme="majorBidi"/>
          <w:sz w:val="22"/>
          <w:szCs w:val="22"/>
        </w:rPr>
        <w:t>18</w:t>
      </w:r>
      <w:r w:rsidRPr="00A86E46">
        <w:rPr>
          <w:rFonts w:asciiTheme="majorBidi" w:hAnsiTheme="majorBidi" w:cstheme="majorBidi"/>
          <w:sz w:val="22"/>
          <w:szCs w:val="22"/>
        </w:rPr>
        <w:t xml:space="preserve">) </w:t>
      </w:r>
      <w:r>
        <w:rPr>
          <w:rFonts w:asciiTheme="majorBidi" w:hAnsiTheme="majorBidi" w:cstheme="majorBidi"/>
          <w:sz w:val="22"/>
          <w:szCs w:val="22"/>
        </w:rPr>
        <w:t xml:space="preserve">pp. </w:t>
      </w:r>
      <w:r w:rsidRPr="00A86E46">
        <w:rPr>
          <w:rFonts w:asciiTheme="majorBidi" w:hAnsiTheme="majorBidi" w:cstheme="majorBidi"/>
          <w:sz w:val="22"/>
          <w:szCs w:val="22"/>
        </w:rPr>
        <w:t>151-153</w:t>
      </w:r>
    </w:p>
  </w:footnote>
  <w:footnote w:id="224">
    <w:p w14:paraId="07230F41" w14:textId="5B09E464"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On Russian </w:t>
      </w:r>
      <w:proofErr w:type="spellStart"/>
      <w:r w:rsidRPr="00356EAE">
        <w:rPr>
          <w:rFonts w:asciiTheme="majorBidi" w:hAnsiTheme="majorBidi" w:cstheme="majorBidi"/>
          <w:sz w:val="22"/>
          <w:szCs w:val="22"/>
        </w:rPr>
        <w:t>Panslavism’s</w:t>
      </w:r>
      <w:proofErr w:type="spellEnd"/>
      <w:r w:rsidRPr="00356EAE">
        <w:rPr>
          <w:rFonts w:asciiTheme="majorBidi" w:hAnsiTheme="majorBidi" w:cstheme="majorBidi"/>
          <w:sz w:val="22"/>
          <w:szCs w:val="22"/>
        </w:rPr>
        <w:t xml:space="preserve"> emergence, see Eric Loefflad, </w:t>
      </w:r>
      <w:r>
        <w:rPr>
          <w:rFonts w:asciiTheme="majorBidi" w:hAnsiTheme="majorBidi" w:cstheme="majorBidi"/>
          <w:sz w:val="22"/>
          <w:szCs w:val="22"/>
        </w:rPr>
        <w:t>“</w:t>
      </w:r>
      <w:r w:rsidRPr="00356EAE">
        <w:rPr>
          <w:rFonts w:asciiTheme="majorBidi" w:hAnsiTheme="majorBidi" w:cstheme="majorBidi"/>
          <w:sz w:val="22"/>
          <w:szCs w:val="22"/>
        </w:rPr>
        <w:t>Blood of Nations, Blood of Empire: Pan-Slavism as a Critique of International Law in Late Imperial Russia and Beyond</w:t>
      </w:r>
      <w:r>
        <w:rPr>
          <w:rFonts w:asciiTheme="majorBidi" w:hAnsiTheme="majorBidi" w:cstheme="majorBidi"/>
          <w:sz w:val="22"/>
          <w:szCs w:val="22"/>
        </w:rPr>
        <w:t>”,</w:t>
      </w:r>
      <w:r w:rsidRPr="00356EAE">
        <w:rPr>
          <w:rFonts w:asciiTheme="majorBidi" w:hAnsiTheme="majorBidi" w:cstheme="majorBidi"/>
          <w:sz w:val="22"/>
          <w:szCs w:val="22"/>
        </w:rPr>
        <w:t xml:space="preserve"> 66</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German Yearbook of International Law</w:t>
      </w:r>
      <w:r w:rsidRPr="00356EAE">
        <w:rPr>
          <w:rFonts w:asciiTheme="majorBidi" w:hAnsiTheme="majorBidi" w:cstheme="majorBidi"/>
          <w:sz w:val="22"/>
          <w:szCs w:val="22"/>
        </w:rPr>
        <w:t xml:space="preserve"> (2023) pp. </w:t>
      </w:r>
      <w:r>
        <w:rPr>
          <w:rFonts w:asciiTheme="majorBidi" w:hAnsiTheme="majorBidi" w:cstheme="majorBidi"/>
          <w:sz w:val="22"/>
          <w:szCs w:val="22"/>
        </w:rPr>
        <w:t>49-52</w:t>
      </w:r>
      <w:r w:rsidRPr="00356EAE">
        <w:rPr>
          <w:rFonts w:asciiTheme="majorBidi" w:hAnsiTheme="majorBidi" w:cstheme="majorBidi"/>
          <w:sz w:val="22"/>
          <w:szCs w:val="22"/>
        </w:rPr>
        <w:t xml:space="preserve">. </w:t>
      </w:r>
    </w:p>
  </w:footnote>
  <w:footnote w:id="225">
    <w:p w14:paraId="670CF0E6" w14:textId="77777777" w:rsidR="00F81612" w:rsidRPr="00165728" w:rsidRDefault="00F81612" w:rsidP="00F81612">
      <w:pPr>
        <w:pStyle w:val="FootnoteText"/>
        <w:rPr>
          <w:rFonts w:asciiTheme="majorBidi" w:hAnsiTheme="majorBidi" w:cstheme="majorBidi"/>
          <w:sz w:val="22"/>
          <w:szCs w:val="22"/>
          <w:lang w:val="nl-NL"/>
        </w:rPr>
      </w:pPr>
      <w:r w:rsidRPr="00856941">
        <w:rPr>
          <w:rStyle w:val="FootnoteReference"/>
          <w:rFonts w:asciiTheme="majorBidi" w:hAnsiTheme="majorBidi" w:cstheme="majorBidi"/>
          <w:sz w:val="22"/>
          <w:szCs w:val="22"/>
        </w:rPr>
        <w:footnoteRef/>
      </w:r>
      <w:r w:rsidRPr="00165728">
        <w:rPr>
          <w:rFonts w:asciiTheme="majorBidi" w:hAnsiTheme="majorBidi" w:cstheme="majorBidi"/>
          <w:sz w:val="22"/>
          <w:szCs w:val="22"/>
          <w:lang w:val="nl-NL"/>
        </w:rPr>
        <w:t xml:space="preserve"> </w:t>
      </w:r>
      <w:proofErr w:type="spellStart"/>
      <w:r w:rsidRPr="00165728">
        <w:rPr>
          <w:rFonts w:asciiTheme="majorBidi" w:hAnsiTheme="majorBidi" w:cstheme="majorBidi"/>
          <w:sz w:val="22"/>
          <w:szCs w:val="22"/>
          <w:lang w:val="nl-NL"/>
        </w:rPr>
        <w:t>Finkel</w:t>
      </w:r>
      <w:proofErr w:type="spellEnd"/>
      <w:r w:rsidRPr="00165728">
        <w:rPr>
          <w:rFonts w:asciiTheme="majorBidi" w:hAnsiTheme="majorBidi" w:cstheme="majorBidi"/>
          <w:sz w:val="22"/>
          <w:szCs w:val="22"/>
          <w:lang w:val="nl-NL"/>
        </w:rPr>
        <w:t xml:space="preserve"> (n 8) p. 43.</w:t>
      </w:r>
    </w:p>
  </w:footnote>
  <w:footnote w:id="226">
    <w:p w14:paraId="7682A1E9" w14:textId="1D6A1073" w:rsidR="00F81612" w:rsidRPr="00640004" w:rsidRDefault="00F81612" w:rsidP="00F81612">
      <w:pPr>
        <w:pStyle w:val="FootnoteText"/>
        <w:rPr>
          <w:rFonts w:asciiTheme="majorBidi" w:hAnsiTheme="majorBidi" w:cstheme="majorBidi"/>
          <w:sz w:val="22"/>
          <w:szCs w:val="22"/>
          <w:lang w:val="nl-NL"/>
        </w:rPr>
      </w:pPr>
      <w:r w:rsidRPr="00856941">
        <w:rPr>
          <w:rStyle w:val="FootnoteReference"/>
          <w:rFonts w:asciiTheme="majorBidi" w:hAnsiTheme="majorBidi" w:cstheme="majorBidi"/>
          <w:sz w:val="22"/>
          <w:szCs w:val="22"/>
        </w:rPr>
        <w:footnoteRef/>
      </w:r>
      <w:r w:rsidRPr="00640004">
        <w:rPr>
          <w:rFonts w:asciiTheme="majorBidi" w:hAnsiTheme="majorBidi" w:cstheme="majorBidi"/>
          <w:sz w:val="22"/>
          <w:szCs w:val="22"/>
          <w:lang w:val="nl-NL"/>
        </w:rPr>
        <w:t xml:space="preserve"> Loefflad (n 2</w:t>
      </w:r>
      <w:r w:rsidR="0074748D" w:rsidRPr="00640004">
        <w:rPr>
          <w:rFonts w:asciiTheme="majorBidi" w:hAnsiTheme="majorBidi" w:cstheme="majorBidi"/>
          <w:sz w:val="22"/>
          <w:szCs w:val="22"/>
          <w:lang w:val="nl-NL"/>
        </w:rPr>
        <w:t>24</w:t>
      </w:r>
      <w:r w:rsidRPr="00640004">
        <w:rPr>
          <w:rFonts w:asciiTheme="majorBidi" w:hAnsiTheme="majorBidi" w:cstheme="majorBidi"/>
          <w:sz w:val="22"/>
          <w:szCs w:val="22"/>
          <w:lang w:val="nl-NL"/>
        </w:rPr>
        <w:t>) p. 53-54.</w:t>
      </w:r>
    </w:p>
  </w:footnote>
  <w:footnote w:id="227">
    <w:p w14:paraId="0C8A593D" w14:textId="39BF251A"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Nikolai Danilevskii, </w:t>
      </w:r>
      <w:r w:rsidRPr="00856941">
        <w:rPr>
          <w:rFonts w:asciiTheme="majorBidi" w:hAnsiTheme="majorBidi" w:cstheme="majorBidi"/>
          <w:i/>
          <w:iCs/>
          <w:sz w:val="22"/>
          <w:szCs w:val="22"/>
        </w:rPr>
        <w:t>Russia and Europe: The Slavic World’s Political and Cultural Relations with the Germanic-Roman West</w:t>
      </w:r>
      <w:r>
        <w:rPr>
          <w:rFonts w:asciiTheme="majorBidi" w:hAnsiTheme="majorBidi" w:cstheme="majorBidi"/>
          <w:sz w:val="22"/>
          <w:szCs w:val="22"/>
        </w:rPr>
        <w:t>,</w:t>
      </w:r>
      <w:r w:rsidRPr="00356EAE">
        <w:rPr>
          <w:rFonts w:asciiTheme="majorBidi" w:hAnsiTheme="majorBidi" w:cstheme="majorBidi"/>
          <w:sz w:val="22"/>
          <w:szCs w:val="22"/>
        </w:rPr>
        <w:t xml:space="preserve"> </w:t>
      </w:r>
      <w:r w:rsidRPr="00C75982">
        <w:rPr>
          <w:rFonts w:asciiTheme="majorBidi" w:hAnsiTheme="majorBidi" w:cstheme="majorBidi"/>
          <w:sz w:val="22"/>
          <w:szCs w:val="22"/>
        </w:rPr>
        <w:t xml:space="preserve">Stephen Woodburn trans </w:t>
      </w:r>
      <w:r w:rsidRPr="00356EAE">
        <w:rPr>
          <w:rFonts w:asciiTheme="majorBidi" w:hAnsiTheme="majorBidi" w:cstheme="majorBidi"/>
          <w:sz w:val="22"/>
          <w:szCs w:val="22"/>
        </w:rPr>
        <w:t>(2013)</w:t>
      </w:r>
      <w:r>
        <w:rPr>
          <w:rFonts w:asciiTheme="majorBidi" w:hAnsiTheme="majorBidi" w:cstheme="majorBidi"/>
          <w:sz w:val="22"/>
          <w:szCs w:val="22"/>
        </w:rPr>
        <w:t xml:space="preserve"> p.</w:t>
      </w:r>
      <w:r w:rsidR="007C47C0">
        <w:rPr>
          <w:rFonts w:asciiTheme="majorBidi" w:hAnsiTheme="majorBidi" w:cstheme="majorBidi"/>
          <w:sz w:val="22"/>
          <w:szCs w:val="22"/>
        </w:rPr>
        <w:t xml:space="preserve"> </w:t>
      </w:r>
      <w:r>
        <w:rPr>
          <w:rFonts w:asciiTheme="majorBidi" w:hAnsiTheme="majorBidi" w:cstheme="majorBidi"/>
          <w:sz w:val="22"/>
          <w:szCs w:val="22"/>
        </w:rPr>
        <w:t>26. While focused on the Commonwealth’s Eastern Slavs here, he stated elsewhere that the Poles</w:t>
      </w:r>
      <w:r w:rsidR="00844B0D">
        <w:rPr>
          <w:rFonts w:asciiTheme="majorBidi" w:hAnsiTheme="majorBidi" w:cstheme="majorBidi"/>
          <w:sz w:val="22"/>
          <w:szCs w:val="22"/>
        </w:rPr>
        <w:t>’</w:t>
      </w:r>
      <w:r>
        <w:rPr>
          <w:rFonts w:asciiTheme="majorBidi" w:hAnsiTheme="majorBidi" w:cstheme="majorBidi"/>
          <w:sz w:val="22"/>
          <w:szCs w:val="22"/>
        </w:rPr>
        <w:t xml:space="preserve"> only hope was to join a greater Russian-led championing of Slavdom. Ibid p. 341.</w:t>
      </w:r>
    </w:p>
  </w:footnote>
  <w:footnote w:id="228">
    <w:p w14:paraId="328E3AB9" w14:textId="77777777" w:rsidR="00F81612" w:rsidRPr="00856941" w:rsidRDefault="00F81612" w:rsidP="00F81612">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Ibid p. 154.</w:t>
      </w:r>
    </w:p>
  </w:footnote>
  <w:footnote w:id="229">
    <w:p w14:paraId="156FA294"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Nikolai Danilevskii</w:t>
      </w:r>
      <w:r>
        <w:rPr>
          <w:rFonts w:asciiTheme="majorBidi" w:hAnsiTheme="majorBidi" w:cstheme="majorBidi"/>
          <w:sz w:val="22"/>
          <w:szCs w:val="22"/>
        </w:rPr>
        <w:t xml:space="preserve">, </w:t>
      </w:r>
      <w:r w:rsidRPr="00856941">
        <w:rPr>
          <w:rFonts w:asciiTheme="majorBidi" w:hAnsiTheme="majorBidi" w:cstheme="majorBidi"/>
          <w:i/>
          <w:iCs/>
          <w:sz w:val="22"/>
          <w:szCs w:val="22"/>
        </w:rPr>
        <w:t>Woe to the Victor! The Russo-Turkish War, the Congress of Berlin, and the Future of Slavdom</w:t>
      </w:r>
      <w:r>
        <w:rPr>
          <w:rFonts w:asciiTheme="majorBidi" w:hAnsiTheme="majorBidi" w:cstheme="majorBidi"/>
          <w:sz w:val="22"/>
          <w:szCs w:val="22"/>
        </w:rPr>
        <w:t>, Stephen Woodburn trans (2015) pp. 120-125</w:t>
      </w:r>
    </w:p>
  </w:footnote>
  <w:footnote w:id="230">
    <w:p w14:paraId="76BCB34C"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Ibid </w:t>
      </w:r>
      <w:r>
        <w:rPr>
          <w:rFonts w:asciiTheme="majorBidi" w:hAnsiTheme="majorBidi" w:cstheme="majorBidi"/>
          <w:sz w:val="22"/>
          <w:szCs w:val="22"/>
        </w:rPr>
        <w:t>pp. 131-132</w:t>
      </w:r>
    </w:p>
  </w:footnote>
  <w:footnote w:id="231">
    <w:p w14:paraId="403758E7" w14:textId="67F7C265" w:rsidR="00F81612" w:rsidRDefault="00F81612" w:rsidP="00F81612">
      <w:pPr>
        <w:pStyle w:val="FootnoteText"/>
      </w:pPr>
      <w:r w:rsidRPr="007E561C">
        <w:rPr>
          <w:rStyle w:val="FootnoteReference"/>
          <w:rFonts w:asciiTheme="majorBidi" w:hAnsiTheme="majorBidi" w:cstheme="majorBidi"/>
          <w:sz w:val="22"/>
          <w:szCs w:val="22"/>
        </w:rPr>
        <w:footnoteRef/>
      </w:r>
      <w:r w:rsidRPr="007E561C">
        <w:rPr>
          <w:rFonts w:asciiTheme="majorBidi" w:hAnsiTheme="majorBidi" w:cstheme="majorBidi"/>
          <w:sz w:val="22"/>
          <w:szCs w:val="22"/>
        </w:rPr>
        <w:t xml:space="preserve"> </w:t>
      </w:r>
      <w:r w:rsidRPr="0096583D">
        <w:rPr>
          <w:rFonts w:asciiTheme="majorBidi" w:hAnsiTheme="majorBidi" w:cstheme="majorBidi"/>
          <w:sz w:val="22"/>
          <w:szCs w:val="22"/>
        </w:rPr>
        <w:t xml:space="preserve">Danilevskii, </w:t>
      </w:r>
      <w:r w:rsidRPr="00856941">
        <w:rPr>
          <w:rFonts w:asciiTheme="majorBidi" w:hAnsiTheme="majorBidi" w:cstheme="majorBidi"/>
          <w:i/>
          <w:iCs/>
          <w:sz w:val="22"/>
          <w:szCs w:val="22"/>
        </w:rPr>
        <w:t>Russia and Europe</w:t>
      </w:r>
      <w:r w:rsidRPr="0096583D">
        <w:rPr>
          <w:rFonts w:asciiTheme="majorBidi" w:hAnsiTheme="majorBidi" w:cstheme="majorBidi"/>
          <w:sz w:val="22"/>
          <w:szCs w:val="22"/>
        </w:rPr>
        <w:t xml:space="preserve"> (</w:t>
      </w:r>
      <w:r>
        <w:rPr>
          <w:rFonts w:asciiTheme="majorBidi" w:hAnsiTheme="majorBidi" w:cstheme="majorBidi"/>
          <w:sz w:val="22"/>
          <w:szCs w:val="22"/>
        </w:rPr>
        <w:t>n 2</w:t>
      </w:r>
      <w:r w:rsidR="0074748D">
        <w:rPr>
          <w:rFonts w:asciiTheme="majorBidi" w:hAnsiTheme="majorBidi" w:cstheme="majorBidi"/>
          <w:sz w:val="22"/>
          <w:szCs w:val="22"/>
        </w:rPr>
        <w:t>27</w:t>
      </w:r>
      <w:r w:rsidRPr="0096583D">
        <w:rPr>
          <w:rFonts w:asciiTheme="majorBidi" w:hAnsiTheme="majorBidi" w:cstheme="majorBidi"/>
          <w:sz w:val="22"/>
          <w:szCs w:val="22"/>
        </w:rPr>
        <w:t>)</w:t>
      </w:r>
      <w:r>
        <w:rPr>
          <w:rFonts w:asciiTheme="majorBidi" w:hAnsiTheme="majorBidi" w:cstheme="majorBidi"/>
          <w:sz w:val="22"/>
          <w:szCs w:val="22"/>
        </w:rPr>
        <w:t xml:space="preserve"> pp. 19,</w:t>
      </w:r>
      <w:r w:rsidRPr="0096583D">
        <w:rPr>
          <w:rFonts w:asciiTheme="majorBidi" w:hAnsiTheme="majorBidi" w:cstheme="majorBidi"/>
          <w:sz w:val="22"/>
          <w:szCs w:val="22"/>
        </w:rPr>
        <w:t xml:space="preserve"> </w:t>
      </w:r>
      <w:r>
        <w:rPr>
          <w:rFonts w:asciiTheme="majorBidi" w:hAnsiTheme="majorBidi" w:cstheme="majorBidi"/>
          <w:sz w:val="22"/>
          <w:szCs w:val="22"/>
        </w:rPr>
        <w:t>321, 335</w:t>
      </w:r>
      <w:r w:rsidRPr="0096583D">
        <w:rPr>
          <w:rFonts w:asciiTheme="majorBidi" w:hAnsiTheme="majorBidi" w:cstheme="majorBidi"/>
          <w:sz w:val="22"/>
          <w:szCs w:val="22"/>
        </w:rPr>
        <w:t>.</w:t>
      </w:r>
    </w:p>
  </w:footnote>
  <w:footnote w:id="232">
    <w:p w14:paraId="265A7E25"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96583D">
        <w:rPr>
          <w:rFonts w:asciiTheme="majorBidi" w:hAnsiTheme="majorBidi" w:cstheme="majorBidi"/>
          <w:sz w:val="22"/>
          <w:szCs w:val="22"/>
        </w:rPr>
        <w:t xml:space="preserve"> </w:t>
      </w:r>
      <w:r>
        <w:rPr>
          <w:rFonts w:asciiTheme="majorBidi" w:hAnsiTheme="majorBidi" w:cstheme="majorBidi"/>
          <w:sz w:val="22"/>
          <w:szCs w:val="22"/>
        </w:rPr>
        <w:t xml:space="preserve">Ibid pp. 20, 30 </w:t>
      </w:r>
    </w:p>
  </w:footnote>
  <w:footnote w:id="233">
    <w:p w14:paraId="78A61E51" w14:textId="77777777" w:rsidR="00F81612" w:rsidRPr="00E25627" w:rsidRDefault="00F81612" w:rsidP="00F81612">
      <w:pPr>
        <w:pStyle w:val="FootnoteText"/>
        <w:jc w:val="both"/>
        <w:rPr>
          <w:rFonts w:asciiTheme="majorBidi" w:hAnsiTheme="majorBidi" w:cstheme="majorBidi"/>
          <w:sz w:val="22"/>
          <w:szCs w:val="22"/>
        </w:rPr>
      </w:pPr>
      <w:r w:rsidRPr="00E25627">
        <w:rPr>
          <w:rStyle w:val="FootnoteReference"/>
          <w:rFonts w:asciiTheme="majorBidi" w:hAnsiTheme="majorBidi" w:cstheme="majorBidi"/>
          <w:sz w:val="22"/>
          <w:szCs w:val="22"/>
        </w:rPr>
        <w:footnoteRef/>
      </w:r>
      <w:r w:rsidRPr="00E25627">
        <w:rPr>
          <w:rFonts w:asciiTheme="majorBidi" w:hAnsiTheme="majorBidi" w:cstheme="majorBidi"/>
          <w:sz w:val="22"/>
          <w:szCs w:val="22"/>
        </w:rPr>
        <w:t xml:space="preserve"> </w:t>
      </w:r>
      <w:r>
        <w:rPr>
          <w:rFonts w:asciiTheme="majorBidi" w:hAnsiTheme="majorBidi" w:cstheme="majorBidi"/>
          <w:sz w:val="22"/>
          <w:szCs w:val="22"/>
        </w:rPr>
        <w:t>Ibid p. 30</w:t>
      </w:r>
      <w:r w:rsidRPr="0096583D">
        <w:rPr>
          <w:rFonts w:asciiTheme="majorBidi" w:hAnsiTheme="majorBidi" w:cstheme="majorBidi"/>
          <w:sz w:val="22"/>
          <w:szCs w:val="22"/>
        </w:rPr>
        <w:t>.</w:t>
      </w:r>
    </w:p>
  </w:footnote>
  <w:footnote w:id="234">
    <w:p w14:paraId="17E5F134"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See Andrei Tsygankov, </w:t>
      </w:r>
      <w:r>
        <w:rPr>
          <w:rFonts w:asciiTheme="majorBidi" w:hAnsiTheme="majorBidi" w:cstheme="majorBidi"/>
          <w:sz w:val="22"/>
          <w:szCs w:val="22"/>
        </w:rPr>
        <w:t>“</w:t>
      </w:r>
      <w:r w:rsidRPr="00356EAE">
        <w:rPr>
          <w:rFonts w:asciiTheme="majorBidi" w:hAnsiTheme="majorBidi" w:cstheme="majorBidi"/>
          <w:sz w:val="22"/>
          <w:szCs w:val="22"/>
        </w:rPr>
        <w:t>In the Shadow of Nikolai Danilevskii: Universalism, Particularism, and Russian Geopolitical Theory</w:t>
      </w:r>
      <w:r>
        <w:rPr>
          <w:rFonts w:asciiTheme="majorBidi" w:hAnsiTheme="majorBidi" w:cstheme="majorBidi"/>
          <w:sz w:val="22"/>
          <w:szCs w:val="22"/>
        </w:rPr>
        <w:t>”</w:t>
      </w:r>
      <w:r w:rsidRPr="00356EAE">
        <w:rPr>
          <w:rFonts w:asciiTheme="majorBidi" w:hAnsiTheme="majorBidi" w:cstheme="majorBidi"/>
          <w:sz w:val="22"/>
          <w:szCs w:val="22"/>
        </w:rPr>
        <w:t xml:space="preserve">, 69 </w:t>
      </w:r>
      <w:r w:rsidRPr="00856941">
        <w:rPr>
          <w:rFonts w:asciiTheme="majorBidi" w:hAnsiTheme="majorBidi" w:cstheme="majorBidi"/>
          <w:i/>
          <w:iCs/>
          <w:sz w:val="22"/>
          <w:szCs w:val="22"/>
        </w:rPr>
        <w:t>Europe-Asia Studies</w:t>
      </w:r>
      <w:r w:rsidRPr="00356EAE">
        <w:rPr>
          <w:rFonts w:asciiTheme="majorBidi" w:hAnsiTheme="majorBidi" w:cstheme="majorBidi"/>
          <w:sz w:val="22"/>
          <w:szCs w:val="22"/>
        </w:rPr>
        <w:t xml:space="preserve"> (2017) pp. 571-593;</w:t>
      </w:r>
      <w:r>
        <w:rPr>
          <w:rFonts w:asciiTheme="majorBidi" w:hAnsiTheme="majorBidi" w:cstheme="majorBidi"/>
          <w:sz w:val="22"/>
          <w:szCs w:val="22"/>
        </w:rPr>
        <w:t xml:space="preserve"> Mikhail Suslov,</w:t>
      </w:r>
      <w:r w:rsidRPr="00356EAE">
        <w:rPr>
          <w:rFonts w:asciiTheme="majorBidi" w:hAnsiTheme="majorBidi" w:cstheme="majorBidi"/>
          <w:sz w:val="22"/>
          <w:szCs w:val="22"/>
        </w:rPr>
        <w:t xml:space="preserve"> </w:t>
      </w:r>
      <w:r>
        <w:rPr>
          <w:rFonts w:asciiTheme="majorBidi" w:hAnsiTheme="majorBidi" w:cstheme="majorBidi"/>
          <w:sz w:val="22"/>
          <w:szCs w:val="22"/>
        </w:rPr>
        <w:t>“</w:t>
      </w:r>
      <w:r w:rsidRPr="00356EAE">
        <w:rPr>
          <w:rFonts w:asciiTheme="majorBidi" w:hAnsiTheme="majorBidi" w:cstheme="majorBidi"/>
          <w:sz w:val="22"/>
          <w:szCs w:val="22"/>
        </w:rPr>
        <w:t xml:space="preserve">New Wine in an Old Wineskin: </w:t>
      </w:r>
      <w:proofErr w:type="spellStart"/>
      <w:r w:rsidRPr="00356EAE">
        <w:rPr>
          <w:rFonts w:asciiTheme="majorBidi" w:hAnsiTheme="majorBidi" w:cstheme="majorBidi"/>
          <w:sz w:val="22"/>
          <w:szCs w:val="22"/>
        </w:rPr>
        <w:t>Slavophilia</w:t>
      </w:r>
      <w:proofErr w:type="spellEnd"/>
      <w:r w:rsidRPr="00356EAE">
        <w:rPr>
          <w:rFonts w:asciiTheme="majorBidi" w:hAnsiTheme="majorBidi" w:cstheme="majorBidi"/>
          <w:sz w:val="22"/>
          <w:szCs w:val="22"/>
        </w:rPr>
        <w:t xml:space="preserve"> and Geopolitical Populism in Putin’s Russia</w:t>
      </w:r>
      <w:r>
        <w:rPr>
          <w:rFonts w:asciiTheme="majorBidi" w:hAnsiTheme="majorBidi" w:cstheme="majorBidi"/>
          <w:sz w:val="22"/>
          <w:szCs w:val="22"/>
        </w:rPr>
        <w:t>”,</w:t>
      </w:r>
      <w:r w:rsidRPr="00356EAE">
        <w:rPr>
          <w:rFonts w:asciiTheme="majorBidi" w:hAnsiTheme="majorBidi" w:cstheme="majorBidi"/>
          <w:sz w:val="22"/>
          <w:szCs w:val="22"/>
        </w:rPr>
        <w:t xml:space="preserve"> in Mikhail Suslov, Marek Čejka, and Vladimir Ðorđević (eds), </w:t>
      </w:r>
      <w:r w:rsidRPr="00856941">
        <w:rPr>
          <w:rFonts w:asciiTheme="majorBidi" w:hAnsiTheme="majorBidi" w:cstheme="majorBidi"/>
          <w:i/>
          <w:iCs/>
          <w:sz w:val="22"/>
          <w:szCs w:val="22"/>
        </w:rPr>
        <w:t xml:space="preserve">Pan-Slavism and </w:t>
      </w:r>
      <w:proofErr w:type="spellStart"/>
      <w:r w:rsidRPr="00856941">
        <w:rPr>
          <w:rFonts w:asciiTheme="majorBidi" w:hAnsiTheme="majorBidi" w:cstheme="majorBidi"/>
          <w:i/>
          <w:iCs/>
          <w:sz w:val="22"/>
          <w:szCs w:val="22"/>
        </w:rPr>
        <w:t>Slavophilia</w:t>
      </w:r>
      <w:proofErr w:type="spellEnd"/>
      <w:r w:rsidRPr="00856941">
        <w:rPr>
          <w:rFonts w:asciiTheme="majorBidi" w:hAnsiTheme="majorBidi" w:cstheme="majorBidi"/>
          <w:i/>
          <w:iCs/>
          <w:sz w:val="22"/>
          <w:szCs w:val="22"/>
        </w:rPr>
        <w:t xml:space="preserve"> in Contemporary Central and Eastern Europe: Origins, Manifestations and Functions</w:t>
      </w:r>
      <w:r w:rsidRPr="00356EAE">
        <w:rPr>
          <w:rFonts w:asciiTheme="majorBidi" w:hAnsiTheme="majorBidi" w:cstheme="majorBidi"/>
          <w:sz w:val="22"/>
          <w:szCs w:val="22"/>
        </w:rPr>
        <w:t xml:space="preserve"> (2023) pp. 77-100.</w:t>
      </w:r>
    </w:p>
  </w:footnote>
  <w:footnote w:id="235">
    <w:p w14:paraId="6B632165" w14:textId="20D1D9C3"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Antony Anghie, </w:t>
      </w:r>
      <w:r>
        <w:rPr>
          <w:rFonts w:asciiTheme="majorBidi" w:hAnsiTheme="majorBidi" w:cstheme="majorBidi"/>
          <w:sz w:val="22"/>
          <w:szCs w:val="22"/>
        </w:rPr>
        <w:t>“</w:t>
      </w:r>
      <w:r w:rsidRPr="00356EAE">
        <w:rPr>
          <w:rFonts w:asciiTheme="majorBidi" w:hAnsiTheme="majorBidi" w:cstheme="majorBidi"/>
          <w:sz w:val="22"/>
          <w:szCs w:val="22"/>
        </w:rPr>
        <w:t xml:space="preserve">Rethinking </w:t>
      </w:r>
      <w:r>
        <w:rPr>
          <w:rFonts w:asciiTheme="majorBidi" w:hAnsiTheme="majorBidi" w:cstheme="majorBidi"/>
          <w:sz w:val="22"/>
          <w:szCs w:val="22"/>
        </w:rPr>
        <w:t>I</w:t>
      </w:r>
      <w:r w:rsidRPr="00356EAE">
        <w:rPr>
          <w:rFonts w:asciiTheme="majorBidi" w:hAnsiTheme="majorBidi" w:cstheme="majorBidi"/>
          <w:sz w:val="22"/>
          <w:szCs w:val="22"/>
        </w:rPr>
        <w:t xml:space="preserve">nternational </w:t>
      </w:r>
      <w:r>
        <w:rPr>
          <w:rFonts w:asciiTheme="majorBidi" w:hAnsiTheme="majorBidi" w:cstheme="majorBidi"/>
          <w:sz w:val="22"/>
          <w:szCs w:val="22"/>
        </w:rPr>
        <w:t>L</w:t>
      </w:r>
      <w:r w:rsidRPr="00356EAE">
        <w:rPr>
          <w:rFonts w:asciiTheme="majorBidi" w:hAnsiTheme="majorBidi" w:cstheme="majorBidi"/>
          <w:sz w:val="22"/>
          <w:szCs w:val="22"/>
        </w:rPr>
        <w:t xml:space="preserve">aw: A TWAIL </w:t>
      </w:r>
      <w:r>
        <w:rPr>
          <w:rFonts w:asciiTheme="majorBidi" w:hAnsiTheme="majorBidi" w:cstheme="majorBidi"/>
          <w:sz w:val="22"/>
          <w:szCs w:val="22"/>
        </w:rPr>
        <w:t>R</w:t>
      </w:r>
      <w:r w:rsidRPr="00356EAE">
        <w:rPr>
          <w:rFonts w:asciiTheme="majorBidi" w:hAnsiTheme="majorBidi" w:cstheme="majorBidi"/>
          <w:sz w:val="22"/>
          <w:szCs w:val="22"/>
        </w:rPr>
        <w:t>etrospective</w:t>
      </w:r>
      <w:r>
        <w:rPr>
          <w:rFonts w:asciiTheme="majorBidi" w:hAnsiTheme="majorBidi" w:cstheme="majorBidi"/>
          <w:sz w:val="22"/>
          <w:szCs w:val="22"/>
        </w:rPr>
        <w:t>”</w:t>
      </w:r>
      <w:r w:rsidRPr="00356EAE">
        <w:rPr>
          <w:rFonts w:asciiTheme="majorBidi" w:hAnsiTheme="majorBidi" w:cstheme="majorBidi"/>
          <w:sz w:val="22"/>
          <w:szCs w:val="22"/>
        </w:rPr>
        <w:t>, 34</w:t>
      </w:r>
      <w:r w:rsidR="0074748D">
        <w:rPr>
          <w:rFonts w:asciiTheme="majorBidi" w:hAnsiTheme="majorBidi" w:cstheme="majorBidi"/>
          <w:sz w:val="22"/>
          <w:szCs w:val="22"/>
        </w:rPr>
        <w:t>(1)</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 xml:space="preserve">European Journal of International Law </w:t>
      </w:r>
      <w:r w:rsidRPr="00356EAE">
        <w:rPr>
          <w:rFonts w:asciiTheme="majorBidi" w:hAnsiTheme="majorBidi" w:cstheme="majorBidi"/>
          <w:sz w:val="22"/>
          <w:szCs w:val="22"/>
        </w:rPr>
        <w:t>(2023) pp. 17-22.</w:t>
      </w:r>
    </w:p>
  </w:footnote>
  <w:footnote w:id="236">
    <w:p w14:paraId="550500CC" w14:textId="77777777"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Samir Puri, </w:t>
      </w:r>
      <w:r w:rsidRPr="00856941">
        <w:rPr>
          <w:rFonts w:asciiTheme="majorBidi" w:hAnsiTheme="majorBidi" w:cstheme="majorBidi"/>
          <w:i/>
          <w:iCs/>
          <w:sz w:val="22"/>
          <w:szCs w:val="22"/>
        </w:rPr>
        <w:t>The Great Imperial Hangover: How Empires have Shaped the World</w:t>
      </w:r>
      <w:r w:rsidRPr="00356EAE">
        <w:rPr>
          <w:rFonts w:asciiTheme="majorBidi" w:hAnsiTheme="majorBidi" w:cstheme="majorBidi"/>
          <w:sz w:val="22"/>
          <w:szCs w:val="22"/>
        </w:rPr>
        <w:t xml:space="preserve"> (2020).</w:t>
      </w:r>
    </w:p>
  </w:footnote>
  <w:footnote w:id="237">
    <w:p w14:paraId="3BFC7B89" w14:textId="169DA0F4" w:rsidR="00F81612" w:rsidRPr="00856941" w:rsidRDefault="00F81612" w:rsidP="00F81612">
      <w:pPr>
        <w:pStyle w:val="FootnoteText"/>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Barfield (n </w:t>
      </w:r>
      <w:r w:rsidR="0074748D">
        <w:rPr>
          <w:rFonts w:asciiTheme="majorBidi" w:hAnsiTheme="majorBidi" w:cstheme="majorBidi"/>
          <w:sz w:val="22"/>
          <w:szCs w:val="22"/>
        </w:rPr>
        <w:t>69</w:t>
      </w:r>
      <w:r w:rsidRPr="00856941">
        <w:rPr>
          <w:rFonts w:asciiTheme="majorBidi" w:hAnsiTheme="majorBidi" w:cstheme="majorBidi"/>
          <w:sz w:val="22"/>
          <w:szCs w:val="22"/>
        </w:rPr>
        <w:t xml:space="preserve">) </w:t>
      </w:r>
      <w:r w:rsidR="00741A4C">
        <w:rPr>
          <w:rFonts w:asciiTheme="majorBidi" w:hAnsiTheme="majorBidi" w:cstheme="majorBidi"/>
          <w:sz w:val="22"/>
          <w:szCs w:val="22"/>
        </w:rPr>
        <w:t>pp</w:t>
      </w:r>
      <w:r w:rsidR="007C47C0">
        <w:rPr>
          <w:rFonts w:asciiTheme="majorBidi" w:hAnsiTheme="majorBidi" w:cstheme="majorBidi"/>
          <w:sz w:val="22"/>
          <w:szCs w:val="22"/>
        </w:rPr>
        <w:t xml:space="preserve">. </w:t>
      </w:r>
      <w:r w:rsidRPr="00856941">
        <w:rPr>
          <w:rFonts w:asciiTheme="majorBidi" w:hAnsiTheme="majorBidi" w:cstheme="majorBidi"/>
          <w:sz w:val="22"/>
          <w:szCs w:val="22"/>
        </w:rPr>
        <w:t>211-212</w:t>
      </w:r>
    </w:p>
  </w:footnote>
  <w:footnote w:id="238">
    <w:p w14:paraId="601C000C" w14:textId="0D36533B" w:rsidR="00F81612" w:rsidRPr="00856941" w:rsidRDefault="00F81612" w:rsidP="00F81612">
      <w:pPr>
        <w:pStyle w:val="FootnoteText"/>
        <w:jc w:val="both"/>
        <w:rPr>
          <w:rFonts w:asciiTheme="majorBidi" w:hAnsiTheme="majorBidi" w:cstheme="majorBidi"/>
          <w:sz w:val="22"/>
          <w:szCs w:val="22"/>
        </w:rPr>
      </w:pPr>
      <w:r w:rsidRPr="00856941">
        <w:rPr>
          <w:rStyle w:val="FootnoteReference"/>
          <w:rFonts w:asciiTheme="majorBidi" w:hAnsiTheme="majorBidi" w:cstheme="majorBidi"/>
          <w:sz w:val="22"/>
          <w:szCs w:val="22"/>
        </w:rPr>
        <w:footnoteRef/>
      </w:r>
      <w:r w:rsidRPr="00856941">
        <w:rPr>
          <w:rFonts w:asciiTheme="majorBidi" w:hAnsiTheme="majorBidi" w:cstheme="majorBidi"/>
          <w:sz w:val="22"/>
          <w:szCs w:val="22"/>
        </w:rPr>
        <w:t xml:space="preserve"> </w:t>
      </w:r>
      <w:r w:rsidRPr="00356EAE">
        <w:rPr>
          <w:rFonts w:asciiTheme="majorBidi" w:hAnsiTheme="majorBidi" w:cstheme="majorBidi"/>
          <w:sz w:val="22"/>
          <w:szCs w:val="22"/>
        </w:rPr>
        <w:t xml:space="preserve">Anne Orford, </w:t>
      </w:r>
      <w:r>
        <w:rPr>
          <w:rFonts w:asciiTheme="majorBidi" w:hAnsiTheme="majorBidi" w:cstheme="majorBidi"/>
          <w:sz w:val="22"/>
          <w:szCs w:val="22"/>
        </w:rPr>
        <w:t>“</w:t>
      </w:r>
      <w:r w:rsidRPr="00356EAE">
        <w:rPr>
          <w:rFonts w:asciiTheme="majorBidi" w:hAnsiTheme="majorBidi" w:cstheme="majorBidi"/>
          <w:sz w:val="22"/>
          <w:szCs w:val="22"/>
        </w:rPr>
        <w:t>Regional Orders, Geopolitics, and the Future of International Law</w:t>
      </w:r>
      <w:r>
        <w:rPr>
          <w:rFonts w:asciiTheme="majorBidi" w:hAnsiTheme="majorBidi" w:cstheme="majorBidi"/>
          <w:sz w:val="22"/>
          <w:szCs w:val="22"/>
        </w:rPr>
        <w:t>”</w:t>
      </w:r>
      <w:r w:rsidRPr="00356EAE">
        <w:rPr>
          <w:rFonts w:asciiTheme="majorBidi" w:hAnsiTheme="majorBidi" w:cstheme="majorBidi"/>
          <w:sz w:val="22"/>
          <w:szCs w:val="22"/>
        </w:rPr>
        <w:t>, 74</w:t>
      </w:r>
      <w:r w:rsidR="00640004">
        <w:rPr>
          <w:rFonts w:asciiTheme="majorBidi" w:hAnsiTheme="majorBidi" w:cstheme="majorBidi"/>
          <w:sz w:val="22"/>
          <w:szCs w:val="22"/>
        </w:rPr>
        <w:t>(</w:t>
      </w:r>
      <w:r w:rsidR="00FB240F">
        <w:rPr>
          <w:rFonts w:asciiTheme="majorBidi" w:hAnsiTheme="majorBidi" w:cstheme="majorBidi"/>
          <w:sz w:val="22"/>
          <w:szCs w:val="22"/>
        </w:rPr>
        <w:t>1</w:t>
      </w:r>
      <w:r w:rsidR="00640004">
        <w:rPr>
          <w:rFonts w:asciiTheme="majorBidi" w:hAnsiTheme="majorBidi" w:cstheme="majorBidi"/>
          <w:sz w:val="22"/>
          <w:szCs w:val="22"/>
        </w:rPr>
        <w:t>)</w:t>
      </w:r>
      <w:r w:rsidRPr="00356EAE">
        <w:rPr>
          <w:rFonts w:asciiTheme="majorBidi" w:hAnsiTheme="majorBidi" w:cstheme="majorBidi"/>
          <w:sz w:val="22"/>
          <w:szCs w:val="22"/>
        </w:rPr>
        <w:t xml:space="preserve"> </w:t>
      </w:r>
      <w:r w:rsidRPr="00856941">
        <w:rPr>
          <w:rFonts w:asciiTheme="majorBidi" w:hAnsiTheme="majorBidi" w:cstheme="majorBidi"/>
          <w:i/>
          <w:iCs/>
          <w:sz w:val="22"/>
          <w:szCs w:val="22"/>
        </w:rPr>
        <w:t xml:space="preserve">Current Legal Problems </w:t>
      </w:r>
      <w:r w:rsidRPr="00356EAE">
        <w:rPr>
          <w:rFonts w:asciiTheme="majorBidi" w:hAnsiTheme="majorBidi" w:cstheme="majorBidi"/>
          <w:sz w:val="22"/>
          <w:szCs w:val="22"/>
        </w:rPr>
        <w:t>(2021)</w:t>
      </w:r>
      <w:r>
        <w:rPr>
          <w:rFonts w:asciiTheme="majorBidi" w:hAnsiTheme="majorBidi" w:cstheme="majorBidi"/>
          <w:sz w:val="22"/>
          <w:szCs w:val="22"/>
        </w:rPr>
        <w:t xml:space="preserve"> pp. </w:t>
      </w:r>
      <w:r w:rsidRPr="00356EAE">
        <w:rPr>
          <w:rFonts w:asciiTheme="majorBidi" w:hAnsiTheme="majorBidi" w:cstheme="majorBidi"/>
          <w:sz w:val="22"/>
          <w:szCs w:val="22"/>
        </w:rPr>
        <w:t>191-192</w:t>
      </w:r>
      <w:r w:rsidRPr="00856941">
        <w:rPr>
          <w:rFonts w:asciiTheme="majorBidi" w:hAnsiTheme="majorBidi" w:cstheme="majorBidi"/>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51975"/>
    <w:multiLevelType w:val="multilevel"/>
    <w:tmpl w:val="BDF6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522A49"/>
    <w:multiLevelType w:val="hybridMultilevel"/>
    <w:tmpl w:val="78C6B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2193269">
    <w:abstractNumId w:val="0"/>
  </w:num>
  <w:num w:numId="2" w16cid:durableId="523788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12"/>
    <w:rsid w:val="00001EB9"/>
    <w:rsid w:val="00006E0E"/>
    <w:rsid w:val="00012EC3"/>
    <w:rsid w:val="000461BB"/>
    <w:rsid w:val="00090493"/>
    <w:rsid w:val="0009754E"/>
    <w:rsid w:val="000C24F1"/>
    <w:rsid w:val="000D1A29"/>
    <w:rsid w:val="000F2592"/>
    <w:rsid w:val="00153795"/>
    <w:rsid w:val="00171905"/>
    <w:rsid w:val="00172F10"/>
    <w:rsid w:val="00187F33"/>
    <w:rsid w:val="00191149"/>
    <w:rsid w:val="00191173"/>
    <w:rsid w:val="001C5F7D"/>
    <w:rsid w:val="001E29E8"/>
    <w:rsid w:val="001F505D"/>
    <w:rsid w:val="001F7FA4"/>
    <w:rsid w:val="00207D5A"/>
    <w:rsid w:val="0024092E"/>
    <w:rsid w:val="002945D8"/>
    <w:rsid w:val="002A2FC4"/>
    <w:rsid w:val="002D62A4"/>
    <w:rsid w:val="003077C8"/>
    <w:rsid w:val="003221DF"/>
    <w:rsid w:val="00330819"/>
    <w:rsid w:val="003E5479"/>
    <w:rsid w:val="003F2B8C"/>
    <w:rsid w:val="003F5055"/>
    <w:rsid w:val="00430860"/>
    <w:rsid w:val="00442628"/>
    <w:rsid w:val="0044449A"/>
    <w:rsid w:val="00481545"/>
    <w:rsid w:val="004856DE"/>
    <w:rsid w:val="00486C0D"/>
    <w:rsid w:val="004932C6"/>
    <w:rsid w:val="004B4B9B"/>
    <w:rsid w:val="00594308"/>
    <w:rsid w:val="005B4AC9"/>
    <w:rsid w:val="00640004"/>
    <w:rsid w:val="00650A1D"/>
    <w:rsid w:val="006729E9"/>
    <w:rsid w:val="006B315C"/>
    <w:rsid w:val="006B760E"/>
    <w:rsid w:val="006D521D"/>
    <w:rsid w:val="006E3DEC"/>
    <w:rsid w:val="00716C0E"/>
    <w:rsid w:val="0072597C"/>
    <w:rsid w:val="0073108D"/>
    <w:rsid w:val="00741A4C"/>
    <w:rsid w:val="0074748D"/>
    <w:rsid w:val="00777176"/>
    <w:rsid w:val="007A29DD"/>
    <w:rsid w:val="007A68BA"/>
    <w:rsid w:val="007C47C0"/>
    <w:rsid w:val="00821B93"/>
    <w:rsid w:val="00830193"/>
    <w:rsid w:val="00844B0D"/>
    <w:rsid w:val="00854E6F"/>
    <w:rsid w:val="008607D2"/>
    <w:rsid w:val="00866A01"/>
    <w:rsid w:val="008F1783"/>
    <w:rsid w:val="00934FC7"/>
    <w:rsid w:val="00937AD0"/>
    <w:rsid w:val="0094688B"/>
    <w:rsid w:val="009628D6"/>
    <w:rsid w:val="009651A4"/>
    <w:rsid w:val="00977EB6"/>
    <w:rsid w:val="00990C99"/>
    <w:rsid w:val="00995A08"/>
    <w:rsid w:val="00996AD3"/>
    <w:rsid w:val="009C3C08"/>
    <w:rsid w:val="009D73E3"/>
    <w:rsid w:val="00A048C7"/>
    <w:rsid w:val="00A1122A"/>
    <w:rsid w:val="00A40C97"/>
    <w:rsid w:val="00A416F4"/>
    <w:rsid w:val="00A57F64"/>
    <w:rsid w:val="00AA559A"/>
    <w:rsid w:val="00AD71B9"/>
    <w:rsid w:val="00AF79A4"/>
    <w:rsid w:val="00B11535"/>
    <w:rsid w:val="00B27EA9"/>
    <w:rsid w:val="00B408BA"/>
    <w:rsid w:val="00C034C8"/>
    <w:rsid w:val="00C07848"/>
    <w:rsid w:val="00C16C2C"/>
    <w:rsid w:val="00C377F1"/>
    <w:rsid w:val="00C40F25"/>
    <w:rsid w:val="00C53876"/>
    <w:rsid w:val="00C5501D"/>
    <w:rsid w:val="00C91A24"/>
    <w:rsid w:val="00C92056"/>
    <w:rsid w:val="00CB3C6F"/>
    <w:rsid w:val="00CC6CEC"/>
    <w:rsid w:val="00D07667"/>
    <w:rsid w:val="00D12493"/>
    <w:rsid w:val="00D37029"/>
    <w:rsid w:val="00D5569A"/>
    <w:rsid w:val="00DF4D8D"/>
    <w:rsid w:val="00E008A9"/>
    <w:rsid w:val="00E263AB"/>
    <w:rsid w:val="00E55568"/>
    <w:rsid w:val="00EC3B5E"/>
    <w:rsid w:val="00EF4CAA"/>
    <w:rsid w:val="00F3243D"/>
    <w:rsid w:val="00F81612"/>
    <w:rsid w:val="00FB240F"/>
    <w:rsid w:val="00FF4E4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910D2"/>
  <w15:chartTrackingRefBased/>
  <w15:docId w15:val="{B6AA38E8-A0CF-4E32-89D5-98C9CC250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6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6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6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6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6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6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6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6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6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6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6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6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6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6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6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6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6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612"/>
    <w:rPr>
      <w:rFonts w:eastAsiaTheme="majorEastAsia" w:cstheme="majorBidi"/>
      <w:color w:val="272727" w:themeColor="text1" w:themeTint="D8"/>
    </w:rPr>
  </w:style>
  <w:style w:type="paragraph" w:styleId="Title">
    <w:name w:val="Title"/>
    <w:basedOn w:val="Normal"/>
    <w:next w:val="Normal"/>
    <w:link w:val="TitleChar"/>
    <w:uiPriority w:val="10"/>
    <w:qFormat/>
    <w:rsid w:val="00F816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6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6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612"/>
    <w:pPr>
      <w:spacing w:before="160"/>
      <w:jc w:val="center"/>
    </w:pPr>
    <w:rPr>
      <w:i/>
      <w:iCs/>
      <w:color w:val="404040" w:themeColor="text1" w:themeTint="BF"/>
    </w:rPr>
  </w:style>
  <w:style w:type="character" w:customStyle="1" w:styleId="QuoteChar">
    <w:name w:val="Quote Char"/>
    <w:basedOn w:val="DefaultParagraphFont"/>
    <w:link w:val="Quote"/>
    <w:uiPriority w:val="29"/>
    <w:rsid w:val="00F81612"/>
    <w:rPr>
      <w:i/>
      <w:iCs/>
      <w:color w:val="404040" w:themeColor="text1" w:themeTint="BF"/>
    </w:rPr>
  </w:style>
  <w:style w:type="paragraph" w:styleId="ListParagraph">
    <w:name w:val="List Paragraph"/>
    <w:basedOn w:val="Normal"/>
    <w:uiPriority w:val="34"/>
    <w:qFormat/>
    <w:rsid w:val="00F81612"/>
    <w:pPr>
      <w:ind w:left="720"/>
      <w:contextualSpacing/>
    </w:pPr>
  </w:style>
  <w:style w:type="character" w:styleId="IntenseEmphasis">
    <w:name w:val="Intense Emphasis"/>
    <w:basedOn w:val="DefaultParagraphFont"/>
    <w:uiPriority w:val="21"/>
    <w:qFormat/>
    <w:rsid w:val="00F81612"/>
    <w:rPr>
      <w:i/>
      <w:iCs/>
      <w:color w:val="0F4761" w:themeColor="accent1" w:themeShade="BF"/>
    </w:rPr>
  </w:style>
  <w:style w:type="paragraph" w:styleId="IntenseQuote">
    <w:name w:val="Intense Quote"/>
    <w:basedOn w:val="Normal"/>
    <w:next w:val="Normal"/>
    <w:link w:val="IntenseQuoteChar"/>
    <w:uiPriority w:val="30"/>
    <w:qFormat/>
    <w:rsid w:val="00F816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612"/>
    <w:rPr>
      <w:i/>
      <w:iCs/>
      <w:color w:val="0F4761" w:themeColor="accent1" w:themeShade="BF"/>
    </w:rPr>
  </w:style>
  <w:style w:type="character" w:styleId="IntenseReference">
    <w:name w:val="Intense Reference"/>
    <w:basedOn w:val="DefaultParagraphFont"/>
    <w:uiPriority w:val="32"/>
    <w:qFormat/>
    <w:rsid w:val="00F81612"/>
    <w:rPr>
      <w:b/>
      <w:bCs/>
      <w:smallCaps/>
      <w:color w:val="0F4761" w:themeColor="accent1" w:themeShade="BF"/>
      <w:spacing w:val="5"/>
    </w:rPr>
  </w:style>
  <w:style w:type="paragraph" w:styleId="Header">
    <w:name w:val="header"/>
    <w:basedOn w:val="Normal"/>
    <w:link w:val="HeaderChar"/>
    <w:uiPriority w:val="99"/>
    <w:unhideWhenUsed/>
    <w:rsid w:val="00F816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612"/>
  </w:style>
  <w:style w:type="paragraph" w:styleId="Footer">
    <w:name w:val="footer"/>
    <w:basedOn w:val="Normal"/>
    <w:link w:val="FooterChar"/>
    <w:uiPriority w:val="99"/>
    <w:unhideWhenUsed/>
    <w:rsid w:val="00F816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612"/>
  </w:style>
  <w:style w:type="paragraph" w:styleId="FootnoteText">
    <w:name w:val="footnote text"/>
    <w:basedOn w:val="Normal"/>
    <w:link w:val="FootnoteTextChar"/>
    <w:uiPriority w:val="99"/>
    <w:unhideWhenUsed/>
    <w:rsid w:val="00F81612"/>
    <w:pPr>
      <w:spacing w:after="0" w:line="240" w:lineRule="auto"/>
    </w:pPr>
    <w:rPr>
      <w:sz w:val="20"/>
      <w:szCs w:val="20"/>
    </w:rPr>
  </w:style>
  <w:style w:type="character" w:customStyle="1" w:styleId="FootnoteTextChar">
    <w:name w:val="Footnote Text Char"/>
    <w:basedOn w:val="DefaultParagraphFont"/>
    <w:link w:val="FootnoteText"/>
    <w:uiPriority w:val="99"/>
    <w:rsid w:val="00F81612"/>
    <w:rPr>
      <w:sz w:val="20"/>
      <w:szCs w:val="20"/>
    </w:rPr>
  </w:style>
  <w:style w:type="character" w:styleId="FootnoteReference">
    <w:name w:val="footnote reference"/>
    <w:basedOn w:val="DefaultParagraphFont"/>
    <w:uiPriority w:val="99"/>
    <w:semiHidden/>
    <w:unhideWhenUsed/>
    <w:rsid w:val="00F81612"/>
    <w:rPr>
      <w:vertAlign w:val="superscript"/>
    </w:rPr>
  </w:style>
  <w:style w:type="character" w:styleId="Hyperlink">
    <w:name w:val="Hyperlink"/>
    <w:basedOn w:val="DefaultParagraphFont"/>
    <w:uiPriority w:val="99"/>
    <w:unhideWhenUsed/>
    <w:rsid w:val="00F81612"/>
    <w:rPr>
      <w:color w:val="467886" w:themeColor="hyperlink"/>
      <w:u w:val="single"/>
    </w:rPr>
  </w:style>
  <w:style w:type="character" w:styleId="UnresolvedMention">
    <w:name w:val="Unresolved Mention"/>
    <w:basedOn w:val="DefaultParagraphFont"/>
    <w:uiPriority w:val="99"/>
    <w:semiHidden/>
    <w:unhideWhenUsed/>
    <w:rsid w:val="00F81612"/>
    <w:rPr>
      <w:color w:val="605E5C"/>
      <w:shd w:val="clear" w:color="auto" w:fill="E1DFDD"/>
    </w:rPr>
  </w:style>
  <w:style w:type="character" w:customStyle="1" w:styleId="fui-styledtext">
    <w:name w:val="fui-styledtext"/>
    <w:basedOn w:val="DefaultParagraphFont"/>
    <w:rsid w:val="00F81612"/>
  </w:style>
  <w:style w:type="character" w:styleId="CommentReference">
    <w:name w:val="annotation reference"/>
    <w:basedOn w:val="DefaultParagraphFont"/>
    <w:uiPriority w:val="99"/>
    <w:semiHidden/>
    <w:unhideWhenUsed/>
    <w:rsid w:val="00F81612"/>
    <w:rPr>
      <w:sz w:val="16"/>
      <w:szCs w:val="16"/>
    </w:rPr>
  </w:style>
  <w:style w:type="paragraph" w:styleId="CommentText">
    <w:name w:val="annotation text"/>
    <w:basedOn w:val="Normal"/>
    <w:link w:val="CommentTextChar"/>
    <w:uiPriority w:val="99"/>
    <w:unhideWhenUsed/>
    <w:rsid w:val="00F81612"/>
    <w:pPr>
      <w:spacing w:line="240" w:lineRule="auto"/>
    </w:pPr>
    <w:rPr>
      <w:sz w:val="20"/>
      <w:szCs w:val="20"/>
    </w:rPr>
  </w:style>
  <w:style w:type="character" w:customStyle="1" w:styleId="CommentTextChar">
    <w:name w:val="Comment Text Char"/>
    <w:basedOn w:val="DefaultParagraphFont"/>
    <w:link w:val="CommentText"/>
    <w:uiPriority w:val="99"/>
    <w:rsid w:val="00F81612"/>
    <w:rPr>
      <w:sz w:val="20"/>
      <w:szCs w:val="20"/>
    </w:rPr>
  </w:style>
  <w:style w:type="paragraph" w:styleId="CommentSubject">
    <w:name w:val="annotation subject"/>
    <w:basedOn w:val="CommentText"/>
    <w:next w:val="CommentText"/>
    <w:link w:val="CommentSubjectChar"/>
    <w:uiPriority w:val="99"/>
    <w:semiHidden/>
    <w:unhideWhenUsed/>
    <w:rsid w:val="00F81612"/>
    <w:rPr>
      <w:b/>
      <w:bCs/>
    </w:rPr>
  </w:style>
  <w:style w:type="character" w:customStyle="1" w:styleId="CommentSubjectChar">
    <w:name w:val="Comment Subject Char"/>
    <w:basedOn w:val="CommentTextChar"/>
    <w:link w:val="CommentSubject"/>
    <w:uiPriority w:val="99"/>
    <w:semiHidden/>
    <w:rsid w:val="00F81612"/>
    <w:rPr>
      <w:b/>
      <w:bCs/>
      <w:sz w:val="20"/>
      <w:szCs w:val="20"/>
    </w:rPr>
  </w:style>
  <w:style w:type="character" w:styleId="Strong">
    <w:name w:val="Strong"/>
    <w:basedOn w:val="DefaultParagraphFont"/>
    <w:uiPriority w:val="22"/>
    <w:qFormat/>
    <w:rsid w:val="00F81612"/>
    <w:rPr>
      <w:b/>
      <w:bCs/>
    </w:rPr>
  </w:style>
  <w:style w:type="character" w:styleId="Emphasis">
    <w:name w:val="Emphasis"/>
    <w:basedOn w:val="DefaultParagraphFont"/>
    <w:uiPriority w:val="20"/>
    <w:qFormat/>
    <w:rsid w:val="00F81612"/>
    <w:rPr>
      <w:i/>
      <w:iCs/>
    </w:rPr>
  </w:style>
  <w:style w:type="paragraph" w:styleId="NormalWeb">
    <w:name w:val="Normal (Web)"/>
    <w:basedOn w:val="Normal"/>
    <w:uiPriority w:val="99"/>
    <w:semiHidden/>
    <w:unhideWhenUsed/>
    <w:rsid w:val="00F81612"/>
    <w:rPr>
      <w:rFonts w:ascii="Times New Roman" w:hAnsi="Times New Roman" w:cs="Times New Roman"/>
    </w:rPr>
  </w:style>
  <w:style w:type="paragraph" w:styleId="Revision">
    <w:name w:val="Revision"/>
    <w:hidden/>
    <w:uiPriority w:val="99"/>
    <w:semiHidden/>
    <w:rsid w:val="00F816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n.kremlin.ru/events/president/news/678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8F6D1-6FA7-4753-BC0E-62F0EF06EA56}">
  <ds:schemaRefs>
    <ds:schemaRef ds:uri="http://schemas.openxmlformats.org/officeDocument/2006/bibliography"/>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11640</Words>
  <Characters>66349</Characters>
  <Application>Microsoft Office Word</Application>
  <DocSecurity>0</DocSecurity>
  <Lines>552</Lines>
  <Paragraphs>155</Paragraphs>
  <ScaleCrop>false</ScaleCrop>
  <Company>University of Kent</Company>
  <LinksUpToDate>false</LinksUpToDate>
  <CharactersWithSpaces>77834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Loefflad</dc:creator>
  <cp:keywords/>
  <dc:description/>
  <cp:lastModifiedBy>Eric Loefflad</cp:lastModifiedBy>
  <cp:revision>2</cp:revision>
  <dcterms:created xsi:type="dcterms:W3CDTF">2026-07-15T10:41:00Z</dcterms:created>
  <dcterms:modified xsi:type="dcterms:W3CDTF">2026-07-15T10:41:00Z</dcterms:modified>
</cp:coreProperties>
</file>