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3644" w14:textId="46ADA992" w:rsidR="009268E9" w:rsidRPr="009268E9" w:rsidRDefault="009268E9" w:rsidP="00BC27D9">
      <w:pPr>
        <w:pBdr>
          <w:top w:val="double" w:sz="4" w:space="1" w:color="auto"/>
          <w:bottom w:val="double" w:sz="4" w:space="1" w:color="auto"/>
        </w:pBdr>
        <w:jc w:val="center"/>
        <w:rPr>
          <w:rFonts w:ascii="Times New Roman" w:hAnsi="Times New Roman" w:cs="Times New Roman"/>
          <w:b/>
          <w:sz w:val="24"/>
          <w:szCs w:val="24"/>
        </w:rPr>
      </w:pPr>
      <w:r w:rsidRPr="009268E9">
        <w:rPr>
          <w:rFonts w:ascii="Times New Roman" w:hAnsi="Times New Roman" w:cs="Times New Roman"/>
          <w:b/>
          <w:sz w:val="24"/>
          <w:szCs w:val="24"/>
        </w:rPr>
        <w:t>Supporting Information for Manuscript “</w:t>
      </w:r>
      <w:r w:rsidR="004865E4">
        <w:rPr>
          <w:rFonts w:ascii="Times New Roman" w:hAnsi="Times New Roman" w:cs="Times New Roman"/>
          <w:b/>
          <w:sz w:val="24"/>
          <w:szCs w:val="24"/>
        </w:rPr>
        <w:t xml:space="preserve">Cross-Sector Partnerships to Address Societal Grand Challenges: </w:t>
      </w:r>
      <w:r w:rsidR="004514B9">
        <w:rPr>
          <w:rFonts w:ascii="Times New Roman" w:hAnsi="Times New Roman" w:cs="Times New Roman"/>
          <w:b/>
          <w:sz w:val="24"/>
          <w:szCs w:val="24"/>
        </w:rPr>
        <w:br/>
      </w:r>
      <w:r w:rsidR="004865E4">
        <w:rPr>
          <w:rFonts w:ascii="Times New Roman" w:hAnsi="Times New Roman" w:cs="Times New Roman"/>
          <w:b/>
          <w:sz w:val="24"/>
          <w:szCs w:val="24"/>
        </w:rPr>
        <w:t>S</w:t>
      </w:r>
      <w:r w:rsidR="00A0684D">
        <w:rPr>
          <w:rFonts w:ascii="Times New Roman" w:hAnsi="Times New Roman" w:cs="Times New Roman"/>
          <w:b/>
          <w:sz w:val="24"/>
          <w:szCs w:val="24"/>
        </w:rPr>
        <w:t>ystematizing</w:t>
      </w:r>
      <w:r w:rsidR="004865E4">
        <w:rPr>
          <w:rFonts w:ascii="Times New Roman" w:hAnsi="Times New Roman" w:cs="Times New Roman"/>
          <w:b/>
          <w:sz w:val="24"/>
          <w:szCs w:val="24"/>
        </w:rPr>
        <w:t xml:space="preserve"> Di</w:t>
      </w:r>
      <w:r w:rsidR="00A0684D">
        <w:rPr>
          <w:rFonts w:ascii="Times New Roman" w:hAnsi="Times New Roman" w:cs="Times New Roman"/>
          <w:b/>
          <w:sz w:val="24"/>
          <w:szCs w:val="24"/>
        </w:rPr>
        <w:t>fferences</w:t>
      </w:r>
      <w:r w:rsidR="004865E4">
        <w:rPr>
          <w:rFonts w:ascii="Times New Roman" w:hAnsi="Times New Roman" w:cs="Times New Roman"/>
          <w:b/>
          <w:sz w:val="24"/>
          <w:szCs w:val="24"/>
        </w:rPr>
        <w:t xml:space="preserve"> in Scholarly Analysis</w:t>
      </w:r>
      <w:r w:rsidRPr="009268E9">
        <w:rPr>
          <w:rFonts w:ascii="Times New Roman" w:hAnsi="Times New Roman" w:cs="Times New Roman"/>
          <w:b/>
          <w:sz w:val="24"/>
          <w:szCs w:val="24"/>
        </w:rPr>
        <w:t>”</w:t>
      </w:r>
    </w:p>
    <w:p w14:paraId="7F5F4A21" w14:textId="65E8DD8E" w:rsidR="00C03B20" w:rsidRPr="00F52797" w:rsidRDefault="00E456FB" w:rsidP="00255D5F">
      <w:pPr>
        <w:spacing w:after="300"/>
        <w:rPr>
          <w:rFonts w:ascii="Times New Roman" w:hAnsi="Times New Roman" w:cs="Times New Roman"/>
          <w:b/>
          <w:sz w:val="24"/>
          <w:szCs w:val="24"/>
          <w:lang w:val="fr-FR"/>
        </w:rPr>
      </w:pPr>
      <w:r w:rsidRPr="00C03B20">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0B27AD2" wp14:editId="02D3E831">
                <wp:simplePos x="0" y="0"/>
                <wp:positionH relativeFrom="column">
                  <wp:posOffset>643095</wp:posOffset>
                </wp:positionH>
                <wp:positionV relativeFrom="paragraph">
                  <wp:posOffset>250260</wp:posOffset>
                </wp:positionV>
                <wp:extent cx="7566101" cy="5053263"/>
                <wp:effectExtent l="0" t="0" r="15875" b="14605"/>
                <wp:wrapNone/>
                <wp:docPr id="7" name="Rectangle 7"/>
                <wp:cNvGraphicFramePr/>
                <a:graphic xmlns:a="http://schemas.openxmlformats.org/drawingml/2006/main">
                  <a:graphicData uri="http://schemas.microsoft.com/office/word/2010/wordprocessingShape">
                    <wps:wsp>
                      <wps:cNvSpPr/>
                      <wps:spPr>
                        <a:xfrm>
                          <a:off x="0" y="0"/>
                          <a:ext cx="7566101" cy="5053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3B55" id="Rectangle 7" o:spid="_x0000_s1026" style="position:absolute;margin-left:50.65pt;margin-top:19.7pt;width:595.75pt;height:3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" filled="f" strokecolor="black [3213]" strokeweight="1pt"/>
            </w:pict>
          </mc:Fallback>
        </mc:AlternateContent>
      </w:r>
      <w:r w:rsidR="006770B4" w:rsidRPr="00F52797">
        <w:rPr>
          <w:rFonts w:ascii="Times New Roman" w:hAnsi="Times New Roman" w:cs="Times New Roman"/>
          <w:b/>
          <w:lang w:val="fr-FR"/>
        </w:rPr>
        <w:t>Appendix 1</w:t>
      </w:r>
      <w:r w:rsidR="00480488">
        <w:rPr>
          <w:rFonts w:ascii="Times New Roman" w:hAnsi="Times New Roman" w:cs="Times New Roman"/>
          <w:b/>
          <w:lang w:val="fr-FR"/>
        </w:rPr>
        <w:t>.</w:t>
      </w:r>
      <w:r w:rsidR="006770B4" w:rsidRPr="00F52797">
        <w:rPr>
          <w:rFonts w:ascii="Times New Roman" w:hAnsi="Times New Roman" w:cs="Times New Roman"/>
          <w:b/>
          <w:lang w:val="fr-FR"/>
        </w:rPr>
        <w:t xml:space="preserve"> </w:t>
      </w:r>
      <w:r w:rsidR="0068179B" w:rsidRPr="00F52797">
        <w:rPr>
          <w:rFonts w:ascii="Times New Roman" w:hAnsi="Times New Roman" w:cs="Times New Roman"/>
          <w:b/>
          <w:sz w:val="24"/>
          <w:szCs w:val="24"/>
          <w:lang w:val="fr-FR"/>
        </w:rPr>
        <w:t xml:space="preserve">Article </w:t>
      </w:r>
      <w:proofErr w:type="spellStart"/>
      <w:r w:rsidR="0068179B" w:rsidRPr="00F52797">
        <w:rPr>
          <w:rFonts w:ascii="Times New Roman" w:hAnsi="Times New Roman" w:cs="Times New Roman"/>
          <w:b/>
          <w:sz w:val="24"/>
          <w:szCs w:val="24"/>
          <w:lang w:val="fr-FR"/>
        </w:rPr>
        <w:t>Selection</w:t>
      </w:r>
      <w:proofErr w:type="spellEnd"/>
      <w:r w:rsidR="0068179B" w:rsidRPr="00F52797">
        <w:rPr>
          <w:rFonts w:ascii="Times New Roman" w:hAnsi="Times New Roman" w:cs="Times New Roman"/>
          <w:b/>
          <w:sz w:val="24"/>
          <w:szCs w:val="24"/>
          <w:lang w:val="fr-FR"/>
        </w:rPr>
        <w:t xml:space="preserve"> Process</w:t>
      </w:r>
    </w:p>
    <w:p w14:paraId="7FB6AFFC" w14:textId="76F792DF" w:rsidR="001F2DA6" w:rsidRPr="00F52797" w:rsidRDefault="00221057" w:rsidP="00506133">
      <w:pPr>
        <w:jc w:val="center"/>
        <w:rPr>
          <w:rFonts w:ascii="Times New Roman" w:hAnsi="Times New Roman" w:cs="Times New Roman"/>
          <w:b/>
          <w:lang w:val="fr-FR"/>
        </w:rPr>
        <w:sectPr w:rsidR="001F2DA6" w:rsidRPr="00F52797" w:rsidSect="001F2DA6">
          <w:footerReference w:type="default" r:id="rId7"/>
          <w:pgSz w:w="16838" w:h="11906" w:orient="landscape" w:code="9"/>
          <w:pgMar w:top="1440" w:right="1440" w:bottom="1440" w:left="1440" w:header="709" w:footer="709" w:gutter="0"/>
          <w:cols w:space="708"/>
          <w:docGrid w:linePitch="360"/>
        </w:sectPr>
      </w:pPr>
      <w:r>
        <w:rPr>
          <w:rFonts w:ascii="Times New Roman" w:hAnsi="Times New Roman" w:cs="Times New Roman"/>
          <w:b/>
          <w:noProof/>
          <w:lang w:val="fr-FR"/>
        </w:rPr>
        <w:drawing>
          <wp:inline distT="0" distB="0" distL="0" distR="0" wp14:anchorId="6BE635AB" wp14:editId="5BBD1205">
            <wp:extent cx="7315113" cy="4779569"/>
            <wp:effectExtent l="0" t="0" r="635" b="2540"/>
            <wp:docPr id="1027357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8542" cy="4788343"/>
                    </a:xfrm>
                    <a:prstGeom prst="rect">
                      <a:avLst/>
                    </a:prstGeom>
                    <a:noFill/>
                  </pic:spPr>
                </pic:pic>
              </a:graphicData>
            </a:graphic>
          </wp:inline>
        </w:drawing>
      </w:r>
      <w:r w:rsidR="00867116" w:rsidRPr="00F52797">
        <w:rPr>
          <w:rFonts w:ascii="Times New Roman" w:hAnsi="Times New Roman" w:cs="Times New Roman"/>
          <w:b/>
          <w:lang w:val="fr-FR"/>
        </w:rPr>
        <w:br w:type="page"/>
      </w:r>
    </w:p>
    <w:p w14:paraId="4C2311F4" w14:textId="028F4713" w:rsidR="00855DD2" w:rsidRPr="00074627" w:rsidRDefault="00855DD2" w:rsidP="006770B4">
      <w:pPr>
        <w:rPr>
          <w:rFonts w:ascii="Times New Roman" w:hAnsi="Times New Roman" w:cs="Times New Roman"/>
          <w:b/>
        </w:rPr>
      </w:pPr>
      <w:r w:rsidRPr="00074627">
        <w:rPr>
          <w:rFonts w:ascii="Times New Roman" w:hAnsi="Times New Roman" w:cs="Times New Roman"/>
          <w:b/>
        </w:rPr>
        <w:lastRenderedPageBreak/>
        <w:t>Appendix 2</w:t>
      </w:r>
      <w:r w:rsidR="00480488" w:rsidRPr="00074627">
        <w:rPr>
          <w:rFonts w:ascii="Times New Roman" w:hAnsi="Times New Roman" w:cs="Times New Roman"/>
          <w:b/>
        </w:rPr>
        <w:t>.</w:t>
      </w:r>
      <w:r w:rsidRPr="00074627">
        <w:rPr>
          <w:rFonts w:ascii="Times New Roman" w:hAnsi="Times New Roman" w:cs="Times New Roman"/>
          <w:b/>
        </w:rPr>
        <w:t xml:space="preserve"> </w:t>
      </w:r>
      <w:r w:rsidR="00074627" w:rsidRPr="00074627">
        <w:rPr>
          <w:rFonts w:ascii="Times New Roman" w:hAnsi="Times New Roman" w:cs="Times New Roman"/>
          <w:b/>
        </w:rPr>
        <w:t xml:space="preserve">Overview of Studies Included in the Analysis of </w:t>
      </w:r>
      <w:r w:rsidR="00074627">
        <w:rPr>
          <w:rFonts w:ascii="Times New Roman" w:hAnsi="Times New Roman" w:cs="Times New Roman"/>
          <w:b/>
        </w:rPr>
        <w:t>O</w:t>
      </w:r>
      <w:r w:rsidR="00074627" w:rsidRPr="00074627">
        <w:rPr>
          <w:rFonts w:ascii="Times New Roman" w:hAnsi="Times New Roman" w:cs="Times New Roman"/>
          <w:b/>
        </w:rPr>
        <w:t>ur Study</w:t>
      </w:r>
      <w:r w:rsidR="004F0B1D" w:rsidRPr="00074627">
        <w:rPr>
          <w:rFonts w:ascii="Times New Roman" w:hAnsi="Times New Roman" w:cs="Times New Roman"/>
          <w:b/>
        </w:rPr>
        <w:t xml:space="preserve"> (n=73)</w:t>
      </w:r>
    </w:p>
    <w:tbl>
      <w:tblPr>
        <w:tblW w:w="9454" w:type="dxa"/>
        <w:tblInd w:w="-450" w:type="dxa"/>
        <w:tblBorders>
          <w:top w:val="double" w:sz="4" w:space="0" w:color="auto"/>
          <w:bottom w:val="double" w:sz="4" w:space="0" w:color="auto"/>
        </w:tblBorders>
        <w:tblCellMar>
          <w:top w:w="72" w:type="dxa"/>
          <w:left w:w="72" w:type="dxa"/>
          <w:bottom w:w="72" w:type="dxa"/>
          <w:right w:w="72" w:type="dxa"/>
        </w:tblCellMar>
        <w:tblLook w:val="04A0" w:firstRow="1" w:lastRow="0" w:firstColumn="1" w:lastColumn="0" w:noHBand="0" w:noVBand="1"/>
      </w:tblPr>
      <w:tblGrid>
        <w:gridCol w:w="450"/>
        <w:gridCol w:w="1755"/>
        <w:gridCol w:w="570"/>
        <w:gridCol w:w="3934"/>
        <w:gridCol w:w="2745"/>
      </w:tblGrid>
      <w:tr w:rsidR="00C02066" w14:paraId="1A116BC0" w14:textId="77777777" w:rsidTr="00362A0D">
        <w:trPr>
          <w:trHeight w:val="343"/>
        </w:trPr>
        <w:tc>
          <w:tcPr>
            <w:tcW w:w="450" w:type="dxa"/>
            <w:tcBorders>
              <w:top w:val="double" w:sz="4" w:space="0" w:color="auto"/>
              <w:bottom w:val="single" w:sz="4" w:space="0" w:color="auto"/>
            </w:tcBorders>
          </w:tcPr>
          <w:p w14:paraId="3BB3AB4A" w14:textId="77777777" w:rsidR="00C02066" w:rsidRPr="001F2DA6" w:rsidRDefault="00C02066" w:rsidP="002B0CD5">
            <w:pPr>
              <w:spacing w:after="120"/>
              <w:rPr>
                <w:rFonts w:ascii="Times New Roman" w:hAnsi="Times New Roman" w:cs="Times New Roman"/>
                <w:b/>
                <w:bCs/>
                <w:color w:val="000000"/>
                <w:sz w:val="20"/>
                <w:szCs w:val="20"/>
              </w:rPr>
            </w:pPr>
          </w:p>
        </w:tc>
        <w:tc>
          <w:tcPr>
            <w:tcW w:w="1755" w:type="dxa"/>
            <w:tcBorders>
              <w:top w:val="double" w:sz="4" w:space="0" w:color="auto"/>
              <w:bottom w:val="single" w:sz="4" w:space="0" w:color="auto"/>
            </w:tcBorders>
            <w:shd w:val="clear" w:color="auto" w:fill="auto"/>
            <w:tcMar>
              <w:top w:w="15" w:type="dxa"/>
              <w:left w:w="72" w:type="dxa"/>
              <w:bottom w:w="0" w:type="dxa"/>
              <w:right w:w="72" w:type="dxa"/>
            </w:tcMar>
            <w:vAlign w:val="bottom"/>
            <w:hideMark/>
          </w:tcPr>
          <w:p w14:paraId="491825BC" w14:textId="30FED810" w:rsidR="00C02066" w:rsidRPr="001F2DA6" w:rsidRDefault="00C02066" w:rsidP="002B0CD5">
            <w:pPr>
              <w:spacing w:after="120"/>
              <w:rPr>
                <w:rFonts w:ascii="Times New Roman" w:hAnsi="Times New Roman" w:cs="Times New Roman"/>
                <w:b/>
                <w:bCs/>
                <w:color w:val="000000"/>
                <w:sz w:val="20"/>
                <w:szCs w:val="20"/>
              </w:rPr>
            </w:pPr>
            <w:r w:rsidRPr="001F2DA6">
              <w:rPr>
                <w:rFonts w:ascii="Times New Roman" w:hAnsi="Times New Roman" w:cs="Times New Roman"/>
                <w:b/>
                <w:bCs/>
                <w:color w:val="000000"/>
                <w:sz w:val="20"/>
                <w:szCs w:val="20"/>
              </w:rPr>
              <w:t>Authors</w:t>
            </w:r>
          </w:p>
        </w:tc>
        <w:tc>
          <w:tcPr>
            <w:tcW w:w="570" w:type="dxa"/>
            <w:tcBorders>
              <w:top w:val="double" w:sz="4" w:space="0" w:color="auto"/>
              <w:bottom w:val="single" w:sz="4" w:space="0" w:color="auto"/>
            </w:tcBorders>
            <w:shd w:val="clear" w:color="auto" w:fill="auto"/>
            <w:tcMar>
              <w:top w:w="15" w:type="dxa"/>
              <w:left w:w="72" w:type="dxa"/>
              <w:bottom w:w="0" w:type="dxa"/>
              <w:right w:w="72" w:type="dxa"/>
            </w:tcMar>
            <w:vAlign w:val="bottom"/>
            <w:hideMark/>
          </w:tcPr>
          <w:p w14:paraId="61DB6E9E" w14:textId="77777777" w:rsidR="00C02066" w:rsidRPr="001F2DA6" w:rsidRDefault="00C02066" w:rsidP="002B0CD5">
            <w:pPr>
              <w:spacing w:after="120"/>
              <w:rPr>
                <w:rFonts w:ascii="Times New Roman" w:hAnsi="Times New Roman" w:cs="Times New Roman"/>
                <w:b/>
                <w:bCs/>
                <w:color w:val="000000"/>
                <w:sz w:val="20"/>
                <w:szCs w:val="20"/>
              </w:rPr>
            </w:pPr>
            <w:r w:rsidRPr="001F2DA6">
              <w:rPr>
                <w:rFonts w:ascii="Times New Roman" w:hAnsi="Times New Roman" w:cs="Times New Roman"/>
                <w:b/>
                <w:bCs/>
                <w:color w:val="000000"/>
                <w:sz w:val="20"/>
                <w:szCs w:val="20"/>
              </w:rPr>
              <w:t>Year</w:t>
            </w:r>
          </w:p>
        </w:tc>
        <w:tc>
          <w:tcPr>
            <w:tcW w:w="3934" w:type="dxa"/>
            <w:tcBorders>
              <w:top w:val="double" w:sz="4" w:space="0" w:color="auto"/>
              <w:bottom w:val="single" w:sz="4" w:space="0" w:color="auto"/>
            </w:tcBorders>
            <w:shd w:val="clear" w:color="auto" w:fill="auto"/>
            <w:tcMar>
              <w:top w:w="15" w:type="dxa"/>
              <w:left w:w="72" w:type="dxa"/>
              <w:bottom w:w="0" w:type="dxa"/>
              <w:right w:w="72" w:type="dxa"/>
            </w:tcMar>
            <w:vAlign w:val="bottom"/>
            <w:hideMark/>
          </w:tcPr>
          <w:p w14:paraId="3A2F9717" w14:textId="77777777" w:rsidR="00C02066" w:rsidRPr="001F2DA6" w:rsidRDefault="00C02066" w:rsidP="002B0CD5">
            <w:pPr>
              <w:spacing w:after="120"/>
              <w:rPr>
                <w:rFonts w:ascii="Times New Roman" w:hAnsi="Times New Roman" w:cs="Times New Roman"/>
                <w:b/>
                <w:bCs/>
                <w:color w:val="000000"/>
                <w:sz w:val="20"/>
                <w:szCs w:val="20"/>
              </w:rPr>
            </w:pPr>
            <w:r w:rsidRPr="001F2DA6">
              <w:rPr>
                <w:rFonts w:ascii="Times New Roman" w:hAnsi="Times New Roman" w:cs="Times New Roman"/>
                <w:b/>
                <w:bCs/>
                <w:color w:val="000000"/>
                <w:sz w:val="20"/>
                <w:szCs w:val="20"/>
              </w:rPr>
              <w:t>Title</w:t>
            </w:r>
          </w:p>
        </w:tc>
        <w:tc>
          <w:tcPr>
            <w:tcW w:w="2745" w:type="dxa"/>
            <w:tcBorders>
              <w:top w:val="double" w:sz="4" w:space="0" w:color="auto"/>
              <w:bottom w:val="single" w:sz="4" w:space="0" w:color="auto"/>
            </w:tcBorders>
            <w:shd w:val="clear" w:color="auto" w:fill="auto"/>
            <w:tcMar>
              <w:top w:w="15" w:type="dxa"/>
              <w:left w:w="72" w:type="dxa"/>
              <w:bottom w:w="0" w:type="dxa"/>
              <w:right w:w="72" w:type="dxa"/>
            </w:tcMar>
            <w:vAlign w:val="bottom"/>
            <w:hideMark/>
          </w:tcPr>
          <w:p w14:paraId="52FB9F0C" w14:textId="525BBFB2" w:rsidR="00C02066" w:rsidRPr="001F2DA6" w:rsidRDefault="00C02066" w:rsidP="002B0CD5">
            <w:pPr>
              <w:spacing w:after="120"/>
              <w:rPr>
                <w:rFonts w:ascii="Times New Roman" w:hAnsi="Times New Roman" w:cs="Times New Roman"/>
                <w:b/>
                <w:bCs/>
                <w:color w:val="000000"/>
                <w:sz w:val="20"/>
                <w:szCs w:val="20"/>
              </w:rPr>
            </w:pPr>
            <w:r w:rsidRPr="001F2DA6">
              <w:rPr>
                <w:rFonts w:ascii="Times New Roman" w:hAnsi="Times New Roman" w:cs="Times New Roman"/>
                <w:b/>
                <w:bCs/>
                <w:color w:val="000000"/>
                <w:sz w:val="20"/>
                <w:szCs w:val="20"/>
              </w:rPr>
              <w:t>Journal</w:t>
            </w:r>
            <w:r>
              <w:rPr>
                <w:rFonts w:ascii="Times New Roman" w:hAnsi="Times New Roman" w:cs="Times New Roman"/>
                <w:b/>
                <w:bCs/>
                <w:color w:val="000000"/>
                <w:sz w:val="20"/>
                <w:szCs w:val="20"/>
              </w:rPr>
              <w:t xml:space="preserve">, </w:t>
            </w:r>
            <w:r w:rsidRPr="001F2DA6">
              <w:rPr>
                <w:rFonts w:ascii="Times New Roman" w:hAnsi="Times New Roman" w:cs="Times New Roman"/>
                <w:b/>
                <w:bCs/>
                <w:color w:val="000000"/>
                <w:sz w:val="20"/>
                <w:szCs w:val="20"/>
              </w:rPr>
              <w:t>Volume (Issue)</w:t>
            </w:r>
            <w:r>
              <w:rPr>
                <w:rFonts w:ascii="Times New Roman" w:hAnsi="Times New Roman" w:cs="Times New Roman"/>
                <w:b/>
                <w:bCs/>
                <w:color w:val="000000"/>
                <w:sz w:val="20"/>
                <w:szCs w:val="20"/>
              </w:rPr>
              <w:t>:</w:t>
            </w:r>
            <w:r w:rsidRPr="001F2DA6">
              <w:rPr>
                <w:rFonts w:ascii="Times New Roman" w:hAnsi="Times New Roman" w:cs="Times New Roman"/>
                <w:b/>
                <w:bCs/>
                <w:color w:val="000000"/>
                <w:sz w:val="20"/>
                <w:szCs w:val="20"/>
              </w:rPr>
              <w:t xml:space="preserve"> </w:t>
            </w:r>
            <w:r w:rsidR="00014896">
              <w:rPr>
                <w:rFonts w:ascii="Times New Roman" w:hAnsi="Times New Roman" w:cs="Times New Roman"/>
                <w:b/>
                <w:bCs/>
                <w:color w:val="000000"/>
                <w:sz w:val="20"/>
                <w:szCs w:val="20"/>
              </w:rPr>
              <w:br/>
            </w:r>
            <w:r w:rsidRPr="001F2DA6">
              <w:rPr>
                <w:rFonts w:ascii="Times New Roman" w:hAnsi="Times New Roman" w:cs="Times New Roman"/>
                <w:b/>
                <w:bCs/>
                <w:color w:val="000000"/>
                <w:sz w:val="20"/>
                <w:szCs w:val="20"/>
              </w:rPr>
              <w:t>Page Numbers</w:t>
            </w:r>
          </w:p>
        </w:tc>
      </w:tr>
      <w:tr w:rsidR="00E86D17" w14:paraId="07AFECDF" w14:textId="77777777" w:rsidTr="00362A0D">
        <w:trPr>
          <w:trHeight w:val="584"/>
        </w:trPr>
        <w:tc>
          <w:tcPr>
            <w:tcW w:w="450" w:type="dxa"/>
            <w:tcBorders>
              <w:top w:val="single" w:sz="4" w:space="0" w:color="auto"/>
            </w:tcBorders>
          </w:tcPr>
          <w:p w14:paraId="7A4B1330" w14:textId="4C5209F6" w:rsidR="00E86D17" w:rsidRPr="001F2DA6" w:rsidRDefault="00E86D1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755" w:type="dxa"/>
            <w:tcBorders>
              <w:top w:val="single" w:sz="4" w:space="0" w:color="auto"/>
            </w:tcBorders>
            <w:shd w:val="clear" w:color="auto" w:fill="auto"/>
            <w:tcMar>
              <w:top w:w="15" w:type="dxa"/>
              <w:left w:w="72" w:type="dxa"/>
              <w:bottom w:w="0" w:type="dxa"/>
              <w:right w:w="72" w:type="dxa"/>
            </w:tcMar>
            <w:hideMark/>
          </w:tcPr>
          <w:p w14:paraId="295F56CE" w14:textId="597F0E0E" w:rsidR="00E86D17" w:rsidRPr="001F2DA6" w:rsidRDefault="00E86D17"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Acosta, A. M.; Haddad, L.</w:t>
            </w:r>
          </w:p>
        </w:tc>
        <w:tc>
          <w:tcPr>
            <w:tcW w:w="570" w:type="dxa"/>
            <w:tcBorders>
              <w:top w:val="single" w:sz="4" w:space="0" w:color="auto"/>
            </w:tcBorders>
            <w:shd w:val="clear" w:color="auto" w:fill="auto"/>
            <w:tcMar>
              <w:top w:w="15" w:type="dxa"/>
              <w:left w:w="72" w:type="dxa"/>
              <w:bottom w:w="0" w:type="dxa"/>
              <w:right w:w="72" w:type="dxa"/>
            </w:tcMar>
            <w:hideMark/>
          </w:tcPr>
          <w:p w14:paraId="7BDFC87D" w14:textId="77777777" w:rsidR="00E86D17" w:rsidRPr="001F2DA6" w:rsidRDefault="00E86D17"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tcBorders>
              <w:top w:val="single" w:sz="4" w:space="0" w:color="auto"/>
            </w:tcBorders>
            <w:shd w:val="clear" w:color="auto" w:fill="auto"/>
            <w:tcMar>
              <w:top w:w="15" w:type="dxa"/>
              <w:left w:w="72" w:type="dxa"/>
              <w:bottom w:w="0" w:type="dxa"/>
              <w:right w:w="72" w:type="dxa"/>
            </w:tcMar>
            <w:hideMark/>
          </w:tcPr>
          <w:p w14:paraId="531B50E1" w14:textId="77777777" w:rsidR="00E86D17" w:rsidRPr="001F2DA6" w:rsidRDefault="00E86D17"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The politics of success in the fight against malnutrition in Peru.</w:t>
            </w:r>
          </w:p>
        </w:tc>
        <w:tc>
          <w:tcPr>
            <w:tcW w:w="2745" w:type="dxa"/>
            <w:tcBorders>
              <w:top w:val="single" w:sz="4" w:space="0" w:color="auto"/>
            </w:tcBorders>
            <w:shd w:val="clear" w:color="auto" w:fill="auto"/>
            <w:tcMar>
              <w:top w:w="15" w:type="dxa"/>
              <w:left w:w="72" w:type="dxa"/>
              <w:bottom w:w="0" w:type="dxa"/>
              <w:right w:w="72" w:type="dxa"/>
            </w:tcMar>
            <w:hideMark/>
          </w:tcPr>
          <w:p w14:paraId="0143235A" w14:textId="57D3C07B" w:rsidR="00E86D17" w:rsidRPr="001F2DA6" w:rsidRDefault="00E86D17"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Food Policy</w:t>
            </w:r>
            <w:r>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44: 26-35</w:t>
            </w:r>
          </w:p>
        </w:tc>
      </w:tr>
      <w:tr w:rsidR="00233011" w14:paraId="38D19C59" w14:textId="77777777" w:rsidTr="00362A0D">
        <w:trPr>
          <w:trHeight w:val="720"/>
        </w:trPr>
        <w:tc>
          <w:tcPr>
            <w:tcW w:w="450" w:type="dxa"/>
          </w:tcPr>
          <w:p w14:paraId="6EA79EA0" w14:textId="14394DF3" w:rsidR="00233011" w:rsidRPr="001F2DA6" w:rsidRDefault="00233011"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755" w:type="dxa"/>
            <w:shd w:val="clear" w:color="auto" w:fill="auto"/>
            <w:tcMar>
              <w:top w:w="15" w:type="dxa"/>
              <w:left w:w="72" w:type="dxa"/>
              <w:bottom w:w="0" w:type="dxa"/>
              <w:right w:w="72" w:type="dxa"/>
            </w:tcMar>
            <w:hideMark/>
          </w:tcPr>
          <w:p w14:paraId="031ECAD5" w14:textId="13CE5BE2"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Almog-Bar, M.; Schmid, H.</w:t>
            </w:r>
          </w:p>
        </w:tc>
        <w:tc>
          <w:tcPr>
            <w:tcW w:w="570" w:type="dxa"/>
            <w:shd w:val="clear" w:color="auto" w:fill="auto"/>
            <w:tcMar>
              <w:top w:w="15" w:type="dxa"/>
              <w:left w:w="72" w:type="dxa"/>
              <w:bottom w:w="0" w:type="dxa"/>
              <w:right w:w="72" w:type="dxa"/>
            </w:tcMar>
            <w:hideMark/>
          </w:tcPr>
          <w:p w14:paraId="7EDC2B04"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5F6B42D8"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Cross-sector partnerships in human services: Insights and organizational dilemmas.</w:t>
            </w:r>
          </w:p>
        </w:tc>
        <w:tc>
          <w:tcPr>
            <w:tcW w:w="2745" w:type="dxa"/>
            <w:shd w:val="clear" w:color="auto" w:fill="auto"/>
            <w:tcMar>
              <w:top w:w="15" w:type="dxa"/>
              <w:left w:w="72" w:type="dxa"/>
              <w:bottom w:w="0" w:type="dxa"/>
              <w:right w:w="72" w:type="dxa"/>
            </w:tcMar>
            <w:hideMark/>
          </w:tcPr>
          <w:p w14:paraId="0C9B31C9" w14:textId="3AB0563C"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Nonprofit and Voluntary Sector Quarterly</w:t>
            </w:r>
            <w:r>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47(4): 119S-138S</w:t>
            </w:r>
          </w:p>
        </w:tc>
      </w:tr>
      <w:tr w:rsidR="00233011" w14:paraId="7948150D" w14:textId="77777777" w:rsidTr="00362A0D">
        <w:trPr>
          <w:trHeight w:val="756"/>
        </w:trPr>
        <w:tc>
          <w:tcPr>
            <w:tcW w:w="450" w:type="dxa"/>
          </w:tcPr>
          <w:p w14:paraId="78F41414" w14:textId="66F86B17"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755" w:type="dxa"/>
            <w:shd w:val="clear" w:color="auto" w:fill="auto"/>
            <w:tcMar>
              <w:top w:w="15" w:type="dxa"/>
              <w:left w:w="72" w:type="dxa"/>
              <w:bottom w:w="0" w:type="dxa"/>
              <w:right w:w="72" w:type="dxa"/>
            </w:tcMar>
            <w:hideMark/>
          </w:tcPr>
          <w:p w14:paraId="5C67E23D" w14:textId="6922D93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Alonso, J. M.; Andrews, R.</w:t>
            </w:r>
          </w:p>
        </w:tc>
        <w:tc>
          <w:tcPr>
            <w:tcW w:w="570" w:type="dxa"/>
            <w:shd w:val="clear" w:color="auto" w:fill="auto"/>
            <w:tcMar>
              <w:top w:w="15" w:type="dxa"/>
              <w:left w:w="72" w:type="dxa"/>
              <w:bottom w:w="0" w:type="dxa"/>
              <w:right w:w="72" w:type="dxa"/>
            </w:tcMar>
            <w:hideMark/>
          </w:tcPr>
          <w:p w14:paraId="16086891"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5BA048E2"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Governance by targets and the performance of cross-sector partnerships: Do partner diversity and partnership capabilities matter?</w:t>
            </w:r>
          </w:p>
        </w:tc>
        <w:tc>
          <w:tcPr>
            <w:tcW w:w="2745" w:type="dxa"/>
            <w:shd w:val="clear" w:color="auto" w:fill="auto"/>
            <w:tcMar>
              <w:top w:w="15" w:type="dxa"/>
              <w:left w:w="72" w:type="dxa"/>
              <w:bottom w:w="0" w:type="dxa"/>
              <w:right w:w="72" w:type="dxa"/>
            </w:tcMar>
            <w:hideMark/>
          </w:tcPr>
          <w:p w14:paraId="69764529" w14:textId="4F075D6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Strategic Management Journal</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40(4): 556-579</w:t>
            </w:r>
          </w:p>
        </w:tc>
      </w:tr>
      <w:tr w:rsidR="00233011" w14:paraId="1D73B447" w14:textId="77777777" w:rsidTr="00362A0D">
        <w:trPr>
          <w:trHeight w:val="468"/>
        </w:trPr>
        <w:tc>
          <w:tcPr>
            <w:tcW w:w="450" w:type="dxa"/>
          </w:tcPr>
          <w:p w14:paraId="24C6CD48" w14:textId="74AB5CC9" w:rsidR="00233011" w:rsidRPr="001F2DA6" w:rsidRDefault="000F5F07" w:rsidP="002B0CD5">
            <w:pPr>
              <w:spacing w:after="12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4.</w:t>
            </w:r>
          </w:p>
        </w:tc>
        <w:tc>
          <w:tcPr>
            <w:tcW w:w="1755" w:type="dxa"/>
            <w:shd w:val="clear" w:color="auto" w:fill="auto"/>
            <w:tcMar>
              <w:top w:w="15" w:type="dxa"/>
              <w:left w:w="72" w:type="dxa"/>
              <w:bottom w:w="0" w:type="dxa"/>
              <w:right w:w="72" w:type="dxa"/>
            </w:tcMar>
            <w:hideMark/>
          </w:tcPr>
          <w:p w14:paraId="5D5C87C9" w14:textId="0D44D5B2" w:rsidR="00233011" w:rsidRPr="001F2DA6" w:rsidRDefault="00233011" w:rsidP="002B0CD5">
            <w:pPr>
              <w:spacing w:after="120"/>
              <w:rPr>
                <w:rFonts w:ascii="Times New Roman" w:hAnsi="Times New Roman" w:cs="Times New Roman"/>
                <w:color w:val="000000"/>
                <w:sz w:val="20"/>
                <w:szCs w:val="20"/>
                <w:lang w:val="fr-FR"/>
              </w:rPr>
            </w:pPr>
            <w:r w:rsidRPr="001F2DA6">
              <w:rPr>
                <w:rFonts w:ascii="Times New Roman" w:hAnsi="Times New Roman" w:cs="Times New Roman"/>
                <w:color w:val="000000"/>
                <w:sz w:val="20"/>
                <w:szCs w:val="20"/>
                <w:lang w:val="fr-FR"/>
              </w:rPr>
              <w:t>Alvarez, S. M.; Alvarez, J. F.</w:t>
            </w:r>
          </w:p>
        </w:tc>
        <w:tc>
          <w:tcPr>
            <w:tcW w:w="570" w:type="dxa"/>
            <w:shd w:val="clear" w:color="auto" w:fill="auto"/>
            <w:tcMar>
              <w:top w:w="15" w:type="dxa"/>
              <w:left w:w="72" w:type="dxa"/>
              <w:bottom w:w="0" w:type="dxa"/>
              <w:right w:w="72" w:type="dxa"/>
            </w:tcMar>
            <w:hideMark/>
          </w:tcPr>
          <w:p w14:paraId="3301888A"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5CDFF045"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Leadership development as a driver of equity and inclusion.</w:t>
            </w:r>
          </w:p>
        </w:tc>
        <w:tc>
          <w:tcPr>
            <w:tcW w:w="2745" w:type="dxa"/>
            <w:shd w:val="clear" w:color="auto" w:fill="auto"/>
            <w:tcMar>
              <w:top w:w="15" w:type="dxa"/>
              <w:left w:w="72" w:type="dxa"/>
              <w:bottom w:w="0" w:type="dxa"/>
              <w:right w:w="72" w:type="dxa"/>
            </w:tcMar>
            <w:hideMark/>
          </w:tcPr>
          <w:p w14:paraId="36B373F1" w14:textId="135BD1C9"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Work and Occupations</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45(4): 501–528</w:t>
            </w:r>
          </w:p>
        </w:tc>
      </w:tr>
      <w:tr w:rsidR="00233011" w14:paraId="2A2D25BB" w14:textId="77777777" w:rsidTr="00362A0D">
        <w:trPr>
          <w:trHeight w:val="612"/>
        </w:trPr>
        <w:tc>
          <w:tcPr>
            <w:tcW w:w="450" w:type="dxa"/>
          </w:tcPr>
          <w:p w14:paraId="6698A2BC" w14:textId="1E75620D" w:rsidR="00233011" w:rsidRPr="001F2DA6" w:rsidRDefault="000F5F07" w:rsidP="002B0CD5">
            <w:pPr>
              <w:spacing w:after="12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5.</w:t>
            </w:r>
          </w:p>
        </w:tc>
        <w:tc>
          <w:tcPr>
            <w:tcW w:w="1755" w:type="dxa"/>
            <w:shd w:val="clear" w:color="auto" w:fill="auto"/>
            <w:tcMar>
              <w:top w:w="15" w:type="dxa"/>
              <w:left w:w="72" w:type="dxa"/>
              <w:bottom w:w="0" w:type="dxa"/>
              <w:right w:w="72" w:type="dxa"/>
            </w:tcMar>
            <w:hideMark/>
          </w:tcPr>
          <w:p w14:paraId="7AD7C575" w14:textId="4BE9E23A" w:rsidR="00233011" w:rsidRPr="001F2DA6" w:rsidRDefault="00233011" w:rsidP="002B0CD5">
            <w:pPr>
              <w:spacing w:after="120"/>
              <w:rPr>
                <w:rFonts w:ascii="Times New Roman" w:hAnsi="Times New Roman" w:cs="Times New Roman"/>
                <w:color w:val="000000"/>
                <w:sz w:val="20"/>
                <w:szCs w:val="20"/>
                <w:lang w:val="fr-FR"/>
              </w:rPr>
            </w:pPr>
            <w:r w:rsidRPr="001F2DA6">
              <w:rPr>
                <w:rFonts w:ascii="Times New Roman" w:hAnsi="Times New Roman" w:cs="Times New Roman"/>
                <w:color w:val="000000"/>
                <w:sz w:val="20"/>
                <w:szCs w:val="20"/>
                <w:lang w:val="fr-FR"/>
              </w:rPr>
              <w:t>Arts, B.; de Koning, J.</w:t>
            </w:r>
          </w:p>
        </w:tc>
        <w:tc>
          <w:tcPr>
            <w:tcW w:w="570" w:type="dxa"/>
            <w:shd w:val="clear" w:color="auto" w:fill="auto"/>
            <w:tcMar>
              <w:top w:w="15" w:type="dxa"/>
              <w:left w:w="72" w:type="dxa"/>
              <w:bottom w:w="0" w:type="dxa"/>
              <w:right w:w="72" w:type="dxa"/>
            </w:tcMar>
            <w:hideMark/>
          </w:tcPr>
          <w:p w14:paraId="355BC855"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1D212745"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Community forest management: An assessment and explanation of its performance through QCA.</w:t>
            </w:r>
          </w:p>
        </w:tc>
        <w:tc>
          <w:tcPr>
            <w:tcW w:w="2745" w:type="dxa"/>
            <w:shd w:val="clear" w:color="auto" w:fill="auto"/>
            <w:tcMar>
              <w:top w:w="15" w:type="dxa"/>
              <w:left w:w="72" w:type="dxa"/>
              <w:bottom w:w="0" w:type="dxa"/>
              <w:right w:w="72" w:type="dxa"/>
            </w:tcMar>
            <w:hideMark/>
          </w:tcPr>
          <w:p w14:paraId="4F6D2B90" w14:textId="4293818F"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96: 315-325</w:t>
            </w:r>
          </w:p>
        </w:tc>
      </w:tr>
      <w:tr w:rsidR="00233011" w14:paraId="3546D962" w14:textId="77777777" w:rsidTr="00362A0D">
        <w:trPr>
          <w:trHeight w:val="585"/>
        </w:trPr>
        <w:tc>
          <w:tcPr>
            <w:tcW w:w="450" w:type="dxa"/>
          </w:tcPr>
          <w:p w14:paraId="76B44A37" w14:textId="4E2FAEF5"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755" w:type="dxa"/>
            <w:shd w:val="clear" w:color="auto" w:fill="auto"/>
            <w:tcMar>
              <w:top w:w="15" w:type="dxa"/>
              <w:left w:w="72" w:type="dxa"/>
              <w:bottom w:w="0" w:type="dxa"/>
              <w:right w:w="72" w:type="dxa"/>
            </w:tcMar>
            <w:hideMark/>
          </w:tcPr>
          <w:p w14:paraId="210D386C" w14:textId="10646646"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Bacon, N.; Samuel, P.</w:t>
            </w:r>
          </w:p>
        </w:tc>
        <w:tc>
          <w:tcPr>
            <w:tcW w:w="570" w:type="dxa"/>
            <w:shd w:val="clear" w:color="auto" w:fill="auto"/>
            <w:tcMar>
              <w:top w:w="15" w:type="dxa"/>
              <w:left w:w="72" w:type="dxa"/>
              <w:bottom w:w="0" w:type="dxa"/>
              <w:right w:w="72" w:type="dxa"/>
            </w:tcMar>
            <w:hideMark/>
          </w:tcPr>
          <w:p w14:paraId="4040B7DF"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0DDAAD92" w14:textId="258321FF"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Social partnership and political devolution in the National Health Service: </w:t>
            </w:r>
            <w:r>
              <w:rPr>
                <w:rFonts w:ascii="Times New Roman" w:hAnsi="Times New Roman" w:cs="Times New Roman"/>
                <w:color w:val="000000"/>
                <w:sz w:val="20"/>
                <w:szCs w:val="20"/>
              </w:rPr>
              <w:t>E</w:t>
            </w:r>
            <w:r w:rsidRPr="001F2DA6">
              <w:rPr>
                <w:rFonts w:ascii="Times New Roman" w:hAnsi="Times New Roman" w:cs="Times New Roman"/>
                <w:color w:val="000000"/>
                <w:sz w:val="20"/>
                <w:szCs w:val="20"/>
              </w:rPr>
              <w:t>mergence, operation and outcomes.</w:t>
            </w:r>
          </w:p>
        </w:tc>
        <w:tc>
          <w:tcPr>
            <w:tcW w:w="2745" w:type="dxa"/>
            <w:shd w:val="clear" w:color="auto" w:fill="auto"/>
            <w:tcMar>
              <w:top w:w="15" w:type="dxa"/>
              <w:left w:w="72" w:type="dxa"/>
              <w:bottom w:w="0" w:type="dxa"/>
              <w:right w:w="72" w:type="dxa"/>
            </w:tcMar>
            <w:hideMark/>
          </w:tcPr>
          <w:p w14:paraId="00C233B8" w14:textId="601B793F"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Work Employment and Society</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31(1): 123-141</w:t>
            </w:r>
          </w:p>
        </w:tc>
      </w:tr>
      <w:tr w:rsidR="00233011" w14:paraId="7E989D92" w14:textId="77777777" w:rsidTr="00362A0D">
        <w:trPr>
          <w:trHeight w:val="306"/>
        </w:trPr>
        <w:tc>
          <w:tcPr>
            <w:tcW w:w="450" w:type="dxa"/>
          </w:tcPr>
          <w:p w14:paraId="76F35495" w14:textId="404BDFF4"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755" w:type="dxa"/>
            <w:shd w:val="clear" w:color="auto" w:fill="auto"/>
            <w:tcMar>
              <w:top w:w="15" w:type="dxa"/>
              <w:left w:w="72" w:type="dxa"/>
              <w:bottom w:w="0" w:type="dxa"/>
              <w:right w:w="72" w:type="dxa"/>
            </w:tcMar>
            <w:hideMark/>
          </w:tcPr>
          <w:p w14:paraId="7A0E5FA3" w14:textId="2415E4B2"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Biddle, J. C.; Koontz, T. M.</w:t>
            </w:r>
          </w:p>
        </w:tc>
        <w:tc>
          <w:tcPr>
            <w:tcW w:w="570" w:type="dxa"/>
            <w:shd w:val="clear" w:color="auto" w:fill="auto"/>
            <w:tcMar>
              <w:top w:w="15" w:type="dxa"/>
              <w:left w:w="72" w:type="dxa"/>
              <w:bottom w:w="0" w:type="dxa"/>
              <w:right w:w="72" w:type="dxa"/>
            </w:tcMar>
            <w:hideMark/>
          </w:tcPr>
          <w:p w14:paraId="5844FB08"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shd w:val="clear" w:color="auto" w:fill="auto"/>
            <w:tcMar>
              <w:top w:w="15" w:type="dxa"/>
              <w:left w:w="72" w:type="dxa"/>
              <w:bottom w:w="0" w:type="dxa"/>
              <w:right w:w="72" w:type="dxa"/>
            </w:tcMar>
            <w:hideMark/>
          </w:tcPr>
          <w:p w14:paraId="695F4D34"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Goal specificity: A proxy measure for improvements in environmental outcomes in collaborative governance.</w:t>
            </w:r>
          </w:p>
        </w:tc>
        <w:tc>
          <w:tcPr>
            <w:tcW w:w="2745" w:type="dxa"/>
            <w:shd w:val="clear" w:color="auto" w:fill="auto"/>
            <w:tcMar>
              <w:top w:w="15" w:type="dxa"/>
              <w:left w:w="72" w:type="dxa"/>
              <w:bottom w:w="0" w:type="dxa"/>
              <w:right w:w="72" w:type="dxa"/>
            </w:tcMar>
            <w:hideMark/>
          </w:tcPr>
          <w:p w14:paraId="0D4DD95E" w14:textId="6AE9D68B"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Environmental Management</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145: 268-276</w:t>
            </w:r>
          </w:p>
        </w:tc>
      </w:tr>
      <w:tr w:rsidR="00233011" w14:paraId="2A8D1B9C" w14:textId="77777777" w:rsidTr="00362A0D">
        <w:trPr>
          <w:trHeight w:val="279"/>
        </w:trPr>
        <w:tc>
          <w:tcPr>
            <w:tcW w:w="450" w:type="dxa"/>
          </w:tcPr>
          <w:p w14:paraId="31B1ECA0" w14:textId="2F187AFB" w:rsidR="00233011"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8.</w:t>
            </w:r>
          </w:p>
        </w:tc>
        <w:tc>
          <w:tcPr>
            <w:tcW w:w="1755" w:type="dxa"/>
            <w:shd w:val="clear" w:color="auto" w:fill="auto"/>
            <w:tcMar>
              <w:top w:w="15" w:type="dxa"/>
              <w:left w:w="72" w:type="dxa"/>
              <w:bottom w:w="0" w:type="dxa"/>
              <w:right w:w="72" w:type="dxa"/>
            </w:tcMar>
            <w:hideMark/>
          </w:tcPr>
          <w:p w14:paraId="3FE1F39C" w14:textId="676BE80B" w:rsidR="00233011" w:rsidRPr="001F2DA6" w:rsidRDefault="00233011"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Bitzer, V.; Francken, M.; Glasbergen, P.</w:t>
            </w:r>
          </w:p>
        </w:tc>
        <w:tc>
          <w:tcPr>
            <w:tcW w:w="570" w:type="dxa"/>
            <w:shd w:val="clear" w:color="auto" w:fill="auto"/>
            <w:tcMar>
              <w:top w:w="15" w:type="dxa"/>
              <w:left w:w="72" w:type="dxa"/>
              <w:bottom w:w="0" w:type="dxa"/>
              <w:right w:w="72" w:type="dxa"/>
            </w:tcMar>
            <w:hideMark/>
          </w:tcPr>
          <w:p w14:paraId="1AC8F1E4"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2008</w:t>
            </w:r>
          </w:p>
        </w:tc>
        <w:tc>
          <w:tcPr>
            <w:tcW w:w="3934" w:type="dxa"/>
            <w:shd w:val="clear" w:color="auto" w:fill="auto"/>
            <w:tcMar>
              <w:top w:w="15" w:type="dxa"/>
              <w:left w:w="72" w:type="dxa"/>
              <w:bottom w:w="0" w:type="dxa"/>
              <w:right w:w="72" w:type="dxa"/>
            </w:tcMar>
            <w:hideMark/>
          </w:tcPr>
          <w:p w14:paraId="29F46829"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Intersectoral partnerships for a sustainable coffee chain: Really addressing sustainability or just picking (coffee) cherries?</w:t>
            </w:r>
          </w:p>
        </w:tc>
        <w:tc>
          <w:tcPr>
            <w:tcW w:w="2745" w:type="dxa"/>
            <w:shd w:val="clear" w:color="auto" w:fill="auto"/>
            <w:tcMar>
              <w:top w:w="15" w:type="dxa"/>
              <w:left w:w="72" w:type="dxa"/>
              <w:bottom w:w="0" w:type="dxa"/>
              <w:right w:w="72" w:type="dxa"/>
            </w:tcMar>
            <w:hideMark/>
          </w:tcPr>
          <w:p w14:paraId="379A03B6" w14:textId="71B49AE9"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Global Environmental Change</w:t>
            </w:r>
            <w:r w:rsidR="00C474FB">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18(2): 271-284</w:t>
            </w:r>
          </w:p>
        </w:tc>
      </w:tr>
      <w:tr w:rsidR="00233011" w14:paraId="1225EBD3" w14:textId="77777777" w:rsidTr="00362A0D">
        <w:trPr>
          <w:trHeight w:val="23"/>
        </w:trPr>
        <w:tc>
          <w:tcPr>
            <w:tcW w:w="450" w:type="dxa"/>
          </w:tcPr>
          <w:p w14:paraId="661CA095" w14:textId="0BDE0249"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755" w:type="dxa"/>
            <w:shd w:val="clear" w:color="auto" w:fill="auto"/>
            <w:tcMar>
              <w:top w:w="15" w:type="dxa"/>
              <w:left w:w="72" w:type="dxa"/>
              <w:bottom w:w="0" w:type="dxa"/>
              <w:right w:w="72" w:type="dxa"/>
            </w:tcMar>
            <w:hideMark/>
          </w:tcPr>
          <w:p w14:paraId="0268F5E2" w14:textId="4385265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Bitzer, V.; </w:t>
            </w:r>
            <w:proofErr w:type="spellStart"/>
            <w:r w:rsidRPr="001F2DA6">
              <w:rPr>
                <w:rFonts w:ascii="Times New Roman" w:hAnsi="Times New Roman" w:cs="Times New Roman"/>
                <w:color w:val="000000"/>
                <w:sz w:val="20"/>
                <w:szCs w:val="20"/>
              </w:rPr>
              <w:t>Glasbergen</w:t>
            </w:r>
            <w:proofErr w:type="spellEnd"/>
            <w:r w:rsidRPr="001F2DA6">
              <w:rPr>
                <w:rFonts w:ascii="Times New Roman" w:hAnsi="Times New Roman" w:cs="Times New Roman"/>
                <w:color w:val="000000"/>
                <w:sz w:val="20"/>
                <w:szCs w:val="20"/>
              </w:rPr>
              <w:t>, P.</w:t>
            </w:r>
          </w:p>
        </w:tc>
        <w:tc>
          <w:tcPr>
            <w:tcW w:w="570" w:type="dxa"/>
            <w:shd w:val="clear" w:color="auto" w:fill="auto"/>
            <w:tcMar>
              <w:top w:w="15" w:type="dxa"/>
              <w:left w:w="72" w:type="dxa"/>
              <w:bottom w:w="0" w:type="dxa"/>
              <w:right w:w="72" w:type="dxa"/>
            </w:tcMar>
            <w:hideMark/>
          </w:tcPr>
          <w:p w14:paraId="11FF5C62"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0C87C50A"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Partnerships for sustainable change in cotton: An institutional analysis of African cases</w:t>
            </w:r>
          </w:p>
        </w:tc>
        <w:tc>
          <w:tcPr>
            <w:tcW w:w="2745" w:type="dxa"/>
            <w:shd w:val="clear" w:color="auto" w:fill="auto"/>
            <w:tcMar>
              <w:top w:w="15" w:type="dxa"/>
              <w:left w:w="72" w:type="dxa"/>
              <w:bottom w:w="0" w:type="dxa"/>
              <w:right w:w="72" w:type="dxa"/>
            </w:tcMar>
            <w:hideMark/>
          </w:tcPr>
          <w:p w14:paraId="1B687A3B" w14:textId="6437F916"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93(2): 223-240</w:t>
            </w:r>
          </w:p>
        </w:tc>
      </w:tr>
      <w:tr w:rsidR="00233011" w14:paraId="24E69F38" w14:textId="77777777" w:rsidTr="00362A0D">
        <w:trPr>
          <w:trHeight w:val="855"/>
        </w:trPr>
        <w:tc>
          <w:tcPr>
            <w:tcW w:w="450" w:type="dxa"/>
          </w:tcPr>
          <w:p w14:paraId="4D08C0BE" w14:textId="7F088118" w:rsidR="00233011" w:rsidRPr="001F2DA6" w:rsidRDefault="000F5F07" w:rsidP="002B0CD5">
            <w:pPr>
              <w:spacing w:after="120"/>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10.</w:t>
            </w:r>
          </w:p>
        </w:tc>
        <w:tc>
          <w:tcPr>
            <w:tcW w:w="1755" w:type="dxa"/>
            <w:shd w:val="clear" w:color="auto" w:fill="auto"/>
            <w:tcMar>
              <w:top w:w="15" w:type="dxa"/>
              <w:left w:w="72" w:type="dxa"/>
              <w:bottom w:w="0" w:type="dxa"/>
              <w:right w:w="72" w:type="dxa"/>
            </w:tcMar>
            <w:hideMark/>
          </w:tcPr>
          <w:p w14:paraId="53D4AE94" w14:textId="72414534" w:rsidR="00233011" w:rsidRPr="001F2DA6" w:rsidRDefault="00233011" w:rsidP="002B0CD5">
            <w:pPr>
              <w:spacing w:after="120"/>
              <w:rPr>
                <w:rFonts w:ascii="Times New Roman" w:hAnsi="Times New Roman" w:cs="Times New Roman"/>
                <w:color w:val="000000"/>
                <w:sz w:val="20"/>
                <w:szCs w:val="20"/>
                <w:lang w:val="fr-FR"/>
              </w:rPr>
            </w:pPr>
            <w:proofErr w:type="spellStart"/>
            <w:r w:rsidRPr="001F2DA6">
              <w:rPr>
                <w:rFonts w:ascii="Times New Roman" w:hAnsi="Times New Roman" w:cs="Times New Roman"/>
                <w:color w:val="000000"/>
                <w:sz w:val="20"/>
                <w:szCs w:val="20"/>
                <w:lang w:val="fr-FR"/>
              </w:rPr>
              <w:t>Brisbois</w:t>
            </w:r>
            <w:proofErr w:type="spellEnd"/>
            <w:r w:rsidRPr="001F2DA6">
              <w:rPr>
                <w:rFonts w:ascii="Times New Roman" w:hAnsi="Times New Roman" w:cs="Times New Roman"/>
                <w:color w:val="000000"/>
                <w:sz w:val="20"/>
                <w:szCs w:val="20"/>
                <w:lang w:val="fr-FR"/>
              </w:rPr>
              <w:t xml:space="preserve">, M. C.; Morris, M.; de </w:t>
            </w:r>
            <w:proofErr w:type="spellStart"/>
            <w:r w:rsidRPr="001F2DA6">
              <w:rPr>
                <w:rFonts w:ascii="Times New Roman" w:hAnsi="Times New Roman" w:cs="Times New Roman"/>
                <w:color w:val="000000"/>
                <w:sz w:val="20"/>
                <w:szCs w:val="20"/>
                <w:lang w:val="fr-FR"/>
              </w:rPr>
              <w:t>Loe</w:t>
            </w:r>
            <w:proofErr w:type="spellEnd"/>
            <w:r w:rsidRPr="001F2DA6">
              <w:rPr>
                <w:rFonts w:ascii="Times New Roman" w:hAnsi="Times New Roman" w:cs="Times New Roman"/>
                <w:color w:val="000000"/>
                <w:sz w:val="20"/>
                <w:szCs w:val="20"/>
                <w:lang w:val="fr-FR"/>
              </w:rPr>
              <w:t>, R.</w:t>
            </w:r>
          </w:p>
        </w:tc>
        <w:tc>
          <w:tcPr>
            <w:tcW w:w="570" w:type="dxa"/>
            <w:shd w:val="clear" w:color="auto" w:fill="auto"/>
            <w:tcMar>
              <w:top w:w="15" w:type="dxa"/>
              <w:left w:w="72" w:type="dxa"/>
              <w:bottom w:w="0" w:type="dxa"/>
              <w:right w:w="72" w:type="dxa"/>
            </w:tcMar>
            <w:hideMark/>
          </w:tcPr>
          <w:p w14:paraId="55DDEC80"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3DC6D25A"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Augmenting the IAD framework to reveal power in collaborative governance - An illustrative application to resource industry dominated processes.</w:t>
            </w:r>
          </w:p>
        </w:tc>
        <w:tc>
          <w:tcPr>
            <w:tcW w:w="2745" w:type="dxa"/>
            <w:shd w:val="clear" w:color="auto" w:fill="auto"/>
            <w:tcMar>
              <w:top w:w="15" w:type="dxa"/>
              <w:left w:w="72" w:type="dxa"/>
              <w:bottom w:w="0" w:type="dxa"/>
              <w:right w:w="72" w:type="dxa"/>
            </w:tcMar>
            <w:hideMark/>
          </w:tcPr>
          <w:p w14:paraId="533149BC" w14:textId="582D4E3D"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120: 159-168</w:t>
            </w:r>
          </w:p>
        </w:tc>
      </w:tr>
      <w:tr w:rsidR="00233011" w14:paraId="34F8D58F" w14:textId="77777777" w:rsidTr="00362A0D">
        <w:trPr>
          <w:trHeight w:val="495"/>
        </w:trPr>
        <w:tc>
          <w:tcPr>
            <w:tcW w:w="450" w:type="dxa"/>
          </w:tcPr>
          <w:p w14:paraId="77633503" w14:textId="7F912620"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755" w:type="dxa"/>
            <w:shd w:val="clear" w:color="auto" w:fill="auto"/>
            <w:tcMar>
              <w:top w:w="15" w:type="dxa"/>
              <w:left w:w="72" w:type="dxa"/>
              <w:bottom w:w="0" w:type="dxa"/>
              <w:right w:w="72" w:type="dxa"/>
            </w:tcMar>
            <w:hideMark/>
          </w:tcPr>
          <w:p w14:paraId="3E76ECBA" w14:textId="73D2C1D6"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Brogaard, L.</w:t>
            </w:r>
          </w:p>
        </w:tc>
        <w:tc>
          <w:tcPr>
            <w:tcW w:w="570" w:type="dxa"/>
            <w:shd w:val="clear" w:color="auto" w:fill="auto"/>
            <w:tcMar>
              <w:top w:w="15" w:type="dxa"/>
              <w:left w:w="72" w:type="dxa"/>
              <w:bottom w:w="0" w:type="dxa"/>
              <w:right w:w="72" w:type="dxa"/>
            </w:tcMar>
            <w:hideMark/>
          </w:tcPr>
          <w:p w14:paraId="711E419F"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30C8722A"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The impact of innovation training on successful outcomes in public–private partnerships.</w:t>
            </w:r>
          </w:p>
        </w:tc>
        <w:tc>
          <w:tcPr>
            <w:tcW w:w="2745" w:type="dxa"/>
            <w:shd w:val="clear" w:color="auto" w:fill="auto"/>
            <w:tcMar>
              <w:top w:w="15" w:type="dxa"/>
              <w:left w:w="72" w:type="dxa"/>
              <w:bottom w:w="0" w:type="dxa"/>
              <w:right w:w="72" w:type="dxa"/>
            </w:tcMar>
            <w:hideMark/>
          </w:tcPr>
          <w:p w14:paraId="1E4E17EE" w14:textId="68BB4D33"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19(8): 1184-1205</w:t>
            </w:r>
          </w:p>
        </w:tc>
      </w:tr>
      <w:tr w:rsidR="00233011" w14:paraId="5CCD71B8" w14:textId="77777777" w:rsidTr="00362A0D">
        <w:trPr>
          <w:trHeight w:val="1170"/>
        </w:trPr>
        <w:tc>
          <w:tcPr>
            <w:tcW w:w="450" w:type="dxa"/>
          </w:tcPr>
          <w:p w14:paraId="0E9B8F33" w14:textId="5E6EB5FC" w:rsidR="00233011"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12.</w:t>
            </w:r>
          </w:p>
        </w:tc>
        <w:tc>
          <w:tcPr>
            <w:tcW w:w="1755" w:type="dxa"/>
            <w:shd w:val="clear" w:color="auto" w:fill="auto"/>
            <w:tcMar>
              <w:top w:w="15" w:type="dxa"/>
              <w:left w:w="72" w:type="dxa"/>
              <w:bottom w:w="0" w:type="dxa"/>
              <w:right w:w="72" w:type="dxa"/>
            </w:tcMar>
            <w:hideMark/>
          </w:tcPr>
          <w:p w14:paraId="4925AF75" w14:textId="3C68769F" w:rsidR="00233011" w:rsidRPr="001F2DA6" w:rsidRDefault="00233011"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Burch, S.; Schroeder, H.; </w:t>
            </w:r>
            <w:proofErr w:type="spellStart"/>
            <w:r w:rsidRPr="001F2DA6">
              <w:rPr>
                <w:rFonts w:ascii="Times New Roman" w:hAnsi="Times New Roman" w:cs="Times New Roman"/>
                <w:color w:val="000000"/>
                <w:sz w:val="20"/>
                <w:szCs w:val="20"/>
                <w:lang w:val="de-DE"/>
              </w:rPr>
              <w:t>Rayner</w:t>
            </w:r>
            <w:proofErr w:type="spellEnd"/>
            <w:r w:rsidRPr="001F2DA6">
              <w:rPr>
                <w:rFonts w:ascii="Times New Roman" w:hAnsi="Times New Roman" w:cs="Times New Roman"/>
                <w:color w:val="000000"/>
                <w:sz w:val="20"/>
                <w:szCs w:val="20"/>
                <w:lang w:val="de-DE"/>
              </w:rPr>
              <w:t>, S.; Wilson, J.</w:t>
            </w:r>
          </w:p>
        </w:tc>
        <w:tc>
          <w:tcPr>
            <w:tcW w:w="570" w:type="dxa"/>
            <w:shd w:val="clear" w:color="auto" w:fill="auto"/>
            <w:tcMar>
              <w:top w:w="15" w:type="dxa"/>
              <w:left w:w="72" w:type="dxa"/>
              <w:bottom w:w="0" w:type="dxa"/>
              <w:right w:w="72" w:type="dxa"/>
            </w:tcMar>
            <w:hideMark/>
          </w:tcPr>
          <w:p w14:paraId="493405BF"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2013</w:t>
            </w:r>
          </w:p>
        </w:tc>
        <w:tc>
          <w:tcPr>
            <w:tcW w:w="3934" w:type="dxa"/>
            <w:shd w:val="clear" w:color="auto" w:fill="auto"/>
            <w:tcMar>
              <w:top w:w="15" w:type="dxa"/>
              <w:left w:w="72" w:type="dxa"/>
              <w:bottom w:w="0" w:type="dxa"/>
              <w:right w:w="72" w:type="dxa"/>
            </w:tcMar>
            <w:hideMark/>
          </w:tcPr>
          <w:p w14:paraId="6BCD3997"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Novel multisector networks and entrepreneurship: The role of small businesses in the multilevel governance of climate change.</w:t>
            </w:r>
          </w:p>
        </w:tc>
        <w:tc>
          <w:tcPr>
            <w:tcW w:w="2745" w:type="dxa"/>
            <w:shd w:val="clear" w:color="auto" w:fill="auto"/>
            <w:tcMar>
              <w:top w:w="15" w:type="dxa"/>
              <w:left w:w="72" w:type="dxa"/>
              <w:bottom w:w="0" w:type="dxa"/>
              <w:right w:w="72" w:type="dxa"/>
            </w:tcMar>
            <w:hideMark/>
          </w:tcPr>
          <w:p w14:paraId="6C06D2AF" w14:textId="67BD1948"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Environment and Planning C: Government and Policy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31(5): 822-840</w:t>
            </w:r>
          </w:p>
        </w:tc>
      </w:tr>
      <w:tr w:rsidR="00233011" w14:paraId="715E1B92" w14:textId="77777777" w:rsidTr="00362A0D">
        <w:trPr>
          <w:trHeight w:val="648"/>
        </w:trPr>
        <w:tc>
          <w:tcPr>
            <w:tcW w:w="450" w:type="dxa"/>
          </w:tcPr>
          <w:p w14:paraId="10E4AAAE" w14:textId="37E0DF00"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755" w:type="dxa"/>
            <w:shd w:val="clear" w:color="auto" w:fill="auto"/>
            <w:tcMar>
              <w:top w:w="15" w:type="dxa"/>
              <w:left w:w="72" w:type="dxa"/>
              <w:bottom w:w="0" w:type="dxa"/>
              <w:right w:w="72" w:type="dxa"/>
            </w:tcMar>
            <w:hideMark/>
          </w:tcPr>
          <w:p w14:paraId="50907A48" w14:textId="0A844F58" w:rsidR="00233011" w:rsidRPr="001F2DA6" w:rsidRDefault="00233011"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Chorianopoulos</w:t>
            </w:r>
            <w:proofErr w:type="spellEnd"/>
            <w:r w:rsidRPr="001F2DA6">
              <w:rPr>
                <w:rFonts w:ascii="Times New Roman" w:hAnsi="Times New Roman" w:cs="Times New Roman"/>
                <w:color w:val="000000"/>
                <w:sz w:val="20"/>
                <w:szCs w:val="20"/>
              </w:rPr>
              <w:t xml:space="preserve">, I.; </w:t>
            </w:r>
            <w:proofErr w:type="spellStart"/>
            <w:r w:rsidRPr="001F2DA6">
              <w:rPr>
                <w:rFonts w:ascii="Times New Roman" w:hAnsi="Times New Roman" w:cs="Times New Roman"/>
                <w:color w:val="000000"/>
                <w:sz w:val="20"/>
                <w:szCs w:val="20"/>
              </w:rPr>
              <w:t>Tselepi</w:t>
            </w:r>
            <w:proofErr w:type="spellEnd"/>
            <w:r w:rsidRPr="001F2DA6">
              <w:rPr>
                <w:rFonts w:ascii="Times New Roman" w:hAnsi="Times New Roman" w:cs="Times New Roman"/>
                <w:color w:val="000000"/>
                <w:sz w:val="20"/>
                <w:szCs w:val="20"/>
              </w:rPr>
              <w:t>, N.</w:t>
            </w:r>
          </w:p>
        </w:tc>
        <w:tc>
          <w:tcPr>
            <w:tcW w:w="570" w:type="dxa"/>
            <w:shd w:val="clear" w:color="auto" w:fill="auto"/>
            <w:tcMar>
              <w:top w:w="15" w:type="dxa"/>
              <w:left w:w="72" w:type="dxa"/>
              <w:bottom w:w="0" w:type="dxa"/>
              <w:right w:w="72" w:type="dxa"/>
            </w:tcMar>
            <w:hideMark/>
          </w:tcPr>
          <w:p w14:paraId="67DE9966"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61AFD5A3"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Austerity urbanism: Rescaling and collaborative governance policies in Athens.</w:t>
            </w:r>
          </w:p>
        </w:tc>
        <w:tc>
          <w:tcPr>
            <w:tcW w:w="2745" w:type="dxa"/>
            <w:shd w:val="clear" w:color="auto" w:fill="auto"/>
            <w:tcMar>
              <w:top w:w="15" w:type="dxa"/>
              <w:left w:w="72" w:type="dxa"/>
              <w:bottom w:w="0" w:type="dxa"/>
              <w:right w:w="72" w:type="dxa"/>
            </w:tcMar>
            <w:hideMark/>
          </w:tcPr>
          <w:p w14:paraId="739D3744" w14:textId="41552EAE"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European Urban and Regional Studies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26(1): 80-96</w:t>
            </w:r>
          </w:p>
        </w:tc>
      </w:tr>
      <w:tr w:rsidR="00233011" w14:paraId="2A582143" w14:textId="77777777" w:rsidTr="00362A0D">
        <w:trPr>
          <w:trHeight w:val="648"/>
        </w:trPr>
        <w:tc>
          <w:tcPr>
            <w:tcW w:w="450" w:type="dxa"/>
          </w:tcPr>
          <w:p w14:paraId="185E2566" w14:textId="5342385D"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w:t>
            </w:r>
          </w:p>
        </w:tc>
        <w:tc>
          <w:tcPr>
            <w:tcW w:w="1755" w:type="dxa"/>
            <w:shd w:val="clear" w:color="auto" w:fill="auto"/>
            <w:tcMar>
              <w:top w:w="15" w:type="dxa"/>
              <w:left w:w="72" w:type="dxa"/>
              <w:bottom w:w="0" w:type="dxa"/>
              <w:right w:w="72" w:type="dxa"/>
            </w:tcMar>
            <w:hideMark/>
          </w:tcPr>
          <w:p w14:paraId="42549139" w14:textId="129FD294"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Clarke, A.; Fuller, M.</w:t>
            </w:r>
          </w:p>
        </w:tc>
        <w:tc>
          <w:tcPr>
            <w:tcW w:w="570" w:type="dxa"/>
            <w:shd w:val="clear" w:color="auto" w:fill="auto"/>
            <w:tcMar>
              <w:top w:w="15" w:type="dxa"/>
              <w:left w:w="72" w:type="dxa"/>
              <w:bottom w:w="0" w:type="dxa"/>
              <w:right w:w="72" w:type="dxa"/>
            </w:tcMar>
            <w:hideMark/>
          </w:tcPr>
          <w:p w14:paraId="4ED654B0"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0F7BD2C2"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Collaborative strategic management: Strategy formulation and implementation by multi-organizational cross-sector social partnerships.</w:t>
            </w:r>
          </w:p>
        </w:tc>
        <w:tc>
          <w:tcPr>
            <w:tcW w:w="2745" w:type="dxa"/>
            <w:shd w:val="clear" w:color="auto" w:fill="auto"/>
            <w:tcMar>
              <w:top w:w="15" w:type="dxa"/>
              <w:left w:w="72" w:type="dxa"/>
              <w:bottom w:w="0" w:type="dxa"/>
              <w:right w:w="72" w:type="dxa"/>
            </w:tcMar>
            <w:hideMark/>
          </w:tcPr>
          <w:p w14:paraId="70954A81" w14:textId="0ABBC7A1"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94: 85-101</w:t>
            </w:r>
          </w:p>
        </w:tc>
      </w:tr>
      <w:tr w:rsidR="00233011" w14:paraId="7AD9602D" w14:textId="77777777" w:rsidTr="00362A0D">
        <w:trPr>
          <w:trHeight w:val="243"/>
        </w:trPr>
        <w:tc>
          <w:tcPr>
            <w:tcW w:w="450" w:type="dxa"/>
          </w:tcPr>
          <w:p w14:paraId="3A5CCF68" w14:textId="1C9C40E4"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755" w:type="dxa"/>
            <w:shd w:val="clear" w:color="auto" w:fill="auto"/>
            <w:tcMar>
              <w:top w:w="15" w:type="dxa"/>
              <w:left w:w="72" w:type="dxa"/>
              <w:bottom w:w="0" w:type="dxa"/>
              <w:right w:w="72" w:type="dxa"/>
            </w:tcMar>
            <w:hideMark/>
          </w:tcPr>
          <w:p w14:paraId="1200DE7C" w14:textId="6CA61411"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Cornelius, N.; Wallace, J.</w:t>
            </w:r>
          </w:p>
        </w:tc>
        <w:tc>
          <w:tcPr>
            <w:tcW w:w="570" w:type="dxa"/>
            <w:shd w:val="clear" w:color="auto" w:fill="auto"/>
            <w:tcMar>
              <w:top w:w="15" w:type="dxa"/>
              <w:left w:w="72" w:type="dxa"/>
              <w:bottom w:w="0" w:type="dxa"/>
              <w:right w:w="72" w:type="dxa"/>
            </w:tcMar>
            <w:hideMark/>
          </w:tcPr>
          <w:p w14:paraId="042F6BEE"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2A4C4A33"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Cross-sector partnerships: City regeneration and social justice.</w:t>
            </w:r>
          </w:p>
        </w:tc>
        <w:tc>
          <w:tcPr>
            <w:tcW w:w="2745" w:type="dxa"/>
            <w:shd w:val="clear" w:color="auto" w:fill="auto"/>
            <w:tcMar>
              <w:top w:w="15" w:type="dxa"/>
              <w:left w:w="72" w:type="dxa"/>
              <w:bottom w:w="0" w:type="dxa"/>
              <w:right w:w="72" w:type="dxa"/>
            </w:tcMar>
            <w:hideMark/>
          </w:tcPr>
          <w:p w14:paraId="3A6CCBF6" w14:textId="604061D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94</w:t>
            </w:r>
            <w:r>
              <w:rPr>
                <w:rFonts w:ascii="Times New Roman" w:hAnsi="Times New Roman" w:cs="Times New Roman"/>
                <w:color w:val="000000"/>
                <w:sz w:val="20"/>
                <w:szCs w:val="20"/>
              </w:rPr>
              <w:t>(SUPPL 1)</w:t>
            </w:r>
            <w:r w:rsidRPr="001F2DA6">
              <w:rPr>
                <w:rFonts w:ascii="Times New Roman" w:hAnsi="Times New Roman" w:cs="Times New Roman"/>
                <w:color w:val="000000"/>
                <w:sz w:val="20"/>
                <w:szCs w:val="20"/>
              </w:rPr>
              <w:t>: 71-84</w:t>
            </w:r>
          </w:p>
        </w:tc>
      </w:tr>
      <w:tr w:rsidR="00233011" w14:paraId="65FCCA5D" w14:textId="77777777" w:rsidTr="00362A0D">
        <w:trPr>
          <w:trHeight w:val="378"/>
        </w:trPr>
        <w:tc>
          <w:tcPr>
            <w:tcW w:w="450" w:type="dxa"/>
          </w:tcPr>
          <w:p w14:paraId="22FF2593" w14:textId="6B1C4FCF" w:rsidR="00233011"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755" w:type="dxa"/>
            <w:shd w:val="clear" w:color="auto" w:fill="auto"/>
            <w:tcMar>
              <w:top w:w="15" w:type="dxa"/>
              <w:left w:w="72" w:type="dxa"/>
              <w:bottom w:w="0" w:type="dxa"/>
              <w:right w:w="72" w:type="dxa"/>
            </w:tcMar>
            <w:hideMark/>
          </w:tcPr>
          <w:p w14:paraId="004B86F4" w14:textId="7A68D6A3" w:rsidR="00233011" w:rsidRPr="001F2DA6" w:rsidRDefault="00233011"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Crispeels</w:t>
            </w:r>
            <w:proofErr w:type="spellEnd"/>
            <w:r w:rsidRPr="001F2DA6">
              <w:rPr>
                <w:rFonts w:ascii="Times New Roman" w:hAnsi="Times New Roman" w:cs="Times New Roman"/>
                <w:color w:val="000000"/>
                <w:sz w:val="20"/>
                <w:szCs w:val="20"/>
              </w:rPr>
              <w:t xml:space="preserve">, T.; Willems, J.; </w:t>
            </w:r>
            <w:proofErr w:type="spellStart"/>
            <w:r w:rsidRPr="001F2DA6">
              <w:rPr>
                <w:rFonts w:ascii="Times New Roman" w:hAnsi="Times New Roman" w:cs="Times New Roman"/>
                <w:color w:val="000000"/>
                <w:sz w:val="20"/>
                <w:szCs w:val="20"/>
              </w:rPr>
              <w:t>Scheerlinck</w:t>
            </w:r>
            <w:proofErr w:type="spellEnd"/>
            <w:r w:rsidRPr="001F2DA6">
              <w:rPr>
                <w:rFonts w:ascii="Times New Roman" w:hAnsi="Times New Roman" w:cs="Times New Roman"/>
                <w:color w:val="000000"/>
                <w:sz w:val="20"/>
                <w:szCs w:val="20"/>
              </w:rPr>
              <w:t>, I.</w:t>
            </w:r>
          </w:p>
        </w:tc>
        <w:tc>
          <w:tcPr>
            <w:tcW w:w="570" w:type="dxa"/>
            <w:shd w:val="clear" w:color="auto" w:fill="auto"/>
            <w:tcMar>
              <w:top w:w="15" w:type="dxa"/>
              <w:left w:w="72" w:type="dxa"/>
              <w:bottom w:w="0" w:type="dxa"/>
              <w:right w:w="72" w:type="dxa"/>
            </w:tcMar>
            <w:hideMark/>
          </w:tcPr>
          <w:p w14:paraId="40D0D706" w14:textId="77777777" w:rsidR="00233011" w:rsidRPr="001F2DA6" w:rsidRDefault="00233011"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26D5DADF" w14:textId="77777777"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Public–private collaborations in drug development: Boosting innovation or alleviating risk?</w:t>
            </w:r>
          </w:p>
        </w:tc>
        <w:tc>
          <w:tcPr>
            <w:tcW w:w="2745" w:type="dxa"/>
            <w:shd w:val="clear" w:color="auto" w:fill="auto"/>
            <w:tcMar>
              <w:top w:w="15" w:type="dxa"/>
              <w:left w:w="72" w:type="dxa"/>
              <w:bottom w:w="0" w:type="dxa"/>
              <w:right w:w="72" w:type="dxa"/>
            </w:tcMar>
            <w:hideMark/>
          </w:tcPr>
          <w:p w14:paraId="5B9E6104" w14:textId="14EC6194" w:rsidR="00233011" w:rsidRPr="001F2DA6" w:rsidRDefault="00233011"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20(2): 273-292</w:t>
            </w:r>
          </w:p>
        </w:tc>
      </w:tr>
      <w:tr w:rsidR="00574FFE" w14:paraId="63E0D9CC" w14:textId="77777777" w:rsidTr="00362A0D">
        <w:trPr>
          <w:trHeight w:val="270"/>
        </w:trPr>
        <w:tc>
          <w:tcPr>
            <w:tcW w:w="450" w:type="dxa"/>
          </w:tcPr>
          <w:p w14:paraId="06497F7A" w14:textId="0AC49C22"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755" w:type="dxa"/>
            <w:shd w:val="clear" w:color="auto" w:fill="auto"/>
            <w:tcMar>
              <w:top w:w="15" w:type="dxa"/>
              <w:left w:w="72" w:type="dxa"/>
              <w:bottom w:w="0" w:type="dxa"/>
              <w:right w:w="72" w:type="dxa"/>
            </w:tcMar>
            <w:hideMark/>
          </w:tcPr>
          <w:p w14:paraId="2DEC51EA" w14:textId="194BA6C4"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Davies, A. L.; White, R. M.</w:t>
            </w:r>
          </w:p>
        </w:tc>
        <w:tc>
          <w:tcPr>
            <w:tcW w:w="570" w:type="dxa"/>
            <w:shd w:val="clear" w:color="auto" w:fill="auto"/>
            <w:tcMar>
              <w:top w:w="15" w:type="dxa"/>
              <w:left w:w="72" w:type="dxa"/>
              <w:bottom w:w="0" w:type="dxa"/>
              <w:right w:w="72" w:type="dxa"/>
            </w:tcMar>
            <w:hideMark/>
          </w:tcPr>
          <w:p w14:paraId="0B654BA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48132D57"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Collaboration in natural resource governance: Reconciling stakeholder expectations in deer management in Scotland.</w:t>
            </w:r>
          </w:p>
        </w:tc>
        <w:tc>
          <w:tcPr>
            <w:tcW w:w="2745" w:type="dxa"/>
            <w:shd w:val="clear" w:color="auto" w:fill="auto"/>
            <w:tcMar>
              <w:top w:w="15" w:type="dxa"/>
              <w:left w:w="72" w:type="dxa"/>
              <w:bottom w:w="0" w:type="dxa"/>
              <w:right w:w="72" w:type="dxa"/>
            </w:tcMar>
            <w:hideMark/>
          </w:tcPr>
          <w:p w14:paraId="1BE96553" w14:textId="5EB76BD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Environmental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112: 160-169</w:t>
            </w:r>
          </w:p>
        </w:tc>
      </w:tr>
      <w:tr w:rsidR="00574FFE" w14:paraId="41B8E94F" w14:textId="77777777" w:rsidTr="00362A0D">
        <w:trPr>
          <w:trHeight w:val="342"/>
        </w:trPr>
        <w:tc>
          <w:tcPr>
            <w:tcW w:w="450" w:type="dxa"/>
          </w:tcPr>
          <w:p w14:paraId="291C0369" w14:textId="12139605" w:rsidR="00574FFE"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18.</w:t>
            </w:r>
          </w:p>
        </w:tc>
        <w:tc>
          <w:tcPr>
            <w:tcW w:w="1755" w:type="dxa"/>
            <w:shd w:val="clear" w:color="auto" w:fill="auto"/>
            <w:tcMar>
              <w:top w:w="15" w:type="dxa"/>
              <w:left w:w="72" w:type="dxa"/>
              <w:bottom w:w="0" w:type="dxa"/>
              <w:right w:w="72" w:type="dxa"/>
            </w:tcMar>
            <w:hideMark/>
          </w:tcPr>
          <w:p w14:paraId="44104D3D" w14:textId="6C12D255" w:rsidR="00574FFE" w:rsidRPr="001F2DA6" w:rsidRDefault="00574FFE"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de </w:t>
            </w:r>
            <w:proofErr w:type="spellStart"/>
            <w:r w:rsidRPr="001F2DA6">
              <w:rPr>
                <w:rFonts w:ascii="Times New Roman" w:hAnsi="Times New Roman" w:cs="Times New Roman"/>
                <w:color w:val="000000"/>
                <w:sz w:val="20"/>
                <w:szCs w:val="20"/>
                <w:lang w:val="de-DE"/>
              </w:rPr>
              <w:t>Wit</w:t>
            </w:r>
            <w:proofErr w:type="spellEnd"/>
            <w:r w:rsidRPr="001F2DA6">
              <w:rPr>
                <w:rFonts w:ascii="Times New Roman" w:hAnsi="Times New Roman" w:cs="Times New Roman"/>
                <w:color w:val="000000"/>
                <w:sz w:val="20"/>
                <w:szCs w:val="20"/>
                <w:lang w:val="de-DE"/>
              </w:rPr>
              <w:t>, J.; Berner, E.</w:t>
            </w:r>
          </w:p>
        </w:tc>
        <w:tc>
          <w:tcPr>
            <w:tcW w:w="570" w:type="dxa"/>
            <w:shd w:val="clear" w:color="auto" w:fill="auto"/>
            <w:tcMar>
              <w:top w:w="15" w:type="dxa"/>
              <w:left w:w="72" w:type="dxa"/>
              <w:bottom w:w="0" w:type="dxa"/>
              <w:right w:w="72" w:type="dxa"/>
            </w:tcMar>
            <w:hideMark/>
          </w:tcPr>
          <w:p w14:paraId="1FF3C8BD"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2009</w:t>
            </w:r>
          </w:p>
        </w:tc>
        <w:tc>
          <w:tcPr>
            <w:tcW w:w="3934" w:type="dxa"/>
            <w:shd w:val="clear" w:color="auto" w:fill="auto"/>
            <w:tcMar>
              <w:top w:w="15" w:type="dxa"/>
              <w:left w:w="72" w:type="dxa"/>
              <w:bottom w:w="0" w:type="dxa"/>
              <w:right w:w="72" w:type="dxa"/>
            </w:tcMar>
            <w:hideMark/>
          </w:tcPr>
          <w:p w14:paraId="6668B999"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Progressive patronage? Municipalities, NGOs, CBOs and the limits to slum dwellers' empowerment.</w:t>
            </w:r>
          </w:p>
        </w:tc>
        <w:tc>
          <w:tcPr>
            <w:tcW w:w="2745" w:type="dxa"/>
            <w:shd w:val="clear" w:color="auto" w:fill="auto"/>
            <w:tcMar>
              <w:top w:w="15" w:type="dxa"/>
              <w:left w:w="72" w:type="dxa"/>
              <w:bottom w:w="0" w:type="dxa"/>
              <w:right w:w="72" w:type="dxa"/>
            </w:tcMar>
            <w:hideMark/>
          </w:tcPr>
          <w:p w14:paraId="09C766A1" w14:textId="256ABE05"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Development and Change</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40(5): 927-947</w:t>
            </w:r>
          </w:p>
        </w:tc>
      </w:tr>
      <w:tr w:rsidR="00574FFE" w14:paraId="18F6F981" w14:textId="77777777" w:rsidTr="00362A0D">
        <w:trPr>
          <w:trHeight w:val="594"/>
        </w:trPr>
        <w:tc>
          <w:tcPr>
            <w:tcW w:w="450" w:type="dxa"/>
          </w:tcPr>
          <w:p w14:paraId="1DFEF12B" w14:textId="32EC7129"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755" w:type="dxa"/>
            <w:shd w:val="clear" w:color="auto" w:fill="auto"/>
            <w:tcMar>
              <w:top w:w="15" w:type="dxa"/>
              <w:left w:w="72" w:type="dxa"/>
              <w:bottom w:w="0" w:type="dxa"/>
              <w:right w:w="72" w:type="dxa"/>
            </w:tcMar>
            <w:hideMark/>
          </w:tcPr>
          <w:p w14:paraId="6DDB45BA" w14:textId="168240DC"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Edge, S.; Meyer, S. B.</w:t>
            </w:r>
          </w:p>
        </w:tc>
        <w:tc>
          <w:tcPr>
            <w:tcW w:w="570" w:type="dxa"/>
            <w:shd w:val="clear" w:color="auto" w:fill="auto"/>
            <w:tcMar>
              <w:top w:w="15" w:type="dxa"/>
              <w:left w:w="72" w:type="dxa"/>
              <w:bottom w:w="0" w:type="dxa"/>
              <w:right w:w="72" w:type="dxa"/>
            </w:tcMar>
            <w:hideMark/>
          </w:tcPr>
          <w:p w14:paraId="251E515F"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17247C63"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Pursuing dignified food security through novel collaborative governance initiatives: Perceived benefits, tensions and lessons learned.</w:t>
            </w:r>
          </w:p>
        </w:tc>
        <w:tc>
          <w:tcPr>
            <w:tcW w:w="2745" w:type="dxa"/>
            <w:shd w:val="clear" w:color="auto" w:fill="auto"/>
            <w:tcMar>
              <w:top w:w="15" w:type="dxa"/>
              <w:left w:w="72" w:type="dxa"/>
              <w:bottom w:w="0" w:type="dxa"/>
              <w:right w:w="72" w:type="dxa"/>
            </w:tcMar>
            <w:hideMark/>
          </w:tcPr>
          <w:p w14:paraId="290AA8B5" w14:textId="764B02A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Social Science </w:t>
            </w:r>
            <w:r w:rsidR="002B0CD5">
              <w:rPr>
                <w:rFonts w:ascii="Times New Roman" w:hAnsi="Times New Roman" w:cs="Times New Roman"/>
                <w:color w:val="000000"/>
                <w:sz w:val="20"/>
                <w:szCs w:val="20"/>
              </w:rPr>
              <w:t>and</w:t>
            </w:r>
            <w:r w:rsidRPr="001F2DA6">
              <w:rPr>
                <w:rFonts w:ascii="Times New Roman" w:hAnsi="Times New Roman" w:cs="Times New Roman"/>
                <w:color w:val="000000"/>
                <w:sz w:val="20"/>
                <w:szCs w:val="20"/>
              </w:rPr>
              <w:t xml:space="preserve"> Medicine</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232: 77-85</w:t>
            </w:r>
          </w:p>
        </w:tc>
      </w:tr>
      <w:tr w:rsidR="00574FFE" w14:paraId="1914432F" w14:textId="77777777" w:rsidTr="00362A0D">
        <w:trPr>
          <w:trHeight w:val="576"/>
        </w:trPr>
        <w:tc>
          <w:tcPr>
            <w:tcW w:w="450" w:type="dxa"/>
          </w:tcPr>
          <w:p w14:paraId="5C494E62" w14:textId="7291B1AE"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755" w:type="dxa"/>
            <w:shd w:val="clear" w:color="auto" w:fill="auto"/>
            <w:tcMar>
              <w:top w:w="15" w:type="dxa"/>
              <w:left w:w="72" w:type="dxa"/>
              <w:bottom w:w="0" w:type="dxa"/>
              <w:right w:w="72" w:type="dxa"/>
            </w:tcMar>
            <w:hideMark/>
          </w:tcPr>
          <w:p w14:paraId="55CE83DB" w14:textId="5F15A434"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Forsyth, T.</w:t>
            </w:r>
          </w:p>
        </w:tc>
        <w:tc>
          <w:tcPr>
            <w:tcW w:w="570" w:type="dxa"/>
            <w:shd w:val="clear" w:color="auto" w:fill="auto"/>
            <w:tcMar>
              <w:top w:w="15" w:type="dxa"/>
              <w:left w:w="72" w:type="dxa"/>
              <w:bottom w:w="0" w:type="dxa"/>
              <w:right w:w="72" w:type="dxa"/>
            </w:tcMar>
            <w:hideMark/>
          </w:tcPr>
          <w:p w14:paraId="58552DA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2007</w:t>
            </w:r>
          </w:p>
        </w:tc>
        <w:tc>
          <w:tcPr>
            <w:tcW w:w="3934" w:type="dxa"/>
            <w:shd w:val="clear" w:color="auto" w:fill="auto"/>
            <w:tcMar>
              <w:top w:w="15" w:type="dxa"/>
              <w:left w:w="72" w:type="dxa"/>
              <w:bottom w:w="0" w:type="dxa"/>
              <w:right w:w="72" w:type="dxa"/>
            </w:tcMar>
            <w:hideMark/>
          </w:tcPr>
          <w:p w14:paraId="56C5E7F0"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Promoting the "development dividend" of climate technology transfer: Can cross-sector partnerships help?</w:t>
            </w:r>
          </w:p>
        </w:tc>
        <w:tc>
          <w:tcPr>
            <w:tcW w:w="2745" w:type="dxa"/>
            <w:shd w:val="clear" w:color="auto" w:fill="auto"/>
            <w:tcMar>
              <w:top w:w="15" w:type="dxa"/>
              <w:left w:w="72" w:type="dxa"/>
              <w:bottom w:w="0" w:type="dxa"/>
              <w:right w:w="72" w:type="dxa"/>
            </w:tcMar>
            <w:hideMark/>
          </w:tcPr>
          <w:p w14:paraId="54749F68" w14:textId="6A6D80A1"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35(10): 1684-1698</w:t>
            </w:r>
          </w:p>
        </w:tc>
      </w:tr>
      <w:tr w:rsidR="00574FFE" w14:paraId="46A68516" w14:textId="77777777" w:rsidTr="00362A0D">
        <w:trPr>
          <w:trHeight w:val="1098"/>
        </w:trPr>
        <w:tc>
          <w:tcPr>
            <w:tcW w:w="450" w:type="dxa"/>
          </w:tcPr>
          <w:p w14:paraId="66621502" w14:textId="3805EB42"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755" w:type="dxa"/>
            <w:shd w:val="clear" w:color="auto" w:fill="auto"/>
            <w:tcMar>
              <w:top w:w="15" w:type="dxa"/>
              <w:left w:w="72" w:type="dxa"/>
              <w:bottom w:w="0" w:type="dxa"/>
              <w:right w:w="72" w:type="dxa"/>
            </w:tcMar>
            <w:hideMark/>
          </w:tcPr>
          <w:p w14:paraId="39621E51" w14:textId="1734F9DB"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Fraser, E. D. G.; Dougill, A. J.; Mabee, W. E.; Reed, M.; McAlpine, P.</w:t>
            </w:r>
          </w:p>
        </w:tc>
        <w:tc>
          <w:tcPr>
            <w:tcW w:w="570" w:type="dxa"/>
            <w:shd w:val="clear" w:color="auto" w:fill="auto"/>
            <w:tcMar>
              <w:top w:w="15" w:type="dxa"/>
              <w:left w:w="72" w:type="dxa"/>
              <w:bottom w:w="0" w:type="dxa"/>
              <w:right w:w="72" w:type="dxa"/>
            </w:tcMar>
            <w:hideMark/>
          </w:tcPr>
          <w:p w14:paraId="0921F6C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2006</w:t>
            </w:r>
          </w:p>
        </w:tc>
        <w:tc>
          <w:tcPr>
            <w:tcW w:w="3934" w:type="dxa"/>
            <w:shd w:val="clear" w:color="auto" w:fill="auto"/>
            <w:tcMar>
              <w:top w:w="15" w:type="dxa"/>
              <w:left w:w="72" w:type="dxa"/>
              <w:bottom w:w="0" w:type="dxa"/>
              <w:right w:w="72" w:type="dxa"/>
            </w:tcMar>
            <w:hideMark/>
          </w:tcPr>
          <w:p w14:paraId="77057713"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Bottom up and top down: Analysis of participatory processes for sustainability indicator identification as a pathway to community empowerment and sustainable environmental management.</w:t>
            </w:r>
          </w:p>
        </w:tc>
        <w:tc>
          <w:tcPr>
            <w:tcW w:w="2745" w:type="dxa"/>
            <w:shd w:val="clear" w:color="auto" w:fill="auto"/>
            <w:tcMar>
              <w:top w:w="15" w:type="dxa"/>
              <w:left w:w="72" w:type="dxa"/>
              <w:bottom w:w="0" w:type="dxa"/>
              <w:right w:w="72" w:type="dxa"/>
            </w:tcMar>
            <w:hideMark/>
          </w:tcPr>
          <w:p w14:paraId="0E900899" w14:textId="0E967D5F"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Environmental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78(2): 114-127</w:t>
            </w:r>
          </w:p>
        </w:tc>
      </w:tr>
      <w:tr w:rsidR="00574FFE" w14:paraId="71729B6A" w14:textId="77777777" w:rsidTr="00362A0D">
        <w:trPr>
          <w:trHeight w:val="486"/>
        </w:trPr>
        <w:tc>
          <w:tcPr>
            <w:tcW w:w="450" w:type="dxa"/>
          </w:tcPr>
          <w:p w14:paraId="11B9EBE3" w14:textId="11A78357"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755" w:type="dxa"/>
            <w:shd w:val="clear" w:color="auto" w:fill="auto"/>
            <w:tcMar>
              <w:top w:w="15" w:type="dxa"/>
              <w:left w:w="72" w:type="dxa"/>
              <w:bottom w:w="0" w:type="dxa"/>
              <w:right w:w="72" w:type="dxa"/>
            </w:tcMar>
            <w:hideMark/>
          </w:tcPr>
          <w:p w14:paraId="7D4C7CF9" w14:textId="0629EEC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Gazley, B.</w:t>
            </w:r>
          </w:p>
        </w:tc>
        <w:tc>
          <w:tcPr>
            <w:tcW w:w="570" w:type="dxa"/>
            <w:shd w:val="clear" w:color="auto" w:fill="auto"/>
            <w:tcMar>
              <w:top w:w="15" w:type="dxa"/>
              <w:left w:w="72" w:type="dxa"/>
              <w:bottom w:w="0" w:type="dxa"/>
              <w:right w:w="72" w:type="dxa"/>
            </w:tcMar>
            <w:hideMark/>
          </w:tcPr>
          <w:p w14:paraId="4F120625"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0182A677"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Linking collaborative capacity to performance measurement in government-nonprofit partnerships.</w:t>
            </w:r>
          </w:p>
        </w:tc>
        <w:tc>
          <w:tcPr>
            <w:tcW w:w="2745" w:type="dxa"/>
            <w:shd w:val="clear" w:color="auto" w:fill="auto"/>
            <w:tcMar>
              <w:top w:w="15" w:type="dxa"/>
              <w:left w:w="72" w:type="dxa"/>
              <w:bottom w:w="0" w:type="dxa"/>
              <w:right w:w="72" w:type="dxa"/>
            </w:tcMar>
            <w:hideMark/>
          </w:tcPr>
          <w:p w14:paraId="7D383C6A" w14:textId="5D7211C2"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Nonprofit and Voluntary Sector Quarterly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39(4): 653-673</w:t>
            </w:r>
          </w:p>
        </w:tc>
      </w:tr>
      <w:tr w:rsidR="00574FFE" w14:paraId="52EEDF9F" w14:textId="77777777" w:rsidTr="00362A0D">
        <w:trPr>
          <w:trHeight w:val="477"/>
        </w:trPr>
        <w:tc>
          <w:tcPr>
            <w:tcW w:w="450" w:type="dxa"/>
          </w:tcPr>
          <w:p w14:paraId="4364C34E" w14:textId="7DC05C9B" w:rsidR="00574FFE" w:rsidRPr="0001489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755" w:type="dxa"/>
            <w:shd w:val="clear" w:color="auto" w:fill="auto"/>
            <w:tcMar>
              <w:top w:w="15" w:type="dxa"/>
              <w:left w:w="72" w:type="dxa"/>
              <w:bottom w:w="0" w:type="dxa"/>
              <w:right w:w="72" w:type="dxa"/>
            </w:tcMar>
            <w:hideMark/>
          </w:tcPr>
          <w:p w14:paraId="54C11F21" w14:textId="7FADA375" w:rsidR="00574FFE" w:rsidRPr="001F2DA6" w:rsidRDefault="00574FFE"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Gebre-Mariam, M.; </w:t>
            </w:r>
            <w:proofErr w:type="spellStart"/>
            <w:r w:rsidRPr="001F2DA6">
              <w:rPr>
                <w:rFonts w:ascii="Times New Roman" w:hAnsi="Times New Roman" w:cs="Times New Roman"/>
                <w:color w:val="000000"/>
                <w:sz w:val="20"/>
                <w:szCs w:val="20"/>
                <w:lang w:val="de-DE"/>
              </w:rPr>
              <w:t>Bygstad</w:t>
            </w:r>
            <w:proofErr w:type="spellEnd"/>
            <w:r w:rsidRPr="001F2DA6">
              <w:rPr>
                <w:rFonts w:ascii="Times New Roman" w:hAnsi="Times New Roman" w:cs="Times New Roman"/>
                <w:color w:val="000000"/>
                <w:sz w:val="20"/>
                <w:szCs w:val="20"/>
                <w:lang w:val="de-DE"/>
              </w:rPr>
              <w:t>, B.</w:t>
            </w:r>
          </w:p>
        </w:tc>
        <w:tc>
          <w:tcPr>
            <w:tcW w:w="570" w:type="dxa"/>
            <w:shd w:val="clear" w:color="auto" w:fill="auto"/>
            <w:tcMar>
              <w:top w:w="15" w:type="dxa"/>
              <w:left w:w="72" w:type="dxa"/>
              <w:bottom w:w="0" w:type="dxa"/>
              <w:right w:w="72" w:type="dxa"/>
            </w:tcMar>
            <w:hideMark/>
          </w:tcPr>
          <w:p w14:paraId="53CE3DC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2A241BC3"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Digitalization mechanisms of health management information systems in developing countries.</w:t>
            </w:r>
          </w:p>
        </w:tc>
        <w:tc>
          <w:tcPr>
            <w:tcW w:w="2745" w:type="dxa"/>
            <w:shd w:val="clear" w:color="auto" w:fill="auto"/>
            <w:tcMar>
              <w:top w:w="15" w:type="dxa"/>
              <w:left w:w="72" w:type="dxa"/>
              <w:bottom w:w="0" w:type="dxa"/>
              <w:right w:w="72" w:type="dxa"/>
            </w:tcMar>
            <w:hideMark/>
          </w:tcPr>
          <w:p w14:paraId="17FCA912" w14:textId="7FB26CDC"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Information and Organization</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29(1): 1-22</w:t>
            </w:r>
          </w:p>
        </w:tc>
      </w:tr>
      <w:tr w:rsidR="00574FFE" w14:paraId="2003D297" w14:textId="77777777" w:rsidTr="00362A0D">
        <w:trPr>
          <w:trHeight w:val="900"/>
        </w:trPr>
        <w:tc>
          <w:tcPr>
            <w:tcW w:w="450" w:type="dxa"/>
          </w:tcPr>
          <w:p w14:paraId="394B5662" w14:textId="0854B20B"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755" w:type="dxa"/>
            <w:shd w:val="clear" w:color="auto" w:fill="auto"/>
            <w:tcMar>
              <w:top w:w="15" w:type="dxa"/>
              <w:left w:w="72" w:type="dxa"/>
              <w:bottom w:w="0" w:type="dxa"/>
              <w:right w:w="72" w:type="dxa"/>
            </w:tcMar>
            <w:hideMark/>
          </w:tcPr>
          <w:p w14:paraId="3105A690" w14:textId="67AED5C2"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George, G.; Rao-Nicholson, R.; Corbishley, C.; Bansal, R.</w:t>
            </w:r>
          </w:p>
        </w:tc>
        <w:tc>
          <w:tcPr>
            <w:tcW w:w="570" w:type="dxa"/>
            <w:shd w:val="clear" w:color="auto" w:fill="auto"/>
            <w:tcMar>
              <w:top w:w="15" w:type="dxa"/>
              <w:left w:w="72" w:type="dxa"/>
              <w:bottom w:w="0" w:type="dxa"/>
              <w:right w:w="72" w:type="dxa"/>
            </w:tcMar>
            <w:hideMark/>
          </w:tcPr>
          <w:p w14:paraId="12B87A71"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2015</w:t>
            </w:r>
          </w:p>
        </w:tc>
        <w:tc>
          <w:tcPr>
            <w:tcW w:w="3934" w:type="dxa"/>
            <w:shd w:val="clear" w:color="auto" w:fill="auto"/>
            <w:tcMar>
              <w:top w:w="15" w:type="dxa"/>
              <w:left w:w="72" w:type="dxa"/>
              <w:bottom w:w="0" w:type="dxa"/>
              <w:right w:w="72" w:type="dxa"/>
            </w:tcMar>
            <w:hideMark/>
          </w:tcPr>
          <w:p w14:paraId="4A3E0370"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Institutional entrepreneurship, governance, and poverty: Insights from emergency medical response services in India.</w:t>
            </w:r>
          </w:p>
        </w:tc>
        <w:tc>
          <w:tcPr>
            <w:tcW w:w="2745" w:type="dxa"/>
            <w:shd w:val="clear" w:color="auto" w:fill="auto"/>
            <w:tcMar>
              <w:top w:w="15" w:type="dxa"/>
              <w:left w:w="72" w:type="dxa"/>
              <w:bottom w:w="0" w:type="dxa"/>
              <w:right w:w="72" w:type="dxa"/>
            </w:tcMar>
            <w:hideMark/>
          </w:tcPr>
          <w:p w14:paraId="2A76861D" w14:textId="00E17EE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Asia Pacific Journal of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32(1): 39-65</w:t>
            </w:r>
          </w:p>
        </w:tc>
      </w:tr>
      <w:tr w:rsidR="00574FFE" w14:paraId="493AEB6E" w14:textId="77777777" w:rsidTr="00362A0D">
        <w:trPr>
          <w:trHeight w:val="1170"/>
        </w:trPr>
        <w:tc>
          <w:tcPr>
            <w:tcW w:w="450" w:type="dxa"/>
          </w:tcPr>
          <w:p w14:paraId="3F8FD07A" w14:textId="2A16DF68" w:rsidR="00574FFE" w:rsidRPr="0001489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755" w:type="dxa"/>
            <w:shd w:val="clear" w:color="auto" w:fill="auto"/>
            <w:tcMar>
              <w:top w:w="15" w:type="dxa"/>
              <w:left w:w="72" w:type="dxa"/>
              <w:bottom w:w="0" w:type="dxa"/>
              <w:right w:w="72" w:type="dxa"/>
            </w:tcMar>
            <w:hideMark/>
          </w:tcPr>
          <w:p w14:paraId="4DB2AC58" w14:textId="5DE1EEB7" w:rsidR="00574FFE" w:rsidRPr="001F2DA6" w:rsidRDefault="00574FFE" w:rsidP="002B0CD5">
            <w:pPr>
              <w:spacing w:after="120"/>
              <w:rPr>
                <w:rFonts w:ascii="Times New Roman" w:hAnsi="Times New Roman" w:cs="Times New Roman"/>
                <w:color w:val="000000"/>
                <w:sz w:val="20"/>
                <w:szCs w:val="20"/>
                <w:lang w:val="de-DE"/>
              </w:rPr>
            </w:pPr>
            <w:proofErr w:type="spellStart"/>
            <w:r w:rsidRPr="001F2DA6">
              <w:rPr>
                <w:rFonts w:ascii="Times New Roman" w:hAnsi="Times New Roman" w:cs="Times New Roman"/>
                <w:color w:val="000000"/>
                <w:sz w:val="20"/>
                <w:szCs w:val="20"/>
                <w:lang w:val="de-DE"/>
              </w:rPr>
              <w:t>Gerlak</w:t>
            </w:r>
            <w:proofErr w:type="spellEnd"/>
            <w:r w:rsidRPr="001F2DA6">
              <w:rPr>
                <w:rFonts w:ascii="Times New Roman" w:hAnsi="Times New Roman" w:cs="Times New Roman"/>
                <w:color w:val="000000"/>
                <w:sz w:val="20"/>
                <w:szCs w:val="20"/>
                <w:lang w:val="de-DE"/>
              </w:rPr>
              <w:t xml:space="preserve">, A. K.; </w:t>
            </w:r>
            <w:proofErr w:type="spellStart"/>
            <w:r w:rsidRPr="001F2DA6">
              <w:rPr>
                <w:rFonts w:ascii="Times New Roman" w:hAnsi="Times New Roman" w:cs="Times New Roman"/>
                <w:color w:val="000000"/>
                <w:sz w:val="20"/>
                <w:szCs w:val="20"/>
                <w:lang w:val="de-DE"/>
              </w:rPr>
              <w:t>Heikkila</w:t>
            </w:r>
            <w:proofErr w:type="spellEnd"/>
            <w:r w:rsidRPr="001F2DA6">
              <w:rPr>
                <w:rFonts w:ascii="Times New Roman" w:hAnsi="Times New Roman" w:cs="Times New Roman"/>
                <w:color w:val="000000"/>
                <w:sz w:val="20"/>
                <w:szCs w:val="20"/>
                <w:lang w:val="de-DE"/>
              </w:rPr>
              <w:t>, T.</w:t>
            </w:r>
          </w:p>
        </w:tc>
        <w:tc>
          <w:tcPr>
            <w:tcW w:w="570" w:type="dxa"/>
            <w:shd w:val="clear" w:color="auto" w:fill="auto"/>
            <w:tcMar>
              <w:top w:w="15" w:type="dxa"/>
              <w:left w:w="72" w:type="dxa"/>
              <w:bottom w:w="0" w:type="dxa"/>
              <w:right w:w="72" w:type="dxa"/>
            </w:tcMar>
            <w:hideMark/>
          </w:tcPr>
          <w:p w14:paraId="0DD1F82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2011</w:t>
            </w:r>
          </w:p>
        </w:tc>
        <w:tc>
          <w:tcPr>
            <w:tcW w:w="3934" w:type="dxa"/>
            <w:shd w:val="clear" w:color="auto" w:fill="auto"/>
            <w:tcMar>
              <w:top w:w="15" w:type="dxa"/>
              <w:left w:w="72" w:type="dxa"/>
              <w:bottom w:w="0" w:type="dxa"/>
              <w:right w:w="72" w:type="dxa"/>
            </w:tcMar>
            <w:hideMark/>
          </w:tcPr>
          <w:p w14:paraId="4B2A512D"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Building a theory of learning in collaboratives: Evidence from the Everglades restoration program.</w:t>
            </w:r>
          </w:p>
        </w:tc>
        <w:tc>
          <w:tcPr>
            <w:tcW w:w="2745" w:type="dxa"/>
            <w:shd w:val="clear" w:color="auto" w:fill="auto"/>
            <w:tcMar>
              <w:top w:w="15" w:type="dxa"/>
              <w:left w:w="72" w:type="dxa"/>
              <w:bottom w:w="0" w:type="dxa"/>
              <w:right w:w="72" w:type="dxa"/>
            </w:tcMar>
            <w:hideMark/>
          </w:tcPr>
          <w:p w14:paraId="0D77D534" w14:textId="75D74A3A"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Public Administration Research and Theory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21(4): 619-644</w:t>
            </w:r>
          </w:p>
        </w:tc>
      </w:tr>
      <w:tr w:rsidR="00574FFE" w14:paraId="05CFF17A" w14:textId="77777777" w:rsidTr="00362A0D">
        <w:trPr>
          <w:trHeight w:val="738"/>
        </w:trPr>
        <w:tc>
          <w:tcPr>
            <w:tcW w:w="450" w:type="dxa"/>
          </w:tcPr>
          <w:p w14:paraId="33B459E7" w14:textId="5D0A5533"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26.</w:t>
            </w:r>
          </w:p>
        </w:tc>
        <w:tc>
          <w:tcPr>
            <w:tcW w:w="1755" w:type="dxa"/>
            <w:shd w:val="clear" w:color="auto" w:fill="auto"/>
            <w:tcMar>
              <w:top w:w="15" w:type="dxa"/>
              <w:left w:w="72" w:type="dxa"/>
              <w:bottom w:w="0" w:type="dxa"/>
              <w:right w:w="72" w:type="dxa"/>
            </w:tcMar>
            <w:hideMark/>
          </w:tcPr>
          <w:p w14:paraId="7466B5FF" w14:textId="65E23FBE"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Gillett, A.; Loader, K.; Doherty, B.; Scott, J. M.</w:t>
            </w:r>
          </w:p>
        </w:tc>
        <w:tc>
          <w:tcPr>
            <w:tcW w:w="570" w:type="dxa"/>
            <w:shd w:val="clear" w:color="auto" w:fill="auto"/>
            <w:tcMar>
              <w:top w:w="15" w:type="dxa"/>
              <w:left w:w="72" w:type="dxa"/>
              <w:bottom w:w="0" w:type="dxa"/>
              <w:right w:w="72" w:type="dxa"/>
            </w:tcMar>
            <w:hideMark/>
          </w:tcPr>
          <w:p w14:paraId="584D793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2F30AE97"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An examination of tensions in a hybrid collaboration: A longitudinal study of an empty homes project.</w:t>
            </w:r>
          </w:p>
        </w:tc>
        <w:tc>
          <w:tcPr>
            <w:tcW w:w="2745" w:type="dxa"/>
            <w:shd w:val="clear" w:color="auto" w:fill="auto"/>
            <w:tcMar>
              <w:top w:w="15" w:type="dxa"/>
              <w:left w:w="72" w:type="dxa"/>
              <w:bottom w:w="0" w:type="dxa"/>
              <w:right w:w="72" w:type="dxa"/>
            </w:tcMar>
            <w:hideMark/>
          </w:tcPr>
          <w:p w14:paraId="0A8AB1B4" w14:textId="15802B25"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157</w:t>
            </w:r>
            <w:r>
              <w:rPr>
                <w:rFonts w:ascii="Times New Roman" w:hAnsi="Times New Roman" w:cs="Times New Roman"/>
                <w:color w:val="000000"/>
                <w:sz w:val="20"/>
                <w:szCs w:val="20"/>
              </w:rPr>
              <w:t>(4)</w:t>
            </w:r>
            <w:r w:rsidRPr="001F2DA6">
              <w:rPr>
                <w:rFonts w:ascii="Times New Roman" w:hAnsi="Times New Roman" w:cs="Times New Roman"/>
                <w:color w:val="000000"/>
                <w:sz w:val="20"/>
                <w:szCs w:val="20"/>
              </w:rPr>
              <w:t>: 949-967</w:t>
            </w:r>
          </w:p>
        </w:tc>
      </w:tr>
      <w:tr w:rsidR="00574FFE" w14:paraId="283F873B" w14:textId="77777777" w:rsidTr="00362A0D">
        <w:trPr>
          <w:trHeight w:val="783"/>
        </w:trPr>
        <w:tc>
          <w:tcPr>
            <w:tcW w:w="450" w:type="dxa"/>
          </w:tcPr>
          <w:p w14:paraId="2E74DB9D" w14:textId="03D04108"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755" w:type="dxa"/>
            <w:shd w:val="clear" w:color="auto" w:fill="auto"/>
            <w:tcMar>
              <w:top w:w="15" w:type="dxa"/>
              <w:left w:w="72" w:type="dxa"/>
              <w:bottom w:w="0" w:type="dxa"/>
              <w:right w:w="72" w:type="dxa"/>
            </w:tcMar>
            <w:hideMark/>
          </w:tcPr>
          <w:p w14:paraId="156F99CF" w14:textId="1650A273"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Godenhjelm</w:t>
            </w:r>
            <w:proofErr w:type="spellEnd"/>
            <w:r w:rsidRPr="001F2DA6">
              <w:rPr>
                <w:rFonts w:ascii="Times New Roman" w:hAnsi="Times New Roman" w:cs="Times New Roman"/>
                <w:color w:val="000000"/>
                <w:sz w:val="20"/>
                <w:szCs w:val="20"/>
              </w:rPr>
              <w:t>, S.; Johanson, J. E.</w:t>
            </w:r>
          </w:p>
        </w:tc>
        <w:tc>
          <w:tcPr>
            <w:tcW w:w="570" w:type="dxa"/>
            <w:shd w:val="clear" w:color="auto" w:fill="auto"/>
            <w:tcMar>
              <w:top w:w="15" w:type="dxa"/>
              <w:left w:w="72" w:type="dxa"/>
              <w:bottom w:w="0" w:type="dxa"/>
              <w:right w:w="72" w:type="dxa"/>
            </w:tcMar>
            <w:hideMark/>
          </w:tcPr>
          <w:p w14:paraId="5709763A"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2109659D"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The effect of stakeholder inclusion on public sector project innovation.</w:t>
            </w:r>
          </w:p>
        </w:tc>
        <w:tc>
          <w:tcPr>
            <w:tcW w:w="2745" w:type="dxa"/>
            <w:shd w:val="clear" w:color="auto" w:fill="auto"/>
            <w:tcMar>
              <w:top w:w="15" w:type="dxa"/>
              <w:left w:w="72" w:type="dxa"/>
              <w:bottom w:w="0" w:type="dxa"/>
              <w:right w:w="72" w:type="dxa"/>
            </w:tcMar>
            <w:hideMark/>
          </w:tcPr>
          <w:p w14:paraId="1768BDA1" w14:textId="509B4E01"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International Review of Administrative Sciences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84(1): 42-62</w:t>
            </w:r>
          </w:p>
        </w:tc>
      </w:tr>
      <w:tr w:rsidR="00574FFE" w14:paraId="033090F3" w14:textId="77777777" w:rsidTr="00362A0D">
        <w:trPr>
          <w:trHeight w:val="756"/>
        </w:trPr>
        <w:tc>
          <w:tcPr>
            <w:tcW w:w="450" w:type="dxa"/>
          </w:tcPr>
          <w:p w14:paraId="4333E13E" w14:textId="479F4C7E"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755" w:type="dxa"/>
            <w:shd w:val="clear" w:color="auto" w:fill="auto"/>
            <w:tcMar>
              <w:top w:w="15" w:type="dxa"/>
              <w:left w:w="72" w:type="dxa"/>
              <w:bottom w:w="0" w:type="dxa"/>
              <w:right w:w="72" w:type="dxa"/>
            </w:tcMar>
            <w:hideMark/>
          </w:tcPr>
          <w:p w14:paraId="2833BB30" w14:textId="104BB38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Guarneros-Meza, V.; Downe, J.; Martin, S.</w:t>
            </w:r>
          </w:p>
        </w:tc>
        <w:tc>
          <w:tcPr>
            <w:tcW w:w="570" w:type="dxa"/>
            <w:shd w:val="clear" w:color="auto" w:fill="auto"/>
            <w:tcMar>
              <w:top w:w="15" w:type="dxa"/>
              <w:left w:w="72" w:type="dxa"/>
              <w:bottom w:w="0" w:type="dxa"/>
              <w:right w:w="72" w:type="dxa"/>
            </w:tcMar>
            <w:hideMark/>
          </w:tcPr>
          <w:p w14:paraId="2FB00E6C"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10260E11"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Defining, achieving, and evaluating collaborative outcomes: a theory of change approach.</w:t>
            </w:r>
          </w:p>
        </w:tc>
        <w:tc>
          <w:tcPr>
            <w:tcW w:w="2745" w:type="dxa"/>
            <w:shd w:val="clear" w:color="auto" w:fill="auto"/>
            <w:tcMar>
              <w:top w:w="15" w:type="dxa"/>
              <w:left w:w="72" w:type="dxa"/>
              <w:bottom w:w="0" w:type="dxa"/>
              <w:right w:w="72" w:type="dxa"/>
            </w:tcMar>
            <w:hideMark/>
          </w:tcPr>
          <w:p w14:paraId="6E71149C" w14:textId="0D7C7EB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20(10): 1562-1580</w:t>
            </w:r>
          </w:p>
        </w:tc>
      </w:tr>
      <w:tr w:rsidR="00574FFE" w14:paraId="661FE3FC" w14:textId="77777777" w:rsidTr="00362A0D">
        <w:trPr>
          <w:trHeight w:val="297"/>
        </w:trPr>
        <w:tc>
          <w:tcPr>
            <w:tcW w:w="450" w:type="dxa"/>
          </w:tcPr>
          <w:p w14:paraId="5D6DF224" w14:textId="495F5773"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755" w:type="dxa"/>
            <w:shd w:val="clear" w:color="auto" w:fill="auto"/>
            <w:tcMar>
              <w:top w:w="15" w:type="dxa"/>
              <w:left w:w="72" w:type="dxa"/>
              <w:bottom w:w="0" w:type="dxa"/>
              <w:right w:w="72" w:type="dxa"/>
            </w:tcMar>
            <w:hideMark/>
          </w:tcPr>
          <w:p w14:paraId="79355985" w14:textId="166C8D1B"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Herrera, M. E. B.</w:t>
            </w:r>
          </w:p>
        </w:tc>
        <w:tc>
          <w:tcPr>
            <w:tcW w:w="570" w:type="dxa"/>
            <w:shd w:val="clear" w:color="auto" w:fill="auto"/>
            <w:tcMar>
              <w:top w:w="15" w:type="dxa"/>
              <w:left w:w="72" w:type="dxa"/>
              <w:bottom w:w="0" w:type="dxa"/>
              <w:right w:w="72" w:type="dxa"/>
            </w:tcMar>
            <w:hideMark/>
          </w:tcPr>
          <w:p w14:paraId="4C8A9F0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7D02E9C9"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Innovation for impact: Business innovation for inclusive growth.</w:t>
            </w:r>
          </w:p>
        </w:tc>
        <w:tc>
          <w:tcPr>
            <w:tcW w:w="2745" w:type="dxa"/>
            <w:shd w:val="clear" w:color="auto" w:fill="auto"/>
            <w:tcMar>
              <w:top w:w="15" w:type="dxa"/>
              <w:left w:w="72" w:type="dxa"/>
              <w:bottom w:w="0" w:type="dxa"/>
              <w:right w:w="72" w:type="dxa"/>
            </w:tcMar>
            <w:hideMark/>
          </w:tcPr>
          <w:p w14:paraId="06903A79" w14:textId="33A1CB54"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Research</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69(5): 1725-1730</w:t>
            </w:r>
          </w:p>
        </w:tc>
      </w:tr>
      <w:tr w:rsidR="00574FFE" w14:paraId="1B492F6C" w14:textId="77777777" w:rsidTr="00362A0D">
        <w:trPr>
          <w:trHeight w:val="522"/>
        </w:trPr>
        <w:tc>
          <w:tcPr>
            <w:tcW w:w="450" w:type="dxa"/>
          </w:tcPr>
          <w:p w14:paraId="0C1C650B" w14:textId="799BC673" w:rsidR="00574FFE"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30.</w:t>
            </w:r>
          </w:p>
        </w:tc>
        <w:tc>
          <w:tcPr>
            <w:tcW w:w="1755" w:type="dxa"/>
            <w:shd w:val="clear" w:color="auto" w:fill="auto"/>
            <w:tcMar>
              <w:top w:w="15" w:type="dxa"/>
              <w:left w:w="72" w:type="dxa"/>
              <w:bottom w:w="0" w:type="dxa"/>
              <w:right w:w="72" w:type="dxa"/>
            </w:tcMar>
            <w:hideMark/>
          </w:tcPr>
          <w:p w14:paraId="707A24F1" w14:textId="15056C67" w:rsidR="00574FFE" w:rsidRPr="001F2DA6" w:rsidRDefault="00574FFE"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Hesse, A.; Kreutzer, K.; Diehl, M. R.</w:t>
            </w:r>
          </w:p>
        </w:tc>
        <w:tc>
          <w:tcPr>
            <w:tcW w:w="570" w:type="dxa"/>
            <w:shd w:val="clear" w:color="auto" w:fill="auto"/>
            <w:tcMar>
              <w:top w:w="15" w:type="dxa"/>
              <w:left w:w="72" w:type="dxa"/>
              <w:bottom w:w="0" w:type="dxa"/>
              <w:right w:w="72" w:type="dxa"/>
            </w:tcMar>
            <w:hideMark/>
          </w:tcPr>
          <w:p w14:paraId="1E620F85"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32FA1638" w14:textId="10AF411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Dynamics of institutional logics in a cross-sector social partnership: The case of</w:t>
            </w:r>
            <w:r>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refugee integration in Germany.</w:t>
            </w:r>
          </w:p>
        </w:tc>
        <w:tc>
          <w:tcPr>
            <w:tcW w:w="2745" w:type="dxa"/>
            <w:shd w:val="clear" w:color="auto" w:fill="auto"/>
            <w:tcMar>
              <w:top w:w="15" w:type="dxa"/>
              <w:left w:w="72" w:type="dxa"/>
              <w:bottom w:w="0" w:type="dxa"/>
              <w:right w:w="72" w:type="dxa"/>
            </w:tcMar>
            <w:hideMark/>
          </w:tcPr>
          <w:p w14:paraId="27379B2F" w14:textId="3CE411E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159</w:t>
            </w:r>
            <w:r>
              <w:rPr>
                <w:rFonts w:ascii="Times New Roman" w:hAnsi="Times New Roman" w:cs="Times New Roman"/>
                <w:color w:val="000000"/>
                <w:sz w:val="20"/>
                <w:szCs w:val="20"/>
              </w:rPr>
              <w:t>(3)</w:t>
            </w:r>
            <w:r w:rsidRPr="001F2DA6">
              <w:rPr>
                <w:rFonts w:ascii="Times New Roman" w:hAnsi="Times New Roman" w:cs="Times New Roman"/>
                <w:color w:val="000000"/>
                <w:sz w:val="20"/>
                <w:szCs w:val="20"/>
              </w:rPr>
              <w:t>: 679–704</w:t>
            </w:r>
          </w:p>
        </w:tc>
      </w:tr>
      <w:tr w:rsidR="00574FFE" w14:paraId="054A1E38" w14:textId="77777777" w:rsidTr="00362A0D">
        <w:trPr>
          <w:trHeight w:val="594"/>
        </w:trPr>
        <w:tc>
          <w:tcPr>
            <w:tcW w:w="450" w:type="dxa"/>
          </w:tcPr>
          <w:p w14:paraId="5450E6E9" w14:textId="7EFE8A55"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755" w:type="dxa"/>
            <w:shd w:val="clear" w:color="auto" w:fill="auto"/>
            <w:tcMar>
              <w:top w:w="15" w:type="dxa"/>
              <w:left w:w="72" w:type="dxa"/>
              <w:bottom w:w="0" w:type="dxa"/>
              <w:right w:w="72" w:type="dxa"/>
            </w:tcMar>
            <w:hideMark/>
          </w:tcPr>
          <w:p w14:paraId="61ACF170" w14:textId="3E0EAEB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Idemudia, U.</w:t>
            </w:r>
          </w:p>
        </w:tc>
        <w:tc>
          <w:tcPr>
            <w:tcW w:w="570" w:type="dxa"/>
            <w:shd w:val="clear" w:color="auto" w:fill="auto"/>
            <w:tcMar>
              <w:top w:w="15" w:type="dxa"/>
              <w:left w:w="72" w:type="dxa"/>
              <w:bottom w:w="0" w:type="dxa"/>
              <w:right w:w="72" w:type="dxa"/>
            </w:tcMar>
            <w:hideMark/>
          </w:tcPr>
          <w:p w14:paraId="0B25430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2F885C99"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Environmental business–NGO partnerships in Nigeria: Issues and prospects.</w:t>
            </w:r>
          </w:p>
        </w:tc>
        <w:tc>
          <w:tcPr>
            <w:tcW w:w="2745" w:type="dxa"/>
            <w:shd w:val="clear" w:color="auto" w:fill="auto"/>
            <w:tcMar>
              <w:top w:w="15" w:type="dxa"/>
              <w:left w:w="72" w:type="dxa"/>
              <w:bottom w:w="0" w:type="dxa"/>
              <w:right w:w="72" w:type="dxa"/>
            </w:tcMar>
            <w:hideMark/>
          </w:tcPr>
          <w:p w14:paraId="67DC30D4" w14:textId="4735A1D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Business Strategy and the Environment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26(2): 265-276</w:t>
            </w:r>
          </w:p>
        </w:tc>
      </w:tr>
      <w:tr w:rsidR="00574FFE" w14:paraId="3FA6739B" w14:textId="77777777" w:rsidTr="00362A0D">
        <w:trPr>
          <w:trHeight w:val="549"/>
        </w:trPr>
        <w:tc>
          <w:tcPr>
            <w:tcW w:w="450" w:type="dxa"/>
          </w:tcPr>
          <w:p w14:paraId="025245DF" w14:textId="0C4E92DE"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755" w:type="dxa"/>
            <w:shd w:val="clear" w:color="auto" w:fill="auto"/>
            <w:tcMar>
              <w:top w:w="15" w:type="dxa"/>
              <w:left w:w="72" w:type="dxa"/>
              <w:bottom w:w="0" w:type="dxa"/>
              <w:right w:w="72" w:type="dxa"/>
            </w:tcMar>
            <w:hideMark/>
          </w:tcPr>
          <w:p w14:paraId="0775FEB9" w14:textId="441204E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Isham, J.; K</w:t>
            </w:r>
            <w:r>
              <w:rPr>
                <w:rFonts w:ascii="Times New Roman" w:hAnsi="Times New Roman" w:cs="Times New Roman"/>
                <w:color w:val="000000"/>
                <w:sz w:val="20"/>
                <w:szCs w:val="20"/>
              </w:rPr>
              <w:t>ä</w:t>
            </w:r>
            <w:r w:rsidRPr="001F2DA6">
              <w:rPr>
                <w:rFonts w:ascii="Times New Roman" w:hAnsi="Times New Roman" w:cs="Times New Roman"/>
                <w:color w:val="000000"/>
                <w:sz w:val="20"/>
                <w:szCs w:val="20"/>
              </w:rPr>
              <w:t>hk</w:t>
            </w:r>
            <w:r>
              <w:rPr>
                <w:rFonts w:ascii="Times New Roman" w:hAnsi="Times New Roman" w:cs="Times New Roman"/>
                <w:color w:val="000000"/>
                <w:sz w:val="20"/>
                <w:szCs w:val="20"/>
              </w:rPr>
              <w:t>ö</w:t>
            </w:r>
            <w:r w:rsidRPr="001F2DA6">
              <w:rPr>
                <w:rFonts w:ascii="Times New Roman" w:hAnsi="Times New Roman" w:cs="Times New Roman"/>
                <w:color w:val="000000"/>
                <w:sz w:val="20"/>
                <w:szCs w:val="20"/>
              </w:rPr>
              <w:t>nen, S.</w:t>
            </w:r>
          </w:p>
        </w:tc>
        <w:tc>
          <w:tcPr>
            <w:tcW w:w="570" w:type="dxa"/>
            <w:shd w:val="clear" w:color="auto" w:fill="auto"/>
            <w:tcMar>
              <w:top w:w="15" w:type="dxa"/>
              <w:left w:w="72" w:type="dxa"/>
              <w:bottom w:w="0" w:type="dxa"/>
              <w:right w:w="72" w:type="dxa"/>
            </w:tcMar>
            <w:hideMark/>
          </w:tcPr>
          <w:p w14:paraId="72D7D771"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2002</w:t>
            </w:r>
          </w:p>
        </w:tc>
        <w:tc>
          <w:tcPr>
            <w:tcW w:w="3934" w:type="dxa"/>
            <w:shd w:val="clear" w:color="auto" w:fill="auto"/>
            <w:tcMar>
              <w:top w:w="15" w:type="dxa"/>
              <w:left w:w="72" w:type="dxa"/>
              <w:bottom w:w="0" w:type="dxa"/>
              <w:right w:w="72" w:type="dxa"/>
            </w:tcMar>
            <w:hideMark/>
          </w:tcPr>
          <w:p w14:paraId="5D710322"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Institutional determinants of the impact of community-based water services: Evidence from Sri Lanka and India.</w:t>
            </w:r>
          </w:p>
        </w:tc>
        <w:tc>
          <w:tcPr>
            <w:tcW w:w="2745" w:type="dxa"/>
            <w:shd w:val="clear" w:color="auto" w:fill="auto"/>
            <w:tcMar>
              <w:top w:w="15" w:type="dxa"/>
              <w:left w:w="72" w:type="dxa"/>
              <w:bottom w:w="0" w:type="dxa"/>
              <w:right w:w="72" w:type="dxa"/>
            </w:tcMar>
            <w:hideMark/>
          </w:tcPr>
          <w:p w14:paraId="27854B4C" w14:textId="7A13EA7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Economic Development and Cultural Change</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50(3): 667-691</w:t>
            </w:r>
          </w:p>
        </w:tc>
      </w:tr>
      <w:tr w:rsidR="00574FFE" w14:paraId="0833527D" w14:textId="77777777" w:rsidTr="00362A0D">
        <w:trPr>
          <w:trHeight w:val="531"/>
        </w:trPr>
        <w:tc>
          <w:tcPr>
            <w:tcW w:w="450" w:type="dxa"/>
          </w:tcPr>
          <w:p w14:paraId="1C8DB36C" w14:textId="2709A719"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755" w:type="dxa"/>
            <w:shd w:val="clear" w:color="auto" w:fill="auto"/>
            <w:tcMar>
              <w:top w:w="15" w:type="dxa"/>
              <w:left w:w="72" w:type="dxa"/>
              <w:bottom w:w="0" w:type="dxa"/>
              <w:right w:w="72" w:type="dxa"/>
            </w:tcMar>
            <w:hideMark/>
          </w:tcPr>
          <w:p w14:paraId="6FADE8B5" w14:textId="0CE3DC7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Kim, S.</w:t>
            </w:r>
          </w:p>
        </w:tc>
        <w:tc>
          <w:tcPr>
            <w:tcW w:w="570" w:type="dxa"/>
            <w:shd w:val="clear" w:color="auto" w:fill="auto"/>
            <w:tcMar>
              <w:top w:w="15" w:type="dxa"/>
              <w:left w:w="72" w:type="dxa"/>
              <w:bottom w:w="0" w:type="dxa"/>
              <w:right w:w="72" w:type="dxa"/>
            </w:tcMar>
            <w:hideMark/>
          </w:tcPr>
          <w:p w14:paraId="174389FF"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1511C7FE"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The workings of collaborative governance: Evaluating collaborative community-building initiatives in Korea.</w:t>
            </w:r>
          </w:p>
        </w:tc>
        <w:tc>
          <w:tcPr>
            <w:tcW w:w="2745" w:type="dxa"/>
            <w:shd w:val="clear" w:color="auto" w:fill="auto"/>
            <w:tcMar>
              <w:top w:w="15" w:type="dxa"/>
              <w:left w:w="72" w:type="dxa"/>
              <w:bottom w:w="0" w:type="dxa"/>
              <w:right w:w="72" w:type="dxa"/>
            </w:tcMar>
            <w:hideMark/>
          </w:tcPr>
          <w:p w14:paraId="29F3C758" w14:textId="1234E252"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Urban Studies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53(16): 3547-3565</w:t>
            </w:r>
          </w:p>
        </w:tc>
      </w:tr>
      <w:tr w:rsidR="00574FFE" w14:paraId="54EC12C5" w14:textId="77777777" w:rsidTr="00362A0D">
        <w:trPr>
          <w:trHeight w:val="513"/>
        </w:trPr>
        <w:tc>
          <w:tcPr>
            <w:tcW w:w="450" w:type="dxa"/>
          </w:tcPr>
          <w:p w14:paraId="6EC5A851" w14:textId="52514397" w:rsidR="00574FFE"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34.</w:t>
            </w:r>
          </w:p>
        </w:tc>
        <w:tc>
          <w:tcPr>
            <w:tcW w:w="1755" w:type="dxa"/>
            <w:shd w:val="clear" w:color="auto" w:fill="auto"/>
            <w:tcMar>
              <w:top w:w="15" w:type="dxa"/>
              <w:left w:w="72" w:type="dxa"/>
              <w:bottom w:w="0" w:type="dxa"/>
              <w:right w:w="72" w:type="dxa"/>
            </w:tcMar>
            <w:hideMark/>
          </w:tcPr>
          <w:p w14:paraId="33F03EE2" w14:textId="5DCF24DA" w:rsidR="00574FFE" w:rsidRPr="001F2DA6" w:rsidRDefault="00574FFE" w:rsidP="002B0CD5">
            <w:pPr>
              <w:spacing w:after="120"/>
              <w:rPr>
                <w:rFonts w:ascii="Times New Roman" w:hAnsi="Times New Roman" w:cs="Times New Roman"/>
                <w:color w:val="000000"/>
                <w:sz w:val="20"/>
                <w:szCs w:val="20"/>
                <w:lang w:val="de-DE"/>
              </w:rPr>
            </w:pPr>
            <w:proofErr w:type="spellStart"/>
            <w:r w:rsidRPr="001F2DA6">
              <w:rPr>
                <w:rFonts w:ascii="Times New Roman" w:hAnsi="Times New Roman" w:cs="Times New Roman"/>
                <w:color w:val="000000"/>
                <w:sz w:val="20"/>
                <w:szCs w:val="20"/>
                <w:lang w:val="de-DE"/>
              </w:rPr>
              <w:t>Klitsie</w:t>
            </w:r>
            <w:proofErr w:type="spellEnd"/>
            <w:r w:rsidRPr="001F2DA6">
              <w:rPr>
                <w:rFonts w:ascii="Times New Roman" w:hAnsi="Times New Roman" w:cs="Times New Roman"/>
                <w:color w:val="000000"/>
                <w:sz w:val="20"/>
                <w:szCs w:val="20"/>
                <w:lang w:val="de-DE"/>
              </w:rPr>
              <w:t xml:space="preserve">, E. J.; Ansari, S.; </w:t>
            </w:r>
            <w:proofErr w:type="spellStart"/>
            <w:r w:rsidRPr="001F2DA6">
              <w:rPr>
                <w:rFonts w:ascii="Times New Roman" w:hAnsi="Times New Roman" w:cs="Times New Roman"/>
                <w:color w:val="000000"/>
                <w:sz w:val="20"/>
                <w:szCs w:val="20"/>
                <w:lang w:val="de-DE"/>
              </w:rPr>
              <w:t>Volberda</w:t>
            </w:r>
            <w:proofErr w:type="spellEnd"/>
            <w:r w:rsidRPr="001F2DA6">
              <w:rPr>
                <w:rFonts w:ascii="Times New Roman" w:hAnsi="Times New Roman" w:cs="Times New Roman"/>
                <w:color w:val="000000"/>
                <w:sz w:val="20"/>
                <w:szCs w:val="20"/>
                <w:lang w:val="de-DE"/>
              </w:rPr>
              <w:t>, H. W.</w:t>
            </w:r>
          </w:p>
        </w:tc>
        <w:tc>
          <w:tcPr>
            <w:tcW w:w="570" w:type="dxa"/>
            <w:shd w:val="clear" w:color="auto" w:fill="auto"/>
            <w:tcMar>
              <w:top w:w="15" w:type="dxa"/>
              <w:left w:w="72" w:type="dxa"/>
              <w:bottom w:w="0" w:type="dxa"/>
              <w:right w:w="72" w:type="dxa"/>
            </w:tcMar>
            <w:hideMark/>
          </w:tcPr>
          <w:p w14:paraId="4DCEE55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1541C042"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Maintenance of cross-sector partnerships: The role of frames in sustained collaboration.</w:t>
            </w:r>
          </w:p>
        </w:tc>
        <w:tc>
          <w:tcPr>
            <w:tcW w:w="2745" w:type="dxa"/>
            <w:shd w:val="clear" w:color="auto" w:fill="auto"/>
            <w:tcMar>
              <w:top w:w="15" w:type="dxa"/>
              <w:left w:w="72" w:type="dxa"/>
              <w:bottom w:w="0" w:type="dxa"/>
              <w:right w:w="72" w:type="dxa"/>
            </w:tcMar>
            <w:hideMark/>
          </w:tcPr>
          <w:p w14:paraId="49C63BAC" w14:textId="2D30102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150</w:t>
            </w:r>
            <w:r>
              <w:rPr>
                <w:rFonts w:ascii="Times New Roman" w:hAnsi="Times New Roman" w:cs="Times New Roman"/>
                <w:color w:val="000000"/>
                <w:sz w:val="20"/>
                <w:szCs w:val="20"/>
              </w:rPr>
              <w:t>(2)</w:t>
            </w:r>
            <w:r w:rsidRPr="001F2DA6">
              <w:rPr>
                <w:rFonts w:ascii="Times New Roman" w:hAnsi="Times New Roman" w:cs="Times New Roman"/>
                <w:color w:val="000000"/>
                <w:sz w:val="20"/>
                <w:szCs w:val="20"/>
              </w:rPr>
              <w:t>: 401-423</w:t>
            </w:r>
          </w:p>
        </w:tc>
      </w:tr>
      <w:tr w:rsidR="00574FFE" w14:paraId="21FCD5EB" w14:textId="77777777" w:rsidTr="00362A0D">
        <w:trPr>
          <w:trHeight w:val="1035"/>
        </w:trPr>
        <w:tc>
          <w:tcPr>
            <w:tcW w:w="450" w:type="dxa"/>
          </w:tcPr>
          <w:p w14:paraId="32915141" w14:textId="1C4E06B2"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755" w:type="dxa"/>
            <w:shd w:val="clear" w:color="auto" w:fill="auto"/>
            <w:tcMar>
              <w:top w:w="15" w:type="dxa"/>
              <w:left w:w="72" w:type="dxa"/>
              <w:bottom w:w="0" w:type="dxa"/>
              <w:right w:w="72" w:type="dxa"/>
            </w:tcMar>
            <w:hideMark/>
          </w:tcPr>
          <w:p w14:paraId="7F98EEDF" w14:textId="0ED8E9E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Knai, C.; Petticrew, M.; Durand, M. A.; </w:t>
            </w:r>
            <w:proofErr w:type="spellStart"/>
            <w:r w:rsidRPr="001F2DA6">
              <w:rPr>
                <w:rFonts w:ascii="Times New Roman" w:hAnsi="Times New Roman" w:cs="Times New Roman"/>
                <w:color w:val="000000"/>
                <w:sz w:val="20"/>
                <w:szCs w:val="20"/>
              </w:rPr>
              <w:t>Eastmure</w:t>
            </w:r>
            <w:proofErr w:type="spellEnd"/>
            <w:r w:rsidRPr="001F2DA6">
              <w:rPr>
                <w:rFonts w:ascii="Times New Roman" w:hAnsi="Times New Roman" w:cs="Times New Roman"/>
                <w:color w:val="000000"/>
                <w:sz w:val="20"/>
                <w:szCs w:val="20"/>
              </w:rPr>
              <w:t>, E.; James, L.; Mehrotra, A.; Scott, C.; Mays, N.</w:t>
            </w:r>
          </w:p>
        </w:tc>
        <w:tc>
          <w:tcPr>
            <w:tcW w:w="570" w:type="dxa"/>
            <w:shd w:val="clear" w:color="auto" w:fill="auto"/>
            <w:tcMar>
              <w:top w:w="15" w:type="dxa"/>
              <w:left w:w="72" w:type="dxa"/>
              <w:bottom w:w="0" w:type="dxa"/>
              <w:right w:w="72" w:type="dxa"/>
            </w:tcMar>
            <w:hideMark/>
          </w:tcPr>
          <w:p w14:paraId="07E1C9A1"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2015</w:t>
            </w:r>
          </w:p>
        </w:tc>
        <w:tc>
          <w:tcPr>
            <w:tcW w:w="3934" w:type="dxa"/>
            <w:shd w:val="clear" w:color="auto" w:fill="auto"/>
            <w:tcMar>
              <w:top w:w="15" w:type="dxa"/>
              <w:left w:w="72" w:type="dxa"/>
              <w:bottom w:w="0" w:type="dxa"/>
              <w:right w:w="72" w:type="dxa"/>
            </w:tcMar>
            <w:hideMark/>
          </w:tcPr>
          <w:p w14:paraId="7C00C94D" w14:textId="7E5D5DAF"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Has a public-private partnership resulted in action on healthier diets in England? An analysis of the </w:t>
            </w:r>
            <w:r>
              <w:rPr>
                <w:rFonts w:ascii="Times New Roman" w:hAnsi="Times New Roman" w:cs="Times New Roman"/>
                <w:color w:val="000000"/>
                <w:sz w:val="20"/>
                <w:szCs w:val="20"/>
              </w:rPr>
              <w:t>P</w:t>
            </w:r>
            <w:r w:rsidRPr="001F2DA6">
              <w:rPr>
                <w:rFonts w:ascii="Times New Roman" w:hAnsi="Times New Roman" w:cs="Times New Roman"/>
                <w:color w:val="000000"/>
                <w:sz w:val="20"/>
                <w:szCs w:val="20"/>
              </w:rPr>
              <w:t xml:space="preserve">ublic </w:t>
            </w:r>
            <w:r>
              <w:rPr>
                <w:rFonts w:ascii="Times New Roman" w:hAnsi="Times New Roman" w:cs="Times New Roman"/>
                <w:color w:val="000000"/>
                <w:sz w:val="20"/>
                <w:szCs w:val="20"/>
              </w:rPr>
              <w:t>H</w:t>
            </w:r>
            <w:r w:rsidRPr="001F2DA6">
              <w:rPr>
                <w:rFonts w:ascii="Times New Roman" w:hAnsi="Times New Roman" w:cs="Times New Roman"/>
                <w:color w:val="000000"/>
                <w:sz w:val="20"/>
                <w:szCs w:val="20"/>
              </w:rPr>
              <w:t xml:space="preserve">ealth </w:t>
            </w:r>
            <w:r>
              <w:rPr>
                <w:rFonts w:ascii="Times New Roman" w:hAnsi="Times New Roman" w:cs="Times New Roman"/>
                <w:color w:val="000000"/>
                <w:sz w:val="20"/>
                <w:szCs w:val="20"/>
              </w:rPr>
              <w:t>R</w:t>
            </w:r>
            <w:r w:rsidRPr="001F2DA6">
              <w:rPr>
                <w:rFonts w:ascii="Times New Roman" w:hAnsi="Times New Roman" w:cs="Times New Roman"/>
                <w:color w:val="000000"/>
                <w:sz w:val="20"/>
                <w:szCs w:val="20"/>
              </w:rPr>
              <w:t xml:space="preserve">esponsibility </w:t>
            </w:r>
            <w:r>
              <w:rPr>
                <w:rFonts w:ascii="Times New Roman" w:hAnsi="Times New Roman" w:cs="Times New Roman"/>
                <w:color w:val="000000"/>
                <w:sz w:val="20"/>
                <w:szCs w:val="20"/>
              </w:rPr>
              <w:t>D</w:t>
            </w:r>
            <w:r w:rsidRPr="001F2DA6">
              <w:rPr>
                <w:rFonts w:ascii="Times New Roman" w:hAnsi="Times New Roman" w:cs="Times New Roman"/>
                <w:color w:val="000000"/>
                <w:sz w:val="20"/>
                <w:szCs w:val="20"/>
              </w:rPr>
              <w:t>eal food pledges.</w:t>
            </w:r>
          </w:p>
        </w:tc>
        <w:tc>
          <w:tcPr>
            <w:tcW w:w="2745" w:type="dxa"/>
            <w:shd w:val="clear" w:color="auto" w:fill="auto"/>
            <w:tcMar>
              <w:top w:w="15" w:type="dxa"/>
              <w:left w:w="72" w:type="dxa"/>
              <w:bottom w:w="0" w:type="dxa"/>
              <w:right w:w="72" w:type="dxa"/>
            </w:tcMar>
            <w:hideMark/>
          </w:tcPr>
          <w:p w14:paraId="7E79CEBB" w14:textId="422FD46C"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Food Policy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54: 1-10</w:t>
            </w:r>
          </w:p>
        </w:tc>
      </w:tr>
      <w:tr w:rsidR="00574FFE" w14:paraId="0F49A767" w14:textId="77777777" w:rsidTr="00362A0D">
        <w:trPr>
          <w:trHeight w:val="630"/>
        </w:trPr>
        <w:tc>
          <w:tcPr>
            <w:tcW w:w="450" w:type="dxa"/>
          </w:tcPr>
          <w:p w14:paraId="0A02E8E4" w14:textId="167B7D7E"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755" w:type="dxa"/>
            <w:shd w:val="clear" w:color="auto" w:fill="auto"/>
            <w:tcMar>
              <w:top w:w="15" w:type="dxa"/>
              <w:left w:w="72" w:type="dxa"/>
              <w:bottom w:w="0" w:type="dxa"/>
              <w:right w:w="72" w:type="dxa"/>
            </w:tcMar>
            <w:hideMark/>
          </w:tcPr>
          <w:p w14:paraId="7BA7671E" w14:textId="47C274AD"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Laeis</w:t>
            </w:r>
            <w:proofErr w:type="spellEnd"/>
            <w:r w:rsidRPr="001F2DA6">
              <w:rPr>
                <w:rFonts w:ascii="Times New Roman" w:hAnsi="Times New Roman" w:cs="Times New Roman"/>
                <w:color w:val="000000"/>
                <w:sz w:val="20"/>
                <w:szCs w:val="20"/>
              </w:rPr>
              <w:t>, G. C. M.; Lemke, S.</w:t>
            </w:r>
          </w:p>
        </w:tc>
        <w:tc>
          <w:tcPr>
            <w:tcW w:w="570" w:type="dxa"/>
            <w:shd w:val="clear" w:color="auto" w:fill="auto"/>
            <w:tcMar>
              <w:top w:w="15" w:type="dxa"/>
              <w:left w:w="72" w:type="dxa"/>
              <w:bottom w:w="0" w:type="dxa"/>
              <w:right w:w="72" w:type="dxa"/>
            </w:tcMar>
            <w:hideMark/>
          </w:tcPr>
          <w:p w14:paraId="0F33DF9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54160863"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Social entrepreneurship in tourism: Applying sustainable livelihoods approaches.</w:t>
            </w:r>
          </w:p>
        </w:tc>
        <w:tc>
          <w:tcPr>
            <w:tcW w:w="2745" w:type="dxa"/>
            <w:shd w:val="clear" w:color="auto" w:fill="auto"/>
            <w:tcMar>
              <w:top w:w="15" w:type="dxa"/>
              <w:left w:w="72" w:type="dxa"/>
              <w:bottom w:w="0" w:type="dxa"/>
              <w:right w:w="72" w:type="dxa"/>
            </w:tcMar>
            <w:hideMark/>
          </w:tcPr>
          <w:p w14:paraId="516E4B40" w14:textId="6F05215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International Journal of Contemporary Hospitality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28(6): 1076-1093</w:t>
            </w:r>
          </w:p>
        </w:tc>
      </w:tr>
      <w:tr w:rsidR="00574FFE" w14:paraId="7E01A6F8" w14:textId="77777777" w:rsidTr="00362A0D">
        <w:trPr>
          <w:trHeight w:val="261"/>
        </w:trPr>
        <w:tc>
          <w:tcPr>
            <w:tcW w:w="450" w:type="dxa"/>
          </w:tcPr>
          <w:p w14:paraId="080E8788" w14:textId="105C033D"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755" w:type="dxa"/>
            <w:shd w:val="clear" w:color="auto" w:fill="auto"/>
            <w:tcMar>
              <w:top w:w="15" w:type="dxa"/>
              <w:left w:w="72" w:type="dxa"/>
              <w:bottom w:w="0" w:type="dxa"/>
              <w:right w:w="72" w:type="dxa"/>
            </w:tcMar>
            <w:hideMark/>
          </w:tcPr>
          <w:p w14:paraId="17A7C308" w14:textId="2F7DCC2C"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Lin, H.</w:t>
            </w:r>
          </w:p>
        </w:tc>
        <w:tc>
          <w:tcPr>
            <w:tcW w:w="570" w:type="dxa"/>
            <w:shd w:val="clear" w:color="auto" w:fill="auto"/>
            <w:tcMar>
              <w:top w:w="15" w:type="dxa"/>
              <w:left w:w="72" w:type="dxa"/>
              <w:bottom w:w="0" w:type="dxa"/>
              <w:right w:w="72" w:type="dxa"/>
            </w:tcMar>
            <w:hideMark/>
          </w:tcPr>
          <w:p w14:paraId="6C904C87"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76D4BBAB"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Government-business partnerships for radical eco-innovation.</w:t>
            </w:r>
          </w:p>
        </w:tc>
        <w:tc>
          <w:tcPr>
            <w:tcW w:w="2745" w:type="dxa"/>
            <w:shd w:val="clear" w:color="auto" w:fill="auto"/>
            <w:tcMar>
              <w:top w:w="15" w:type="dxa"/>
              <w:left w:w="72" w:type="dxa"/>
              <w:bottom w:w="0" w:type="dxa"/>
              <w:right w:w="72" w:type="dxa"/>
            </w:tcMar>
            <w:hideMark/>
          </w:tcPr>
          <w:p w14:paraId="13A6B886" w14:textId="5954F21F"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Business </w:t>
            </w:r>
            <w:r w:rsidR="002B0CD5">
              <w:rPr>
                <w:rFonts w:ascii="Times New Roman" w:hAnsi="Times New Roman" w:cs="Times New Roman"/>
                <w:color w:val="000000"/>
                <w:sz w:val="20"/>
                <w:szCs w:val="20"/>
              </w:rPr>
              <w:t>and</w:t>
            </w:r>
            <w:r w:rsidRPr="001F2DA6">
              <w:rPr>
                <w:rFonts w:ascii="Times New Roman" w:hAnsi="Times New Roman" w:cs="Times New Roman"/>
                <w:color w:val="000000"/>
                <w:sz w:val="20"/>
                <w:szCs w:val="20"/>
              </w:rPr>
              <w:t xml:space="preserve"> Society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58(3): 533-573</w:t>
            </w:r>
          </w:p>
        </w:tc>
      </w:tr>
      <w:tr w:rsidR="00574FFE" w14:paraId="237763AC" w14:textId="77777777" w:rsidTr="00362A0D">
        <w:trPr>
          <w:trHeight w:val="590"/>
        </w:trPr>
        <w:tc>
          <w:tcPr>
            <w:tcW w:w="450" w:type="dxa"/>
          </w:tcPr>
          <w:p w14:paraId="4E5F51F7" w14:textId="0CED135A"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755" w:type="dxa"/>
            <w:shd w:val="clear" w:color="auto" w:fill="auto"/>
            <w:tcMar>
              <w:top w:w="15" w:type="dxa"/>
              <w:left w:w="72" w:type="dxa"/>
              <w:bottom w:w="0" w:type="dxa"/>
              <w:right w:w="72" w:type="dxa"/>
            </w:tcMar>
            <w:hideMark/>
          </w:tcPr>
          <w:p w14:paraId="206F8470" w14:textId="112187B1"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Lund-Thomsen, P.</w:t>
            </w:r>
          </w:p>
        </w:tc>
        <w:tc>
          <w:tcPr>
            <w:tcW w:w="570" w:type="dxa"/>
            <w:shd w:val="clear" w:color="auto" w:fill="auto"/>
            <w:tcMar>
              <w:top w:w="15" w:type="dxa"/>
              <w:left w:w="72" w:type="dxa"/>
              <w:bottom w:w="0" w:type="dxa"/>
              <w:right w:w="72" w:type="dxa"/>
            </w:tcMar>
            <w:hideMark/>
          </w:tcPr>
          <w:p w14:paraId="1E6FFEB5"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2009</w:t>
            </w:r>
          </w:p>
        </w:tc>
        <w:tc>
          <w:tcPr>
            <w:tcW w:w="3934" w:type="dxa"/>
            <w:shd w:val="clear" w:color="auto" w:fill="auto"/>
            <w:tcMar>
              <w:top w:w="15" w:type="dxa"/>
              <w:left w:w="72" w:type="dxa"/>
              <w:bottom w:w="0" w:type="dxa"/>
              <w:right w:w="72" w:type="dxa"/>
            </w:tcMar>
            <w:hideMark/>
          </w:tcPr>
          <w:p w14:paraId="498B1FD3" w14:textId="414910CA"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Assessing the impact of public-private partnerships in the Global South: The case of the Kasur </w:t>
            </w:r>
            <w:r>
              <w:rPr>
                <w:rFonts w:ascii="Times New Roman" w:hAnsi="Times New Roman" w:cs="Times New Roman"/>
                <w:color w:val="000000"/>
                <w:sz w:val="20"/>
                <w:szCs w:val="20"/>
              </w:rPr>
              <w:t>T</w:t>
            </w:r>
            <w:r w:rsidRPr="001F2DA6">
              <w:rPr>
                <w:rFonts w:ascii="Times New Roman" w:hAnsi="Times New Roman" w:cs="Times New Roman"/>
                <w:color w:val="000000"/>
                <w:sz w:val="20"/>
                <w:szCs w:val="20"/>
              </w:rPr>
              <w:t>anneries pollution control project.</w:t>
            </w:r>
          </w:p>
        </w:tc>
        <w:tc>
          <w:tcPr>
            <w:tcW w:w="2745" w:type="dxa"/>
            <w:shd w:val="clear" w:color="auto" w:fill="auto"/>
            <w:tcMar>
              <w:top w:w="15" w:type="dxa"/>
              <w:left w:w="72" w:type="dxa"/>
              <w:bottom w:w="0" w:type="dxa"/>
              <w:right w:w="72" w:type="dxa"/>
            </w:tcMar>
            <w:hideMark/>
          </w:tcPr>
          <w:p w14:paraId="27E55194" w14:textId="7D0BB2A6"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90: 57-78</w:t>
            </w:r>
          </w:p>
        </w:tc>
      </w:tr>
      <w:tr w:rsidR="00574FFE" w14:paraId="7C61EA7F" w14:textId="77777777" w:rsidTr="00362A0D">
        <w:trPr>
          <w:trHeight w:val="378"/>
        </w:trPr>
        <w:tc>
          <w:tcPr>
            <w:tcW w:w="450" w:type="dxa"/>
          </w:tcPr>
          <w:p w14:paraId="23BB971C" w14:textId="193CC4F4"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755" w:type="dxa"/>
            <w:shd w:val="clear" w:color="auto" w:fill="auto"/>
            <w:tcMar>
              <w:top w:w="15" w:type="dxa"/>
              <w:left w:w="72" w:type="dxa"/>
              <w:bottom w:w="0" w:type="dxa"/>
              <w:right w:w="72" w:type="dxa"/>
            </w:tcMar>
            <w:hideMark/>
          </w:tcPr>
          <w:p w14:paraId="36378D36" w14:textId="14412F2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May, P. J.; Winter, S. C.</w:t>
            </w:r>
          </w:p>
        </w:tc>
        <w:tc>
          <w:tcPr>
            <w:tcW w:w="570" w:type="dxa"/>
            <w:shd w:val="clear" w:color="auto" w:fill="auto"/>
            <w:tcMar>
              <w:top w:w="15" w:type="dxa"/>
              <w:left w:w="72" w:type="dxa"/>
              <w:bottom w:w="0" w:type="dxa"/>
              <w:right w:w="72" w:type="dxa"/>
            </w:tcMar>
            <w:hideMark/>
          </w:tcPr>
          <w:p w14:paraId="50FDCCCD"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2007</w:t>
            </w:r>
          </w:p>
        </w:tc>
        <w:tc>
          <w:tcPr>
            <w:tcW w:w="3934" w:type="dxa"/>
            <w:shd w:val="clear" w:color="auto" w:fill="auto"/>
            <w:tcMar>
              <w:top w:w="15" w:type="dxa"/>
              <w:left w:w="72" w:type="dxa"/>
              <w:bottom w:w="0" w:type="dxa"/>
              <w:right w:w="72" w:type="dxa"/>
            </w:tcMar>
            <w:hideMark/>
          </w:tcPr>
          <w:p w14:paraId="33A6BCD9"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Collaborative service arrangements - Patterns, bases, and perceived consequences.</w:t>
            </w:r>
          </w:p>
        </w:tc>
        <w:tc>
          <w:tcPr>
            <w:tcW w:w="2745" w:type="dxa"/>
            <w:shd w:val="clear" w:color="auto" w:fill="auto"/>
            <w:tcMar>
              <w:top w:w="15" w:type="dxa"/>
              <w:left w:w="72" w:type="dxa"/>
              <w:bottom w:w="0" w:type="dxa"/>
              <w:right w:w="72" w:type="dxa"/>
            </w:tcMar>
            <w:hideMark/>
          </w:tcPr>
          <w:p w14:paraId="2170B87A" w14:textId="2970281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9(4): 479-502</w:t>
            </w:r>
          </w:p>
        </w:tc>
      </w:tr>
      <w:tr w:rsidR="00574FFE" w14:paraId="70466FBF" w14:textId="77777777" w:rsidTr="00362A0D">
        <w:trPr>
          <w:trHeight w:val="648"/>
        </w:trPr>
        <w:tc>
          <w:tcPr>
            <w:tcW w:w="450" w:type="dxa"/>
          </w:tcPr>
          <w:p w14:paraId="5C0CC9DD" w14:textId="6256117C"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40.</w:t>
            </w:r>
          </w:p>
        </w:tc>
        <w:tc>
          <w:tcPr>
            <w:tcW w:w="1755" w:type="dxa"/>
            <w:shd w:val="clear" w:color="auto" w:fill="auto"/>
            <w:tcMar>
              <w:top w:w="15" w:type="dxa"/>
              <w:left w:w="72" w:type="dxa"/>
              <w:bottom w:w="0" w:type="dxa"/>
              <w:right w:w="72" w:type="dxa"/>
            </w:tcMar>
            <w:hideMark/>
          </w:tcPr>
          <w:p w14:paraId="536E0398" w14:textId="0B411D46"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Mironska</w:t>
            </w:r>
            <w:proofErr w:type="spellEnd"/>
            <w:r w:rsidRPr="001F2DA6">
              <w:rPr>
                <w:rFonts w:ascii="Times New Roman" w:hAnsi="Times New Roman" w:cs="Times New Roman"/>
                <w:color w:val="000000"/>
                <w:sz w:val="20"/>
                <w:szCs w:val="20"/>
              </w:rPr>
              <w:t xml:space="preserve">, D.; </w:t>
            </w:r>
            <w:proofErr w:type="spellStart"/>
            <w:r w:rsidRPr="001F2DA6">
              <w:rPr>
                <w:rFonts w:ascii="Times New Roman" w:hAnsi="Times New Roman" w:cs="Times New Roman"/>
                <w:color w:val="000000"/>
                <w:sz w:val="20"/>
                <w:szCs w:val="20"/>
              </w:rPr>
              <w:t>Zaborek</w:t>
            </w:r>
            <w:proofErr w:type="spellEnd"/>
            <w:r w:rsidRPr="001F2DA6">
              <w:rPr>
                <w:rFonts w:ascii="Times New Roman" w:hAnsi="Times New Roman" w:cs="Times New Roman"/>
                <w:color w:val="000000"/>
                <w:sz w:val="20"/>
                <w:szCs w:val="20"/>
              </w:rPr>
              <w:t>, P.</w:t>
            </w:r>
          </w:p>
        </w:tc>
        <w:tc>
          <w:tcPr>
            <w:tcW w:w="570" w:type="dxa"/>
            <w:shd w:val="clear" w:color="auto" w:fill="auto"/>
            <w:tcMar>
              <w:top w:w="15" w:type="dxa"/>
              <w:left w:w="72" w:type="dxa"/>
              <w:bottom w:w="0" w:type="dxa"/>
              <w:right w:w="72" w:type="dxa"/>
            </w:tcMar>
            <w:hideMark/>
          </w:tcPr>
          <w:p w14:paraId="3A078BE5"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4E8E9EF1"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NGO-business collaboration: A comparison of organizational, social, and reputation value from the NGO perspective in Poland.</w:t>
            </w:r>
          </w:p>
        </w:tc>
        <w:tc>
          <w:tcPr>
            <w:tcW w:w="2745" w:type="dxa"/>
            <w:shd w:val="clear" w:color="auto" w:fill="auto"/>
            <w:tcMar>
              <w:top w:w="15" w:type="dxa"/>
              <w:left w:w="72" w:type="dxa"/>
              <w:bottom w:w="0" w:type="dxa"/>
              <w:right w:w="72" w:type="dxa"/>
            </w:tcMar>
            <w:hideMark/>
          </w:tcPr>
          <w:p w14:paraId="1AA2BD57" w14:textId="28291A5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Nonprofit and Voluntary Sector Quarterly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48(3): 532-551</w:t>
            </w:r>
          </w:p>
        </w:tc>
      </w:tr>
      <w:tr w:rsidR="00574FFE" w14:paraId="4C036E1D" w14:textId="77777777" w:rsidTr="00362A0D">
        <w:trPr>
          <w:trHeight w:val="603"/>
        </w:trPr>
        <w:tc>
          <w:tcPr>
            <w:tcW w:w="450" w:type="dxa"/>
          </w:tcPr>
          <w:p w14:paraId="5A5D5E84" w14:textId="559D274D" w:rsidR="00574FFE" w:rsidRPr="0001489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755" w:type="dxa"/>
            <w:shd w:val="clear" w:color="auto" w:fill="auto"/>
            <w:tcMar>
              <w:top w:w="15" w:type="dxa"/>
              <w:left w:w="72" w:type="dxa"/>
              <w:bottom w:w="0" w:type="dxa"/>
              <w:right w:w="72" w:type="dxa"/>
            </w:tcMar>
            <w:hideMark/>
          </w:tcPr>
          <w:p w14:paraId="5939D49E" w14:textId="6C60D878" w:rsidR="00574FFE" w:rsidRPr="001F2DA6" w:rsidRDefault="00574FFE"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Muller, C.; Vermeulen, W. J. V.; Glasbergen, P.</w:t>
            </w:r>
          </w:p>
        </w:tc>
        <w:tc>
          <w:tcPr>
            <w:tcW w:w="570" w:type="dxa"/>
            <w:shd w:val="clear" w:color="auto" w:fill="auto"/>
            <w:tcMar>
              <w:top w:w="15" w:type="dxa"/>
              <w:left w:w="72" w:type="dxa"/>
              <w:bottom w:w="0" w:type="dxa"/>
              <w:right w:w="72" w:type="dxa"/>
            </w:tcMar>
            <w:hideMark/>
          </w:tcPr>
          <w:p w14:paraId="5013EC0A"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27530956"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Pushing or sharing as value-driven strategies for societal change in global supply chains: Two case studies in the British-South African fresh fruit supply chain.</w:t>
            </w:r>
          </w:p>
        </w:tc>
        <w:tc>
          <w:tcPr>
            <w:tcW w:w="2745" w:type="dxa"/>
            <w:shd w:val="clear" w:color="auto" w:fill="auto"/>
            <w:tcMar>
              <w:top w:w="15" w:type="dxa"/>
              <w:left w:w="72" w:type="dxa"/>
              <w:bottom w:w="0" w:type="dxa"/>
              <w:right w:w="72" w:type="dxa"/>
            </w:tcMar>
            <w:hideMark/>
          </w:tcPr>
          <w:p w14:paraId="26A2BB98" w14:textId="7FEF32A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Business Strategy and the Environment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21(2): 127-140</w:t>
            </w:r>
          </w:p>
        </w:tc>
      </w:tr>
      <w:tr w:rsidR="00574FFE" w14:paraId="4B72A178" w14:textId="77777777" w:rsidTr="00362A0D">
        <w:trPr>
          <w:trHeight w:val="783"/>
        </w:trPr>
        <w:tc>
          <w:tcPr>
            <w:tcW w:w="450" w:type="dxa"/>
          </w:tcPr>
          <w:p w14:paraId="28944FA8" w14:textId="2BABA814"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755" w:type="dxa"/>
            <w:shd w:val="clear" w:color="auto" w:fill="auto"/>
            <w:tcMar>
              <w:top w:w="15" w:type="dxa"/>
              <w:left w:w="72" w:type="dxa"/>
              <w:bottom w:w="0" w:type="dxa"/>
              <w:right w:w="72" w:type="dxa"/>
            </w:tcMar>
            <w:hideMark/>
          </w:tcPr>
          <w:p w14:paraId="3AA43BB5" w14:textId="63394EE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Murphy, M.; Arenas, D.; Batista J.M.</w:t>
            </w:r>
          </w:p>
        </w:tc>
        <w:tc>
          <w:tcPr>
            <w:tcW w:w="570" w:type="dxa"/>
            <w:shd w:val="clear" w:color="auto" w:fill="auto"/>
            <w:tcMar>
              <w:top w:w="15" w:type="dxa"/>
              <w:left w:w="72" w:type="dxa"/>
              <w:bottom w:w="0" w:type="dxa"/>
              <w:right w:w="72" w:type="dxa"/>
            </w:tcMar>
            <w:hideMark/>
          </w:tcPr>
          <w:p w14:paraId="351DD80A"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2015</w:t>
            </w:r>
          </w:p>
        </w:tc>
        <w:tc>
          <w:tcPr>
            <w:tcW w:w="3934" w:type="dxa"/>
            <w:shd w:val="clear" w:color="auto" w:fill="auto"/>
            <w:tcMar>
              <w:top w:w="15" w:type="dxa"/>
              <w:left w:w="72" w:type="dxa"/>
              <w:bottom w:w="0" w:type="dxa"/>
              <w:right w:w="72" w:type="dxa"/>
            </w:tcMar>
            <w:hideMark/>
          </w:tcPr>
          <w:p w14:paraId="54F5D9CA"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Value creation in cross-sector collaborations: The roles of experience and alignment.</w:t>
            </w:r>
          </w:p>
        </w:tc>
        <w:tc>
          <w:tcPr>
            <w:tcW w:w="2745" w:type="dxa"/>
            <w:shd w:val="clear" w:color="auto" w:fill="auto"/>
            <w:tcMar>
              <w:top w:w="15" w:type="dxa"/>
              <w:left w:w="72" w:type="dxa"/>
              <w:bottom w:w="0" w:type="dxa"/>
              <w:right w:w="72" w:type="dxa"/>
            </w:tcMar>
            <w:hideMark/>
          </w:tcPr>
          <w:p w14:paraId="7D4B43BD" w14:textId="022C8E80"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130</w:t>
            </w:r>
            <w:r>
              <w:rPr>
                <w:rFonts w:ascii="Times New Roman" w:hAnsi="Times New Roman" w:cs="Times New Roman"/>
                <w:color w:val="000000"/>
                <w:sz w:val="20"/>
                <w:szCs w:val="20"/>
              </w:rPr>
              <w:t>(1)</w:t>
            </w:r>
            <w:r w:rsidRPr="001F2DA6">
              <w:rPr>
                <w:rFonts w:ascii="Times New Roman" w:hAnsi="Times New Roman" w:cs="Times New Roman"/>
                <w:color w:val="000000"/>
                <w:sz w:val="20"/>
                <w:szCs w:val="20"/>
              </w:rPr>
              <w:t>: 145-162</w:t>
            </w:r>
          </w:p>
        </w:tc>
      </w:tr>
      <w:tr w:rsidR="00574FFE" w14:paraId="647C684D" w14:textId="77777777" w:rsidTr="00362A0D">
        <w:trPr>
          <w:trHeight w:val="576"/>
        </w:trPr>
        <w:tc>
          <w:tcPr>
            <w:tcW w:w="450" w:type="dxa"/>
          </w:tcPr>
          <w:p w14:paraId="5671760F" w14:textId="1B0C2E7A"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755" w:type="dxa"/>
            <w:shd w:val="clear" w:color="auto" w:fill="auto"/>
            <w:tcMar>
              <w:top w:w="15" w:type="dxa"/>
              <w:left w:w="72" w:type="dxa"/>
              <w:bottom w:w="0" w:type="dxa"/>
              <w:right w:w="72" w:type="dxa"/>
            </w:tcMar>
            <w:hideMark/>
          </w:tcPr>
          <w:p w14:paraId="07A96385" w14:textId="62078B22"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Mustalahti</w:t>
            </w:r>
            <w:proofErr w:type="spellEnd"/>
            <w:r w:rsidRPr="001F2DA6">
              <w:rPr>
                <w:rFonts w:ascii="Times New Roman" w:hAnsi="Times New Roman" w:cs="Times New Roman"/>
                <w:color w:val="000000"/>
                <w:sz w:val="20"/>
                <w:szCs w:val="20"/>
              </w:rPr>
              <w:t xml:space="preserve">, I.; </w:t>
            </w:r>
            <w:proofErr w:type="spellStart"/>
            <w:r w:rsidRPr="001F2DA6">
              <w:rPr>
                <w:rFonts w:ascii="Times New Roman" w:hAnsi="Times New Roman" w:cs="Times New Roman"/>
                <w:color w:val="000000"/>
                <w:sz w:val="20"/>
                <w:szCs w:val="20"/>
              </w:rPr>
              <w:t>Rakotonarivo</w:t>
            </w:r>
            <w:proofErr w:type="spellEnd"/>
            <w:r w:rsidRPr="001F2DA6">
              <w:rPr>
                <w:rFonts w:ascii="Times New Roman" w:hAnsi="Times New Roman" w:cs="Times New Roman"/>
                <w:color w:val="000000"/>
                <w:sz w:val="20"/>
                <w:szCs w:val="20"/>
              </w:rPr>
              <w:t>, O. S.</w:t>
            </w:r>
          </w:p>
        </w:tc>
        <w:tc>
          <w:tcPr>
            <w:tcW w:w="570" w:type="dxa"/>
            <w:shd w:val="clear" w:color="auto" w:fill="auto"/>
            <w:tcMar>
              <w:top w:w="15" w:type="dxa"/>
              <w:left w:w="72" w:type="dxa"/>
              <w:bottom w:w="0" w:type="dxa"/>
              <w:right w:w="72" w:type="dxa"/>
            </w:tcMar>
            <w:hideMark/>
          </w:tcPr>
          <w:p w14:paraId="3E298819"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shd w:val="clear" w:color="auto" w:fill="auto"/>
            <w:tcMar>
              <w:top w:w="15" w:type="dxa"/>
              <w:left w:w="72" w:type="dxa"/>
              <w:bottom w:w="0" w:type="dxa"/>
              <w:right w:w="72" w:type="dxa"/>
            </w:tcMar>
            <w:hideMark/>
          </w:tcPr>
          <w:p w14:paraId="5A56FDFF"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REDD+ and empowered deliberative democracy: Learning from Tanzania.</w:t>
            </w:r>
          </w:p>
        </w:tc>
        <w:tc>
          <w:tcPr>
            <w:tcW w:w="2745" w:type="dxa"/>
            <w:shd w:val="clear" w:color="auto" w:fill="auto"/>
            <w:tcMar>
              <w:top w:w="15" w:type="dxa"/>
              <w:left w:w="72" w:type="dxa"/>
              <w:bottom w:w="0" w:type="dxa"/>
              <w:right w:w="72" w:type="dxa"/>
            </w:tcMar>
            <w:hideMark/>
          </w:tcPr>
          <w:p w14:paraId="7F2C606E" w14:textId="53BBDB12"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59: 199-211</w:t>
            </w:r>
          </w:p>
        </w:tc>
      </w:tr>
      <w:tr w:rsidR="00574FFE" w14:paraId="4297C06B" w14:textId="77777777" w:rsidTr="00362A0D">
        <w:trPr>
          <w:trHeight w:val="270"/>
        </w:trPr>
        <w:tc>
          <w:tcPr>
            <w:tcW w:w="450" w:type="dxa"/>
          </w:tcPr>
          <w:p w14:paraId="5CF31DAF" w14:textId="1229FB0A"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755" w:type="dxa"/>
            <w:shd w:val="clear" w:color="auto" w:fill="auto"/>
            <w:tcMar>
              <w:top w:w="15" w:type="dxa"/>
              <w:left w:w="72" w:type="dxa"/>
              <w:bottom w:w="0" w:type="dxa"/>
              <w:right w:w="72" w:type="dxa"/>
            </w:tcMar>
            <w:hideMark/>
          </w:tcPr>
          <w:p w14:paraId="13BA340F" w14:textId="149616BD"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Ostovar</w:t>
            </w:r>
            <w:proofErr w:type="spellEnd"/>
            <w:r w:rsidRPr="001F2DA6">
              <w:rPr>
                <w:rFonts w:ascii="Times New Roman" w:hAnsi="Times New Roman" w:cs="Times New Roman"/>
                <w:color w:val="000000"/>
                <w:sz w:val="20"/>
                <w:szCs w:val="20"/>
              </w:rPr>
              <w:t>, A. L.</w:t>
            </w:r>
          </w:p>
        </w:tc>
        <w:tc>
          <w:tcPr>
            <w:tcW w:w="570" w:type="dxa"/>
            <w:shd w:val="clear" w:color="auto" w:fill="auto"/>
            <w:tcMar>
              <w:top w:w="15" w:type="dxa"/>
              <w:left w:w="72" w:type="dxa"/>
              <w:bottom w:w="0" w:type="dxa"/>
              <w:right w:w="72" w:type="dxa"/>
            </w:tcMar>
            <w:hideMark/>
          </w:tcPr>
          <w:p w14:paraId="67CB0328"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2019</w:t>
            </w:r>
          </w:p>
        </w:tc>
        <w:tc>
          <w:tcPr>
            <w:tcW w:w="3934" w:type="dxa"/>
            <w:shd w:val="clear" w:color="auto" w:fill="auto"/>
            <w:tcMar>
              <w:top w:w="15" w:type="dxa"/>
              <w:left w:w="72" w:type="dxa"/>
              <w:bottom w:w="0" w:type="dxa"/>
              <w:right w:w="72" w:type="dxa"/>
            </w:tcMar>
            <w:hideMark/>
          </w:tcPr>
          <w:p w14:paraId="72450CF7"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Investing upstream: Watershed protection in Piura, Peru.</w:t>
            </w:r>
          </w:p>
        </w:tc>
        <w:tc>
          <w:tcPr>
            <w:tcW w:w="2745" w:type="dxa"/>
            <w:shd w:val="clear" w:color="auto" w:fill="auto"/>
            <w:tcMar>
              <w:top w:w="15" w:type="dxa"/>
              <w:left w:w="72" w:type="dxa"/>
              <w:bottom w:w="0" w:type="dxa"/>
              <w:right w:w="72" w:type="dxa"/>
            </w:tcMar>
            <w:hideMark/>
          </w:tcPr>
          <w:p w14:paraId="0C34045B" w14:textId="082AB858"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Environmental Science </w:t>
            </w:r>
            <w:r w:rsidR="002B0CD5">
              <w:rPr>
                <w:rFonts w:ascii="Times New Roman" w:hAnsi="Times New Roman" w:cs="Times New Roman"/>
                <w:color w:val="000000"/>
                <w:sz w:val="20"/>
                <w:szCs w:val="20"/>
              </w:rPr>
              <w:t>and</w:t>
            </w:r>
            <w:r w:rsidRPr="001F2DA6">
              <w:rPr>
                <w:rFonts w:ascii="Times New Roman" w:hAnsi="Times New Roman" w:cs="Times New Roman"/>
                <w:color w:val="000000"/>
                <w:sz w:val="20"/>
                <w:szCs w:val="20"/>
              </w:rPr>
              <w:t xml:space="preserve"> Policy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96: 9-17</w:t>
            </w:r>
          </w:p>
        </w:tc>
      </w:tr>
      <w:tr w:rsidR="00574FFE" w14:paraId="4822C0E5" w14:textId="77777777" w:rsidTr="00362A0D">
        <w:trPr>
          <w:trHeight w:val="504"/>
        </w:trPr>
        <w:tc>
          <w:tcPr>
            <w:tcW w:w="450" w:type="dxa"/>
          </w:tcPr>
          <w:p w14:paraId="7B8964D6" w14:textId="41B678E1"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755" w:type="dxa"/>
            <w:shd w:val="clear" w:color="auto" w:fill="auto"/>
            <w:tcMar>
              <w:top w:w="15" w:type="dxa"/>
              <w:left w:w="72" w:type="dxa"/>
              <w:bottom w:w="0" w:type="dxa"/>
              <w:right w:w="72" w:type="dxa"/>
            </w:tcMar>
            <w:hideMark/>
          </w:tcPr>
          <w:p w14:paraId="52BDACE6" w14:textId="73A77D9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Pavlovich, K.; </w:t>
            </w:r>
            <w:proofErr w:type="spellStart"/>
            <w:r w:rsidRPr="001F2DA6">
              <w:rPr>
                <w:rFonts w:ascii="Times New Roman" w:hAnsi="Times New Roman" w:cs="Times New Roman"/>
                <w:color w:val="000000"/>
                <w:sz w:val="20"/>
                <w:szCs w:val="20"/>
              </w:rPr>
              <w:t>Akoorie</w:t>
            </w:r>
            <w:proofErr w:type="spellEnd"/>
            <w:r w:rsidRPr="001F2DA6">
              <w:rPr>
                <w:rFonts w:ascii="Times New Roman" w:hAnsi="Times New Roman" w:cs="Times New Roman"/>
                <w:color w:val="000000"/>
                <w:sz w:val="20"/>
                <w:szCs w:val="20"/>
              </w:rPr>
              <w:t>, M.</w:t>
            </w:r>
          </w:p>
        </w:tc>
        <w:tc>
          <w:tcPr>
            <w:tcW w:w="570" w:type="dxa"/>
            <w:shd w:val="clear" w:color="auto" w:fill="auto"/>
            <w:tcMar>
              <w:top w:w="15" w:type="dxa"/>
              <w:left w:w="72" w:type="dxa"/>
              <w:bottom w:w="0" w:type="dxa"/>
              <w:right w:w="72" w:type="dxa"/>
            </w:tcMar>
            <w:hideMark/>
          </w:tcPr>
          <w:p w14:paraId="570BECE7"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7F8C34BA"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Innovation, sustainability and regional development: The Nelson/Marlborough seafood cluster, New Zealand.</w:t>
            </w:r>
          </w:p>
        </w:tc>
        <w:tc>
          <w:tcPr>
            <w:tcW w:w="2745" w:type="dxa"/>
            <w:shd w:val="clear" w:color="auto" w:fill="auto"/>
            <w:tcMar>
              <w:top w:w="15" w:type="dxa"/>
              <w:left w:w="72" w:type="dxa"/>
              <w:bottom w:w="0" w:type="dxa"/>
              <w:right w:w="72" w:type="dxa"/>
            </w:tcMar>
            <w:hideMark/>
          </w:tcPr>
          <w:p w14:paraId="7E70CAD8" w14:textId="64D97854"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Business Strategy and the Environment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19(6): 377-386</w:t>
            </w:r>
          </w:p>
        </w:tc>
      </w:tr>
      <w:tr w:rsidR="00574FFE" w14:paraId="44D94555" w14:textId="77777777" w:rsidTr="00362A0D">
        <w:trPr>
          <w:trHeight w:val="306"/>
        </w:trPr>
        <w:tc>
          <w:tcPr>
            <w:tcW w:w="450" w:type="dxa"/>
          </w:tcPr>
          <w:p w14:paraId="14F28F9C" w14:textId="22F12812"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755" w:type="dxa"/>
            <w:shd w:val="clear" w:color="auto" w:fill="auto"/>
            <w:tcMar>
              <w:top w:w="15" w:type="dxa"/>
              <w:left w:w="72" w:type="dxa"/>
              <w:bottom w:w="0" w:type="dxa"/>
              <w:right w:w="72" w:type="dxa"/>
            </w:tcMar>
            <w:hideMark/>
          </w:tcPr>
          <w:p w14:paraId="784EF7EA" w14:textId="0A590A7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Peterman, A.; Kourula, A.; Levitt, R.</w:t>
            </w:r>
          </w:p>
        </w:tc>
        <w:tc>
          <w:tcPr>
            <w:tcW w:w="570" w:type="dxa"/>
            <w:shd w:val="clear" w:color="auto" w:fill="auto"/>
            <w:tcMar>
              <w:top w:w="15" w:type="dxa"/>
              <w:left w:w="72" w:type="dxa"/>
              <w:bottom w:w="0" w:type="dxa"/>
              <w:right w:w="72" w:type="dxa"/>
            </w:tcMar>
            <w:hideMark/>
          </w:tcPr>
          <w:p w14:paraId="29972380"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shd w:val="clear" w:color="auto" w:fill="auto"/>
            <w:tcMar>
              <w:top w:w="15" w:type="dxa"/>
              <w:left w:w="72" w:type="dxa"/>
              <w:bottom w:w="0" w:type="dxa"/>
              <w:right w:w="72" w:type="dxa"/>
            </w:tcMar>
            <w:hideMark/>
          </w:tcPr>
          <w:p w14:paraId="2639B560"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Balancing act: Government roles in an energy conservation network.</w:t>
            </w:r>
          </w:p>
        </w:tc>
        <w:tc>
          <w:tcPr>
            <w:tcW w:w="2745" w:type="dxa"/>
            <w:shd w:val="clear" w:color="auto" w:fill="auto"/>
            <w:tcMar>
              <w:top w:w="15" w:type="dxa"/>
              <w:left w:w="72" w:type="dxa"/>
              <w:bottom w:w="0" w:type="dxa"/>
              <w:right w:w="72" w:type="dxa"/>
            </w:tcMar>
            <w:hideMark/>
          </w:tcPr>
          <w:p w14:paraId="25C2FFBA" w14:textId="01892BE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Research Policy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43(6): 1067-1082</w:t>
            </w:r>
          </w:p>
        </w:tc>
      </w:tr>
      <w:tr w:rsidR="00574FFE" w14:paraId="49ED1CB4" w14:textId="77777777" w:rsidTr="00362A0D">
        <w:trPr>
          <w:trHeight w:val="288"/>
        </w:trPr>
        <w:tc>
          <w:tcPr>
            <w:tcW w:w="450" w:type="dxa"/>
          </w:tcPr>
          <w:p w14:paraId="219B89A6" w14:textId="0664F6E7"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755" w:type="dxa"/>
            <w:shd w:val="clear" w:color="auto" w:fill="auto"/>
            <w:tcMar>
              <w:top w:w="15" w:type="dxa"/>
              <w:left w:w="72" w:type="dxa"/>
              <w:bottom w:w="0" w:type="dxa"/>
              <w:right w:w="72" w:type="dxa"/>
            </w:tcMar>
            <w:hideMark/>
          </w:tcPr>
          <w:p w14:paraId="5E45A1A6" w14:textId="3C68F569"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Petrick, M.; </w:t>
            </w:r>
            <w:proofErr w:type="spellStart"/>
            <w:r w:rsidRPr="001F2DA6">
              <w:rPr>
                <w:rFonts w:ascii="Times New Roman" w:hAnsi="Times New Roman" w:cs="Times New Roman"/>
                <w:color w:val="000000"/>
                <w:sz w:val="20"/>
                <w:szCs w:val="20"/>
              </w:rPr>
              <w:t>Gramzow</w:t>
            </w:r>
            <w:proofErr w:type="spellEnd"/>
            <w:r w:rsidRPr="001F2DA6">
              <w:rPr>
                <w:rFonts w:ascii="Times New Roman" w:hAnsi="Times New Roman" w:cs="Times New Roman"/>
                <w:color w:val="000000"/>
                <w:sz w:val="20"/>
                <w:szCs w:val="20"/>
              </w:rPr>
              <w:t>, A.</w:t>
            </w:r>
          </w:p>
        </w:tc>
        <w:tc>
          <w:tcPr>
            <w:tcW w:w="570" w:type="dxa"/>
            <w:shd w:val="clear" w:color="auto" w:fill="auto"/>
            <w:tcMar>
              <w:top w:w="15" w:type="dxa"/>
              <w:left w:w="72" w:type="dxa"/>
              <w:bottom w:w="0" w:type="dxa"/>
              <w:right w:w="72" w:type="dxa"/>
            </w:tcMar>
            <w:hideMark/>
          </w:tcPr>
          <w:p w14:paraId="1D589334"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6A13E1C4"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Harnessing communities, markets and the state for public goods provision: Evidence from post-socialist rural Poland.</w:t>
            </w:r>
          </w:p>
        </w:tc>
        <w:tc>
          <w:tcPr>
            <w:tcW w:w="2745" w:type="dxa"/>
            <w:shd w:val="clear" w:color="auto" w:fill="auto"/>
            <w:tcMar>
              <w:top w:w="15" w:type="dxa"/>
              <w:left w:w="72" w:type="dxa"/>
              <w:bottom w:w="0" w:type="dxa"/>
              <w:right w:w="72" w:type="dxa"/>
            </w:tcMar>
            <w:hideMark/>
          </w:tcPr>
          <w:p w14:paraId="19B82EEE" w14:textId="00121F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40(11): 2342-2354</w:t>
            </w:r>
          </w:p>
        </w:tc>
      </w:tr>
      <w:tr w:rsidR="00574FFE" w14:paraId="49B3E83F" w14:textId="77777777" w:rsidTr="00362A0D">
        <w:trPr>
          <w:trHeight w:val="351"/>
        </w:trPr>
        <w:tc>
          <w:tcPr>
            <w:tcW w:w="450" w:type="dxa"/>
          </w:tcPr>
          <w:p w14:paraId="0BC436E8" w14:textId="595E0F81"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755" w:type="dxa"/>
            <w:shd w:val="clear" w:color="auto" w:fill="auto"/>
            <w:tcMar>
              <w:top w:w="15" w:type="dxa"/>
              <w:left w:w="72" w:type="dxa"/>
              <w:bottom w:w="0" w:type="dxa"/>
              <w:right w:w="72" w:type="dxa"/>
            </w:tcMar>
            <w:hideMark/>
          </w:tcPr>
          <w:p w14:paraId="287300BB" w14:textId="02D04A6F"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Powell, E. E.; Hamann, R.; Bitzer, V.; Baker, T.</w:t>
            </w:r>
          </w:p>
        </w:tc>
        <w:tc>
          <w:tcPr>
            <w:tcW w:w="570" w:type="dxa"/>
            <w:shd w:val="clear" w:color="auto" w:fill="auto"/>
            <w:tcMar>
              <w:top w:w="15" w:type="dxa"/>
              <w:left w:w="72" w:type="dxa"/>
              <w:bottom w:w="0" w:type="dxa"/>
              <w:right w:w="72" w:type="dxa"/>
            </w:tcMar>
            <w:hideMark/>
          </w:tcPr>
          <w:p w14:paraId="3012C703"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5B6993CE"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Bringing the elephant into the room? Enacting conflict in collective prosocial organizing.</w:t>
            </w:r>
          </w:p>
        </w:tc>
        <w:tc>
          <w:tcPr>
            <w:tcW w:w="2745" w:type="dxa"/>
            <w:shd w:val="clear" w:color="auto" w:fill="auto"/>
            <w:tcMar>
              <w:top w:w="15" w:type="dxa"/>
              <w:left w:w="72" w:type="dxa"/>
              <w:bottom w:w="0" w:type="dxa"/>
              <w:right w:w="72" w:type="dxa"/>
            </w:tcMar>
            <w:hideMark/>
          </w:tcPr>
          <w:p w14:paraId="6058CCC1" w14:textId="5A574C12"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Venturing</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33(5): 623-642</w:t>
            </w:r>
          </w:p>
        </w:tc>
      </w:tr>
      <w:tr w:rsidR="00574FFE" w14:paraId="17967FC8" w14:textId="77777777" w:rsidTr="00362A0D">
        <w:trPr>
          <w:trHeight w:val="432"/>
        </w:trPr>
        <w:tc>
          <w:tcPr>
            <w:tcW w:w="450" w:type="dxa"/>
          </w:tcPr>
          <w:p w14:paraId="27377A4E" w14:textId="75B072CC"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755" w:type="dxa"/>
            <w:shd w:val="clear" w:color="auto" w:fill="auto"/>
            <w:tcMar>
              <w:top w:w="15" w:type="dxa"/>
              <w:left w:w="72" w:type="dxa"/>
              <w:bottom w:w="0" w:type="dxa"/>
              <w:right w:w="72" w:type="dxa"/>
            </w:tcMar>
            <w:hideMark/>
          </w:tcPr>
          <w:p w14:paraId="15E19474" w14:textId="526FD47C"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Pr</w:t>
            </w:r>
            <w:r>
              <w:rPr>
                <w:rFonts w:ascii="Times New Roman" w:hAnsi="Times New Roman" w:cs="Times New Roman"/>
                <w:color w:val="000000"/>
                <w:sz w:val="20"/>
                <w:szCs w:val="20"/>
              </w:rPr>
              <w:t>ü</w:t>
            </w:r>
            <w:r w:rsidRPr="001F2DA6">
              <w:rPr>
                <w:rFonts w:ascii="Times New Roman" w:hAnsi="Times New Roman" w:cs="Times New Roman"/>
                <w:color w:val="000000"/>
                <w:sz w:val="20"/>
                <w:szCs w:val="20"/>
              </w:rPr>
              <w:t>gl</w:t>
            </w:r>
            <w:proofErr w:type="spellEnd"/>
            <w:r w:rsidRPr="001F2DA6">
              <w:rPr>
                <w:rFonts w:ascii="Times New Roman" w:hAnsi="Times New Roman" w:cs="Times New Roman"/>
                <w:color w:val="000000"/>
                <w:sz w:val="20"/>
                <w:szCs w:val="20"/>
              </w:rPr>
              <w:t>, E.; True, J.</w:t>
            </w:r>
          </w:p>
        </w:tc>
        <w:tc>
          <w:tcPr>
            <w:tcW w:w="570" w:type="dxa"/>
            <w:shd w:val="clear" w:color="auto" w:fill="auto"/>
            <w:tcMar>
              <w:top w:w="15" w:type="dxa"/>
              <w:left w:w="72" w:type="dxa"/>
              <w:bottom w:w="0" w:type="dxa"/>
              <w:right w:w="72" w:type="dxa"/>
            </w:tcMar>
            <w:hideMark/>
          </w:tcPr>
          <w:p w14:paraId="105D9667"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shd w:val="clear" w:color="auto" w:fill="auto"/>
            <w:tcMar>
              <w:top w:w="15" w:type="dxa"/>
              <w:left w:w="72" w:type="dxa"/>
              <w:bottom w:w="0" w:type="dxa"/>
              <w:right w:w="72" w:type="dxa"/>
            </w:tcMar>
            <w:hideMark/>
          </w:tcPr>
          <w:p w14:paraId="715F9DE5"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Equality means business? Governing gender through transnational public-private partnerships.</w:t>
            </w:r>
          </w:p>
        </w:tc>
        <w:tc>
          <w:tcPr>
            <w:tcW w:w="2745" w:type="dxa"/>
            <w:shd w:val="clear" w:color="auto" w:fill="auto"/>
            <w:tcMar>
              <w:top w:w="15" w:type="dxa"/>
              <w:left w:w="72" w:type="dxa"/>
              <w:bottom w:w="0" w:type="dxa"/>
              <w:right w:w="72" w:type="dxa"/>
            </w:tcMar>
            <w:hideMark/>
          </w:tcPr>
          <w:p w14:paraId="3C8D6633" w14:textId="1E12210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Review of International Political Economy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21(6): 1137-1169</w:t>
            </w:r>
          </w:p>
        </w:tc>
      </w:tr>
      <w:tr w:rsidR="00574FFE" w14:paraId="39513809" w14:textId="77777777" w:rsidTr="00362A0D">
        <w:trPr>
          <w:trHeight w:val="225"/>
        </w:trPr>
        <w:tc>
          <w:tcPr>
            <w:tcW w:w="450" w:type="dxa"/>
          </w:tcPr>
          <w:p w14:paraId="19E5B88E" w14:textId="6C1BCC5A" w:rsidR="00574FFE" w:rsidRPr="0001489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755" w:type="dxa"/>
            <w:shd w:val="clear" w:color="auto" w:fill="auto"/>
            <w:tcMar>
              <w:top w:w="15" w:type="dxa"/>
              <w:left w:w="72" w:type="dxa"/>
              <w:bottom w:w="0" w:type="dxa"/>
              <w:right w:w="72" w:type="dxa"/>
            </w:tcMar>
            <w:hideMark/>
          </w:tcPr>
          <w:p w14:paraId="03B0D98D" w14:textId="079FD61D" w:rsidR="00574FFE" w:rsidRPr="001F2DA6" w:rsidRDefault="00574FFE"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Rao-Nicholson, R.; </w:t>
            </w:r>
            <w:proofErr w:type="spellStart"/>
            <w:r w:rsidRPr="001F2DA6">
              <w:rPr>
                <w:rFonts w:ascii="Times New Roman" w:hAnsi="Times New Roman" w:cs="Times New Roman"/>
                <w:color w:val="000000"/>
                <w:sz w:val="20"/>
                <w:szCs w:val="20"/>
                <w:lang w:val="de-DE"/>
              </w:rPr>
              <w:t>Vorley</w:t>
            </w:r>
            <w:proofErr w:type="spellEnd"/>
            <w:r w:rsidRPr="001F2DA6">
              <w:rPr>
                <w:rFonts w:ascii="Times New Roman" w:hAnsi="Times New Roman" w:cs="Times New Roman"/>
                <w:color w:val="000000"/>
                <w:sz w:val="20"/>
                <w:szCs w:val="20"/>
                <w:lang w:val="de-DE"/>
              </w:rPr>
              <w:t>, T.; Khan, Z.</w:t>
            </w:r>
          </w:p>
        </w:tc>
        <w:tc>
          <w:tcPr>
            <w:tcW w:w="570" w:type="dxa"/>
            <w:shd w:val="clear" w:color="auto" w:fill="auto"/>
            <w:tcMar>
              <w:top w:w="15" w:type="dxa"/>
              <w:left w:w="72" w:type="dxa"/>
              <w:bottom w:w="0" w:type="dxa"/>
              <w:right w:w="72" w:type="dxa"/>
            </w:tcMar>
            <w:hideMark/>
          </w:tcPr>
          <w:p w14:paraId="592CC75F"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25E96373"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Social innovation in emerging economies: A national systems of innovation based approach.</w:t>
            </w:r>
          </w:p>
        </w:tc>
        <w:tc>
          <w:tcPr>
            <w:tcW w:w="2745" w:type="dxa"/>
            <w:shd w:val="clear" w:color="auto" w:fill="auto"/>
            <w:tcMar>
              <w:top w:w="15" w:type="dxa"/>
              <w:left w:w="72" w:type="dxa"/>
              <w:bottom w:w="0" w:type="dxa"/>
              <w:right w:w="72" w:type="dxa"/>
            </w:tcMar>
            <w:hideMark/>
          </w:tcPr>
          <w:p w14:paraId="5ACB037A" w14:textId="5B5EAA6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Technological Forecasting and Social Change</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121: 228-237</w:t>
            </w:r>
          </w:p>
        </w:tc>
      </w:tr>
      <w:tr w:rsidR="00574FFE" w14:paraId="6B1411A9" w14:textId="77777777" w:rsidTr="00362A0D">
        <w:trPr>
          <w:trHeight w:val="396"/>
        </w:trPr>
        <w:tc>
          <w:tcPr>
            <w:tcW w:w="450" w:type="dxa"/>
          </w:tcPr>
          <w:p w14:paraId="3AB16B2C" w14:textId="61CC8AE9"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755" w:type="dxa"/>
            <w:shd w:val="clear" w:color="auto" w:fill="auto"/>
            <w:tcMar>
              <w:top w:w="15" w:type="dxa"/>
              <w:left w:w="72" w:type="dxa"/>
              <w:bottom w:w="0" w:type="dxa"/>
              <w:right w:w="72" w:type="dxa"/>
            </w:tcMar>
            <w:hideMark/>
          </w:tcPr>
          <w:p w14:paraId="7BDF8D81" w14:textId="0180866B"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Reficco</w:t>
            </w:r>
            <w:proofErr w:type="spellEnd"/>
            <w:r w:rsidRPr="001F2DA6">
              <w:rPr>
                <w:rFonts w:ascii="Times New Roman" w:hAnsi="Times New Roman" w:cs="Times New Roman"/>
                <w:color w:val="000000"/>
                <w:sz w:val="20"/>
                <w:szCs w:val="20"/>
              </w:rPr>
              <w:t>, E.; Marquez, P.</w:t>
            </w:r>
          </w:p>
        </w:tc>
        <w:tc>
          <w:tcPr>
            <w:tcW w:w="570" w:type="dxa"/>
            <w:shd w:val="clear" w:color="auto" w:fill="auto"/>
            <w:tcMar>
              <w:top w:w="15" w:type="dxa"/>
              <w:left w:w="72" w:type="dxa"/>
              <w:bottom w:w="0" w:type="dxa"/>
              <w:right w:w="72" w:type="dxa"/>
            </w:tcMar>
            <w:hideMark/>
          </w:tcPr>
          <w:p w14:paraId="40BDAE8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47DC9960"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Inclusive networks for building BOP markets.</w:t>
            </w:r>
          </w:p>
        </w:tc>
        <w:tc>
          <w:tcPr>
            <w:tcW w:w="2745" w:type="dxa"/>
            <w:shd w:val="clear" w:color="auto" w:fill="auto"/>
            <w:tcMar>
              <w:top w:w="15" w:type="dxa"/>
              <w:left w:w="72" w:type="dxa"/>
              <w:bottom w:w="0" w:type="dxa"/>
              <w:right w:w="72" w:type="dxa"/>
            </w:tcMar>
            <w:hideMark/>
          </w:tcPr>
          <w:p w14:paraId="71E14B56" w14:textId="3DF1A4A0"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Business </w:t>
            </w:r>
            <w:r w:rsidR="002B0CD5">
              <w:rPr>
                <w:rFonts w:ascii="Times New Roman" w:hAnsi="Times New Roman" w:cs="Times New Roman"/>
                <w:color w:val="000000"/>
                <w:sz w:val="20"/>
                <w:szCs w:val="20"/>
              </w:rPr>
              <w:t>and</w:t>
            </w:r>
            <w:r w:rsidRPr="001F2DA6">
              <w:rPr>
                <w:rFonts w:ascii="Times New Roman" w:hAnsi="Times New Roman" w:cs="Times New Roman"/>
                <w:color w:val="000000"/>
                <w:sz w:val="20"/>
                <w:szCs w:val="20"/>
              </w:rPr>
              <w:t xml:space="preserve"> Society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51(3): 512-55</w:t>
            </w:r>
            <w:r>
              <w:rPr>
                <w:rFonts w:ascii="Times New Roman" w:hAnsi="Times New Roman" w:cs="Times New Roman"/>
                <w:color w:val="000000"/>
                <w:sz w:val="20"/>
                <w:szCs w:val="20"/>
              </w:rPr>
              <w:t>6</w:t>
            </w:r>
          </w:p>
        </w:tc>
      </w:tr>
      <w:tr w:rsidR="00574FFE" w14:paraId="4D29A532" w14:textId="77777777" w:rsidTr="00362A0D">
        <w:trPr>
          <w:trHeight w:val="880"/>
        </w:trPr>
        <w:tc>
          <w:tcPr>
            <w:tcW w:w="450" w:type="dxa"/>
          </w:tcPr>
          <w:p w14:paraId="6D947AB0" w14:textId="4FC75855"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755" w:type="dxa"/>
            <w:shd w:val="clear" w:color="auto" w:fill="auto"/>
            <w:tcMar>
              <w:top w:w="15" w:type="dxa"/>
              <w:left w:w="72" w:type="dxa"/>
              <w:bottom w:w="0" w:type="dxa"/>
              <w:right w:w="72" w:type="dxa"/>
            </w:tcMar>
            <w:hideMark/>
          </w:tcPr>
          <w:p w14:paraId="7BF65E20" w14:textId="101415C9"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Reypens</w:t>
            </w:r>
            <w:proofErr w:type="spellEnd"/>
            <w:r w:rsidRPr="001F2DA6">
              <w:rPr>
                <w:rFonts w:ascii="Times New Roman" w:hAnsi="Times New Roman" w:cs="Times New Roman"/>
                <w:color w:val="000000"/>
                <w:sz w:val="20"/>
                <w:szCs w:val="20"/>
              </w:rPr>
              <w:t>, C.; Lievens, A.; Blazevic, V.</w:t>
            </w:r>
          </w:p>
        </w:tc>
        <w:tc>
          <w:tcPr>
            <w:tcW w:w="570" w:type="dxa"/>
            <w:shd w:val="clear" w:color="auto" w:fill="auto"/>
            <w:tcMar>
              <w:top w:w="15" w:type="dxa"/>
              <w:left w:w="72" w:type="dxa"/>
              <w:bottom w:w="0" w:type="dxa"/>
              <w:right w:w="72" w:type="dxa"/>
            </w:tcMar>
            <w:hideMark/>
          </w:tcPr>
          <w:p w14:paraId="6FF4143E"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01B97315"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Leveraging value in multi-stakeholder innovation networks: A process framework for value co-creation and capture.</w:t>
            </w:r>
          </w:p>
        </w:tc>
        <w:tc>
          <w:tcPr>
            <w:tcW w:w="2745" w:type="dxa"/>
            <w:shd w:val="clear" w:color="auto" w:fill="auto"/>
            <w:tcMar>
              <w:top w:w="15" w:type="dxa"/>
              <w:left w:w="72" w:type="dxa"/>
              <w:bottom w:w="0" w:type="dxa"/>
              <w:right w:w="72" w:type="dxa"/>
            </w:tcMar>
            <w:hideMark/>
          </w:tcPr>
          <w:p w14:paraId="5A320D00" w14:textId="11AB750C"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Industrial Marketing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56: 40-50</w:t>
            </w:r>
          </w:p>
        </w:tc>
      </w:tr>
      <w:tr w:rsidR="00574FFE" w14:paraId="332A1034" w14:textId="77777777" w:rsidTr="00362A0D">
        <w:trPr>
          <w:trHeight w:val="1008"/>
        </w:trPr>
        <w:tc>
          <w:tcPr>
            <w:tcW w:w="450" w:type="dxa"/>
          </w:tcPr>
          <w:p w14:paraId="413F2988" w14:textId="0CF4F6C7"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755" w:type="dxa"/>
            <w:shd w:val="clear" w:color="auto" w:fill="auto"/>
            <w:tcMar>
              <w:top w:w="15" w:type="dxa"/>
              <w:left w:w="72" w:type="dxa"/>
              <w:bottom w:w="0" w:type="dxa"/>
              <w:right w:w="72" w:type="dxa"/>
            </w:tcMar>
            <w:hideMark/>
          </w:tcPr>
          <w:p w14:paraId="51B35417" w14:textId="569F885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Roberts, D. J.; </w:t>
            </w:r>
            <w:proofErr w:type="spellStart"/>
            <w:r w:rsidRPr="001F2DA6">
              <w:rPr>
                <w:rFonts w:ascii="Times New Roman" w:hAnsi="Times New Roman" w:cs="Times New Roman"/>
                <w:color w:val="000000"/>
                <w:sz w:val="20"/>
                <w:szCs w:val="20"/>
              </w:rPr>
              <w:t>Siemiatycki</w:t>
            </w:r>
            <w:proofErr w:type="spellEnd"/>
            <w:r w:rsidRPr="001F2DA6">
              <w:rPr>
                <w:rFonts w:ascii="Times New Roman" w:hAnsi="Times New Roman" w:cs="Times New Roman"/>
                <w:color w:val="000000"/>
                <w:sz w:val="20"/>
                <w:szCs w:val="20"/>
              </w:rPr>
              <w:t>, M.</w:t>
            </w:r>
          </w:p>
        </w:tc>
        <w:tc>
          <w:tcPr>
            <w:tcW w:w="570" w:type="dxa"/>
            <w:shd w:val="clear" w:color="auto" w:fill="auto"/>
            <w:tcMar>
              <w:top w:w="15" w:type="dxa"/>
              <w:left w:w="72" w:type="dxa"/>
              <w:bottom w:w="0" w:type="dxa"/>
              <w:right w:w="72" w:type="dxa"/>
            </w:tcMar>
            <w:hideMark/>
          </w:tcPr>
          <w:p w14:paraId="15F2D37B"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2015</w:t>
            </w:r>
          </w:p>
        </w:tc>
        <w:tc>
          <w:tcPr>
            <w:tcW w:w="3934" w:type="dxa"/>
            <w:shd w:val="clear" w:color="auto" w:fill="auto"/>
            <w:tcMar>
              <w:top w:w="15" w:type="dxa"/>
              <w:left w:w="72" w:type="dxa"/>
              <w:bottom w:w="0" w:type="dxa"/>
              <w:right w:w="72" w:type="dxa"/>
            </w:tcMar>
            <w:hideMark/>
          </w:tcPr>
          <w:p w14:paraId="1FA7CEA2"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Fostering meaningful partnerships in public-private partnerships: innovations in partnership design and process management to create value.</w:t>
            </w:r>
          </w:p>
        </w:tc>
        <w:tc>
          <w:tcPr>
            <w:tcW w:w="2745" w:type="dxa"/>
            <w:shd w:val="clear" w:color="auto" w:fill="auto"/>
            <w:tcMar>
              <w:top w:w="15" w:type="dxa"/>
              <w:left w:w="72" w:type="dxa"/>
              <w:bottom w:w="0" w:type="dxa"/>
              <w:right w:w="72" w:type="dxa"/>
            </w:tcMar>
            <w:hideMark/>
          </w:tcPr>
          <w:p w14:paraId="64BFF515" w14:textId="04FCD7F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Environment and Planning C</w:t>
            </w:r>
            <w:r>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Government and Policy</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33(4): 780-793</w:t>
            </w:r>
          </w:p>
        </w:tc>
      </w:tr>
      <w:tr w:rsidR="00574FFE" w14:paraId="1003F079" w14:textId="77777777" w:rsidTr="00362A0D">
        <w:trPr>
          <w:trHeight w:val="1098"/>
        </w:trPr>
        <w:tc>
          <w:tcPr>
            <w:tcW w:w="450" w:type="dxa"/>
          </w:tcPr>
          <w:p w14:paraId="0A08567A" w14:textId="1AD4B79E"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54.</w:t>
            </w:r>
          </w:p>
        </w:tc>
        <w:tc>
          <w:tcPr>
            <w:tcW w:w="1755" w:type="dxa"/>
            <w:shd w:val="clear" w:color="auto" w:fill="auto"/>
            <w:tcMar>
              <w:top w:w="15" w:type="dxa"/>
              <w:left w:w="72" w:type="dxa"/>
              <w:bottom w:w="0" w:type="dxa"/>
              <w:right w:w="72" w:type="dxa"/>
            </w:tcMar>
            <w:hideMark/>
          </w:tcPr>
          <w:p w14:paraId="6FBC721B" w14:textId="7DDC5DD3"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Rodriguez, J. A.; Thomsen, C. G.; Arenas, D.; </w:t>
            </w:r>
            <w:proofErr w:type="spellStart"/>
            <w:r w:rsidRPr="001F2DA6">
              <w:rPr>
                <w:rFonts w:ascii="Times New Roman" w:hAnsi="Times New Roman" w:cs="Times New Roman"/>
                <w:color w:val="000000"/>
                <w:sz w:val="20"/>
                <w:szCs w:val="20"/>
              </w:rPr>
              <w:t>Pagell</w:t>
            </w:r>
            <w:proofErr w:type="spellEnd"/>
            <w:r w:rsidRPr="001F2DA6">
              <w:rPr>
                <w:rFonts w:ascii="Times New Roman" w:hAnsi="Times New Roman" w:cs="Times New Roman"/>
                <w:color w:val="000000"/>
                <w:sz w:val="20"/>
                <w:szCs w:val="20"/>
              </w:rPr>
              <w:t>, M.</w:t>
            </w:r>
          </w:p>
        </w:tc>
        <w:tc>
          <w:tcPr>
            <w:tcW w:w="570" w:type="dxa"/>
            <w:shd w:val="clear" w:color="auto" w:fill="auto"/>
            <w:tcMar>
              <w:top w:w="15" w:type="dxa"/>
              <w:left w:w="72" w:type="dxa"/>
              <w:bottom w:w="0" w:type="dxa"/>
              <w:right w:w="72" w:type="dxa"/>
            </w:tcMar>
            <w:hideMark/>
          </w:tcPr>
          <w:p w14:paraId="5DDEC899"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46C28407"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NGOs’ initiatives to enhance social sustainability in the supply chain: Poverty alleviation through supplier development programs.</w:t>
            </w:r>
          </w:p>
        </w:tc>
        <w:tc>
          <w:tcPr>
            <w:tcW w:w="2745" w:type="dxa"/>
            <w:shd w:val="clear" w:color="auto" w:fill="auto"/>
            <w:tcMar>
              <w:top w:w="15" w:type="dxa"/>
              <w:left w:w="72" w:type="dxa"/>
              <w:bottom w:w="0" w:type="dxa"/>
              <w:right w:w="72" w:type="dxa"/>
            </w:tcMar>
            <w:hideMark/>
          </w:tcPr>
          <w:p w14:paraId="23F8849B" w14:textId="486D47CB"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Supply Chain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52(3): 83-108</w:t>
            </w:r>
          </w:p>
        </w:tc>
      </w:tr>
      <w:tr w:rsidR="00574FFE" w14:paraId="5EF34D12" w14:textId="77777777" w:rsidTr="00362A0D">
        <w:trPr>
          <w:trHeight w:val="531"/>
        </w:trPr>
        <w:tc>
          <w:tcPr>
            <w:tcW w:w="450" w:type="dxa"/>
          </w:tcPr>
          <w:p w14:paraId="256917D4" w14:textId="7709E716"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755" w:type="dxa"/>
            <w:shd w:val="clear" w:color="auto" w:fill="auto"/>
            <w:tcMar>
              <w:top w:w="15" w:type="dxa"/>
              <w:left w:w="72" w:type="dxa"/>
              <w:bottom w:w="0" w:type="dxa"/>
              <w:right w:w="72" w:type="dxa"/>
            </w:tcMar>
            <w:hideMark/>
          </w:tcPr>
          <w:p w14:paraId="022D1459" w14:textId="681915E0"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Rogers, E.; Weber, E. P.</w:t>
            </w:r>
          </w:p>
        </w:tc>
        <w:tc>
          <w:tcPr>
            <w:tcW w:w="570" w:type="dxa"/>
            <w:shd w:val="clear" w:color="auto" w:fill="auto"/>
            <w:tcMar>
              <w:top w:w="15" w:type="dxa"/>
              <w:left w:w="72" w:type="dxa"/>
              <w:bottom w:w="0" w:type="dxa"/>
              <w:right w:w="72" w:type="dxa"/>
            </w:tcMar>
            <w:hideMark/>
          </w:tcPr>
          <w:p w14:paraId="39BE1445"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2010</w:t>
            </w:r>
          </w:p>
        </w:tc>
        <w:tc>
          <w:tcPr>
            <w:tcW w:w="3934" w:type="dxa"/>
            <w:shd w:val="clear" w:color="auto" w:fill="auto"/>
            <w:tcMar>
              <w:top w:w="15" w:type="dxa"/>
              <w:left w:w="72" w:type="dxa"/>
              <w:bottom w:w="0" w:type="dxa"/>
              <w:right w:w="72" w:type="dxa"/>
            </w:tcMar>
            <w:hideMark/>
          </w:tcPr>
          <w:p w14:paraId="4C1C7E1F"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Thinking harder about outcomes for collaborative governance arrangements.</w:t>
            </w:r>
          </w:p>
        </w:tc>
        <w:tc>
          <w:tcPr>
            <w:tcW w:w="2745" w:type="dxa"/>
            <w:shd w:val="clear" w:color="auto" w:fill="auto"/>
            <w:tcMar>
              <w:top w:w="15" w:type="dxa"/>
              <w:left w:w="72" w:type="dxa"/>
              <w:bottom w:w="0" w:type="dxa"/>
              <w:right w:w="72" w:type="dxa"/>
            </w:tcMar>
            <w:hideMark/>
          </w:tcPr>
          <w:p w14:paraId="57687F95" w14:textId="61164B1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American Review of Public Administration</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40(5): 546-567</w:t>
            </w:r>
          </w:p>
        </w:tc>
      </w:tr>
      <w:tr w:rsidR="00574FFE" w14:paraId="1CF9A3A4" w14:textId="77777777" w:rsidTr="00362A0D">
        <w:trPr>
          <w:trHeight w:val="756"/>
        </w:trPr>
        <w:tc>
          <w:tcPr>
            <w:tcW w:w="450" w:type="dxa"/>
          </w:tcPr>
          <w:p w14:paraId="3CC3CECC" w14:textId="0CA2346A"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755" w:type="dxa"/>
            <w:shd w:val="clear" w:color="auto" w:fill="auto"/>
            <w:tcMar>
              <w:top w:w="15" w:type="dxa"/>
              <w:left w:w="72" w:type="dxa"/>
              <w:bottom w:w="0" w:type="dxa"/>
              <w:right w:w="72" w:type="dxa"/>
            </w:tcMar>
            <w:hideMark/>
          </w:tcPr>
          <w:p w14:paraId="36E0927E" w14:textId="474F001A"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Roth, A. P.; de </w:t>
            </w:r>
            <w:proofErr w:type="spellStart"/>
            <w:r w:rsidRPr="001F2DA6">
              <w:rPr>
                <w:rFonts w:ascii="Times New Roman" w:hAnsi="Times New Roman" w:cs="Times New Roman"/>
                <w:color w:val="000000"/>
                <w:sz w:val="20"/>
                <w:szCs w:val="20"/>
              </w:rPr>
              <w:t>Lo</w:t>
            </w:r>
            <w:r w:rsidRPr="00F43CAA">
              <w:rPr>
                <w:rFonts w:ascii="Times New Roman" w:hAnsi="Times New Roman" w:cs="Times New Roman"/>
                <w:color w:val="000000"/>
                <w:sz w:val="20"/>
                <w:szCs w:val="20"/>
              </w:rPr>
              <w:t>ë</w:t>
            </w:r>
            <w:proofErr w:type="spellEnd"/>
            <w:r w:rsidRPr="001F2DA6">
              <w:rPr>
                <w:rFonts w:ascii="Times New Roman" w:hAnsi="Times New Roman" w:cs="Times New Roman"/>
                <w:color w:val="000000"/>
                <w:sz w:val="20"/>
                <w:szCs w:val="20"/>
              </w:rPr>
              <w:t>, R. C.</w:t>
            </w:r>
          </w:p>
        </w:tc>
        <w:tc>
          <w:tcPr>
            <w:tcW w:w="570" w:type="dxa"/>
            <w:shd w:val="clear" w:color="auto" w:fill="auto"/>
            <w:tcMar>
              <w:top w:w="15" w:type="dxa"/>
              <w:left w:w="72" w:type="dxa"/>
              <w:bottom w:w="0" w:type="dxa"/>
              <w:right w:w="72" w:type="dxa"/>
            </w:tcMar>
            <w:hideMark/>
          </w:tcPr>
          <w:p w14:paraId="791745E6"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0CE171FB"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Incorporating outcomes from collaborative processes into government decision making: A case study from low water response planning in Ontario, Canada.</w:t>
            </w:r>
          </w:p>
        </w:tc>
        <w:tc>
          <w:tcPr>
            <w:tcW w:w="2745" w:type="dxa"/>
            <w:shd w:val="clear" w:color="auto" w:fill="auto"/>
            <w:tcMar>
              <w:top w:w="15" w:type="dxa"/>
              <w:left w:w="72" w:type="dxa"/>
              <w:bottom w:w="0" w:type="dxa"/>
              <w:right w:w="72" w:type="dxa"/>
            </w:tcMar>
            <w:hideMark/>
          </w:tcPr>
          <w:p w14:paraId="5403484D" w14:textId="56D86FB8"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Ecological Economics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132: 169-178</w:t>
            </w:r>
          </w:p>
        </w:tc>
      </w:tr>
      <w:tr w:rsidR="00574FFE" w14:paraId="204D0CE8" w14:textId="77777777" w:rsidTr="00362A0D">
        <w:trPr>
          <w:trHeight w:val="1206"/>
        </w:trPr>
        <w:tc>
          <w:tcPr>
            <w:tcW w:w="450" w:type="dxa"/>
          </w:tcPr>
          <w:p w14:paraId="3FC7FDAE" w14:textId="58B85B0D" w:rsidR="00574FFE" w:rsidRPr="00AD3F57"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1755" w:type="dxa"/>
            <w:shd w:val="clear" w:color="auto" w:fill="auto"/>
            <w:tcMar>
              <w:top w:w="15" w:type="dxa"/>
              <w:left w:w="72" w:type="dxa"/>
              <w:bottom w:w="0" w:type="dxa"/>
              <w:right w:w="72" w:type="dxa"/>
            </w:tcMar>
            <w:hideMark/>
          </w:tcPr>
          <w:p w14:paraId="3007931C" w14:textId="3350DA00" w:rsidR="00574FFE" w:rsidRPr="00AD3F57" w:rsidRDefault="00574FFE" w:rsidP="002B0CD5">
            <w:pPr>
              <w:spacing w:after="120"/>
              <w:rPr>
                <w:rFonts w:ascii="Times New Roman" w:hAnsi="Times New Roman" w:cs="Times New Roman"/>
                <w:color w:val="000000"/>
                <w:sz w:val="20"/>
                <w:szCs w:val="20"/>
              </w:rPr>
            </w:pPr>
            <w:r w:rsidRPr="00AD3F57">
              <w:rPr>
                <w:rFonts w:ascii="Times New Roman" w:hAnsi="Times New Roman" w:cs="Times New Roman"/>
                <w:color w:val="000000"/>
                <w:sz w:val="20"/>
                <w:szCs w:val="20"/>
              </w:rPr>
              <w:t>Sakarya, S.; Bodur, M.; Yildirim-</w:t>
            </w:r>
            <w:proofErr w:type="spellStart"/>
            <w:r w:rsidRPr="00AD3F57">
              <w:rPr>
                <w:rFonts w:ascii="Times New Roman" w:hAnsi="Times New Roman" w:cs="Times New Roman"/>
                <w:color w:val="000000"/>
                <w:sz w:val="20"/>
                <w:szCs w:val="20"/>
              </w:rPr>
              <w:t>Öktem</w:t>
            </w:r>
            <w:proofErr w:type="spellEnd"/>
            <w:r w:rsidRPr="00AD3F57">
              <w:rPr>
                <w:rFonts w:ascii="Times New Roman" w:hAnsi="Times New Roman" w:cs="Times New Roman"/>
                <w:color w:val="000000"/>
                <w:sz w:val="20"/>
                <w:szCs w:val="20"/>
              </w:rPr>
              <w:t xml:space="preserve">, O.; </w:t>
            </w:r>
            <w:proofErr w:type="spellStart"/>
            <w:r w:rsidRPr="00AD3F57">
              <w:rPr>
                <w:rFonts w:ascii="Times New Roman" w:hAnsi="Times New Roman" w:cs="Times New Roman"/>
                <w:color w:val="000000"/>
                <w:sz w:val="20"/>
                <w:szCs w:val="20"/>
              </w:rPr>
              <w:t>Selekler-G</w:t>
            </w:r>
            <w:r>
              <w:rPr>
                <w:rFonts w:ascii="Times New Roman" w:hAnsi="Times New Roman" w:cs="Times New Roman"/>
                <w:color w:val="000000"/>
                <w:sz w:val="20"/>
                <w:szCs w:val="20"/>
              </w:rPr>
              <w:t>ö</w:t>
            </w:r>
            <w:r w:rsidRPr="00AD3F57">
              <w:rPr>
                <w:rFonts w:ascii="Times New Roman" w:hAnsi="Times New Roman" w:cs="Times New Roman"/>
                <w:color w:val="000000"/>
                <w:sz w:val="20"/>
                <w:szCs w:val="20"/>
              </w:rPr>
              <w:t>ksen</w:t>
            </w:r>
            <w:proofErr w:type="spellEnd"/>
            <w:r w:rsidRPr="00AD3F57">
              <w:rPr>
                <w:rFonts w:ascii="Times New Roman" w:hAnsi="Times New Roman" w:cs="Times New Roman"/>
                <w:color w:val="000000"/>
                <w:sz w:val="20"/>
                <w:szCs w:val="20"/>
              </w:rPr>
              <w:t>, N.</w:t>
            </w:r>
          </w:p>
        </w:tc>
        <w:tc>
          <w:tcPr>
            <w:tcW w:w="570" w:type="dxa"/>
            <w:shd w:val="clear" w:color="auto" w:fill="auto"/>
            <w:tcMar>
              <w:top w:w="15" w:type="dxa"/>
              <w:left w:w="72" w:type="dxa"/>
              <w:bottom w:w="0" w:type="dxa"/>
              <w:right w:w="72" w:type="dxa"/>
            </w:tcMar>
            <w:hideMark/>
          </w:tcPr>
          <w:p w14:paraId="71831724"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4D1BAADA"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Social alliances: Business and social enterprise collaboration for social transformation.</w:t>
            </w:r>
          </w:p>
        </w:tc>
        <w:tc>
          <w:tcPr>
            <w:tcW w:w="2745" w:type="dxa"/>
            <w:shd w:val="clear" w:color="auto" w:fill="auto"/>
            <w:tcMar>
              <w:top w:w="15" w:type="dxa"/>
              <w:left w:w="72" w:type="dxa"/>
              <w:bottom w:w="0" w:type="dxa"/>
              <w:right w:w="72" w:type="dxa"/>
            </w:tcMar>
            <w:hideMark/>
          </w:tcPr>
          <w:p w14:paraId="08A4408D" w14:textId="785F6BA5"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Research</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65(12): 1710-1720</w:t>
            </w:r>
          </w:p>
        </w:tc>
      </w:tr>
      <w:tr w:rsidR="00574FFE" w14:paraId="4FC7DD29" w14:textId="77777777" w:rsidTr="00362A0D">
        <w:trPr>
          <w:trHeight w:val="432"/>
        </w:trPr>
        <w:tc>
          <w:tcPr>
            <w:tcW w:w="450" w:type="dxa"/>
          </w:tcPr>
          <w:p w14:paraId="590A797C" w14:textId="3AAD4473"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1755" w:type="dxa"/>
            <w:shd w:val="clear" w:color="auto" w:fill="auto"/>
            <w:tcMar>
              <w:top w:w="15" w:type="dxa"/>
              <w:left w:w="72" w:type="dxa"/>
              <w:bottom w:w="0" w:type="dxa"/>
              <w:right w:w="72" w:type="dxa"/>
            </w:tcMar>
            <w:hideMark/>
          </w:tcPr>
          <w:p w14:paraId="46F4F626" w14:textId="4533387A" w:rsidR="00574FFE" w:rsidRPr="001F2DA6" w:rsidRDefault="00574FFE"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Scodanibbio</w:t>
            </w:r>
            <w:proofErr w:type="spellEnd"/>
            <w:r w:rsidRPr="001F2DA6">
              <w:rPr>
                <w:rFonts w:ascii="Times New Roman" w:hAnsi="Times New Roman" w:cs="Times New Roman"/>
                <w:color w:val="000000"/>
                <w:sz w:val="20"/>
                <w:szCs w:val="20"/>
              </w:rPr>
              <w:t>, L.</w:t>
            </w:r>
          </w:p>
        </w:tc>
        <w:tc>
          <w:tcPr>
            <w:tcW w:w="570" w:type="dxa"/>
            <w:shd w:val="clear" w:color="auto" w:fill="auto"/>
            <w:tcMar>
              <w:top w:w="15" w:type="dxa"/>
              <w:left w:w="72" w:type="dxa"/>
              <w:bottom w:w="0" w:type="dxa"/>
              <w:right w:w="72" w:type="dxa"/>
            </w:tcMar>
            <w:hideMark/>
          </w:tcPr>
          <w:p w14:paraId="4C62E60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2011</w:t>
            </w:r>
          </w:p>
        </w:tc>
        <w:tc>
          <w:tcPr>
            <w:tcW w:w="3934" w:type="dxa"/>
            <w:shd w:val="clear" w:color="auto" w:fill="auto"/>
            <w:tcMar>
              <w:top w:w="15" w:type="dxa"/>
              <w:left w:w="72" w:type="dxa"/>
              <w:bottom w:w="0" w:type="dxa"/>
              <w:right w:w="72" w:type="dxa"/>
            </w:tcMar>
            <w:hideMark/>
          </w:tcPr>
          <w:p w14:paraId="091EBB76"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Opening a policy window for organisational change and full-cost accounting: The creation of BC Hydro's water use planning program.</w:t>
            </w:r>
          </w:p>
        </w:tc>
        <w:tc>
          <w:tcPr>
            <w:tcW w:w="2745" w:type="dxa"/>
            <w:shd w:val="clear" w:color="auto" w:fill="auto"/>
            <w:tcMar>
              <w:top w:w="15" w:type="dxa"/>
              <w:left w:w="72" w:type="dxa"/>
              <w:bottom w:w="0" w:type="dxa"/>
              <w:right w:w="72" w:type="dxa"/>
            </w:tcMar>
            <w:hideMark/>
          </w:tcPr>
          <w:p w14:paraId="58BC6DA9" w14:textId="56E9778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Ecological Economics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70(5): 1006-1015</w:t>
            </w:r>
          </w:p>
        </w:tc>
      </w:tr>
      <w:tr w:rsidR="00574FFE" w14:paraId="7E3CA6DE" w14:textId="77777777" w:rsidTr="00362A0D">
        <w:trPr>
          <w:trHeight w:val="315"/>
        </w:trPr>
        <w:tc>
          <w:tcPr>
            <w:tcW w:w="450" w:type="dxa"/>
          </w:tcPr>
          <w:p w14:paraId="7F010DD7" w14:textId="74ACDBE8" w:rsidR="00574FFE"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1755" w:type="dxa"/>
            <w:shd w:val="clear" w:color="auto" w:fill="auto"/>
            <w:tcMar>
              <w:top w:w="15" w:type="dxa"/>
              <w:left w:w="72" w:type="dxa"/>
              <w:bottom w:w="0" w:type="dxa"/>
              <w:right w:w="72" w:type="dxa"/>
            </w:tcMar>
            <w:hideMark/>
          </w:tcPr>
          <w:p w14:paraId="417C55E5" w14:textId="40EDD494"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Scott, T.</w:t>
            </w:r>
          </w:p>
        </w:tc>
        <w:tc>
          <w:tcPr>
            <w:tcW w:w="570" w:type="dxa"/>
            <w:shd w:val="clear" w:color="auto" w:fill="auto"/>
            <w:tcMar>
              <w:top w:w="15" w:type="dxa"/>
              <w:left w:w="72" w:type="dxa"/>
              <w:bottom w:w="0" w:type="dxa"/>
              <w:right w:w="72" w:type="dxa"/>
            </w:tcMar>
            <w:hideMark/>
          </w:tcPr>
          <w:p w14:paraId="1C9ED8D2" w14:textId="77777777" w:rsidR="00574FFE" w:rsidRPr="001F2DA6" w:rsidRDefault="00574FFE"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2015</w:t>
            </w:r>
          </w:p>
        </w:tc>
        <w:tc>
          <w:tcPr>
            <w:tcW w:w="3934" w:type="dxa"/>
            <w:shd w:val="clear" w:color="auto" w:fill="auto"/>
            <w:tcMar>
              <w:top w:w="15" w:type="dxa"/>
              <w:left w:w="72" w:type="dxa"/>
              <w:bottom w:w="0" w:type="dxa"/>
              <w:right w:w="72" w:type="dxa"/>
            </w:tcMar>
            <w:hideMark/>
          </w:tcPr>
          <w:p w14:paraId="14F0B899" w14:textId="77777777"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Does collaboration make any difference? Linking collaborative governance to environmental outcomes.</w:t>
            </w:r>
          </w:p>
        </w:tc>
        <w:tc>
          <w:tcPr>
            <w:tcW w:w="2745" w:type="dxa"/>
            <w:shd w:val="clear" w:color="auto" w:fill="auto"/>
            <w:tcMar>
              <w:top w:w="15" w:type="dxa"/>
              <w:left w:w="72" w:type="dxa"/>
              <w:bottom w:w="0" w:type="dxa"/>
              <w:right w:w="72" w:type="dxa"/>
            </w:tcMar>
            <w:hideMark/>
          </w:tcPr>
          <w:p w14:paraId="335FD35F" w14:textId="3100E6BD" w:rsidR="00574FFE" w:rsidRPr="001F2DA6" w:rsidRDefault="00574FFE"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Policy Analysis and Management</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34(</w:t>
            </w:r>
            <w:r>
              <w:rPr>
                <w:rFonts w:ascii="Times New Roman" w:hAnsi="Times New Roman" w:cs="Times New Roman"/>
                <w:color w:val="000000"/>
                <w:sz w:val="20"/>
                <w:szCs w:val="20"/>
              </w:rPr>
              <w:t>3</w:t>
            </w:r>
            <w:r w:rsidRPr="001F2DA6">
              <w:rPr>
                <w:rFonts w:ascii="Times New Roman" w:hAnsi="Times New Roman" w:cs="Times New Roman"/>
                <w:color w:val="000000"/>
                <w:sz w:val="20"/>
                <w:szCs w:val="20"/>
              </w:rPr>
              <w:t>): 537-566</w:t>
            </w:r>
          </w:p>
        </w:tc>
      </w:tr>
      <w:tr w:rsidR="00C474FB" w14:paraId="2B693F8A" w14:textId="77777777" w:rsidTr="00362A0D">
        <w:trPr>
          <w:trHeight w:val="666"/>
        </w:trPr>
        <w:tc>
          <w:tcPr>
            <w:tcW w:w="450" w:type="dxa"/>
          </w:tcPr>
          <w:p w14:paraId="7982A94F" w14:textId="1518A5AC"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755" w:type="dxa"/>
            <w:shd w:val="clear" w:color="auto" w:fill="auto"/>
            <w:tcMar>
              <w:top w:w="15" w:type="dxa"/>
              <w:left w:w="72" w:type="dxa"/>
              <w:bottom w:w="0" w:type="dxa"/>
              <w:right w:w="72" w:type="dxa"/>
            </w:tcMar>
            <w:hideMark/>
          </w:tcPr>
          <w:p w14:paraId="77DA9E29" w14:textId="603201F9"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Sonday, S. M.; Wilson-Prangley, A.</w:t>
            </w:r>
          </w:p>
        </w:tc>
        <w:tc>
          <w:tcPr>
            <w:tcW w:w="570" w:type="dxa"/>
            <w:shd w:val="clear" w:color="auto" w:fill="auto"/>
            <w:tcMar>
              <w:top w:w="15" w:type="dxa"/>
              <w:left w:w="72" w:type="dxa"/>
              <w:bottom w:w="0" w:type="dxa"/>
              <w:right w:w="72" w:type="dxa"/>
            </w:tcMar>
            <w:hideMark/>
          </w:tcPr>
          <w:p w14:paraId="2D110159"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006D6C22"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Intermediary capabilities in the context of challenging state dynamics.</w:t>
            </w:r>
          </w:p>
        </w:tc>
        <w:tc>
          <w:tcPr>
            <w:tcW w:w="2745" w:type="dxa"/>
            <w:shd w:val="clear" w:color="auto" w:fill="auto"/>
            <w:tcMar>
              <w:top w:w="15" w:type="dxa"/>
              <w:left w:w="72" w:type="dxa"/>
              <w:bottom w:w="0" w:type="dxa"/>
              <w:right w:w="72" w:type="dxa"/>
            </w:tcMar>
            <w:hideMark/>
          </w:tcPr>
          <w:p w14:paraId="459976A4" w14:textId="4D3B5542"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152</w:t>
            </w:r>
            <w:r>
              <w:rPr>
                <w:rFonts w:ascii="Times New Roman" w:hAnsi="Times New Roman" w:cs="Times New Roman"/>
                <w:color w:val="000000"/>
                <w:sz w:val="20"/>
                <w:szCs w:val="20"/>
              </w:rPr>
              <w:t>(3)</w:t>
            </w:r>
            <w:r w:rsidRPr="001F2DA6">
              <w:rPr>
                <w:rFonts w:ascii="Times New Roman" w:hAnsi="Times New Roman" w:cs="Times New Roman"/>
                <w:color w:val="000000"/>
                <w:sz w:val="20"/>
                <w:szCs w:val="20"/>
              </w:rPr>
              <w:t>: 667-682</w:t>
            </w:r>
          </w:p>
        </w:tc>
      </w:tr>
      <w:tr w:rsidR="00C474FB" w14:paraId="380E7145" w14:textId="77777777" w:rsidTr="00362A0D">
        <w:trPr>
          <w:trHeight w:val="279"/>
        </w:trPr>
        <w:tc>
          <w:tcPr>
            <w:tcW w:w="450" w:type="dxa"/>
          </w:tcPr>
          <w:p w14:paraId="49124945" w14:textId="04C3EBD0" w:rsidR="00C474FB"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61.</w:t>
            </w:r>
          </w:p>
        </w:tc>
        <w:tc>
          <w:tcPr>
            <w:tcW w:w="1755" w:type="dxa"/>
            <w:shd w:val="clear" w:color="auto" w:fill="auto"/>
            <w:tcMar>
              <w:top w:w="15" w:type="dxa"/>
              <w:left w:w="72" w:type="dxa"/>
              <w:bottom w:w="0" w:type="dxa"/>
              <w:right w:w="72" w:type="dxa"/>
            </w:tcMar>
            <w:hideMark/>
          </w:tcPr>
          <w:p w14:paraId="7FB76712" w14:textId="1C677C25" w:rsidR="00C474FB" w:rsidRPr="001F2DA6" w:rsidRDefault="00C474FB" w:rsidP="002B0CD5">
            <w:pPr>
              <w:spacing w:after="120"/>
              <w:rPr>
                <w:rFonts w:ascii="Times New Roman" w:hAnsi="Times New Roman" w:cs="Times New Roman"/>
                <w:color w:val="000000"/>
                <w:sz w:val="20"/>
                <w:szCs w:val="20"/>
                <w:lang w:val="de-DE"/>
              </w:rPr>
            </w:pPr>
            <w:proofErr w:type="spellStart"/>
            <w:r w:rsidRPr="001F2DA6">
              <w:rPr>
                <w:rFonts w:ascii="Times New Roman" w:hAnsi="Times New Roman" w:cs="Times New Roman"/>
                <w:color w:val="000000"/>
                <w:sz w:val="20"/>
                <w:szCs w:val="20"/>
                <w:lang w:val="de-DE"/>
              </w:rPr>
              <w:t>Steijn</w:t>
            </w:r>
            <w:proofErr w:type="spellEnd"/>
            <w:r w:rsidRPr="001F2DA6">
              <w:rPr>
                <w:rFonts w:ascii="Times New Roman" w:hAnsi="Times New Roman" w:cs="Times New Roman"/>
                <w:color w:val="000000"/>
                <w:sz w:val="20"/>
                <w:szCs w:val="20"/>
                <w:lang w:val="de-DE"/>
              </w:rPr>
              <w:t xml:space="preserve">, B.; </w:t>
            </w:r>
            <w:proofErr w:type="spellStart"/>
            <w:r w:rsidRPr="001F2DA6">
              <w:rPr>
                <w:rFonts w:ascii="Times New Roman" w:hAnsi="Times New Roman" w:cs="Times New Roman"/>
                <w:color w:val="000000"/>
                <w:sz w:val="20"/>
                <w:szCs w:val="20"/>
                <w:lang w:val="de-DE"/>
              </w:rPr>
              <w:t>Klijn</w:t>
            </w:r>
            <w:proofErr w:type="spellEnd"/>
            <w:r w:rsidRPr="001F2DA6">
              <w:rPr>
                <w:rFonts w:ascii="Times New Roman" w:hAnsi="Times New Roman" w:cs="Times New Roman"/>
                <w:color w:val="000000"/>
                <w:sz w:val="20"/>
                <w:szCs w:val="20"/>
                <w:lang w:val="de-DE"/>
              </w:rPr>
              <w:t xml:space="preserve">, E. H.; </w:t>
            </w:r>
            <w:proofErr w:type="spellStart"/>
            <w:r w:rsidRPr="001F2DA6">
              <w:rPr>
                <w:rFonts w:ascii="Times New Roman" w:hAnsi="Times New Roman" w:cs="Times New Roman"/>
                <w:color w:val="000000"/>
                <w:sz w:val="20"/>
                <w:szCs w:val="20"/>
                <w:lang w:val="de-DE"/>
              </w:rPr>
              <w:t>Edelenbos</w:t>
            </w:r>
            <w:proofErr w:type="spellEnd"/>
            <w:r w:rsidRPr="001F2DA6">
              <w:rPr>
                <w:rFonts w:ascii="Times New Roman" w:hAnsi="Times New Roman" w:cs="Times New Roman"/>
                <w:color w:val="000000"/>
                <w:sz w:val="20"/>
                <w:szCs w:val="20"/>
                <w:lang w:val="de-DE"/>
              </w:rPr>
              <w:t>, J.</w:t>
            </w:r>
          </w:p>
        </w:tc>
        <w:tc>
          <w:tcPr>
            <w:tcW w:w="570" w:type="dxa"/>
            <w:shd w:val="clear" w:color="auto" w:fill="auto"/>
            <w:tcMar>
              <w:top w:w="15" w:type="dxa"/>
              <w:left w:w="72" w:type="dxa"/>
              <w:bottom w:w="0" w:type="dxa"/>
              <w:right w:w="72" w:type="dxa"/>
            </w:tcMar>
            <w:hideMark/>
          </w:tcPr>
          <w:p w14:paraId="4D4ADD36"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2011</w:t>
            </w:r>
          </w:p>
        </w:tc>
        <w:tc>
          <w:tcPr>
            <w:tcW w:w="3934" w:type="dxa"/>
            <w:shd w:val="clear" w:color="auto" w:fill="auto"/>
            <w:tcMar>
              <w:top w:w="15" w:type="dxa"/>
              <w:left w:w="72" w:type="dxa"/>
              <w:bottom w:w="0" w:type="dxa"/>
              <w:right w:w="72" w:type="dxa"/>
            </w:tcMar>
            <w:hideMark/>
          </w:tcPr>
          <w:p w14:paraId="4C154FA9"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Public private partnerships: Added value by organizational form or management? </w:t>
            </w:r>
          </w:p>
        </w:tc>
        <w:tc>
          <w:tcPr>
            <w:tcW w:w="2745" w:type="dxa"/>
            <w:shd w:val="clear" w:color="auto" w:fill="auto"/>
            <w:tcMar>
              <w:top w:w="15" w:type="dxa"/>
              <w:left w:w="72" w:type="dxa"/>
              <w:bottom w:w="0" w:type="dxa"/>
              <w:right w:w="72" w:type="dxa"/>
            </w:tcMar>
            <w:hideMark/>
          </w:tcPr>
          <w:p w14:paraId="0CC9E2CC" w14:textId="28C764B9"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Administration</w:t>
            </w:r>
            <w:r w:rsidR="00014896">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89(4): 1235-1252</w:t>
            </w:r>
          </w:p>
        </w:tc>
      </w:tr>
      <w:tr w:rsidR="00C474FB" w14:paraId="6610B890" w14:textId="77777777" w:rsidTr="00362A0D">
        <w:trPr>
          <w:trHeight w:val="1413"/>
        </w:trPr>
        <w:tc>
          <w:tcPr>
            <w:tcW w:w="450" w:type="dxa"/>
          </w:tcPr>
          <w:p w14:paraId="6D75836F" w14:textId="2F259CA9"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1755" w:type="dxa"/>
            <w:shd w:val="clear" w:color="auto" w:fill="auto"/>
            <w:tcMar>
              <w:top w:w="15" w:type="dxa"/>
              <w:left w:w="72" w:type="dxa"/>
              <w:bottom w:w="0" w:type="dxa"/>
              <w:right w:w="72" w:type="dxa"/>
            </w:tcMar>
            <w:hideMark/>
          </w:tcPr>
          <w:p w14:paraId="1D1C30A5" w14:textId="093265BC"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Steyaert, P.; </w:t>
            </w:r>
            <w:proofErr w:type="spellStart"/>
            <w:r w:rsidRPr="001F2DA6">
              <w:rPr>
                <w:rFonts w:ascii="Times New Roman" w:hAnsi="Times New Roman" w:cs="Times New Roman"/>
                <w:color w:val="000000"/>
                <w:sz w:val="20"/>
                <w:szCs w:val="20"/>
              </w:rPr>
              <w:t>Barzman</w:t>
            </w:r>
            <w:proofErr w:type="spellEnd"/>
            <w:r w:rsidRPr="001F2DA6">
              <w:rPr>
                <w:rFonts w:ascii="Times New Roman" w:hAnsi="Times New Roman" w:cs="Times New Roman"/>
                <w:color w:val="000000"/>
                <w:sz w:val="20"/>
                <w:szCs w:val="20"/>
              </w:rPr>
              <w:t xml:space="preserve">, M.; Billaud, J. P.; </w:t>
            </w:r>
            <w:proofErr w:type="spellStart"/>
            <w:r w:rsidRPr="001F2DA6">
              <w:rPr>
                <w:rFonts w:ascii="Times New Roman" w:hAnsi="Times New Roman" w:cs="Times New Roman"/>
                <w:color w:val="000000"/>
                <w:sz w:val="20"/>
                <w:szCs w:val="20"/>
              </w:rPr>
              <w:t>Brives</w:t>
            </w:r>
            <w:proofErr w:type="spellEnd"/>
            <w:r w:rsidRPr="001F2DA6">
              <w:rPr>
                <w:rFonts w:ascii="Times New Roman" w:hAnsi="Times New Roman" w:cs="Times New Roman"/>
                <w:color w:val="000000"/>
                <w:sz w:val="20"/>
                <w:szCs w:val="20"/>
              </w:rPr>
              <w:t>, H.; Hubert, B.; Ollivier, G.; Roche, B.</w:t>
            </w:r>
          </w:p>
        </w:tc>
        <w:tc>
          <w:tcPr>
            <w:tcW w:w="570" w:type="dxa"/>
            <w:shd w:val="clear" w:color="auto" w:fill="auto"/>
            <w:tcMar>
              <w:top w:w="15" w:type="dxa"/>
              <w:left w:w="72" w:type="dxa"/>
              <w:bottom w:w="0" w:type="dxa"/>
              <w:right w:w="72" w:type="dxa"/>
            </w:tcMar>
            <w:hideMark/>
          </w:tcPr>
          <w:p w14:paraId="041E3963"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2007</w:t>
            </w:r>
          </w:p>
        </w:tc>
        <w:tc>
          <w:tcPr>
            <w:tcW w:w="3934" w:type="dxa"/>
            <w:shd w:val="clear" w:color="auto" w:fill="auto"/>
            <w:tcMar>
              <w:top w:w="15" w:type="dxa"/>
              <w:left w:w="72" w:type="dxa"/>
              <w:bottom w:w="0" w:type="dxa"/>
              <w:right w:w="72" w:type="dxa"/>
            </w:tcMar>
            <w:hideMark/>
          </w:tcPr>
          <w:p w14:paraId="168C3D3F"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The role of knowledge and research in facilitating social learning among stakeholders in natural resources management in the French Atlantic coastal wetlands.</w:t>
            </w:r>
          </w:p>
        </w:tc>
        <w:tc>
          <w:tcPr>
            <w:tcW w:w="2745" w:type="dxa"/>
            <w:shd w:val="clear" w:color="auto" w:fill="auto"/>
            <w:tcMar>
              <w:top w:w="15" w:type="dxa"/>
              <w:left w:w="72" w:type="dxa"/>
              <w:bottom w:w="0" w:type="dxa"/>
              <w:right w:w="72" w:type="dxa"/>
            </w:tcMar>
            <w:hideMark/>
          </w:tcPr>
          <w:p w14:paraId="7AF36258" w14:textId="6650EEB4"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Environmental Science </w:t>
            </w:r>
            <w:r w:rsidR="002B0CD5">
              <w:rPr>
                <w:rFonts w:ascii="Times New Roman" w:hAnsi="Times New Roman" w:cs="Times New Roman"/>
                <w:color w:val="000000"/>
                <w:sz w:val="20"/>
                <w:szCs w:val="20"/>
              </w:rPr>
              <w:t>and</w:t>
            </w:r>
            <w:r w:rsidRPr="001F2DA6">
              <w:rPr>
                <w:rFonts w:ascii="Times New Roman" w:hAnsi="Times New Roman" w:cs="Times New Roman"/>
                <w:color w:val="000000"/>
                <w:sz w:val="20"/>
                <w:szCs w:val="20"/>
              </w:rPr>
              <w:t xml:space="preserve"> Policy</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10(6): 537-550</w:t>
            </w:r>
          </w:p>
        </w:tc>
      </w:tr>
      <w:tr w:rsidR="00C474FB" w14:paraId="22509A17" w14:textId="77777777" w:rsidTr="00362A0D">
        <w:trPr>
          <w:trHeight w:val="828"/>
        </w:trPr>
        <w:tc>
          <w:tcPr>
            <w:tcW w:w="450" w:type="dxa"/>
          </w:tcPr>
          <w:p w14:paraId="3A796AAA" w14:textId="51249B0E" w:rsidR="00C474FB"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63.</w:t>
            </w:r>
          </w:p>
        </w:tc>
        <w:tc>
          <w:tcPr>
            <w:tcW w:w="1755" w:type="dxa"/>
            <w:shd w:val="clear" w:color="auto" w:fill="auto"/>
            <w:tcMar>
              <w:top w:w="15" w:type="dxa"/>
              <w:left w:w="72" w:type="dxa"/>
              <w:bottom w:w="0" w:type="dxa"/>
              <w:right w:w="72" w:type="dxa"/>
            </w:tcMar>
            <w:hideMark/>
          </w:tcPr>
          <w:p w14:paraId="2A854A0D" w14:textId="22B5FB61" w:rsidR="00C474FB" w:rsidRPr="001F2DA6" w:rsidRDefault="00C474FB" w:rsidP="002B0CD5">
            <w:pPr>
              <w:spacing w:after="120"/>
              <w:rPr>
                <w:rFonts w:ascii="Times New Roman" w:hAnsi="Times New Roman" w:cs="Times New Roman"/>
                <w:color w:val="000000"/>
                <w:sz w:val="20"/>
                <w:szCs w:val="20"/>
                <w:lang w:val="de-DE"/>
              </w:rPr>
            </w:pPr>
            <w:proofErr w:type="spellStart"/>
            <w:r w:rsidRPr="001F2DA6">
              <w:rPr>
                <w:rFonts w:ascii="Times New Roman" w:hAnsi="Times New Roman" w:cs="Times New Roman"/>
                <w:color w:val="000000"/>
                <w:sz w:val="20"/>
                <w:szCs w:val="20"/>
                <w:lang w:val="de-DE"/>
              </w:rPr>
              <w:t>Szulecki</w:t>
            </w:r>
            <w:proofErr w:type="spellEnd"/>
            <w:r w:rsidRPr="001F2DA6">
              <w:rPr>
                <w:rFonts w:ascii="Times New Roman" w:hAnsi="Times New Roman" w:cs="Times New Roman"/>
                <w:color w:val="000000"/>
                <w:sz w:val="20"/>
                <w:szCs w:val="20"/>
                <w:lang w:val="de-DE"/>
              </w:rPr>
              <w:t>, K.; Pattberg, P.; Biermann, F.</w:t>
            </w:r>
          </w:p>
        </w:tc>
        <w:tc>
          <w:tcPr>
            <w:tcW w:w="570" w:type="dxa"/>
            <w:shd w:val="clear" w:color="auto" w:fill="auto"/>
            <w:tcMar>
              <w:top w:w="15" w:type="dxa"/>
              <w:left w:w="72" w:type="dxa"/>
              <w:bottom w:w="0" w:type="dxa"/>
              <w:right w:w="72" w:type="dxa"/>
            </w:tcMar>
            <w:hideMark/>
          </w:tcPr>
          <w:p w14:paraId="1DA9EED0"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2011</w:t>
            </w:r>
          </w:p>
        </w:tc>
        <w:tc>
          <w:tcPr>
            <w:tcW w:w="3934" w:type="dxa"/>
            <w:shd w:val="clear" w:color="auto" w:fill="auto"/>
            <w:tcMar>
              <w:top w:w="15" w:type="dxa"/>
              <w:left w:w="72" w:type="dxa"/>
              <w:bottom w:w="0" w:type="dxa"/>
              <w:right w:w="72" w:type="dxa"/>
            </w:tcMar>
            <w:hideMark/>
          </w:tcPr>
          <w:p w14:paraId="1B3B5CE9"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Explaining variation in the effectiveness of transnational energy partnerships.</w:t>
            </w:r>
          </w:p>
        </w:tc>
        <w:tc>
          <w:tcPr>
            <w:tcW w:w="2745" w:type="dxa"/>
            <w:shd w:val="clear" w:color="auto" w:fill="auto"/>
            <w:tcMar>
              <w:top w:w="15" w:type="dxa"/>
              <w:left w:w="72" w:type="dxa"/>
              <w:bottom w:w="0" w:type="dxa"/>
              <w:right w:w="72" w:type="dxa"/>
            </w:tcMar>
            <w:hideMark/>
          </w:tcPr>
          <w:p w14:paraId="648A223E" w14:textId="1FF42970"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Governance-an International Journal of Policy Administration and Institutions</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24(4): 713-736</w:t>
            </w:r>
          </w:p>
        </w:tc>
      </w:tr>
      <w:tr w:rsidR="00C474FB" w14:paraId="11B12B96" w14:textId="77777777" w:rsidTr="00362A0D">
        <w:trPr>
          <w:trHeight w:val="297"/>
        </w:trPr>
        <w:tc>
          <w:tcPr>
            <w:tcW w:w="450" w:type="dxa"/>
          </w:tcPr>
          <w:p w14:paraId="556018EF" w14:textId="2667B64E"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755" w:type="dxa"/>
            <w:shd w:val="clear" w:color="auto" w:fill="auto"/>
            <w:tcMar>
              <w:top w:w="15" w:type="dxa"/>
              <w:left w:w="72" w:type="dxa"/>
              <w:bottom w:w="0" w:type="dxa"/>
              <w:right w:w="72" w:type="dxa"/>
            </w:tcMar>
            <w:hideMark/>
          </w:tcPr>
          <w:p w14:paraId="0934179C" w14:textId="045BEB5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Thorpe, J.</w:t>
            </w:r>
          </w:p>
        </w:tc>
        <w:tc>
          <w:tcPr>
            <w:tcW w:w="570" w:type="dxa"/>
            <w:shd w:val="clear" w:color="auto" w:fill="auto"/>
            <w:tcMar>
              <w:top w:w="15" w:type="dxa"/>
              <w:left w:w="72" w:type="dxa"/>
              <w:bottom w:w="0" w:type="dxa"/>
              <w:right w:w="72" w:type="dxa"/>
            </w:tcMar>
            <w:hideMark/>
          </w:tcPr>
          <w:p w14:paraId="2B6B4671"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4D7A2A27"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Procedural justice in value chains through public-private partnerships.</w:t>
            </w:r>
          </w:p>
        </w:tc>
        <w:tc>
          <w:tcPr>
            <w:tcW w:w="2745" w:type="dxa"/>
            <w:shd w:val="clear" w:color="auto" w:fill="auto"/>
            <w:tcMar>
              <w:top w:w="15" w:type="dxa"/>
              <w:left w:w="72" w:type="dxa"/>
              <w:bottom w:w="0" w:type="dxa"/>
              <w:right w:w="72" w:type="dxa"/>
            </w:tcMar>
            <w:hideMark/>
          </w:tcPr>
          <w:p w14:paraId="12A9A87B" w14:textId="0DE03FA6"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World Development</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103: 162-175</w:t>
            </w:r>
          </w:p>
        </w:tc>
      </w:tr>
      <w:tr w:rsidR="00C474FB" w14:paraId="37E38BCC" w14:textId="77777777" w:rsidTr="00362A0D">
        <w:trPr>
          <w:trHeight w:val="880"/>
        </w:trPr>
        <w:tc>
          <w:tcPr>
            <w:tcW w:w="450" w:type="dxa"/>
          </w:tcPr>
          <w:p w14:paraId="6DD45958" w14:textId="45B90EF4"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1755" w:type="dxa"/>
            <w:shd w:val="clear" w:color="auto" w:fill="auto"/>
            <w:tcMar>
              <w:top w:w="15" w:type="dxa"/>
              <w:left w:w="72" w:type="dxa"/>
              <w:bottom w:w="0" w:type="dxa"/>
              <w:right w:w="72" w:type="dxa"/>
            </w:tcMar>
            <w:hideMark/>
          </w:tcPr>
          <w:p w14:paraId="54E1D61C" w14:textId="2DC8077F" w:rsidR="00C474FB" w:rsidRPr="001F2DA6" w:rsidRDefault="00C474FB" w:rsidP="002B0CD5">
            <w:pPr>
              <w:spacing w:after="120"/>
              <w:rPr>
                <w:rFonts w:ascii="Times New Roman" w:hAnsi="Times New Roman" w:cs="Times New Roman"/>
                <w:color w:val="000000"/>
                <w:sz w:val="20"/>
                <w:szCs w:val="20"/>
              </w:rPr>
            </w:pPr>
            <w:proofErr w:type="spellStart"/>
            <w:r w:rsidRPr="001F2DA6">
              <w:rPr>
                <w:rFonts w:ascii="Times New Roman" w:hAnsi="Times New Roman" w:cs="Times New Roman"/>
                <w:color w:val="000000"/>
                <w:sz w:val="20"/>
                <w:szCs w:val="20"/>
              </w:rPr>
              <w:t>Th</w:t>
            </w:r>
            <w:r>
              <w:rPr>
                <w:rFonts w:ascii="Times New Roman" w:hAnsi="Times New Roman" w:cs="Times New Roman"/>
                <w:color w:val="000000"/>
                <w:sz w:val="20"/>
                <w:szCs w:val="20"/>
              </w:rPr>
              <w:t>ü</w:t>
            </w:r>
            <w:r w:rsidRPr="001F2DA6">
              <w:rPr>
                <w:rFonts w:ascii="Times New Roman" w:hAnsi="Times New Roman" w:cs="Times New Roman"/>
                <w:color w:val="000000"/>
                <w:sz w:val="20"/>
                <w:szCs w:val="20"/>
              </w:rPr>
              <w:t>mler</w:t>
            </w:r>
            <w:proofErr w:type="spellEnd"/>
            <w:r w:rsidRPr="001F2DA6">
              <w:rPr>
                <w:rFonts w:ascii="Times New Roman" w:hAnsi="Times New Roman" w:cs="Times New Roman"/>
                <w:color w:val="000000"/>
                <w:sz w:val="20"/>
                <w:szCs w:val="20"/>
              </w:rPr>
              <w:t>, E.</w:t>
            </w:r>
          </w:p>
        </w:tc>
        <w:tc>
          <w:tcPr>
            <w:tcW w:w="570" w:type="dxa"/>
            <w:shd w:val="clear" w:color="auto" w:fill="auto"/>
            <w:tcMar>
              <w:top w:w="15" w:type="dxa"/>
              <w:left w:w="72" w:type="dxa"/>
              <w:bottom w:w="0" w:type="dxa"/>
              <w:right w:w="72" w:type="dxa"/>
            </w:tcMar>
            <w:hideMark/>
          </w:tcPr>
          <w:p w14:paraId="02080A42"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2011</w:t>
            </w:r>
          </w:p>
        </w:tc>
        <w:tc>
          <w:tcPr>
            <w:tcW w:w="3934" w:type="dxa"/>
            <w:shd w:val="clear" w:color="auto" w:fill="auto"/>
            <w:tcMar>
              <w:top w:w="15" w:type="dxa"/>
              <w:left w:w="72" w:type="dxa"/>
              <w:bottom w:w="0" w:type="dxa"/>
              <w:right w:w="72" w:type="dxa"/>
            </w:tcMar>
            <w:hideMark/>
          </w:tcPr>
          <w:p w14:paraId="097E3543"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Foundations, schools, and the state school improvement partnerships in Germany and the United States as legitimacy-generating arrangements.</w:t>
            </w:r>
          </w:p>
        </w:tc>
        <w:tc>
          <w:tcPr>
            <w:tcW w:w="2745" w:type="dxa"/>
            <w:shd w:val="clear" w:color="auto" w:fill="auto"/>
            <w:tcMar>
              <w:top w:w="15" w:type="dxa"/>
              <w:left w:w="72" w:type="dxa"/>
              <w:bottom w:w="0" w:type="dxa"/>
              <w:right w:w="72" w:type="dxa"/>
            </w:tcMar>
            <w:hideMark/>
          </w:tcPr>
          <w:p w14:paraId="7C7F3A11" w14:textId="28A22630"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13(8): 1095-1116</w:t>
            </w:r>
          </w:p>
        </w:tc>
      </w:tr>
      <w:tr w:rsidR="00C474FB" w14:paraId="2E2DBCCB" w14:textId="77777777" w:rsidTr="00362A0D">
        <w:trPr>
          <w:trHeight w:val="1008"/>
        </w:trPr>
        <w:tc>
          <w:tcPr>
            <w:tcW w:w="450" w:type="dxa"/>
          </w:tcPr>
          <w:p w14:paraId="063D7220" w14:textId="3EA2CB96"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66.</w:t>
            </w:r>
          </w:p>
        </w:tc>
        <w:tc>
          <w:tcPr>
            <w:tcW w:w="1755" w:type="dxa"/>
            <w:shd w:val="clear" w:color="auto" w:fill="auto"/>
            <w:tcMar>
              <w:top w:w="15" w:type="dxa"/>
              <w:left w:w="72" w:type="dxa"/>
              <w:bottom w:w="0" w:type="dxa"/>
              <w:right w:w="72" w:type="dxa"/>
            </w:tcMar>
            <w:hideMark/>
          </w:tcPr>
          <w:p w14:paraId="2F76E10F" w14:textId="1A6A975C"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Trencher, G.; Bai, X.; Evans, J.; McCormick, K.; Yarime, M.</w:t>
            </w:r>
          </w:p>
        </w:tc>
        <w:tc>
          <w:tcPr>
            <w:tcW w:w="570" w:type="dxa"/>
            <w:shd w:val="clear" w:color="auto" w:fill="auto"/>
            <w:tcMar>
              <w:top w:w="15" w:type="dxa"/>
              <w:left w:w="72" w:type="dxa"/>
              <w:bottom w:w="0" w:type="dxa"/>
              <w:right w:w="72" w:type="dxa"/>
            </w:tcMar>
            <w:hideMark/>
          </w:tcPr>
          <w:p w14:paraId="13A6D31A"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2014</w:t>
            </w:r>
          </w:p>
        </w:tc>
        <w:tc>
          <w:tcPr>
            <w:tcW w:w="3934" w:type="dxa"/>
            <w:shd w:val="clear" w:color="auto" w:fill="auto"/>
            <w:tcMar>
              <w:top w:w="15" w:type="dxa"/>
              <w:left w:w="72" w:type="dxa"/>
              <w:bottom w:w="0" w:type="dxa"/>
              <w:right w:w="72" w:type="dxa"/>
            </w:tcMar>
            <w:hideMark/>
          </w:tcPr>
          <w:p w14:paraId="01FD4FA9"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University partnerships for co-designing and co-producing urban sustainability.</w:t>
            </w:r>
          </w:p>
        </w:tc>
        <w:tc>
          <w:tcPr>
            <w:tcW w:w="2745" w:type="dxa"/>
            <w:shd w:val="clear" w:color="auto" w:fill="auto"/>
            <w:tcMar>
              <w:top w:w="15" w:type="dxa"/>
              <w:left w:w="72" w:type="dxa"/>
              <w:bottom w:w="0" w:type="dxa"/>
              <w:right w:w="72" w:type="dxa"/>
            </w:tcMar>
            <w:hideMark/>
          </w:tcPr>
          <w:p w14:paraId="20B3D637" w14:textId="7EC5F518"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Global Environmental Change</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28: 153-165</w:t>
            </w:r>
          </w:p>
        </w:tc>
      </w:tr>
      <w:tr w:rsidR="00C474FB" w14:paraId="653AE964" w14:textId="77777777" w:rsidTr="00362A0D">
        <w:trPr>
          <w:trHeight w:val="531"/>
        </w:trPr>
        <w:tc>
          <w:tcPr>
            <w:tcW w:w="450" w:type="dxa"/>
          </w:tcPr>
          <w:p w14:paraId="766FEE7D" w14:textId="1493F247"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1755" w:type="dxa"/>
            <w:shd w:val="clear" w:color="auto" w:fill="auto"/>
            <w:tcMar>
              <w:top w:w="15" w:type="dxa"/>
              <w:left w:w="72" w:type="dxa"/>
              <w:bottom w:w="0" w:type="dxa"/>
              <w:right w:w="72" w:type="dxa"/>
            </w:tcMar>
            <w:hideMark/>
          </w:tcPr>
          <w:p w14:paraId="2BB09628" w14:textId="1EF34A23"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Trujillo, D.</w:t>
            </w:r>
          </w:p>
        </w:tc>
        <w:tc>
          <w:tcPr>
            <w:tcW w:w="570" w:type="dxa"/>
            <w:shd w:val="clear" w:color="auto" w:fill="auto"/>
            <w:tcMar>
              <w:top w:w="15" w:type="dxa"/>
              <w:left w:w="72" w:type="dxa"/>
              <w:bottom w:w="0" w:type="dxa"/>
              <w:right w:w="72" w:type="dxa"/>
            </w:tcMar>
            <w:hideMark/>
          </w:tcPr>
          <w:p w14:paraId="52A3D4FA"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2018</w:t>
            </w:r>
          </w:p>
        </w:tc>
        <w:tc>
          <w:tcPr>
            <w:tcW w:w="3934" w:type="dxa"/>
            <w:shd w:val="clear" w:color="auto" w:fill="auto"/>
            <w:tcMar>
              <w:top w:w="15" w:type="dxa"/>
              <w:left w:w="72" w:type="dxa"/>
              <w:bottom w:w="0" w:type="dxa"/>
              <w:right w:w="72" w:type="dxa"/>
            </w:tcMar>
            <w:hideMark/>
          </w:tcPr>
          <w:p w14:paraId="722E5FE5"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Multiparty alliances and systemic change: The role of beneficiaries and their capacity for collective action.</w:t>
            </w:r>
          </w:p>
        </w:tc>
        <w:tc>
          <w:tcPr>
            <w:tcW w:w="2745" w:type="dxa"/>
            <w:shd w:val="clear" w:color="auto" w:fill="auto"/>
            <w:tcMar>
              <w:top w:w="15" w:type="dxa"/>
              <w:left w:w="72" w:type="dxa"/>
              <w:bottom w:w="0" w:type="dxa"/>
              <w:right w:w="72" w:type="dxa"/>
            </w:tcMar>
            <w:hideMark/>
          </w:tcPr>
          <w:p w14:paraId="450ED62A" w14:textId="15C5ACF0"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Business Ethics</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150</w:t>
            </w:r>
            <w:r>
              <w:rPr>
                <w:rFonts w:ascii="Times New Roman" w:hAnsi="Times New Roman" w:cs="Times New Roman"/>
                <w:color w:val="000000"/>
                <w:sz w:val="20"/>
                <w:szCs w:val="20"/>
              </w:rPr>
              <w:t>(2)</w:t>
            </w:r>
            <w:r w:rsidRPr="001F2DA6">
              <w:rPr>
                <w:rFonts w:ascii="Times New Roman" w:hAnsi="Times New Roman" w:cs="Times New Roman"/>
                <w:color w:val="000000"/>
                <w:sz w:val="20"/>
                <w:szCs w:val="20"/>
              </w:rPr>
              <w:t>: 425-449</w:t>
            </w:r>
          </w:p>
        </w:tc>
      </w:tr>
      <w:tr w:rsidR="00C474FB" w14:paraId="028402BE" w14:textId="77777777" w:rsidTr="00362A0D">
        <w:trPr>
          <w:trHeight w:val="783"/>
        </w:trPr>
        <w:tc>
          <w:tcPr>
            <w:tcW w:w="450" w:type="dxa"/>
          </w:tcPr>
          <w:p w14:paraId="0B6DF61D" w14:textId="30572948" w:rsidR="00C474FB"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68.</w:t>
            </w:r>
          </w:p>
        </w:tc>
        <w:tc>
          <w:tcPr>
            <w:tcW w:w="1755" w:type="dxa"/>
            <w:shd w:val="clear" w:color="auto" w:fill="auto"/>
            <w:tcMar>
              <w:top w:w="15" w:type="dxa"/>
              <w:left w:w="72" w:type="dxa"/>
              <w:bottom w:w="0" w:type="dxa"/>
              <w:right w:w="72" w:type="dxa"/>
            </w:tcMar>
            <w:hideMark/>
          </w:tcPr>
          <w:p w14:paraId="20187CE5" w14:textId="3A2A7F99" w:rsidR="00C474FB" w:rsidRPr="001F2DA6" w:rsidRDefault="00C474FB"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Vestergaard, A.; Murphy, L.; </w:t>
            </w:r>
            <w:proofErr w:type="spellStart"/>
            <w:r w:rsidRPr="001F2DA6">
              <w:rPr>
                <w:rFonts w:ascii="Times New Roman" w:hAnsi="Times New Roman" w:cs="Times New Roman"/>
                <w:color w:val="000000"/>
                <w:sz w:val="20"/>
                <w:szCs w:val="20"/>
                <w:lang w:val="de-DE"/>
              </w:rPr>
              <w:t>Morsing</w:t>
            </w:r>
            <w:proofErr w:type="spellEnd"/>
            <w:r w:rsidRPr="001F2DA6">
              <w:rPr>
                <w:rFonts w:ascii="Times New Roman" w:hAnsi="Times New Roman" w:cs="Times New Roman"/>
                <w:color w:val="000000"/>
                <w:sz w:val="20"/>
                <w:szCs w:val="20"/>
                <w:lang w:val="de-DE"/>
              </w:rPr>
              <w:t xml:space="preserve">, M.; </w:t>
            </w:r>
            <w:proofErr w:type="spellStart"/>
            <w:r w:rsidRPr="001F2DA6">
              <w:rPr>
                <w:rFonts w:ascii="Times New Roman" w:hAnsi="Times New Roman" w:cs="Times New Roman"/>
                <w:color w:val="000000"/>
                <w:sz w:val="20"/>
                <w:szCs w:val="20"/>
                <w:lang w:val="de-DE"/>
              </w:rPr>
              <w:t>Langevang</w:t>
            </w:r>
            <w:proofErr w:type="spellEnd"/>
            <w:r w:rsidRPr="001F2DA6">
              <w:rPr>
                <w:rFonts w:ascii="Times New Roman" w:hAnsi="Times New Roman" w:cs="Times New Roman"/>
                <w:color w:val="000000"/>
                <w:sz w:val="20"/>
                <w:szCs w:val="20"/>
                <w:lang w:val="de-DE"/>
              </w:rPr>
              <w:t>, T.</w:t>
            </w:r>
          </w:p>
        </w:tc>
        <w:tc>
          <w:tcPr>
            <w:tcW w:w="570" w:type="dxa"/>
            <w:shd w:val="clear" w:color="auto" w:fill="auto"/>
            <w:tcMar>
              <w:top w:w="15" w:type="dxa"/>
              <w:left w:w="72" w:type="dxa"/>
              <w:bottom w:w="0" w:type="dxa"/>
              <w:right w:w="72" w:type="dxa"/>
            </w:tcMar>
            <w:hideMark/>
          </w:tcPr>
          <w:p w14:paraId="4064841F" w14:textId="2CFD8829"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w:t>
            </w:r>
            <w:r>
              <w:rPr>
                <w:rFonts w:ascii="Times New Roman" w:hAnsi="Times New Roman" w:cs="Times New Roman"/>
                <w:color w:val="000000"/>
                <w:sz w:val="20"/>
                <w:szCs w:val="20"/>
              </w:rPr>
              <w:t>20</w:t>
            </w:r>
          </w:p>
        </w:tc>
        <w:tc>
          <w:tcPr>
            <w:tcW w:w="3934" w:type="dxa"/>
            <w:shd w:val="clear" w:color="auto" w:fill="auto"/>
            <w:tcMar>
              <w:top w:w="15" w:type="dxa"/>
              <w:left w:w="72" w:type="dxa"/>
              <w:bottom w:w="0" w:type="dxa"/>
              <w:right w:w="72" w:type="dxa"/>
            </w:tcMar>
            <w:hideMark/>
          </w:tcPr>
          <w:p w14:paraId="6B2D701A"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Cross-sector partnerships as capitalism’s new development agents: Reconceiving impact as empowerment.</w:t>
            </w:r>
          </w:p>
        </w:tc>
        <w:tc>
          <w:tcPr>
            <w:tcW w:w="2745" w:type="dxa"/>
            <w:shd w:val="clear" w:color="auto" w:fill="auto"/>
            <w:tcMar>
              <w:top w:w="15" w:type="dxa"/>
              <w:left w:w="72" w:type="dxa"/>
              <w:bottom w:w="0" w:type="dxa"/>
              <w:right w:w="72" w:type="dxa"/>
            </w:tcMar>
            <w:hideMark/>
          </w:tcPr>
          <w:p w14:paraId="31E392D0" w14:textId="27395232"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Business and Society</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59(7): 1339–1376</w:t>
            </w:r>
          </w:p>
        </w:tc>
      </w:tr>
      <w:tr w:rsidR="00C474FB" w14:paraId="26005491" w14:textId="77777777" w:rsidTr="00362A0D">
        <w:trPr>
          <w:trHeight w:val="873"/>
        </w:trPr>
        <w:tc>
          <w:tcPr>
            <w:tcW w:w="450" w:type="dxa"/>
          </w:tcPr>
          <w:p w14:paraId="5BE5626E" w14:textId="3E422838"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1755" w:type="dxa"/>
            <w:shd w:val="clear" w:color="auto" w:fill="auto"/>
            <w:tcMar>
              <w:top w:w="15" w:type="dxa"/>
              <w:left w:w="72" w:type="dxa"/>
              <w:bottom w:w="0" w:type="dxa"/>
              <w:right w:w="72" w:type="dxa"/>
            </w:tcMar>
            <w:hideMark/>
          </w:tcPr>
          <w:p w14:paraId="1D69E9F3" w14:textId="37FC0F58"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 xml:space="preserve">Vogl, A. L.; Bryant, B. P.; </w:t>
            </w:r>
            <w:proofErr w:type="spellStart"/>
            <w:r w:rsidRPr="001F2DA6">
              <w:rPr>
                <w:rFonts w:ascii="Times New Roman" w:hAnsi="Times New Roman" w:cs="Times New Roman"/>
                <w:color w:val="000000"/>
                <w:sz w:val="20"/>
                <w:szCs w:val="20"/>
              </w:rPr>
              <w:t>Hunink</w:t>
            </w:r>
            <w:proofErr w:type="spellEnd"/>
            <w:r w:rsidRPr="001F2DA6">
              <w:rPr>
                <w:rFonts w:ascii="Times New Roman" w:hAnsi="Times New Roman" w:cs="Times New Roman"/>
                <w:color w:val="000000"/>
                <w:sz w:val="20"/>
                <w:szCs w:val="20"/>
              </w:rPr>
              <w:t xml:space="preserve">, J. E.; Wolny, S.; Apse, C.; </w:t>
            </w:r>
            <w:proofErr w:type="spellStart"/>
            <w:r w:rsidRPr="001F2DA6">
              <w:rPr>
                <w:rFonts w:ascii="Times New Roman" w:hAnsi="Times New Roman" w:cs="Times New Roman"/>
                <w:color w:val="000000"/>
                <w:sz w:val="20"/>
                <w:szCs w:val="20"/>
              </w:rPr>
              <w:t>Droogers</w:t>
            </w:r>
            <w:proofErr w:type="spellEnd"/>
            <w:r w:rsidRPr="001F2DA6">
              <w:rPr>
                <w:rFonts w:ascii="Times New Roman" w:hAnsi="Times New Roman" w:cs="Times New Roman"/>
                <w:color w:val="000000"/>
                <w:sz w:val="20"/>
                <w:szCs w:val="20"/>
              </w:rPr>
              <w:t>, P.</w:t>
            </w:r>
          </w:p>
        </w:tc>
        <w:tc>
          <w:tcPr>
            <w:tcW w:w="570" w:type="dxa"/>
            <w:shd w:val="clear" w:color="auto" w:fill="auto"/>
            <w:tcMar>
              <w:top w:w="15" w:type="dxa"/>
              <w:left w:w="72" w:type="dxa"/>
              <w:bottom w:w="0" w:type="dxa"/>
              <w:right w:w="72" w:type="dxa"/>
            </w:tcMar>
            <w:hideMark/>
          </w:tcPr>
          <w:p w14:paraId="674E2558"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2017</w:t>
            </w:r>
          </w:p>
        </w:tc>
        <w:tc>
          <w:tcPr>
            <w:tcW w:w="3934" w:type="dxa"/>
            <w:shd w:val="clear" w:color="auto" w:fill="auto"/>
            <w:tcMar>
              <w:top w:w="15" w:type="dxa"/>
              <w:left w:w="72" w:type="dxa"/>
              <w:bottom w:w="0" w:type="dxa"/>
              <w:right w:w="72" w:type="dxa"/>
            </w:tcMar>
            <w:hideMark/>
          </w:tcPr>
          <w:p w14:paraId="3BFB9DBA"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Valuing investments in sustainable land management in the Upper Tana River basin, Kenya.</w:t>
            </w:r>
          </w:p>
        </w:tc>
        <w:tc>
          <w:tcPr>
            <w:tcW w:w="2745" w:type="dxa"/>
            <w:shd w:val="clear" w:color="auto" w:fill="auto"/>
            <w:tcMar>
              <w:top w:w="15" w:type="dxa"/>
              <w:left w:w="72" w:type="dxa"/>
              <w:bottom w:w="0" w:type="dxa"/>
              <w:right w:w="72" w:type="dxa"/>
            </w:tcMar>
            <w:hideMark/>
          </w:tcPr>
          <w:p w14:paraId="030305C0" w14:textId="0132BD6E"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Journal of Environmental Management</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195(Part 1): 78-91</w:t>
            </w:r>
          </w:p>
        </w:tc>
      </w:tr>
      <w:tr w:rsidR="00C474FB" w14:paraId="28C2205A" w14:textId="77777777" w:rsidTr="00362A0D">
        <w:trPr>
          <w:trHeight w:val="630"/>
        </w:trPr>
        <w:tc>
          <w:tcPr>
            <w:tcW w:w="450" w:type="dxa"/>
          </w:tcPr>
          <w:p w14:paraId="481E5ACF" w14:textId="3895DE58" w:rsidR="00C474FB" w:rsidRPr="001F2DA6" w:rsidRDefault="000F5F07" w:rsidP="002B0CD5">
            <w:pPr>
              <w:spacing w:after="120"/>
              <w:rPr>
                <w:rFonts w:ascii="Times New Roman" w:hAnsi="Times New Roman" w:cs="Times New Roman"/>
                <w:color w:val="000000"/>
                <w:sz w:val="20"/>
                <w:szCs w:val="20"/>
                <w:lang w:val="de-DE"/>
              </w:rPr>
            </w:pPr>
            <w:r>
              <w:rPr>
                <w:rFonts w:ascii="Times New Roman" w:hAnsi="Times New Roman" w:cs="Times New Roman"/>
                <w:color w:val="000000"/>
                <w:sz w:val="20"/>
                <w:szCs w:val="20"/>
                <w:lang w:val="de-DE"/>
              </w:rPr>
              <w:t>70.</w:t>
            </w:r>
          </w:p>
        </w:tc>
        <w:tc>
          <w:tcPr>
            <w:tcW w:w="1755" w:type="dxa"/>
            <w:shd w:val="clear" w:color="auto" w:fill="auto"/>
            <w:tcMar>
              <w:top w:w="15" w:type="dxa"/>
              <w:left w:w="72" w:type="dxa"/>
              <w:bottom w:w="0" w:type="dxa"/>
              <w:right w:w="72" w:type="dxa"/>
            </w:tcMar>
            <w:hideMark/>
          </w:tcPr>
          <w:p w14:paraId="75B912E5" w14:textId="74D91C44" w:rsidR="00C474FB" w:rsidRPr="001F2DA6" w:rsidRDefault="00C474FB" w:rsidP="002B0CD5">
            <w:pPr>
              <w:spacing w:after="120"/>
              <w:rPr>
                <w:rFonts w:ascii="Times New Roman" w:hAnsi="Times New Roman" w:cs="Times New Roman"/>
                <w:color w:val="000000"/>
                <w:sz w:val="20"/>
                <w:szCs w:val="20"/>
                <w:lang w:val="de-DE"/>
              </w:rPr>
            </w:pPr>
            <w:r w:rsidRPr="001F2DA6">
              <w:rPr>
                <w:rFonts w:ascii="Times New Roman" w:hAnsi="Times New Roman" w:cs="Times New Roman"/>
                <w:color w:val="000000"/>
                <w:sz w:val="20"/>
                <w:szCs w:val="20"/>
                <w:lang w:val="de-DE"/>
              </w:rPr>
              <w:t xml:space="preserve">Waardenburg, M.; </w:t>
            </w:r>
            <w:proofErr w:type="spellStart"/>
            <w:r w:rsidRPr="001F2DA6">
              <w:rPr>
                <w:rFonts w:ascii="Times New Roman" w:hAnsi="Times New Roman" w:cs="Times New Roman"/>
                <w:color w:val="000000"/>
                <w:sz w:val="20"/>
                <w:szCs w:val="20"/>
                <w:lang w:val="de-DE"/>
              </w:rPr>
              <w:t>Groenleer</w:t>
            </w:r>
            <w:proofErr w:type="spellEnd"/>
            <w:r w:rsidRPr="001F2DA6">
              <w:rPr>
                <w:rFonts w:ascii="Times New Roman" w:hAnsi="Times New Roman" w:cs="Times New Roman"/>
                <w:color w:val="000000"/>
                <w:sz w:val="20"/>
                <w:szCs w:val="20"/>
                <w:lang w:val="de-DE"/>
              </w:rPr>
              <w:t xml:space="preserve">, M.; de Jong, J.; </w:t>
            </w:r>
            <w:proofErr w:type="spellStart"/>
            <w:r w:rsidRPr="001F2DA6">
              <w:rPr>
                <w:rFonts w:ascii="Times New Roman" w:hAnsi="Times New Roman" w:cs="Times New Roman"/>
                <w:color w:val="000000"/>
                <w:sz w:val="20"/>
                <w:szCs w:val="20"/>
                <w:lang w:val="de-DE"/>
              </w:rPr>
              <w:t>Keijser</w:t>
            </w:r>
            <w:proofErr w:type="spellEnd"/>
            <w:r w:rsidRPr="001F2DA6">
              <w:rPr>
                <w:rFonts w:ascii="Times New Roman" w:hAnsi="Times New Roman" w:cs="Times New Roman"/>
                <w:color w:val="000000"/>
                <w:sz w:val="20"/>
                <w:szCs w:val="20"/>
                <w:lang w:val="de-DE"/>
              </w:rPr>
              <w:t>, B.</w:t>
            </w:r>
          </w:p>
        </w:tc>
        <w:tc>
          <w:tcPr>
            <w:tcW w:w="570" w:type="dxa"/>
            <w:shd w:val="clear" w:color="auto" w:fill="auto"/>
            <w:tcMar>
              <w:top w:w="15" w:type="dxa"/>
              <w:left w:w="72" w:type="dxa"/>
              <w:bottom w:w="0" w:type="dxa"/>
              <w:right w:w="72" w:type="dxa"/>
            </w:tcMar>
            <w:hideMark/>
          </w:tcPr>
          <w:p w14:paraId="7E8FB328"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2020</w:t>
            </w:r>
          </w:p>
        </w:tc>
        <w:tc>
          <w:tcPr>
            <w:tcW w:w="3934" w:type="dxa"/>
            <w:shd w:val="clear" w:color="auto" w:fill="auto"/>
            <w:tcMar>
              <w:top w:w="15" w:type="dxa"/>
              <w:left w:w="72" w:type="dxa"/>
              <w:bottom w:w="0" w:type="dxa"/>
              <w:right w:w="72" w:type="dxa"/>
            </w:tcMar>
            <w:hideMark/>
          </w:tcPr>
          <w:p w14:paraId="69D91325"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Paradoxes of collaborative governance: investigating the real-life dynamics of multi-agency collaborations using a quasi-experimental action-research approach.</w:t>
            </w:r>
          </w:p>
        </w:tc>
        <w:tc>
          <w:tcPr>
            <w:tcW w:w="2745" w:type="dxa"/>
            <w:shd w:val="clear" w:color="auto" w:fill="auto"/>
            <w:tcMar>
              <w:top w:w="15" w:type="dxa"/>
              <w:left w:w="72" w:type="dxa"/>
              <w:bottom w:w="0" w:type="dxa"/>
              <w:right w:w="72" w:type="dxa"/>
            </w:tcMar>
            <w:hideMark/>
          </w:tcPr>
          <w:p w14:paraId="38FBA3A7" w14:textId="0F284ECE"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Management Review</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22(3): 386-407</w:t>
            </w:r>
          </w:p>
        </w:tc>
      </w:tr>
      <w:tr w:rsidR="00C474FB" w14:paraId="4356EE12" w14:textId="77777777" w:rsidTr="00362A0D">
        <w:trPr>
          <w:trHeight w:val="540"/>
        </w:trPr>
        <w:tc>
          <w:tcPr>
            <w:tcW w:w="450" w:type="dxa"/>
          </w:tcPr>
          <w:p w14:paraId="533441F9" w14:textId="06F6B63E"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1755" w:type="dxa"/>
            <w:shd w:val="clear" w:color="auto" w:fill="auto"/>
            <w:tcMar>
              <w:top w:w="15" w:type="dxa"/>
              <w:left w:w="72" w:type="dxa"/>
              <w:bottom w:w="0" w:type="dxa"/>
              <w:right w:w="72" w:type="dxa"/>
            </w:tcMar>
            <w:hideMark/>
          </w:tcPr>
          <w:p w14:paraId="3A5FD8A3" w14:textId="7C7FF05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Wang, M. L.</w:t>
            </w:r>
          </w:p>
        </w:tc>
        <w:tc>
          <w:tcPr>
            <w:tcW w:w="570" w:type="dxa"/>
            <w:shd w:val="clear" w:color="auto" w:fill="auto"/>
            <w:tcMar>
              <w:top w:w="15" w:type="dxa"/>
              <w:left w:w="72" w:type="dxa"/>
              <w:bottom w:w="0" w:type="dxa"/>
              <w:right w:w="72" w:type="dxa"/>
            </w:tcMar>
            <w:hideMark/>
          </w:tcPr>
          <w:p w14:paraId="41A83911"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2012</w:t>
            </w:r>
          </w:p>
        </w:tc>
        <w:tc>
          <w:tcPr>
            <w:tcW w:w="3934" w:type="dxa"/>
            <w:shd w:val="clear" w:color="auto" w:fill="auto"/>
            <w:tcMar>
              <w:top w:w="15" w:type="dxa"/>
              <w:left w:w="72" w:type="dxa"/>
              <w:bottom w:w="0" w:type="dxa"/>
              <w:right w:w="72" w:type="dxa"/>
            </w:tcMar>
            <w:hideMark/>
          </w:tcPr>
          <w:p w14:paraId="6DA2135F"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Managing HIV/AIDS: Yunnan's government-driven, multi-sector Partnership Model.</w:t>
            </w:r>
          </w:p>
        </w:tc>
        <w:tc>
          <w:tcPr>
            <w:tcW w:w="2745" w:type="dxa"/>
            <w:shd w:val="clear" w:color="auto" w:fill="auto"/>
            <w:tcMar>
              <w:top w:w="15" w:type="dxa"/>
              <w:left w:w="72" w:type="dxa"/>
              <w:bottom w:w="0" w:type="dxa"/>
              <w:right w:w="72" w:type="dxa"/>
            </w:tcMar>
            <w:hideMark/>
          </w:tcPr>
          <w:p w14:paraId="63FB862A" w14:textId="3A84DA3F"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Management and Organization Review</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8(3): 535-557</w:t>
            </w:r>
          </w:p>
        </w:tc>
      </w:tr>
      <w:tr w:rsidR="00C474FB" w14:paraId="4D603924" w14:textId="77777777" w:rsidTr="00362A0D">
        <w:trPr>
          <w:trHeight w:val="774"/>
        </w:trPr>
        <w:tc>
          <w:tcPr>
            <w:tcW w:w="450" w:type="dxa"/>
          </w:tcPr>
          <w:p w14:paraId="6D157CE9" w14:textId="60DB7C0C"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1755" w:type="dxa"/>
            <w:shd w:val="clear" w:color="auto" w:fill="auto"/>
            <w:tcMar>
              <w:top w:w="15" w:type="dxa"/>
              <w:left w:w="72" w:type="dxa"/>
              <w:bottom w:w="0" w:type="dxa"/>
              <w:right w:w="72" w:type="dxa"/>
            </w:tcMar>
            <w:hideMark/>
          </w:tcPr>
          <w:p w14:paraId="78F80932" w14:textId="04773AC0"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Weber, E. P.</w:t>
            </w:r>
          </w:p>
        </w:tc>
        <w:tc>
          <w:tcPr>
            <w:tcW w:w="570" w:type="dxa"/>
            <w:shd w:val="clear" w:color="auto" w:fill="auto"/>
            <w:tcMar>
              <w:top w:w="15" w:type="dxa"/>
              <w:left w:w="72" w:type="dxa"/>
              <w:bottom w:w="0" w:type="dxa"/>
              <w:right w:w="72" w:type="dxa"/>
            </w:tcMar>
            <w:hideMark/>
          </w:tcPr>
          <w:p w14:paraId="48B6AC29"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2009</w:t>
            </w:r>
          </w:p>
        </w:tc>
        <w:tc>
          <w:tcPr>
            <w:tcW w:w="3934" w:type="dxa"/>
            <w:shd w:val="clear" w:color="auto" w:fill="auto"/>
            <w:tcMar>
              <w:top w:w="15" w:type="dxa"/>
              <w:left w:w="72" w:type="dxa"/>
              <w:bottom w:w="0" w:type="dxa"/>
              <w:right w:w="72" w:type="dxa"/>
            </w:tcMar>
            <w:hideMark/>
          </w:tcPr>
          <w:p w14:paraId="22F771D2"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Explaining institutional change in tough cases of collaboration: "Ideas" in the Blackfoot watershed.</w:t>
            </w:r>
          </w:p>
        </w:tc>
        <w:tc>
          <w:tcPr>
            <w:tcW w:w="2745" w:type="dxa"/>
            <w:shd w:val="clear" w:color="auto" w:fill="auto"/>
            <w:tcMar>
              <w:top w:w="15" w:type="dxa"/>
              <w:left w:w="72" w:type="dxa"/>
              <w:bottom w:w="0" w:type="dxa"/>
              <w:right w:w="72" w:type="dxa"/>
            </w:tcMar>
            <w:hideMark/>
          </w:tcPr>
          <w:p w14:paraId="7B497D7E" w14:textId="6881EBA0"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Administration Review</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69(2): 314-327</w:t>
            </w:r>
          </w:p>
        </w:tc>
      </w:tr>
      <w:tr w:rsidR="00C474FB" w14:paraId="150E3077" w14:textId="77777777" w:rsidTr="00362A0D">
        <w:trPr>
          <w:trHeight w:val="590"/>
        </w:trPr>
        <w:tc>
          <w:tcPr>
            <w:tcW w:w="450" w:type="dxa"/>
          </w:tcPr>
          <w:p w14:paraId="4A77E955" w14:textId="6AC3C0BD" w:rsidR="00C474FB" w:rsidRPr="001F2DA6" w:rsidRDefault="000F5F07" w:rsidP="002B0CD5">
            <w:pPr>
              <w:spacing w:after="120"/>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1755" w:type="dxa"/>
            <w:shd w:val="clear" w:color="auto" w:fill="auto"/>
            <w:tcMar>
              <w:top w:w="15" w:type="dxa"/>
              <w:left w:w="72" w:type="dxa"/>
              <w:bottom w:w="0" w:type="dxa"/>
              <w:right w:w="72" w:type="dxa"/>
            </w:tcMar>
            <w:hideMark/>
          </w:tcPr>
          <w:p w14:paraId="7F7D0958" w14:textId="4F3F4CF3"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Woodson, T. S.</w:t>
            </w:r>
          </w:p>
        </w:tc>
        <w:tc>
          <w:tcPr>
            <w:tcW w:w="570" w:type="dxa"/>
            <w:shd w:val="clear" w:color="auto" w:fill="auto"/>
            <w:tcMar>
              <w:top w:w="15" w:type="dxa"/>
              <w:left w:w="72" w:type="dxa"/>
              <w:bottom w:w="0" w:type="dxa"/>
              <w:right w:w="72" w:type="dxa"/>
            </w:tcMar>
            <w:hideMark/>
          </w:tcPr>
          <w:p w14:paraId="7503DC1D" w14:textId="77777777" w:rsidR="00C474FB" w:rsidRPr="001F2DA6" w:rsidRDefault="00C474FB" w:rsidP="002B0CD5">
            <w:pPr>
              <w:spacing w:after="120"/>
              <w:jc w:val="right"/>
              <w:rPr>
                <w:rFonts w:ascii="Times New Roman" w:hAnsi="Times New Roman" w:cs="Times New Roman"/>
                <w:color w:val="000000"/>
                <w:sz w:val="20"/>
                <w:szCs w:val="20"/>
              </w:rPr>
            </w:pPr>
            <w:r w:rsidRPr="001F2DA6">
              <w:rPr>
                <w:rFonts w:ascii="Times New Roman" w:hAnsi="Times New Roman" w:cs="Times New Roman"/>
                <w:color w:val="000000"/>
                <w:sz w:val="20"/>
                <w:szCs w:val="20"/>
              </w:rPr>
              <w:t>2016</w:t>
            </w:r>
          </w:p>
        </w:tc>
        <w:tc>
          <w:tcPr>
            <w:tcW w:w="3934" w:type="dxa"/>
            <w:shd w:val="clear" w:color="auto" w:fill="auto"/>
            <w:tcMar>
              <w:top w:w="15" w:type="dxa"/>
              <w:left w:w="72" w:type="dxa"/>
              <w:bottom w:w="0" w:type="dxa"/>
              <w:right w:w="72" w:type="dxa"/>
            </w:tcMar>
            <w:hideMark/>
          </w:tcPr>
          <w:p w14:paraId="30203142" w14:textId="77777777"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Public private partnerships and emerging technologies: A look at nanomedicine for diseases of poverty.</w:t>
            </w:r>
          </w:p>
        </w:tc>
        <w:tc>
          <w:tcPr>
            <w:tcW w:w="2745" w:type="dxa"/>
            <w:shd w:val="clear" w:color="auto" w:fill="auto"/>
            <w:tcMar>
              <w:top w:w="15" w:type="dxa"/>
              <w:left w:w="72" w:type="dxa"/>
              <w:bottom w:w="0" w:type="dxa"/>
              <w:right w:w="72" w:type="dxa"/>
            </w:tcMar>
            <w:hideMark/>
          </w:tcPr>
          <w:p w14:paraId="6C6C6290" w14:textId="0E8694A3" w:rsidR="00C474FB" w:rsidRPr="001F2DA6" w:rsidRDefault="00C474FB" w:rsidP="002B0CD5">
            <w:pPr>
              <w:spacing w:after="120"/>
              <w:rPr>
                <w:rFonts w:ascii="Times New Roman" w:hAnsi="Times New Roman" w:cs="Times New Roman"/>
                <w:color w:val="000000"/>
                <w:sz w:val="20"/>
                <w:szCs w:val="20"/>
              </w:rPr>
            </w:pPr>
            <w:r w:rsidRPr="001F2DA6">
              <w:rPr>
                <w:rFonts w:ascii="Times New Roman" w:hAnsi="Times New Roman" w:cs="Times New Roman"/>
                <w:color w:val="000000"/>
                <w:sz w:val="20"/>
                <w:szCs w:val="20"/>
              </w:rPr>
              <w:t>Research Policy</w:t>
            </w:r>
            <w:r w:rsidR="002B0CD5">
              <w:rPr>
                <w:rFonts w:ascii="Times New Roman" w:hAnsi="Times New Roman" w:cs="Times New Roman"/>
                <w:color w:val="000000"/>
                <w:sz w:val="20"/>
                <w:szCs w:val="20"/>
              </w:rPr>
              <w:t xml:space="preserve">, </w:t>
            </w:r>
            <w:r w:rsidRPr="001F2DA6">
              <w:rPr>
                <w:rFonts w:ascii="Times New Roman" w:hAnsi="Times New Roman" w:cs="Times New Roman"/>
                <w:color w:val="000000"/>
                <w:sz w:val="20"/>
                <w:szCs w:val="20"/>
              </w:rPr>
              <w:t>45(7): 1410-1418</w:t>
            </w:r>
          </w:p>
        </w:tc>
      </w:tr>
    </w:tbl>
    <w:p w14:paraId="543206CF" w14:textId="5C660C56" w:rsidR="001F2DA6" w:rsidRDefault="001F2DA6">
      <w:pPr>
        <w:rPr>
          <w:rFonts w:ascii="Times New Roman" w:hAnsi="Times New Roman" w:cs="Times New Roman"/>
          <w:b/>
        </w:rPr>
        <w:sectPr w:rsidR="001F2DA6" w:rsidSect="001F2DA6">
          <w:pgSz w:w="11906" w:h="16838" w:code="9"/>
          <w:pgMar w:top="1440" w:right="1440" w:bottom="1440" w:left="1440" w:header="709" w:footer="709" w:gutter="0"/>
          <w:cols w:space="708"/>
          <w:docGrid w:linePitch="360"/>
        </w:sectPr>
      </w:pPr>
      <w:r>
        <w:rPr>
          <w:rFonts w:ascii="Times New Roman" w:hAnsi="Times New Roman" w:cs="Times New Roman"/>
          <w:b/>
        </w:rPr>
        <w:t xml:space="preserve"> </w:t>
      </w:r>
      <w:r w:rsidR="00855DD2">
        <w:rPr>
          <w:rFonts w:ascii="Times New Roman" w:hAnsi="Times New Roman" w:cs="Times New Roman"/>
          <w:b/>
        </w:rPr>
        <w:br w:type="page"/>
      </w:r>
    </w:p>
    <w:p w14:paraId="0C683653" w14:textId="24A23397" w:rsidR="006770B4" w:rsidRPr="006C43D5" w:rsidRDefault="006770B4" w:rsidP="006770B4">
      <w:pPr>
        <w:rPr>
          <w:rFonts w:ascii="Times New Roman" w:hAnsi="Times New Roman" w:cs="Times New Roman"/>
          <w:b/>
        </w:rPr>
      </w:pPr>
      <w:r w:rsidRPr="006C43D5">
        <w:rPr>
          <w:rFonts w:ascii="Times New Roman" w:hAnsi="Times New Roman" w:cs="Times New Roman"/>
          <w:b/>
        </w:rPr>
        <w:lastRenderedPageBreak/>
        <w:t xml:space="preserve">Appendix </w:t>
      </w:r>
      <w:r w:rsidR="0011022B">
        <w:rPr>
          <w:rFonts w:ascii="Times New Roman" w:hAnsi="Times New Roman" w:cs="Times New Roman"/>
          <w:b/>
        </w:rPr>
        <w:t>3</w:t>
      </w:r>
      <w:r w:rsidR="00480488">
        <w:rPr>
          <w:rFonts w:ascii="Times New Roman" w:hAnsi="Times New Roman" w:cs="Times New Roman"/>
          <w:b/>
        </w:rPr>
        <w:t>.</w:t>
      </w:r>
      <w:r w:rsidRPr="006C43D5">
        <w:rPr>
          <w:rFonts w:ascii="Times New Roman" w:hAnsi="Times New Roman" w:cs="Times New Roman"/>
          <w:b/>
        </w:rPr>
        <w:t xml:space="preserve"> Sample Illustration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68"/>
        <w:gridCol w:w="6860"/>
      </w:tblGrid>
      <w:tr w:rsidR="001E3423" w:rsidRPr="006C43D5" w14:paraId="0C683656" w14:textId="77777777" w:rsidTr="003F38B9">
        <w:tc>
          <w:tcPr>
            <w:tcW w:w="7124" w:type="dxa"/>
            <w:shd w:val="clear" w:color="auto" w:fill="FFFFFF" w:themeFill="background1"/>
          </w:tcPr>
          <w:p w14:paraId="0C683654" w14:textId="7E65F3A4" w:rsidR="006770B4" w:rsidRPr="006C43D5" w:rsidRDefault="00120D8B" w:rsidP="001F2DA6">
            <w:pPr>
              <w:jc w:val="center"/>
              <w:rPr>
                <w:rFonts w:ascii="Times New Roman" w:hAnsi="Times New Roman" w:cs="Times New Roman"/>
                <w:b/>
              </w:rPr>
            </w:pPr>
            <w:r>
              <w:rPr>
                <w:noProof/>
              </w:rPr>
              <w:drawing>
                <wp:inline distT="0" distB="0" distL="0" distR="0" wp14:anchorId="2840D5B0" wp14:editId="72E3DE59">
                  <wp:extent cx="4429208" cy="2369571"/>
                  <wp:effectExtent l="0" t="0" r="9525" b="12065"/>
                  <wp:docPr id="927233263" name="Chart 1">
                    <a:extLst xmlns:a="http://schemas.openxmlformats.org/drawingml/2006/main">
                      <a:ext uri="{FF2B5EF4-FFF2-40B4-BE49-F238E27FC236}">
                        <a16:creationId xmlns:a16="http://schemas.microsoft.com/office/drawing/2014/main" id="{542C6E3E-2CE9-76F5-A451-66EA6BBFD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6804" w:type="dxa"/>
          </w:tcPr>
          <w:p w14:paraId="0C683655" w14:textId="516CAB60" w:rsidR="006770B4" w:rsidRPr="006C43D5" w:rsidRDefault="00F102AC" w:rsidP="001F2DA6">
            <w:pPr>
              <w:jc w:val="center"/>
              <w:rPr>
                <w:rFonts w:ascii="Times New Roman" w:hAnsi="Times New Roman" w:cs="Times New Roman"/>
                <w:b/>
              </w:rPr>
            </w:pPr>
            <w:r>
              <w:rPr>
                <w:noProof/>
              </w:rPr>
              <w:drawing>
                <wp:inline distT="0" distB="0" distL="0" distR="0" wp14:anchorId="04A7FB3F" wp14:editId="23937E65">
                  <wp:extent cx="4011378" cy="2501486"/>
                  <wp:effectExtent l="0" t="0" r="8255" b="0"/>
                  <wp:docPr id="1281906500" name="Chart 1">
                    <a:extLst xmlns:a="http://schemas.openxmlformats.org/drawingml/2006/main">
                      <a:ext uri="{FF2B5EF4-FFF2-40B4-BE49-F238E27FC236}">
                        <a16:creationId xmlns:a16="http://schemas.microsoft.com/office/drawing/2014/main" id="{FF907E8A-DCAA-2E62-A5AD-CBF305E139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B0244" w:rsidRPr="006C43D5" w14:paraId="0C683659" w14:textId="77777777" w:rsidTr="00F102AC">
        <w:tc>
          <w:tcPr>
            <w:tcW w:w="7124" w:type="dxa"/>
          </w:tcPr>
          <w:p w14:paraId="0C683657" w14:textId="117D1839" w:rsidR="006770B4" w:rsidRPr="006C43D5" w:rsidRDefault="009B0244" w:rsidP="001A3196">
            <w:pPr>
              <w:jc w:val="center"/>
              <w:rPr>
                <w:rFonts w:ascii="Times New Roman" w:hAnsi="Times New Roman" w:cs="Times New Roman"/>
                <w:b/>
              </w:rPr>
            </w:pPr>
            <w:r>
              <w:rPr>
                <w:noProof/>
              </w:rPr>
              <w:drawing>
                <wp:inline distT="0" distB="0" distL="0" distR="0" wp14:anchorId="07170F4A" wp14:editId="5B8134B6">
                  <wp:extent cx="4449011" cy="2550695"/>
                  <wp:effectExtent l="0" t="0" r="8890" b="2540"/>
                  <wp:docPr id="1527947435" name="Chart 1">
                    <a:extLst xmlns:a="http://schemas.openxmlformats.org/drawingml/2006/main">
                      <a:ext uri="{FF2B5EF4-FFF2-40B4-BE49-F238E27FC236}">
                        <a16:creationId xmlns:a16="http://schemas.microsoft.com/office/drawing/2014/main" id="{A5795825-1ACE-23A3-DD15-432FD3A07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6804" w:type="dxa"/>
          </w:tcPr>
          <w:p w14:paraId="304C8587" w14:textId="77777777" w:rsidR="006770B4" w:rsidRDefault="006770B4" w:rsidP="001F2DA6">
            <w:pPr>
              <w:rPr>
                <w:noProof/>
              </w:rPr>
            </w:pPr>
          </w:p>
          <w:p w14:paraId="0C683658" w14:textId="02AB56FA" w:rsidR="001E3423" w:rsidRPr="006C43D5" w:rsidRDefault="001E3423" w:rsidP="001F2DA6">
            <w:pPr>
              <w:rPr>
                <w:rFonts w:ascii="Times New Roman" w:hAnsi="Times New Roman" w:cs="Times New Roman"/>
                <w:b/>
              </w:rPr>
            </w:pPr>
            <w:r>
              <w:rPr>
                <w:noProof/>
              </w:rPr>
              <w:drawing>
                <wp:inline distT="0" distB="0" distL="0" distR="0" wp14:anchorId="02345A83" wp14:editId="5F0730DE">
                  <wp:extent cx="4309110" cy="2379044"/>
                  <wp:effectExtent l="0" t="0" r="15240" b="2540"/>
                  <wp:docPr id="580867606" name="Chart 1">
                    <a:extLst xmlns:a="http://schemas.openxmlformats.org/drawingml/2006/main">
                      <a:ext uri="{FF2B5EF4-FFF2-40B4-BE49-F238E27FC236}">
                        <a16:creationId xmlns:a16="http://schemas.microsoft.com/office/drawing/2014/main" id="{A4C84B01-30C9-FE6C-C1AE-ED8260FFE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C68365A" w14:textId="66338968" w:rsidR="006770B4" w:rsidRDefault="00D0797D" w:rsidP="00DC5DCC">
      <w:pPr>
        <w:spacing w:after="0"/>
        <w:rPr>
          <w:rFonts w:ascii="Times New Roman" w:hAnsi="Times New Roman" w:cs="Times New Roman"/>
          <w:b/>
        </w:rPr>
      </w:pPr>
      <w:r w:rsidRPr="00DC1B28">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46B2C379" wp14:editId="1E324084">
                <wp:simplePos x="0" y="0"/>
                <wp:positionH relativeFrom="column">
                  <wp:posOffset>5268862</wp:posOffset>
                </wp:positionH>
                <wp:positionV relativeFrom="paragraph">
                  <wp:posOffset>68580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D80714" w14:textId="77777777" w:rsidR="00D0797D" w:rsidRPr="00DC1B28" w:rsidRDefault="00D0797D" w:rsidP="00D0797D">
                            <w:pPr>
                              <w:spacing w:after="0"/>
                              <w:jc w:val="right"/>
                              <w:rPr>
                                <w:rFonts w:ascii="Times New Roman" w:hAnsi="Times New Roman" w:cs="Times New Roman"/>
                              </w:rPr>
                            </w:pPr>
                            <w:r w:rsidRPr="00DC1B28">
                              <w:rPr>
                                <w:rFonts w:ascii="Times New Roman" w:hAnsi="Times New Roman" w:cs="Times New Roman"/>
                              </w:rPr>
                              <w:t>*Based on the first analyzed CSP in each article.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B2C379" id="_x0000_t202" coordsize="21600,21600" o:spt="202" path="m,l,21600r21600,l21600,xe">
                <v:stroke joinstyle="miter"/>
                <v:path gradientshapeok="t" o:connecttype="rect"/>
              </v:shapetype>
              <v:shape id="Text Box 2" o:spid="_x0000_s1026" type="#_x0000_t202" style="position:absolute;margin-left:414.85pt;margin-top:5.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" stroked="f">
                <v:textbox style="mso-fit-shape-to-text:t">
                  <w:txbxContent>
                    <w:p w14:paraId="04D80714" w14:textId="77777777" w:rsidR="00D0797D" w:rsidRPr="00DC1B28" w:rsidRDefault="00D0797D" w:rsidP="00D0797D">
                      <w:pPr>
                        <w:spacing w:after="0"/>
                        <w:jc w:val="right"/>
                        <w:rPr>
                          <w:rFonts w:ascii="Times New Roman" w:hAnsi="Times New Roman" w:cs="Times New Roman"/>
                        </w:rPr>
                      </w:pPr>
                      <w:r w:rsidRPr="00DC1B28">
                        <w:rPr>
                          <w:rFonts w:ascii="Times New Roman" w:hAnsi="Times New Roman" w:cs="Times New Roman"/>
                        </w:rPr>
                        <w:t>*Based on the first analyzed CSP in each article.</w:t>
                      </w:r>
                    </w:p>
                  </w:txbxContent>
                </v:textbox>
                <w10:wrap type="square"/>
              </v:shape>
            </w:pict>
          </mc:Fallback>
        </mc:AlternateContent>
      </w:r>
      <w:r w:rsidR="006770B4" w:rsidRPr="006C43D5">
        <w:rPr>
          <w:rFonts w:ascii="Times New Roman" w:hAnsi="Times New Roman" w:cs="Times New Roman"/>
          <w:b/>
        </w:rPr>
        <w:br w:type="page"/>
      </w:r>
    </w:p>
    <w:p w14:paraId="0C68365B" w14:textId="6FA83A46" w:rsidR="006770B4" w:rsidRPr="006C43D5" w:rsidRDefault="006770B4" w:rsidP="006770B4">
      <w:pPr>
        <w:rPr>
          <w:rFonts w:ascii="Times New Roman" w:hAnsi="Times New Roman" w:cs="Times New Roman"/>
          <w:b/>
        </w:rPr>
      </w:pPr>
      <w:r w:rsidRPr="006C43D5">
        <w:rPr>
          <w:rFonts w:ascii="Times New Roman" w:hAnsi="Times New Roman" w:cs="Times New Roman"/>
          <w:b/>
        </w:rPr>
        <w:lastRenderedPageBreak/>
        <w:t xml:space="preserve">Appendix </w:t>
      </w:r>
      <w:r w:rsidR="0011022B">
        <w:rPr>
          <w:rFonts w:ascii="Times New Roman" w:hAnsi="Times New Roman" w:cs="Times New Roman"/>
          <w:b/>
        </w:rPr>
        <w:t>4</w:t>
      </w:r>
      <w:r w:rsidR="00480488">
        <w:rPr>
          <w:rFonts w:ascii="Times New Roman" w:hAnsi="Times New Roman" w:cs="Times New Roman"/>
          <w:b/>
        </w:rPr>
        <w:t>.</w:t>
      </w:r>
      <w:r w:rsidRPr="006C43D5">
        <w:rPr>
          <w:rFonts w:ascii="Times New Roman" w:hAnsi="Times New Roman" w:cs="Times New Roman"/>
          <w:b/>
        </w:rPr>
        <w:t xml:space="preserve"> Illustrative Data Excerpts</w:t>
      </w:r>
    </w:p>
    <w:p w14:paraId="0C68365C" w14:textId="563356CC" w:rsidR="006770B4" w:rsidRPr="006C43D5" w:rsidRDefault="0011022B" w:rsidP="00BE34B9">
      <w:pPr>
        <w:rPr>
          <w:rFonts w:ascii="Times New Roman" w:hAnsi="Times New Roman" w:cs="Times New Roman"/>
          <w:b/>
        </w:rPr>
      </w:pPr>
      <w:r>
        <w:rPr>
          <w:rFonts w:ascii="Times New Roman" w:hAnsi="Times New Roman" w:cs="Times New Roman"/>
          <w:b/>
        </w:rPr>
        <w:t>4</w:t>
      </w:r>
      <w:r w:rsidR="006770B4" w:rsidRPr="006C43D5">
        <w:rPr>
          <w:rFonts w:ascii="Times New Roman" w:hAnsi="Times New Roman" w:cs="Times New Roman"/>
          <w:b/>
        </w:rPr>
        <w:t xml:space="preserve">.1 Examples </w:t>
      </w:r>
      <w:r w:rsidR="003A7C76">
        <w:rPr>
          <w:rFonts w:ascii="Times New Roman" w:hAnsi="Times New Roman" w:cs="Times New Roman"/>
          <w:b/>
        </w:rPr>
        <w:t>of SGC-related Problem</w:t>
      </w:r>
      <w:r w:rsidR="006770B4" w:rsidRPr="006C43D5">
        <w:rPr>
          <w:rFonts w:ascii="Times New Roman" w:hAnsi="Times New Roman" w:cs="Times New Roman"/>
          <w:b/>
        </w:rPr>
        <w:t xml:space="preserve"> Framing</w:t>
      </w:r>
    </w:p>
    <w:tbl>
      <w:tblPr>
        <w:tblStyle w:val="TableGrid"/>
        <w:tblW w:w="14102" w:type="dxa"/>
        <w:tblInd w:w="-289" w:type="dxa"/>
        <w:tblLook w:val="04A0" w:firstRow="1" w:lastRow="0" w:firstColumn="1" w:lastColumn="0" w:noHBand="0" w:noVBand="1"/>
      </w:tblPr>
      <w:tblGrid>
        <w:gridCol w:w="1372"/>
        <w:gridCol w:w="4587"/>
        <w:gridCol w:w="3964"/>
        <w:gridCol w:w="4179"/>
      </w:tblGrid>
      <w:tr w:rsidR="006770B4" w:rsidRPr="006C43D5" w14:paraId="0C683661" w14:textId="77777777" w:rsidTr="00FF20D4">
        <w:tc>
          <w:tcPr>
            <w:tcW w:w="1372" w:type="dxa"/>
            <w:tcBorders>
              <w:top w:val="double" w:sz="4" w:space="0" w:color="auto"/>
              <w:left w:val="nil"/>
              <w:bottom w:val="double" w:sz="4" w:space="0" w:color="auto"/>
              <w:right w:val="nil"/>
            </w:tcBorders>
          </w:tcPr>
          <w:p w14:paraId="0C68365D" w14:textId="0CC9A516" w:rsidR="006770B4" w:rsidRPr="006C43D5" w:rsidRDefault="006770B4" w:rsidP="009E11E9">
            <w:pPr>
              <w:spacing w:before="40" w:after="40"/>
              <w:jc w:val="center"/>
              <w:rPr>
                <w:rFonts w:ascii="Times New Roman" w:hAnsi="Times New Roman" w:cs="Times New Roman"/>
                <w:b/>
              </w:rPr>
            </w:pPr>
          </w:p>
        </w:tc>
        <w:tc>
          <w:tcPr>
            <w:tcW w:w="4587" w:type="dxa"/>
            <w:tcBorders>
              <w:top w:val="double" w:sz="4" w:space="0" w:color="auto"/>
              <w:left w:val="nil"/>
              <w:bottom w:val="double" w:sz="4" w:space="0" w:color="auto"/>
              <w:right w:val="nil"/>
            </w:tcBorders>
          </w:tcPr>
          <w:p w14:paraId="0C68365E" w14:textId="2345AC9E" w:rsidR="006770B4" w:rsidRPr="006C43D5" w:rsidRDefault="00BB2FD5" w:rsidP="009E11E9">
            <w:pPr>
              <w:spacing w:before="40" w:after="40"/>
              <w:jc w:val="center"/>
              <w:rPr>
                <w:rFonts w:ascii="Times New Roman" w:hAnsi="Times New Roman" w:cs="Times New Roman"/>
                <w:b/>
              </w:rPr>
            </w:pPr>
            <w:r>
              <w:rPr>
                <w:rFonts w:ascii="Times New Roman" w:hAnsi="Times New Roman" w:cs="Times New Roman"/>
                <w:b/>
              </w:rPr>
              <w:t xml:space="preserve">Example 1 </w:t>
            </w:r>
          </w:p>
        </w:tc>
        <w:tc>
          <w:tcPr>
            <w:tcW w:w="3964" w:type="dxa"/>
            <w:tcBorders>
              <w:top w:val="double" w:sz="4" w:space="0" w:color="auto"/>
              <w:left w:val="nil"/>
              <w:bottom w:val="double" w:sz="4" w:space="0" w:color="auto"/>
              <w:right w:val="nil"/>
            </w:tcBorders>
          </w:tcPr>
          <w:p w14:paraId="0C68365F" w14:textId="198B1345" w:rsidR="006770B4" w:rsidRPr="006C43D5" w:rsidRDefault="00BB2FD5" w:rsidP="009E11E9">
            <w:pPr>
              <w:spacing w:before="40" w:after="40"/>
              <w:jc w:val="center"/>
              <w:rPr>
                <w:rFonts w:ascii="Times New Roman" w:hAnsi="Times New Roman" w:cs="Times New Roman"/>
                <w:b/>
              </w:rPr>
            </w:pPr>
            <w:r>
              <w:rPr>
                <w:rFonts w:ascii="Times New Roman" w:hAnsi="Times New Roman" w:cs="Times New Roman"/>
                <w:b/>
              </w:rPr>
              <w:t>Example 2</w:t>
            </w:r>
            <w:r w:rsidR="006770B4" w:rsidRPr="006C43D5">
              <w:rPr>
                <w:rFonts w:ascii="Times New Roman" w:hAnsi="Times New Roman" w:cs="Times New Roman"/>
                <w:b/>
              </w:rPr>
              <w:t xml:space="preserve"> </w:t>
            </w:r>
          </w:p>
        </w:tc>
        <w:tc>
          <w:tcPr>
            <w:tcW w:w="4179" w:type="dxa"/>
            <w:tcBorders>
              <w:top w:val="double" w:sz="4" w:space="0" w:color="auto"/>
              <w:left w:val="nil"/>
              <w:bottom w:val="double" w:sz="4" w:space="0" w:color="auto"/>
              <w:right w:val="nil"/>
            </w:tcBorders>
          </w:tcPr>
          <w:p w14:paraId="0C683660" w14:textId="14072562" w:rsidR="006770B4" w:rsidRPr="006C43D5" w:rsidRDefault="002F4274" w:rsidP="009E11E9">
            <w:pPr>
              <w:spacing w:before="40" w:after="40"/>
              <w:jc w:val="center"/>
              <w:rPr>
                <w:rFonts w:ascii="Times New Roman" w:hAnsi="Times New Roman" w:cs="Times New Roman"/>
                <w:b/>
              </w:rPr>
            </w:pPr>
            <w:r>
              <w:rPr>
                <w:rFonts w:ascii="Times New Roman" w:hAnsi="Times New Roman" w:cs="Times New Roman"/>
                <w:b/>
              </w:rPr>
              <w:t>Example 3</w:t>
            </w:r>
          </w:p>
        </w:tc>
      </w:tr>
      <w:tr w:rsidR="006770B4" w:rsidRPr="006C43D5" w14:paraId="0C683663" w14:textId="77777777" w:rsidTr="00FF20D4">
        <w:tc>
          <w:tcPr>
            <w:tcW w:w="14102" w:type="dxa"/>
            <w:gridSpan w:val="4"/>
            <w:tcBorders>
              <w:top w:val="double" w:sz="4" w:space="0" w:color="auto"/>
              <w:left w:val="nil"/>
              <w:bottom w:val="single" w:sz="4" w:space="0" w:color="auto"/>
              <w:right w:val="nil"/>
            </w:tcBorders>
            <w:shd w:val="clear" w:color="auto" w:fill="auto"/>
          </w:tcPr>
          <w:p w14:paraId="0C683662" w14:textId="77777777" w:rsidR="006770B4" w:rsidRPr="006C43D5" w:rsidRDefault="006770B4" w:rsidP="009E11E9">
            <w:pPr>
              <w:spacing w:before="40" w:after="40"/>
              <w:jc w:val="center"/>
              <w:rPr>
                <w:rFonts w:ascii="Times New Roman" w:hAnsi="Times New Roman" w:cs="Times New Roman"/>
                <w:b/>
                <w:i/>
              </w:rPr>
            </w:pPr>
            <w:r w:rsidRPr="006C43D5">
              <w:rPr>
                <w:rFonts w:ascii="Times New Roman" w:hAnsi="Times New Roman" w:cs="Times New Roman"/>
                <w:b/>
                <w:i/>
              </w:rPr>
              <w:t>Diagnostic SGC Framing</w:t>
            </w:r>
          </w:p>
        </w:tc>
      </w:tr>
      <w:tr w:rsidR="006770B4" w:rsidRPr="006C43D5" w14:paraId="0C683668" w14:textId="77777777" w:rsidTr="00FF20D4">
        <w:tc>
          <w:tcPr>
            <w:tcW w:w="1372" w:type="dxa"/>
            <w:tcBorders>
              <w:top w:val="single" w:sz="4" w:space="0" w:color="auto"/>
              <w:left w:val="nil"/>
              <w:bottom w:val="nil"/>
              <w:right w:val="nil"/>
            </w:tcBorders>
          </w:tcPr>
          <w:p w14:paraId="0C683664" w14:textId="77777777" w:rsidR="006770B4" w:rsidRPr="006C43D5" w:rsidRDefault="006770B4" w:rsidP="00F006CA">
            <w:pPr>
              <w:spacing w:before="40" w:after="40"/>
              <w:rPr>
                <w:rFonts w:ascii="Times New Roman" w:hAnsi="Times New Roman" w:cs="Times New Roman"/>
                <w:sz w:val="20"/>
                <w:szCs w:val="20"/>
              </w:rPr>
            </w:pPr>
          </w:p>
        </w:tc>
        <w:tc>
          <w:tcPr>
            <w:tcW w:w="4587" w:type="dxa"/>
            <w:tcBorders>
              <w:top w:val="single" w:sz="4" w:space="0" w:color="auto"/>
              <w:left w:val="nil"/>
              <w:bottom w:val="nil"/>
              <w:right w:val="nil"/>
            </w:tcBorders>
          </w:tcPr>
          <w:p w14:paraId="0C683665" w14:textId="77777777" w:rsidR="006770B4" w:rsidRPr="00644287" w:rsidRDefault="006770B4" w:rsidP="00F006CA">
            <w:pPr>
              <w:spacing w:before="40" w:after="40"/>
              <w:jc w:val="center"/>
              <w:rPr>
                <w:rFonts w:ascii="Times New Roman" w:hAnsi="Times New Roman" w:cs="Times New Roman"/>
                <w:i/>
                <w:sz w:val="18"/>
                <w:szCs w:val="18"/>
                <w:lang w:val="fr-FR"/>
              </w:rPr>
            </w:pPr>
            <w:r w:rsidRPr="00644287">
              <w:rPr>
                <w:rFonts w:ascii="Times New Roman" w:hAnsi="Times New Roman" w:cs="Times New Roman"/>
                <w:i/>
                <w:sz w:val="18"/>
                <w:szCs w:val="18"/>
                <w:lang w:val="fr-FR"/>
              </w:rPr>
              <w:t>Example: Fraser et al. (2006, p. 118)</w:t>
            </w:r>
          </w:p>
        </w:tc>
        <w:tc>
          <w:tcPr>
            <w:tcW w:w="3964" w:type="dxa"/>
            <w:tcBorders>
              <w:top w:val="single" w:sz="4" w:space="0" w:color="auto"/>
              <w:left w:val="nil"/>
              <w:bottom w:val="nil"/>
              <w:right w:val="nil"/>
            </w:tcBorders>
          </w:tcPr>
          <w:p w14:paraId="0C683666" w14:textId="77777777" w:rsidR="006770B4" w:rsidRPr="00644287" w:rsidRDefault="006770B4" w:rsidP="00F006CA">
            <w:pPr>
              <w:spacing w:before="40" w:after="40"/>
              <w:jc w:val="center"/>
              <w:rPr>
                <w:rFonts w:ascii="Times New Roman" w:hAnsi="Times New Roman" w:cs="Times New Roman"/>
                <w:sz w:val="18"/>
                <w:szCs w:val="18"/>
                <w:lang w:val="fr-FR"/>
              </w:rPr>
            </w:pPr>
            <w:r w:rsidRPr="00644287">
              <w:rPr>
                <w:rFonts w:ascii="Times New Roman" w:hAnsi="Times New Roman" w:cs="Times New Roman"/>
                <w:i/>
                <w:sz w:val="18"/>
                <w:szCs w:val="18"/>
                <w:lang w:val="fr-FR"/>
              </w:rPr>
              <w:t>Example: Muller et al. (2012, p. 127-128)</w:t>
            </w:r>
          </w:p>
        </w:tc>
        <w:tc>
          <w:tcPr>
            <w:tcW w:w="4179" w:type="dxa"/>
            <w:tcBorders>
              <w:top w:val="single" w:sz="4" w:space="0" w:color="auto"/>
              <w:left w:val="nil"/>
              <w:bottom w:val="nil"/>
              <w:right w:val="nil"/>
            </w:tcBorders>
          </w:tcPr>
          <w:p w14:paraId="0C683667" w14:textId="20E95E40" w:rsidR="006770B4" w:rsidRPr="006C43D5" w:rsidRDefault="006770B4" w:rsidP="001F2DA6">
            <w:pPr>
              <w:jc w:val="center"/>
              <w:rPr>
                <w:rFonts w:ascii="Times New Roman" w:hAnsi="Times New Roman" w:cs="Times New Roman"/>
                <w:sz w:val="18"/>
                <w:szCs w:val="18"/>
              </w:rPr>
            </w:pPr>
            <w:r w:rsidRPr="006C43D5">
              <w:rPr>
                <w:rFonts w:ascii="Times New Roman" w:hAnsi="Times New Roman" w:cs="Times New Roman"/>
                <w:i/>
                <w:sz w:val="18"/>
                <w:szCs w:val="18"/>
              </w:rPr>
              <w:t>Example: George et al. (2015, p. 4</w:t>
            </w:r>
            <w:r w:rsidR="00117138">
              <w:rPr>
                <w:rFonts w:ascii="Times New Roman" w:hAnsi="Times New Roman" w:cs="Times New Roman"/>
                <w:i/>
                <w:sz w:val="18"/>
                <w:szCs w:val="18"/>
              </w:rPr>
              <w:t>1</w:t>
            </w:r>
            <w:r w:rsidRPr="006C43D5">
              <w:rPr>
                <w:rFonts w:ascii="Times New Roman" w:hAnsi="Times New Roman" w:cs="Times New Roman"/>
                <w:i/>
                <w:sz w:val="18"/>
                <w:szCs w:val="18"/>
              </w:rPr>
              <w:t>-4</w:t>
            </w:r>
            <w:r w:rsidR="00117138">
              <w:rPr>
                <w:rFonts w:ascii="Times New Roman" w:hAnsi="Times New Roman" w:cs="Times New Roman"/>
                <w:i/>
                <w:sz w:val="18"/>
                <w:szCs w:val="18"/>
              </w:rPr>
              <w:t>2</w:t>
            </w:r>
            <w:r w:rsidRPr="006C43D5">
              <w:rPr>
                <w:rFonts w:ascii="Times New Roman" w:hAnsi="Times New Roman" w:cs="Times New Roman"/>
                <w:i/>
                <w:sz w:val="18"/>
                <w:szCs w:val="18"/>
              </w:rPr>
              <w:t>)</w:t>
            </w:r>
          </w:p>
        </w:tc>
      </w:tr>
      <w:tr w:rsidR="006770B4" w:rsidRPr="006C43D5" w14:paraId="0C68366D" w14:textId="77777777" w:rsidTr="00321F95">
        <w:tc>
          <w:tcPr>
            <w:tcW w:w="1372" w:type="dxa"/>
            <w:tcBorders>
              <w:top w:val="nil"/>
              <w:left w:val="nil"/>
              <w:bottom w:val="nil"/>
              <w:right w:val="nil"/>
            </w:tcBorders>
          </w:tcPr>
          <w:p w14:paraId="0C683669" w14:textId="70AA408B" w:rsidR="006770B4" w:rsidRPr="006C43D5" w:rsidRDefault="00592154" w:rsidP="00F006CA">
            <w:pPr>
              <w:spacing w:before="40" w:after="40"/>
              <w:rPr>
                <w:rFonts w:ascii="Times New Roman" w:hAnsi="Times New Roman" w:cs="Times New Roman"/>
                <w:sz w:val="18"/>
                <w:szCs w:val="18"/>
              </w:rPr>
            </w:pPr>
            <w:r w:rsidRPr="00592154">
              <w:rPr>
                <w:rFonts w:ascii="Times New Roman" w:hAnsi="Times New Roman" w:cs="Times New Roman"/>
                <w:sz w:val="18"/>
                <w:szCs w:val="18"/>
              </w:rPr>
              <w:t>Problematizing: Social and/or environmental SGC features</w:t>
            </w:r>
          </w:p>
        </w:tc>
        <w:tc>
          <w:tcPr>
            <w:tcW w:w="4587" w:type="dxa"/>
            <w:tcBorders>
              <w:top w:val="nil"/>
              <w:left w:val="nil"/>
              <w:bottom w:val="nil"/>
              <w:right w:val="nil"/>
            </w:tcBorders>
          </w:tcPr>
          <w:p w14:paraId="0C68366A" w14:textId="7C1364BF"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“Since independence in 1966, the Government of Botswana has </w:t>
            </w:r>
            <w:proofErr w:type="spellStart"/>
            <w:r w:rsidRPr="006C43D5">
              <w:rPr>
                <w:rFonts w:ascii="Times New Roman" w:hAnsi="Times New Roman" w:cs="Times New Roman"/>
                <w:sz w:val="18"/>
                <w:szCs w:val="18"/>
              </w:rPr>
              <w:t>privatised</w:t>
            </w:r>
            <w:proofErr w:type="spellEnd"/>
            <w:r w:rsidRPr="006C43D5">
              <w:rPr>
                <w:rFonts w:ascii="Times New Roman" w:hAnsi="Times New Roman" w:cs="Times New Roman"/>
                <w:sz w:val="18"/>
                <w:szCs w:val="18"/>
              </w:rPr>
              <w:t xml:space="preserve"> large areas of communal grazing land in the Kalahari by fencing off land for use by commercial cattle producers. Many environmental assessments show that </w:t>
            </w:r>
            <w:r w:rsidRPr="006C43D5">
              <w:rPr>
                <w:rFonts w:ascii="Times New Roman" w:hAnsi="Times New Roman" w:cs="Times New Roman"/>
                <w:b/>
                <w:sz w:val="18"/>
                <w:szCs w:val="18"/>
              </w:rPr>
              <w:t xml:space="preserve">this </w:t>
            </w:r>
            <w:r w:rsidRPr="006C43D5">
              <w:rPr>
                <w:rFonts w:ascii="Times New Roman" w:hAnsi="Times New Roman" w:cs="Times New Roman"/>
                <w:sz w:val="18"/>
                <w:szCs w:val="18"/>
              </w:rPr>
              <w:t xml:space="preserve">[…] has actually increased </w:t>
            </w:r>
            <w:r w:rsidRPr="006C43D5">
              <w:rPr>
                <w:rFonts w:ascii="Times New Roman" w:hAnsi="Times New Roman" w:cs="Times New Roman"/>
                <w:b/>
                <w:sz w:val="18"/>
                <w:szCs w:val="18"/>
              </w:rPr>
              <w:t>degradation problems</w:t>
            </w:r>
            <w:r w:rsidRPr="006C43D5">
              <w:rPr>
                <w:rFonts w:ascii="Times New Roman" w:hAnsi="Times New Roman" w:cs="Times New Roman"/>
                <w:sz w:val="18"/>
                <w:szCs w:val="18"/>
              </w:rPr>
              <w:t xml:space="preserve"> on both commercial ranches […] and in the remaining communal lands […].”</w:t>
            </w:r>
          </w:p>
        </w:tc>
        <w:tc>
          <w:tcPr>
            <w:tcW w:w="3964" w:type="dxa"/>
            <w:tcBorders>
              <w:top w:val="nil"/>
              <w:left w:val="nil"/>
              <w:bottom w:val="nil"/>
              <w:right w:val="nil"/>
            </w:tcBorders>
          </w:tcPr>
          <w:p w14:paraId="0C68366B" w14:textId="77777777"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“Agriculture in South Africa has long been associated with human rights violations and land expropriation […], exploitation of farm workers and unsustainable social practices.”</w:t>
            </w:r>
          </w:p>
        </w:tc>
        <w:tc>
          <w:tcPr>
            <w:tcW w:w="4179" w:type="dxa"/>
            <w:tcBorders>
              <w:top w:val="nil"/>
              <w:left w:val="nil"/>
              <w:bottom w:val="nil"/>
              <w:right w:val="nil"/>
            </w:tcBorders>
          </w:tcPr>
          <w:p w14:paraId="0C68366C" w14:textId="77777777" w:rsidR="006770B4" w:rsidRPr="006C43D5" w:rsidRDefault="006770B4" w:rsidP="001F2DA6">
            <w:pPr>
              <w:rPr>
                <w:rFonts w:ascii="Times New Roman" w:hAnsi="Times New Roman" w:cs="Times New Roman"/>
                <w:sz w:val="18"/>
                <w:szCs w:val="18"/>
              </w:rPr>
            </w:pPr>
            <w:r w:rsidRPr="006C43D5">
              <w:rPr>
                <w:rFonts w:ascii="Times New Roman" w:hAnsi="Times New Roman" w:cs="Times New Roman"/>
                <w:sz w:val="18"/>
                <w:szCs w:val="18"/>
              </w:rPr>
              <w:t xml:space="preserve">“In spite of that head start, Indian emergency services have failed to keep up with </w:t>
            </w:r>
            <w:r w:rsidRPr="006C43D5">
              <w:rPr>
                <w:rFonts w:ascii="Times New Roman" w:hAnsi="Times New Roman" w:cs="Times New Roman"/>
                <w:b/>
                <w:sz w:val="18"/>
                <w:szCs w:val="18"/>
              </w:rPr>
              <w:t>global standards</w:t>
            </w:r>
            <w:r w:rsidRPr="006C43D5">
              <w:rPr>
                <w:rFonts w:ascii="Times New Roman" w:hAnsi="Times New Roman" w:cs="Times New Roman"/>
                <w:sz w:val="18"/>
                <w:szCs w:val="18"/>
              </w:rPr>
              <w:t xml:space="preserve">: It is estimated that from being the ninth leading cause of death, </w:t>
            </w:r>
            <w:r w:rsidRPr="006C43D5">
              <w:rPr>
                <w:rFonts w:ascii="Times New Roman" w:hAnsi="Times New Roman" w:cs="Times New Roman"/>
                <w:b/>
                <w:sz w:val="18"/>
                <w:szCs w:val="18"/>
              </w:rPr>
              <w:t>trauma</w:t>
            </w:r>
            <w:r w:rsidRPr="006C43D5">
              <w:rPr>
                <w:rFonts w:ascii="Times New Roman" w:hAnsi="Times New Roman" w:cs="Times New Roman"/>
                <w:sz w:val="18"/>
                <w:szCs w:val="18"/>
              </w:rPr>
              <w:t xml:space="preserve"> will eventually move up to third position by 2020 […]. Worldwide, 50 million people were </w:t>
            </w:r>
            <w:r w:rsidRPr="006C43D5">
              <w:rPr>
                <w:rFonts w:ascii="Times New Roman" w:hAnsi="Times New Roman" w:cs="Times New Roman"/>
                <w:b/>
                <w:sz w:val="18"/>
                <w:szCs w:val="18"/>
              </w:rPr>
              <w:t>injured each year</w:t>
            </w:r>
            <w:r w:rsidRPr="006C43D5">
              <w:rPr>
                <w:rFonts w:ascii="Times New Roman" w:hAnsi="Times New Roman" w:cs="Times New Roman"/>
                <w:sz w:val="18"/>
                <w:szCs w:val="18"/>
              </w:rPr>
              <w:t xml:space="preserve"> and it was expected to grow by 65 % over the next 20 years […].”</w:t>
            </w:r>
          </w:p>
        </w:tc>
      </w:tr>
      <w:tr w:rsidR="006770B4" w:rsidRPr="006C43D5" w14:paraId="0C683674" w14:textId="77777777" w:rsidTr="00FF20D4">
        <w:tc>
          <w:tcPr>
            <w:tcW w:w="1372" w:type="dxa"/>
            <w:tcBorders>
              <w:top w:val="nil"/>
              <w:left w:val="nil"/>
              <w:bottom w:val="single" w:sz="4" w:space="0" w:color="auto"/>
              <w:right w:val="nil"/>
            </w:tcBorders>
          </w:tcPr>
          <w:p w14:paraId="0C68366E" w14:textId="732776C1" w:rsidR="006770B4" w:rsidRPr="006C43D5" w:rsidRDefault="00232935" w:rsidP="00F006CA">
            <w:pPr>
              <w:spacing w:before="40" w:after="40"/>
              <w:rPr>
                <w:rFonts w:ascii="Times New Roman" w:hAnsi="Times New Roman" w:cs="Times New Roman"/>
                <w:sz w:val="18"/>
                <w:szCs w:val="18"/>
              </w:rPr>
            </w:pPr>
            <w:r>
              <w:rPr>
                <w:rFonts w:ascii="Times New Roman" w:hAnsi="Times New Roman" w:cs="Times New Roman"/>
                <w:sz w:val="18"/>
                <w:szCs w:val="18"/>
              </w:rPr>
              <w:t>SGC i</w:t>
            </w:r>
            <w:r w:rsidR="00FA1430" w:rsidRPr="00FA1430">
              <w:rPr>
                <w:rFonts w:ascii="Times New Roman" w:hAnsi="Times New Roman" w:cs="Times New Roman"/>
                <w:sz w:val="18"/>
                <w:szCs w:val="18"/>
              </w:rPr>
              <w:t>nfo: Detailed SGC description, mentioning of a focal “solution"</w:t>
            </w:r>
          </w:p>
        </w:tc>
        <w:tc>
          <w:tcPr>
            <w:tcW w:w="4587" w:type="dxa"/>
            <w:tcBorders>
              <w:top w:val="nil"/>
              <w:left w:val="nil"/>
              <w:bottom w:val="single" w:sz="4" w:space="0" w:color="auto"/>
              <w:right w:val="nil"/>
            </w:tcBorders>
          </w:tcPr>
          <w:p w14:paraId="0C68366F" w14:textId="64F627D4"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“There is a real concern that a positive </w:t>
            </w:r>
            <w:r w:rsidRPr="006C43D5">
              <w:rPr>
                <w:rFonts w:ascii="Times New Roman" w:hAnsi="Times New Roman" w:cs="Times New Roman"/>
                <w:b/>
                <w:sz w:val="18"/>
                <w:szCs w:val="18"/>
              </w:rPr>
              <w:t>feedback cycle</w:t>
            </w:r>
            <w:r w:rsidRPr="006C43D5">
              <w:rPr>
                <w:rFonts w:ascii="Times New Roman" w:hAnsi="Times New Roman" w:cs="Times New Roman"/>
                <w:sz w:val="18"/>
                <w:szCs w:val="18"/>
              </w:rPr>
              <w:t xml:space="preserve"> exists whereby </w:t>
            </w:r>
            <w:proofErr w:type="spellStart"/>
            <w:r w:rsidRPr="006C43D5">
              <w:rPr>
                <w:rFonts w:ascii="Times New Roman" w:hAnsi="Times New Roman" w:cs="Times New Roman"/>
                <w:sz w:val="18"/>
                <w:szCs w:val="18"/>
              </w:rPr>
              <w:t>privatisation</w:t>
            </w:r>
            <w:proofErr w:type="spellEnd"/>
            <w:r w:rsidRPr="006C43D5">
              <w:rPr>
                <w:rFonts w:ascii="Times New Roman" w:hAnsi="Times New Roman" w:cs="Times New Roman"/>
                <w:sz w:val="18"/>
                <w:szCs w:val="18"/>
              </w:rPr>
              <w:t xml:space="preserve"> leads to more boreholes, which leads to bush encroachment, leading to a loss of productive rangeland for cattle, leading landowners to drill additional boreholes in remaining grass dominant areas that then rapidly become bush encroached. This is especially troubling since </w:t>
            </w:r>
            <w:r w:rsidR="00CF625B" w:rsidRPr="006C43D5">
              <w:rPr>
                <w:rFonts w:ascii="Times New Roman" w:hAnsi="Times New Roman" w:cs="Times New Roman"/>
                <w:sz w:val="18"/>
                <w:szCs w:val="18"/>
              </w:rPr>
              <w:t>[…]</w:t>
            </w:r>
            <w:r w:rsidRPr="006C43D5">
              <w:rPr>
                <w:rFonts w:ascii="Times New Roman" w:hAnsi="Times New Roman" w:cs="Times New Roman"/>
                <w:sz w:val="18"/>
                <w:szCs w:val="18"/>
              </w:rPr>
              <w:t xml:space="preserve"> a dryland’s ability to support livestock depends on maintaining a diverse and heterogeneous landscape in terms of fodder resources […] and that bush encroachment can only be checked by fire events […].”</w:t>
            </w:r>
          </w:p>
        </w:tc>
        <w:tc>
          <w:tcPr>
            <w:tcW w:w="3964" w:type="dxa"/>
            <w:tcBorders>
              <w:top w:val="nil"/>
              <w:left w:val="nil"/>
              <w:bottom w:val="single" w:sz="4" w:space="0" w:color="auto"/>
              <w:right w:val="nil"/>
            </w:tcBorders>
          </w:tcPr>
          <w:p w14:paraId="0C683671" w14:textId="6A687367"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“…relates to a </w:t>
            </w:r>
            <w:r w:rsidRPr="006C43D5">
              <w:rPr>
                <w:rFonts w:ascii="Times New Roman" w:hAnsi="Times New Roman" w:cs="Times New Roman"/>
                <w:b/>
                <w:sz w:val="18"/>
                <w:szCs w:val="18"/>
              </w:rPr>
              <w:t>lack of education and skills</w:t>
            </w:r>
            <w:r w:rsidRPr="006C43D5">
              <w:rPr>
                <w:rFonts w:ascii="Times New Roman" w:hAnsi="Times New Roman" w:cs="Times New Roman"/>
                <w:sz w:val="18"/>
                <w:szCs w:val="18"/>
              </w:rPr>
              <w:t xml:space="preserve"> of a vast number of citizens, contributing to the current unemployment figures.”</w:t>
            </w:r>
            <w:r w:rsidR="007918F3">
              <w:rPr>
                <w:rFonts w:ascii="Times New Roman" w:hAnsi="Times New Roman" w:cs="Times New Roman"/>
                <w:sz w:val="18"/>
                <w:szCs w:val="18"/>
              </w:rPr>
              <w:t xml:space="preserve"> </w:t>
            </w:r>
            <w:r w:rsidRPr="006C43D5">
              <w:rPr>
                <w:rFonts w:ascii="Times New Roman" w:hAnsi="Times New Roman" w:cs="Times New Roman"/>
                <w:sz w:val="18"/>
                <w:szCs w:val="18"/>
              </w:rPr>
              <w:sym w:font="Wingdings" w:char="F0E0"/>
            </w:r>
            <w:r w:rsidRPr="006C43D5">
              <w:rPr>
                <w:rFonts w:ascii="Times New Roman" w:hAnsi="Times New Roman" w:cs="Times New Roman"/>
                <w:sz w:val="18"/>
                <w:szCs w:val="18"/>
              </w:rPr>
              <w:t xml:space="preserve">Causing an </w:t>
            </w:r>
            <w:r w:rsidRPr="006C43D5">
              <w:rPr>
                <w:rFonts w:ascii="Times New Roman" w:hAnsi="Times New Roman" w:cs="Times New Roman"/>
                <w:b/>
                <w:sz w:val="18"/>
                <w:szCs w:val="18"/>
              </w:rPr>
              <w:t>excess offer of workers</w:t>
            </w:r>
            <w:r w:rsidRPr="006C43D5">
              <w:rPr>
                <w:rFonts w:ascii="Times New Roman" w:hAnsi="Times New Roman" w:cs="Times New Roman"/>
                <w:sz w:val="18"/>
                <w:szCs w:val="18"/>
              </w:rPr>
              <w:t xml:space="preserve"> and this way enabling exploitation of farm works and </w:t>
            </w:r>
            <w:r w:rsidRPr="006C43D5">
              <w:rPr>
                <w:rFonts w:ascii="Times New Roman" w:hAnsi="Times New Roman" w:cs="Times New Roman"/>
                <w:b/>
                <w:sz w:val="18"/>
                <w:szCs w:val="18"/>
              </w:rPr>
              <w:t>unstainable social practices</w:t>
            </w:r>
            <w:r w:rsidRPr="006C43D5">
              <w:rPr>
                <w:rFonts w:ascii="Times New Roman" w:hAnsi="Times New Roman" w:cs="Times New Roman"/>
                <w:sz w:val="18"/>
                <w:szCs w:val="18"/>
              </w:rPr>
              <w:t>.</w:t>
            </w:r>
          </w:p>
          <w:p w14:paraId="0C683672" w14:textId="77777777" w:rsidR="006770B4" w:rsidRPr="006C43D5" w:rsidRDefault="006770B4" w:rsidP="00CF625B">
            <w:pPr>
              <w:spacing w:before="40" w:after="120"/>
              <w:rPr>
                <w:rFonts w:ascii="Times New Roman" w:hAnsi="Times New Roman" w:cs="Times New Roman"/>
                <w:sz w:val="18"/>
                <w:szCs w:val="18"/>
              </w:rPr>
            </w:pPr>
            <w:r w:rsidRPr="006C43D5">
              <w:rPr>
                <w:rFonts w:ascii="Times New Roman" w:hAnsi="Times New Roman" w:cs="Times New Roman"/>
                <w:sz w:val="18"/>
                <w:szCs w:val="18"/>
              </w:rPr>
              <w:t xml:space="preserve">“Official statistics measure unemployment according to the narrow definition, which can present a skewed perception of the reality, especially in the light of other social problems […].” </w:t>
            </w:r>
          </w:p>
        </w:tc>
        <w:tc>
          <w:tcPr>
            <w:tcW w:w="4179" w:type="dxa"/>
            <w:tcBorders>
              <w:top w:val="nil"/>
              <w:left w:val="nil"/>
              <w:bottom w:val="single" w:sz="4" w:space="0" w:color="auto"/>
              <w:right w:val="nil"/>
            </w:tcBorders>
          </w:tcPr>
          <w:p w14:paraId="0C683673" w14:textId="78565CA5" w:rsidR="006770B4" w:rsidRPr="006C43D5" w:rsidRDefault="006770B4" w:rsidP="00ED1AB4">
            <w:pPr>
              <w:rPr>
                <w:rFonts w:ascii="Times New Roman" w:hAnsi="Times New Roman" w:cs="Times New Roman"/>
                <w:sz w:val="18"/>
                <w:szCs w:val="18"/>
              </w:rPr>
            </w:pPr>
            <w:r w:rsidRPr="006C43D5">
              <w:rPr>
                <w:rFonts w:ascii="Times New Roman" w:hAnsi="Times New Roman" w:cs="Times New Roman"/>
                <w:sz w:val="18"/>
                <w:szCs w:val="18"/>
              </w:rPr>
              <w:t>“</w:t>
            </w:r>
            <w:r w:rsidR="003B571D" w:rsidRPr="003B571D">
              <w:rPr>
                <w:rFonts w:ascii="Times New Roman" w:hAnsi="Times New Roman" w:cs="Times New Roman"/>
                <w:sz w:val="18"/>
                <w:szCs w:val="18"/>
              </w:rPr>
              <w:t>India’s economic growth has created some of the best private health facilities but</w:t>
            </w:r>
            <w:r w:rsidR="003B571D">
              <w:rPr>
                <w:rFonts w:ascii="Times New Roman" w:hAnsi="Times New Roman" w:cs="Times New Roman"/>
                <w:sz w:val="18"/>
                <w:szCs w:val="18"/>
              </w:rPr>
              <w:t xml:space="preserve"> </w:t>
            </w:r>
            <w:r w:rsidR="003B571D" w:rsidRPr="003B571D">
              <w:rPr>
                <w:rFonts w:ascii="Times New Roman" w:hAnsi="Times New Roman" w:cs="Times New Roman"/>
                <w:sz w:val="18"/>
                <w:szCs w:val="18"/>
              </w:rPr>
              <w:t xml:space="preserve">they have </w:t>
            </w:r>
            <w:r w:rsidR="003B571D" w:rsidRPr="00ED1AB4">
              <w:rPr>
                <w:rFonts w:ascii="Times New Roman" w:hAnsi="Times New Roman" w:cs="Times New Roman"/>
                <w:b/>
                <w:bCs/>
                <w:sz w:val="18"/>
                <w:szCs w:val="18"/>
              </w:rPr>
              <w:t>not traditionally been accessible to a majority of the low-income population</w:t>
            </w:r>
            <w:r w:rsidR="003B571D" w:rsidRPr="003B571D">
              <w:rPr>
                <w:rFonts w:ascii="Times New Roman" w:hAnsi="Times New Roman" w:cs="Times New Roman"/>
                <w:sz w:val="18"/>
                <w:szCs w:val="18"/>
              </w:rPr>
              <w:t>.</w:t>
            </w:r>
            <w:r w:rsidR="00ED1AB4">
              <w:rPr>
                <w:rFonts w:ascii="Times New Roman" w:hAnsi="Times New Roman" w:cs="Times New Roman"/>
                <w:sz w:val="18"/>
                <w:szCs w:val="18"/>
              </w:rPr>
              <w:t xml:space="preserve"> </w:t>
            </w:r>
            <w:r w:rsidR="003B571D" w:rsidRPr="003B571D">
              <w:rPr>
                <w:rFonts w:ascii="Times New Roman" w:hAnsi="Times New Roman" w:cs="Times New Roman"/>
                <w:sz w:val="18"/>
                <w:szCs w:val="18"/>
              </w:rPr>
              <w:t>Accident victims frequently fail to receive timely medical care following an accident,</w:t>
            </w:r>
            <w:r w:rsidR="00ED1AB4">
              <w:rPr>
                <w:rFonts w:ascii="Times New Roman" w:hAnsi="Times New Roman" w:cs="Times New Roman"/>
                <w:sz w:val="18"/>
                <w:szCs w:val="18"/>
              </w:rPr>
              <w:t xml:space="preserve"> </w:t>
            </w:r>
            <w:r w:rsidR="003B571D" w:rsidRPr="003B571D">
              <w:rPr>
                <w:rFonts w:ascii="Times New Roman" w:hAnsi="Times New Roman" w:cs="Times New Roman"/>
                <w:sz w:val="18"/>
                <w:szCs w:val="18"/>
              </w:rPr>
              <w:t>whilst broader problems such as access to clean drinking water and sustained access to</w:t>
            </w:r>
            <w:r w:rsidR="00ED1AB4">
              <w:rPr>
                <w:rFonts w:ascii="Times New Roman" w:hAnsi="Times New Roman" w:cs="Times New Roman"/>
                <w:sz w:val="18"/>
                <w:szCs w:val="18"/>
              </w:rPr>
              <w:t xml:space="preserve"> </w:t>
            </w:r>
            <w:r w:rsidR="003B571D" w:rsidRPr="003B571D">
              <w:rPr>
                <w:rFonts w:ascii="Times New Roman" w:hAnsi="Times New Roman" w:cs="Times New Roman"/>
                <w:sz w:val="18"/>
                <w:szCs w:val="18"/>
              </w:rPr>
              <w:t xml:space="preserve">improved sanitation </w:t>
            </w:r>
            <w:r w:rsidR="003B571D" w:rsidRPr="00ED1AB4">
              <w:rPr>
                <w:rFonts w:ascii="Times New Roman" w:hAnsi="Times New Roman" w:cs="Times New Roman"/>
                <w:b/>
                <w:bCs/>
                <w:sz w:val="18"/>
                <w:szCs w:val="18"/>
              </w:rPr>
              <w:t>also result in diseases and emergenc</w:t>
            </w:r>
            <w:r w:rsidR="0064727A">
              <w:rPr>
                <w:rFonts w:ascii="Times New Roman" w:hAnsi="Times New Roman" w:cs="Times New Roman"/>
                <w:b/>
                <w:bCs/>
                <w:sz w:val="18"/>
                <w:szCs w:val="18"/>
              </w:rPr>
              <w:t>i</w:t>
            </w:r>
            <w:r w:rsidR="003B571D" w:rsidRPr="00ED1AB4">
              <w:rPr>
                <w:rFonts w:ascii="Times New Roman" w:hAnsi="Times New Roman" w:cs="Times New Roman"/>
                <w:b/>
                <w:bCs/>
                <w:sz w:val="18"/>
                <w:szCs w:val="18"/>
              </w:rPr>
              <w:t>es</w:t>
            </w:r>
            <w:r w:rsidR="003B571D" w:rsidRPr="003B571D">
              <w:rPr>
                <w:rFonts w:ascii="Times New Roman" w:hAnsi="Times New Roman" w:cs="Times New Roman"/>
                <w:sz w:val="18"/>
                <w:szCs w:val="18"/>
              </w:rPr>
              <w:t xml:space="preserve"> unique to the Indian</w:t>
            </w:r>
            <w:r w:rsidR="00ED1AB4">
              <w:rPr>
                <w:rFonts w:ascii="Times New Roman" w:hAnsi="Times New Roman" w:cs="Times New Roman"/>
                <w:sz w:val="18"/>
                <w:szCs w:val="18"/>
              </w:rPr>
              <w:t xml:space="preserve"> </w:t>
            </w:r>
            <w:r w:rsidR="003B571D" w:rsidRPr="003B571D">
              <w:rPr>
                <w:rFonts w:ascii="Times New Roman" w:hAnsi="Times New Roman" w:cs="Times New Roman"/>
                <w:sz w:val="18"/>
                <w:szCs w:val="18"/>
              </w:rPr>
              <w:t>context.</w:t>
            </w:r>
            <w:r w:rsidRPr="006C43D5">
              <w:rPr>
                <w:rFonts w:ascii="Times New Roman" w:hAnsi="Times New Roman" w:cs="Times New Roman"/>
                <w:sz w:val="18"/>
                <w:szCs w:val="18"/>
              </w:rPr>
              <w:t>”</w:t>
            </w:r>
          </w:p>
        </w:tc>
      </w:tr>
      <w:tr w:rsidR="006770B4" w:rsidRPr="006C43D5" w14:paraId="0C683676" w14:textId="77777777" w:rsidTr="00FF20D4">
        <w:tc>
          <w:tcPr>
            <w:tcW w:w="14102" w:type="dxa"/>
            <w:gridSpan w:val="4"/>
            <w:tcBorders>
              <w:top w:val="single" w:sz="4" w:space="0" w:color="auto"/>
              <w:left w:val="nil"/>
              <w:bottom w:val="single" w:sz="4" w:space="0" w:color="auto"/>
              <w:right w:val="nil"/>
            </w:tcBorders>
            <w:shd w:val="clear" w:color="auto" w:fill="auto"/>
          </w:tcPr>
          <w:p w14:paraId="0C683675" w14:textId="77777777" w:rsidR="006770B4" w:rsidRPr="006C43D5" w:rsidRDefault="006770B4" w:rsidP="00F006CA">
            <w:pPr>
              <w:spacing w:before="40" w:after="40"/>
              <w:jc w:val="center"/>
              <w:rPr>
                <w:rFonts w:ascii="Times New Roman" w:hAnsi="Times New Roman" w:cs="Times New Roman"/>
                <w:b/>
                <w:i/>
              </w:rPr>
            </w:pPr>
            <w:r w:rsidRPr="006C43D5">
              <w:rPr>
                <w:rFonts w:ascii="Times New Roman" w:hAnsi="Times New Roman" w:cs="Times New Roman"/>
                <w:b/>
                <w:i/>
              </w:rPr>
              <w:t>Prognostic SGC Framing</w:t>
            </w:r>
          </w:p>
        </w:tc>
      </w:tr>
      <w:tr w:rsidR="006770B4" w:rsidRPr="006C43D5" w14:paraId="0C68367B" w14:textId="77777777" w:rsidTr="00FF20D4">
        <w:tc>
          <w:tcPr>
            <w:tcW w:w="1372" w:type="dxa"/>
            <w:tcBorders>
              <w:top w:val="single" w:sz="4" w:space="0" w:color="auto"/>
              <w:left w:val="nil"/>
              <w:bottom w:val="nil"/>
              <w:right w:val="nil"/>
            </w:tcBorders>
          </w:tcPr>
          <w:p w14:paraId="0C683677" w14:textId="77777777" w:rsidR="006770B4" w:rsidRPr="006C43D5" w:rsidRDefault="006770B4" w:rsidP="00F006CA">
            <w:pPr>
              <w:spacing w:before="40" w:after="40"/>
              <w:jc w:val="center"/>
              <w:rPr>
                <w:rFonts w:ascii="Times New Roman" w:hAnsi="Times New Roman" w:cs="Times New Roman"/>
                <w:sz w:val="20"/>
                <w:szCs w:val="20"/>
              </w:rPr>
            </w:pPr>
          </w:p>
        </w:tc>
        <w:tc>
          <w:tcPr>
            <w:tcW w:w="4587" w:type="dxa"/>
            <w:tcBorders>
              <w:top w:val="single" w:sz="4" w:space="0" w:color="auto"/>
              <w:left w:val="nil"/>
              <w:bottom w:val="nil"/>
              <w:right w:val="nil"/>
            </w:tcBorders>
          </w:tcPr>
          <w:p w14:paraId="0C683678" w14:textId="77777777" w:rsidR="006770B4" w:rsidRPr="006C43D5" w:rsidRDefault="006770B4" w:rsidP="00F006CA">
            <w:pPr>
              <w:spacing w:before="40" w:after="40"/>
              <w:jc w:val="center"/>
              <w:rPr>
                <w:rFonts w:ascii="Times New Roman" w:hAnsi="Times New Roman" w:cs="Times New Roman"/>
                <w:sz w:val="18"/>
                <w:szCs w:val="18"/>
              </w:rPr>
            </w:pPr>
            <w:r w:rsidRPr="006C43D5">
              <w:rPr>
                <w:rFonts w:ascii="Times New Roman" w:hAnsi="Times New Roman" w:cs="Times New Roman"/>
                <w:i/>
                <w:sz w:val="18"/>
                <w:szCs w:val="18"/>
              </w:rPr>
              <w:t>Example: Forsyth (2007, p. 1684; 1686)</w:t>
            </w:r>
          </w:p>
        </w:tc>
        <w:tc>
          <w:tcPr>
            <w:tcW w:w="3964" w:type="dxa"/>
            <w:tcBorders>
              <w:top w:val="single" w:sz="4" w:space="0" w:color="auto"/>
              <w:left w:val="nil"/>
              <w:bottom w:val="nil"/>
              <w:right w:val="nil"/>
            </w:tcBorders>
          </w:tcPr>
          <w:p w14:paraId="0C683679" w14:textId="77777777" w:rsidR="006770B4" w:rsidRPr="006C43D5" w:rsidRDefault="006770B4" w:rsidP="00F006CA">
            <w:pPr>
              <w:spacing w:before="40" w:after="40"/>
              <w:jc w:val="center"/>
              <w:rPr>
                <w:rFonts w:ascii="Times New Roman" w:hAnsi="Times New Roman" w:cs="Times New Roman"/>
                <w:sz w:val="18"/>
                <w:szCs w:val="18"/>
              </w:rPr>
            </w:pPr>
            <w:r w:rsidRPr="006C43D5">
              <w:rPr>
                <w:rFonts w:ascii="Times New Roman" w:hAnsi="Times New Roman" w:cs="Times New Roman"/>
                <w:i/>
                <w:sz w:val="18"/>
                <w:szCs w:val="18"/>
              </w:rPr>
              <w:t xml:space="preserve">Example: </w:t>
            </w:r>
            <w:proofErr w:type="spellStart"/>
            <w:r w:rsidRPr="006C43D5">
              <w:rPr>
                <w:rFonts w:ascii="Times New Roman" w:hAnsi="Times New Roman" w:cs="Times New Roman"/>
                <w:i/>
                <w:sz w:val="18"/>
                <w:szCs w:val="18"/>
              </w:rPr>
              <w:t>Godenhjelm</w:t>
            </w:r>
            <w:proofErr w:type="spellEnd"/>
            <w:r w:rsidRPr="006C43D5">
              <w:rPr>
                <w:rFonts w:ascii="Times New Roman" w:hAnsi="Times New Roman" w:cs="Times New Roman"/>
                <w:i/>
                <w:sz w:val="18"/>
                <w:szCs w:val="18"/>
              </w:rPr>
              <w:t xml:space="preserve"> and Johanson (2018, p. 43,44)</w:t>
            </w:r>
          </w:p>
        </w:tc>
        <w:tc>
          <w:tcPr>
            <w:tcW w:w="4179" w:type="dxa"/>
            <w:tcBorders>
              <w:top w:val="single" w:sz="4" w:space="0" w:color="auto"/>
              <w:left w:val="nil"/>
              <w:bottom w:val="nil"/>
              <w:right w:val="nil"/>
            </w:tcBorders>
          </w:tcPr>
          <w:p w14:paraId="0C68367A" w14:textId="77777777" w:rsidR="006770B4" w:rsidRPr="006C43D5" w:rsidRDefault="006770B4" w:rsidP="00321F95">
            <w:pPr>
              <w:spacing w:before="40" w:after="40"/>
              <w:jc w:val="center"/>
              <w:rPr>
                <w:rFonts w:ascii="Times New Roman" w:hAnsi="Times New Roman" w:cs="Times New Roman"/>
                <w:sz w:val="18"/>
                <w:szCs w:val="18"/>
              </w:rPr>
            </w:pPr>
            <w:r w:rsidRPr="006C43D5">
              <w:rPr>
                <w:rFonts w:ascii="Times New Roman" w:hAnsi="Times New Roman" w:cs="Times New Roman"/>
                <w:i/>
                <w:sz w:val="18"/>
                <w:szCs w:val="18"/>
              </w:rPr>
              <w:t>Example: Woodson (2016, p. 1410-1411)</w:t>
            </w:r>
          </w:p>
        </w:tc>
      </w:tr>
      <w:tr w:rsidR="006770B4" w:rsidRPr="006C43D5" w14:paraId="0C683681" w14:textId="77777777" w:rsidTr="00321F95">
        <w:tc>
          <w:tcPr>
            <w:tcW w:w="1372" w:type="dxa"/>
            <w:tcBorders>
              <w:top w:val="nil"/>
              <w:left w:val="nil"/>
              <w:bottom w:val="nil"/>
              <w:right w:val="nil"/>
            </w:tcBorders>
          </w:tcPr>
          <w:p w14:paraId="0C68367C" w14:textId="4B1849C9" w:rsidR="006770B4" w:rsidRPr="006C43D5" w:rsidRDefault="008D77EE" w:rsidP="00F006CA">
            <w:pPr>
              <w:spacing w:before="40" w:after="40"/>
              <w:rPr>
                <w:rFonts w:ascii="Times New Roman" w:hAnsi="Times New Roman" w:cs="Times New Roman"/>
                <w:sz w:val="18"/>
                <w:szCs w:val="18"/>
              </w:rPr>
            </w:pPr>
            <w:r w:rsidRPr="008D77EE">
              <w:rPr>
                <w:rFonts w:ascii="Times New Roman" w:hAnsi="Times New Roman" w:cs="Times New Roman"/>
                <w:sz w:val="18"/>
                <w:szCs w:val="18"/>
              </w:rPr>
              <w:t>Problematizing: Challenges related to a focal SGC “solution”</w:t>
            </w:r>
          </w:p>
        </w:tc>
        <w:tc>
          <w:tcPr>
            <w:tcW w:w="4587" w:type="dxa"/>
            <w:tcBorders>
              <w:top w:val="nil"/>
              <w:left w:val="nil"/>
              <w:bottom w:val="nil"/>
              <w:right w:val="nil"/>
            </w:tcBorders>
          </w:tcPr>
          <w:p w14:paraId="0C68367D" w14:textId="73E3FFFB"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“In recent years, negotiators about climate change policy have used the term, ‘</w:t>
            </w:r>
            <w:r w:rsidRPr="006C43D5">
              <w:rPr>
                <w:rFonts w:ascii="Times New Roman" w:hAnsi="Times New Roman" w:cs="Times New Roman"/>
                <w:b/>
                <w:sz w:val="18"/>
                <w:szCs w:val="18"/>
              </w:rPr>
              <w:t>development dividend</w:t>
            </w:r>
            <w:r w:rsidRPr="006C43D5">
              <w:rPr>
                <w:rFonts w:ascii="Times New Roman" w:hAnsi="Times New Roman" w:cs="Times New Roman"/>
                <w:sz w:val="18"/>
                <w:szCs w:val="18"/>
              </w:rPr>
              <w:t xml:space="preserve">’ to describe social and developmental benefits that accompany activities to reduce or sequester greenhouse gas emissions in developing countries. The term was inspired by concerns that some low-cost approaches to climate change mitigation in developing countries might fail to enhance, or even detract from, other aspects of sustainable development. One important possible application of the development dividend is in the </w:t>
            </w:r>
            <w:r w:rsidRPr="006C43D5">
              <w:rPr>
                <w:rFonts w:ascii="Times New Roman" w:hAnsi="Times New Roman" w:cs="Times New Roman"/>
                <w:b/>
                <w:sz w:val="18"/>
                <w:szCs w:val="18"/>
              </w:rPr>
              <w:t>transfer of technologies</w:t>
            </w:r>
            <w:r w:rsidRPr="006C43D5">
              <w:rPr>
                <w:rFonts w:ascii="Times New Roman" w:hAnsi="Times New Roman" w:cs="Times New Roman"/>
                <w:sz w:val="18"/>
                <w:szCs w:val="18"/>
              </w:rPr>
              <w:t xml:space="preserve"> that can both reduce greenhouse gas emissions and contribute to local social and </w:t>
            </w:r>
            <w:r w:rsidRPr="006C43D5">
              <w:rPr>
                <w:rFonts w:ascii="Times New Roman" w:hAnsi="Times New Roman" w:cs="Times New Roman"/>
                <w:sz w:val="18"/>
                <w:szCs w:val="18"/>
              </w:rPr>
              <w:lastRenderedPageBreak/>
              <w:t xml:space="preserve">economic development. […] But achieving the development dividend has been difficult for various reasons. First, </w:t>
            </w:r>
            <w:r w:rsidR="00CE07D4" w:rsidRPr="006C43D5">
              <w:rPr>
                <w:rFonts w:ascii="Times New Roman" w:hAnsi="Times New Roman" w:cs="Times New Roman"/>
                <w:sz w:val="18"/>
                <w:szCs w:val="18"/>
              </w:rPr>
              <w:t>[…]</w:t>
            </w:r>
            <w:r w:rsidRPr="006C43D5">
              <w:rPr>
                <w:rFonts w:ascii="Times New Roman" w:hAnsi="Times New Roman" w:cs="Times New Roman"/>
                <w:sz w:val="18"/>
                <w:szCs w:val="18"/>
              </w:rPr>
              <w:t xml:space="preserve">. Second, </w:t>
            </w:r>
            <w:r w:rsidR="00213ACF" w:rsidRPr="006C43D5">
              <w:rPr>
                <w:rFonts w:ascii="Times New Roman" w:hAnsi="Times New Roman" w:cs="Times New Roman"/>
                <w:sz w:val="18"/>
                <w:szCs w:val="18"/>
              </w:rPr>
              <w:t>[…]</w:t>
            </w:r>
            <w:r w:rsidRPr="006C43D5">
              <w:rPr>
                <w:rFonts w:ascii="Times New Roman" w:hAnsi="Times New Roman" w:cs="Times New Roman"/>
                <w:sz w:val="18"/>
                <w:szCs w:val="18"/>
              </w:rPr>
              <w:t xml:space="preserve">. And third, </w:t>
            </w:r>
            <w:r w:rsidR="00213ACF" w:rsidRPr="006C43D5">
              <w:rPr>
                <w:rFonts w:ascii="Times New Roman" w:hAnsi="Times New Roman" w:cs="Times New Roman"/>
                <w:sz w:val="18"/>
                <w:szCs w:val="18"/>
              </w:rPr>
              <w:t>[…]</w:t>
            </w:r>
            <w:r w:rsidRPr="006C43D5">
              <w:rPr>
                <w:rFonts w:ascii="Times New Roman" w:hAnsi="Times New Roman" w:cs="Times New Roman"/>
                <w:sz w:val="18"/>
                <w:szCs w:val="18"/>
              </w:rPr>
              <w:t>.”</w:t>
            </w:r>
          </w:p>
        </w:tc>
        <w:tc>
          <w:tcPr>
            <w:tcW w:w="3964" w:type="dxa"/>
            <w:tcBorders>
              <w:top w:val="nil"/>
              <w:left w:val="nil"/>
              <w:bottom w:val="nil"/>
              <w:right w:val="nil"/>
            </w:tcBorders>
          </w:tcPr>
          <w:p w14:paraId="0C68367E" w14:textId="1FC32E5B"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lastRenderedPageBreak/>
              <w:t>“</w:t>
            </w:r>
            <w:r w:rsidRPr="006C43D5">
              <w:rPr>
                <w:rFonts w:ascii="Times New Roman" w:hAnsi="Times New Roman" w:cs="Times New Roman"/>
                <w:b/>
                <w:sz w:val="18"/>
                <w:szCs w:val="18"/>
              </w:rPr>
              <w:t>Innovation</w:t>
            </w:r>
            <w:r w:rsidRPr="006C43D5">
              <w:rPr>
                <w:rFonts w:ascii="Times New Roman" w:hAnsi="Times New Roman" w:cs="Times New Roman"/>
                <w:sz w:val="18"/>
                <w:szCs w:val="18"/>
              </w:rPr>
              <w:t xml:space="preserve"> </w:t>
            </w:r>
            <w:r w:rsidR="00B65035" w:rsidRPr="00690F2C">
              <w:rPr>
                <w:rFonts w:ascii="Times New Roman" w:hAnsi="Times New Roman" w:cs="Times New Roman"/>
                <w:b/>
                <w:bCs/>
                <w:sz w:val="18"/>
                <w:szCs w:val="18"/>
              </w:rPr>
              <w:t>[</w:t>
            </w:r>
            <w:r w:rsidR="00771183" w:rsidRPr="00690F2C">
              <w:rPr>
                <w:rFonts w:ascii="Times New Roman" w:hAnsi="Times New Roman" w:cs="Times New Roman"/>
                <w:b/>
                <w:bCs/>
                <w:sz w:val="18"/>
                <w:szCs w:val="18"/>
              </w:rPr>
              <w:t xml:space="preserve">in </w:t>
            </w:r>
            <w:r w:rsidR="00B65035" w:rsidRPr="00690F2C">
              <w:rPr>
                <w:rFonts w:ascii="Times New Roman" w:hAnsi="Times New Roman" w:cs="Times New Roman"/>
                <w:b/>
                <w:bCs/>
                <w:sz w:val="18"/>
                <w:szCs w:val="18"/>
              </w:rPr>
              <w:t>public policy service delivery process</w:t>
            </w:r>
            <w:r w:rsidR="00771183" w:rsidRPr="00690F2C">
              <w:rPr>
                <w:rFonts w:ascii="Times New Roman" w:hAnsi="Times New Roman" w:cs="Times New Roman"/>
                <w:b/>
                <w:bCs/>
                <w:sz w:val="18"/>
                <w:szCs w:val="18"/>
              </w:rPr>
              <w:t>]</w:t>
            </w:r>
            <w:r w:rsidR="00B65035">
              <w:rPr>
                <w:rFonts w:ascii="Times New Roman" w:hAnsi="Times New Roman" w:cs="Times New Roman"/>
                <w:sz w:val="18"/>
                <w:szCs w:val="18"/>
              </w:rPr>
              <w:t xml:space="preserve"> </w:t>
            </w:r>
            <w:r w:rsidRPr="006C43D5">
              <w:rPr>
                <w:rFonts w:ascii="Times New Roman" w:hAnsi="Times New Roman" w:cs="Times New Roman"/>
                <w:sz w:val="18"/>
                <w:szCs w:val="18"/>
              </w:rPr>
              <w:t xml:space="preserve">represents a solution to welfare problems […]. However, innovation in governance is ambiguous and requires an institutional environment that fosters learning and knowledge sharing </w:t>
            </w:r>
            <w:r w:rsidR="00A42734" w:rsidRPr="006C43D5">
              <w:rPr>
                <w:rFonts w:ascii="Times New Roman" w:hAnsi="Times New Roman" w:cs="Times New Roman"/>
                <w:sz w:val="18"/>
                <w:szCs w:val="18"/>
              </w:rPr>
              <w:t>[…]</w:t>
            </w:r>
            <w:r w:rsidRPr="006C43D5">
              <w:rPr>
                <w:rFonts w:ascii="Times New Roman" w:hAnsi="Times New Roman" w:cs="Times New Roman"/>
                <w:sz w:val="18"/>
                <w:szCs w:val="18"/>
              </w:rPr>
              <w:t xml:space="preserve">. A common notion is that knowledge is created when heterogeneous organizations or actors meet, create partnerships and share ideas. Thus, some see creative problem solving and collaboration as the cure for the alleged innovation deficit within the public sector […]. Consequently, </w:t>
            </w:r>
            <w:r w:rsidRPr="006C43D5">
              <w:rPr>
                <w:rFonts w:ascii="Times New Roman" w:hAnsi="Times New Roman" w:cs="Times New Roman"/>
                <w:sz w:val="18"/>
                <w:szCs w:val="18"/>
              </w:rPr>
              <w:lastRenderedPageBreak/>
              <w:t>many public management reforms and programmes identify innovation as their primary goal […].”</w:t>
            </w:r>
          </w:p>
          <w:p w14:paraId="0C68367F" w14:textId="77777777" w:rsidR="006770B4" w:rsidRPr="006C43D5" w:rsidRDefault="006770B4" w:rsidP="00F006CA">
            <w:pPr>
              <w:spacing w:before="40" w:after="40"/>
              <w:rPr>
                <w:rFonts w:ascii="Times New Roman" w:hAnsi="Times New Roman" w:cs="Times New Roman"/>
                <w:sz w:val="18"/>
                <w:szCs w:val="18"/>
              </w:rPr>
            </w:pPr>
          </w:p>
        </w:tc>
        <w:tc>
          <w:tcPr>
            <w:tcW w:w="4179" w:type="dxa"/>
            <w:tcBorders>
              <w:top w:val="nil"/>
              <w:left w:val="nil"/>
              <w:bottom w:val="nil"/>
              <w:right w:val="nil"/>
            </w:tcBorders>
          </w:tcPr>
          <w:p w14:paraId="0C683680" w14:textId="67D477EA" w:rsidR="006770B4" w:rsidRPr="006C43D5" w:rsidRDefault="006770B4" w:rsidP="00321F95">
            <w:pPr>
              <w:spacing w:before="40" w:after="40"/>
              <w:rPr>
                <w:rFonts w:ascii="Times New Roman" w:hAnsi="Times New Roman" w:cs="Times New Roman"/>
                <w:sz w:val="18"/>
                <w:szCs w:val="18"/>
              </w:rPr>
            </w:pPr>
            <w:r w:rsidRPr="006C43D5">
              <w:rPr>
                <w:rFonts w:ascii="Times New Roman" w:hAnsi="Times New Roman" w:cs="Times New Roman"/>
                <w:sz w:val="18"/>
                <w:szCs w:val="18"/>
              </w:rPr>
              <w:lastRenderedPageBreak/>
              <w:t xml:space="preserve">“Despite the improvements in overall health, the advancements are not evenly distributed. Many </w:t>
            </w:r>
            <w:r w:rsidRPr="006C43D5">
              <w:rPr>
                <w:rFonts w:ascii="Times New Roman" w:hAnsi="Times New Roman" w:cs="Times New Roman"/>
                <w:b/>
                <w:sz w:val="18"/>
                <w:szCs w:val="18"/>
              </w:rPr>
              <w:t>medical discoveries</w:t>
            </w:r>
            <w:r w:rsidRPr="006C43D5">
              <w:rPr>
                <w:rFonts w:ascii="Times New Roman" w:hAnsi="Times New Roman" w:cs="Times New Roman"/>
                <w:sz w:val="18"/>
                <w:szCs w:val="18"/>
              </w:rPr>
              <w:t xml:space="preserve"> only target diseases of the very rich and other medicines are too expensive for impoverished communities to purchase. […]</w:t>
            </w:r>
            <w:r w:rsidR="0056739B">
              <w:rPr>
                <w:rFonts w:ascii="Times New Roman" w:hAnsi="Times New Roman" w:cs="Times New Roman"/>
                <w:sz w:val="18"/>
                <w:szCs w:val="18"/>
              </w:rPr>
              <w:t xml:space="preserve"> </w:t>
            </w:r>
            <w:r w:rsidRPr="006C43D5">
              <w:rPr>
                <w:rFonts w:ascii="Times New Roman" w:hAnsi="Times New Roman" w:cs="Times New Roman"/>
                <w:sz w:val="18"/>
                <w:szCs w:val="18"/>
              </w:rPr>
              <w:t>less than 10% of healthcare research and development (R</w:t>
            </w:r>
            <w:r w:rsidR="00CE07D4">
              <w:rPr>
                <w:rFonts w:ascii="Times New Roman" w:hAnsi="Times New Roman" w:cs="Times New Roman"/>
                <w:sz w:val="18"/>
                <w:szCs w:val="18"/>
              </w:rPr>
              <w:t>&amp;</w:t>
            </w:r>
            <w:r w:rsidRPr="006C43D5">
              <w:rPr>
                <w:rFonts w:ascii="Times New Roman" w:hAnsi="Times New Roman" w:cs="Times New Roman"/>
                <w:sz w:val="18"/>
                <w:szCs w:val="18"/>
              </w:rPr>
              <w:t xml:space="preserve">D) was on diseases that affect 90% of the world’s population […].” “One new health technology that some scientists believe will revolutionized healthcare is </w:t>
            </w:r>
            <w:r w:rsidRPr="006C43D5">
              <w:rPr>
                <w:rFonts w:ascii="Times New Roman" w:hAnsi="Times New Roman" w:cs="Times New Roman"/>
                <w:b/>
                <w:sz w:val="18"/>
                <w:szCs w:val="18"/>
              </w:rPr>
              <w:t>nanotechnology.</w:t>
            </w:r>
            <w:r w:rsidRPr="006C43D5">
              <w:rPr>
                <w:rFonts w:ascii="Times New Roman" w:hAnsi="Times New Roman" w:cs="Times New Roman"/>
                <w:sz w:val="18"/>
                <w:szCs w:val="18"/>
              </w:rPr>
              <w:t xml:space="preserve"> […]. However, nanotechnology, and other emerging technologies, only have viable </w:t>
            </w:r>
            <w:r w:rsidRPr="006C43D5">
              <w:rPr>
                <w:rFonts w:ascii="Times New Roman" w:hAnsi="Times New Roman" w:cs="Times New Roman"/>
                <w:sz w:val="18"/>
                <w:szCs w:val="18"/>
              </w:rPr>
              <w:lastRenderedPageBreak/>
              <w:t>futures if there is a market for them […]. Yet, the market for Disease of Poverty (</w:t>
            </w:r>
            <w:proofErr w:type="spellStart"/>
            <w:r w:rsidRPr="006C43D5">
              <w:rPr>
                <w:rFonts w:ascii="Times New Roman" w:hAnsi="Times New Roman" w:cs="Times New Roman"/>
                <w:sz w:val="18"/>
                <w:szCs w:val="18"/>
              </w:rPr>
              <w:t>DoP</w:t>
            </w:r>
            <w:proofErr w:type="spellEnd"/>
            <w:r w:rsidRPr="006C43D5">
              <w:rPr>
                <w:rFonts w:ascii="Times New Roman" w:hAnsi="Times New Roman" w:cs="Times New Roman"/>
                <w:sz w:val="18"/>
                <w:szCs w:val="18"/>
              </w:rPr>
              <w:t>) medicines is unclear because companies are unlikely to recoup their research expenses and make a profit on medicines for diseases that affect the poor […].”</w:t>
            </w:r>
          </w:p>
        </w:tc>
      </w:tr>
      <w:tr w:rsidR="006770B4" w:rsidRPr="006C43D5" w14:paraId="0C683686" w14:textId="77777777" w:rsidTr="00321F95">
        <w:tc>
          <w:tcPr>
            <w:tcW w:w="1372" w:type="dxa"/>
            <w:tcBorders>
              <w:top w:val="nil"/>
              <w:left w:val="nil"/>
              <w:bottom w:val="single" w:sz="4" w:space="0" w:color="auto"/>
              <w:right w:val="nil"/>
            </w:tcBorders>
          </w:tcPr>
          <w:p w14:paraId="0C683682" w14:textId="290331D9" w:rsidR="006770B4" w:rsidRPr="006C43D5" w:rsidRDefault="00232935" w:rsidP="00F006CA">
            <w:pPr>
              <w:spacing w:before="40" w:after="40"/>
              <w:rPr>
                <w:rFonts w:ascii="Times New Roman" w:hAnsi="Times New Roman" w:cs="Times New Roman"/>
                <w:sz w:val="18"/>
                <w:szCs w:val="18"/>
              </w:rPr>
            </w:pPr>
            <w:r>
              <w:rPr>
                <w:rFonts w:ascii="Times New Roman" w:hAnsi="Times New Roman" w:cs="Times New Roman"/>
                <w:sz w:val="18"/>
                <w:szCs w:val="18"/>
              </w:rPr>
              <w:lastRenderedPageBreak/>
              <w:t>SGC i</w:t>
            </w:r>
            <w:r w:rsidRPr="00232935">
              <w:rPr>
                <w:rFonts w:ascii="Times New Roman" w:hAnsi="Times New Roman" w:cs="Times New Roman"/>
                <w:sz w:val="18"/>
                <w:szCs w:val="18"/>
              </w:rPr>
              <w:t>nfo: Detailed description of a SGC “solution,” short or missing SGC information</w:t>
            </w:r>
          </w:p>
        </w:tc>
        <w:tc>
          <w:tcPr>
            <w:tcW w:w="4587" w:type="dxa"/>
            <w:tcBorders>
              <w:top w:val="nil"/>
              <w:left w:val="nil"/>
              <w:bottom w:val="single" w:sz="4" w:space="0" w:color="auto"/>
              <w:right w:val="nil"/>
            </w:tcBorders>
          </w:tcPr>
          <w:p w14:paraId="0C683683" w14:textId="77777777"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Marrakech Accords established an Adaptation Fund to help poor countries adapt to climate change, based on 2% of the value of certified emission reduction units under the Clean Development Mechanism.” p. 1690 “The theme of waste-to-energy was selected because it encompasses many dilemmas of climate technology transfer and the development dividend. </w:t>
            </w:r>
            <w:r w:rsidRPr="006C43D5">
              <w:rPr>
                <w:rFonts w:ascii="Times New Roman" w:hAnsi="Times New Roman" w:cs="Times New Roman"/>
                <w:b/>
                <w:sz w:val="18"/>
                <w:szCs w:val="18"/>
              </w:rPr>
              <w:t>Waste is a growing health and planning problem in developing countries</w:t>
            </w:r>
            <w:r w:rsidRPr="006C43D5">
              <w:rPr>
                <w:rFonts w:ascii="Times New Roman" w:hAnsi="Times New Roman" w:cs="Times New Roman"/>
                <w:sz w:val="18"/>
                <w:szCs w:val="18"/>
              </w:rPr>
              <w:t>, and is relevant to global climate change because it usually emits methane, which can also be harnessed and used as a renewable energy.”</w:t>
            </w:r>
          </w:p>
        </w:tc>
        <w:tc>
          <w:tcPr>
            <w:tcW w:w="3964" w:type="dxa"/>
            <w:tcBorders>
              <w:top w:val="nil"/>
              <w:left w:val="nil"/>
              <w:bottom w:val="single" w:sz="4" w:space="0" w:color="auto"/>
              <w:right w:val="nil"/>
            </w:tcBorders>
          </w:tcPr>
          <w:p w14:paraId="0C683684" w14:textId="77777777" w:rsidR="006770B4" w:rsidRPr="006C43D5" w:rsidRDefault="006770B4" w:rsidP="00F006C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“In public administration, problems usually </w:t>
            </w:r>
            <w:r w:rsidRPr="006C43D5">
              <w:rPr>
                <w:rFonts w:ascii="Times New Roman" w:hAnsi="Times New Roman" w:cs="Times New Roman"/>
                <w:b/>
                <w:sz w:val="18"/>
                <w:szCs w:val="18"/>
              </w:rPr>
              <w:t>need to be solved by a wide audience</w:t>
            </w:r>
            <w:r w:rsidRPr="006C43D5">
              <w:rPr>
                <w:rFonts w:ascii="Times New Roman" w:hAnsi="Times New Roman" w:cs="Times New Roman"/>
                <w:sz w:val="18"/>
                <w:szCs w:val="18"/>
              </w:rPr>
              <w:t xml:space="preserve"> that extends beyond the resources controlled by any given organization […].”</w:t>
            </w:r>
          </w:p>
        </w:tc>
        <w:tc>
          <w:tcPr>
            <w:tcW w:w="4179" w:type="dxa"/>
            <w:tcBorders>
              <w:top w:val="nil"/>
              <w:left w:val="nil"/>
              <w:bottom w:val="single" w:sz="4" w:space="0" w:color="auto"/>
              <w:right w:val="nil"/>
            </w:tcBorders>
          </w:tcPr>
          <w:p w14:paraId="0C683685" w14:textId="564C7D0E" w:rsidR="006770B4" w:rsidRPr="006C43D5" w:rsidRDefault="006770B4" w:rsidP="00321F95">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“In 1999, there was </w:t>
            </w:r>
            <w:r w:rsidRPr="006C43D5">
              <w:rPr>
                <w:rFonts w:ascii="Times New Roman" w:hAnsi="Times New Roman" w:cs="Times New Roman"/>
                <w:b/>
                <w:sz w:val="18"/>
                <w:szCs w:val="18"/>
              </w:rPr>
              <w:t>substantial public outrage directed at pharmaceutical companies</w:t>
            </w:r>
            <w:r w:rsidRPr="006C43D5">
              <w:rPr>
                <w:rFonts w:ascii="Times New Roman" w:hAnsi="Times New Roman" w:cs="Times New Roman"/>
                <w:sz w:val="18"/>
                <w:szCs w:val="18"/>
              </w:rPr>
              <w:t xml:space="preserve"> because they refused to provide low-cost HIV medicines to victims in poor countries. […]. Moreover, in 2000 the United Nations launched the Millennium Development Goals (MDGs) and increased the visibility of </w:t>
            </w:r>
            <w:proofErr w:type="spellStart"/>
            <w:r w:rsidRPr="006C43D5">
              <w:rPr>
                <w:rFonts w:ascii="Times New Roman" w:hAnsi="Times New Roman" w:cs="Times New Roman"/>
                <w:sz w:val="18"/>
                <w:szCs w:val="18"/>
              </w:rPr>
              <w:t>DoP</w:t>
            </w:r>
            <w:proofErr w:type="spellEnd"/>
            <w:r w:rsidRPr="006C43D5">
              <w:rPr>
                <w:rFonts w:ascii="Times New Roman" w:hAnsi="Times New Roman" w:cs="Times New Roman"/>
                <w:sz w:val="18"/>
                <w:szCs w:val="18"/>
              </w:rPr>
              <w:t xml:space="preserve">. This </w:t>
            </w:r>
            <w:r w:rsidRPr="006C43D5">
              <w:rPr>
                <w:rFonts w:ascii="Times New Roman" w:hAnsi="Times New Roman" w:cs="Times New Roman"/>
                <w:b/>
                <w:sz w:val="18"/>
                <w:szCs w:val="18"/>
              </w:rPr>
              <w:t>made the world community more responsive to the needs of the poor</w:t>
            </w:r>
            <w:r w:rsidRPr="006C43D5">
              <w:rPr>
                <w:rFonts w:ascii="Times New Roman" w:hAnsi="Times New Roman" w:cs="Times New Roman"/>
                <w:sz w:val="18"/>
                <w:szCs w:val="18"/>
              </w:rPr>
              <w:t xml:space="preserve"> and it put public pressure on countries to find solutions for these issues.”</w:t>
            </w:r>
          </w:p>
        </w:tc>
      </w:tr>
    </w:tbl>
    <w:p w14:paraId="0C683687" w14:textId="2374D112" w:rsidR="006770B4" w:rsidRPr="00CF74B1" w:rsidRDefault="006770B4" w:rsidP="0011022B">
      <w:pPr>
        <w:pStyle w:val="ListParagraph"/>
        <w:numPr>
          <w:ilvl w:val="1"/>
          <w:numId w:val="2"/>
        </w:numPr>
        <w:spacing w:before="240"/>
        <w:rPr>
          <w:rFonts w:ascii="Times New Roman" w:hAnsi="Times New Roman" w:cs="Times New Roman"/>
          <w:b/>
          <w:lang w:val="fr-FR"/>
        </w:rPr>
      </w:pPr>
      <w:proofErr w:type="spellStart"/>
      <w:r w:rsidRPr="00CF74B1">
        <w:rPr>
          <w:rFonts w:ascii="Times New Roman" w:hAnsi="Times New Roman" w:cs="Times New Roman"/>
          <w:b/>
          <w:lang w:val="fr-FR"/>
        </w:rPr>
        <w:t>Examples</w:t>
      </w:r>
      <w:proofErr w:type="spellEnd"/>
      <w:r w:rsidRPr="00CF74B1">
        <w:rPr>
          <w:rFonts w:ascii="Times New Roman" w:hAnsi="Times New Roman" w:cs="Times New Roman"/>
          <w:b/>
          <w:lang w:val="fr-FR"/>
        </w:rPr>
        <w:t xml:space="preserve"> </w:t>
      </w:r>
      <w:r w:rsidR="003A7C76">
        <w:rPr>
          <w:rFonts w:ascii="Times New Roman" w:hAnsi="Times New Roman" w:cs="Times New Roman"/>
          <w:b/>
          <w:lang w:val="fr-FR"/>
        </w:rPr>
        <w:t>of</w:t>
      </w:r>
      <w:r w:rsidRPr="00CF74B1">
        <w:rPr>
          <w:rFonts w:ascii="Times New Roman" w:hAnsi="Times New Roman" w:cs="Times New Roman"/>
          <w:b/>
          <w:lang w:val="fr-FR"/>
        </w:rPr>
        <w:t xml:space="preserve"> SGC Interventions</w:t>
      </w:r>
    </w:p>
    <w:tbl>
      <w:tblPr>
        <w:tblStyle w:val="TableGrid"/>
        <w:tblW w:w="141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678"/>
        <w:gridCol w:w="4061"/>
        <w:gridCol w:w="4019"/>
      </w:tblGrid>
      <w:tr w:rsidR="006770B4" w:rsidRPr="006C43D5" w14:paraId="0C68368C" w14:textId="77777777" w:rsidTr="00C26A7B">
        <w:tc>
          <w:tcPr>
            <w:tcW w:w="1418" w:type="dxa"/>
            <w:tcBorders>
              <w:top w:val="double" w:sz="4" w:space="0" w:color="auto"/>
              <w:bottom w:val="double" w:sz="4" w:space="0" w:color="auto"/>
            </w:tcBorders>
          </w:tcPr>
          <w:p w14:paraId="0C683688" w14:textId="77777777" w:rsidR="006770B4" w:rsidRPr="00CF74B1" w:rsidRDefault="006770B4" w:rsidP="00C26A7B">
            <w:pPr>
              <w:spacing w:before="40" w:after="40"/>
              <w:jc w:val="center"/>
              <w:rPr>
                <w:rFonts w:ascii="Times New Roman" w:hAnsi="Times New Roman" w:cs="Times New Roman"/>
                <w:b/>
                <w:lang w:val="fr-FR"/>
              </w:rPr>
            </w:pPr>
          </w:p>
        </w:tc>
        <w:tc>
          <w:tcPr>
            <w:tcW w:w="4678" w:type="dxa"/>
            <w:tcBorders>
              <w:top w:val="double" w:sz="4" w:space="0" w:color="auto"/>
              <w:bottom w:val="double" w:sz="4" w:space="0" w:color="auto"/>
            </w:tcBorders>
          </w:tcPr>
          <w:p w14:paraId="0C683689" w14:textId="27D473ED" w:rsidR="006770B4" w:rsidRPr="006C43D5" w:rsidRDefault="00A73CAA" w:rsidP="00C26A7B">
            <w:pPr>
              <w:spacing w:before="40" w:after="40"/>
              <w:jc w:val="center"/>
              <w:rPr>
                <w:rFonts w:ascii="Times New Roman" w:hAnsi="Times New Roman" w:cs="Times New Roman"/>
                <w:b/>
              </w:rPr>
            </w:pPr>
            <w:r>
              <w:rPr>
                <w:rFonts w:ascii="Times New Roman" w:hAnsi="Times New Roman" w:cs="Times New Roman"/>
                <w:b/>
              </w:rPr>
              <w:t>Example 1</w:t>
            </w:r>
          </w:p>
        </w:tc>
        <w:tc>
          <w:tcPr>
            <w:tcW w:w="4061" w:type="dxa"/>
            <w:tcBorders>
              <w:top w:val="double" w:sz="4" w:space="0" w:color="auto"/>
              <w:bottom w:val="double" w:sz="4" w:space="0" w:color="auto"/>
            </w:tcBorders>
          </w:tcPr>
          <w:p w14:paraId="0C68368A" w14:textId="1007D452" w:rsidR="006770B4" w:rsidRPr="006C43D5" w:rsidRDefault="00A73CAA" w:rsidP="00C26A7B">
            <w:pPr>
              <w:spacing w:before="40" w:after="40"/>
              <w:jc w:val="center"/>
              <w:rPr>
                <w:rFonts w:ascii="Times New Roman" w:hAnsi="Times New Roman" w:cs="Times New Roman"/>
                <w:b/>
              </w:rPr>
            </w:pPr>
            <w:r>
              <w:rPr>
                <w:rFonts w:ascii="Times New Roman" w:hAnsi="Times New Roman" w:cs="Times New Roman"/>
                <w:b/>
              </w:rPr>
              <w:t>Example 2</w:t>
            </w:r>
          </w:p>
        </w:tc>
        <w:tc>
          <w:tcPr>
            <w:tcW w:w="4019" w:type="dxa"/>
            <w:tcBorders>
              <w:top w:val="double" w:sz="4" w:space="0" w:color="auto"/>
              <w:bottom w:val="double" w:sz="4" w:space="0" w:color="auto"/>
            </w:tcBorders>
          </w:tcPr>
          <w:p w14:paraId="0C68368B" w14:textId="6F688A8D" w:rsidR="006770B4" w:rsidRPr="006C43D5" w:rsidRDefault="00A73CAA" w:rsidP="00C26A7B">
            <w:pPr>
              <w:spacing w:before="40" w:after="40"/>
              <w:jc w:val="center"/>
              <w:rPr>
                <w:rFonts w:ascii="Times New Roman" w:hAnsi="Times New Roman" w:cs="Times New Roman"/>
                <w:b/>
              </w:rPr>
            </w:pPr>
            <w:r>
              <w:rPr>
                <w:rFonts w:ascii="Times New Roman" w:hAnsi="Times New Roman" w:cs="Times New Roman"/>
                <w:b/>
              </w:rPr>
              <w:t>Example 3</w:t>
            </w:r>
          </w:p>
        </w:tc>
      </w:tr>
      <w:tr w:rsidR="006770B4" w:rsidRPr="006C43D5" w14:paraId="0C68368E" w14:textId="77777777" w:rsidTr="00C26A7B">
        <w:tc>
          <w:tcPr>
            <w:tcW w:w="14176" w:type="dxa"/>
            <w:gridSpan w:val="4"/>
            <w:tcBorders>
              <w:top w:val="double" w:sz="4" w:space="0" w:color="auto"/>
              <w:bottom w:val="single" w:sz="4" w:space="0" w:color="auto"/>
            </w:tcBorders>
            <w:shd w:val="clear" w:color="auto" w:fill="auto"/>
          </w:tcPr>
          <w:p w14:paraId="0C68368D" w14:textId="01C87865" w:rsidR="006770B4" w:rsidRPr="006C43D5" w:rsidRDefault="00CC762B" w:rsidP="00C26A7B">
            <w:pPr>
              <w:spacing w:before="40" w:after="40"/>
              <w:jc w:val="center"/>
              <w:rPr>
                <w:rFonts w:ascii="Times New Roman" w:hAnsi="Times New Roman" w:cs="Times New Roman"/>
                <w:b/>
                <w:i/>
              </w:rPr>
            </w:pPr>
            <w:r>
              <w:rPr>
                <w:rFonts w:ascii="Times New Roman" w:hAnsi="Times New Roman" w:cs="Times New Roman"/>
                <w:b/>
                <w:i/>
              </w:rPr>
              <w:t>Transformative</w:t>
            </w:r>
            <w:r w:rsidR="006770B4" w:rsidRPr="006C43D5">
              <w:rPr>
                <w:rFonts w:ascii="Times New Roman" w:hAnsi="Times New Roman" w:cs="Times New Roman"/>
                <w:b/>
                <w:i/>
              </w:rPr>
              <w:t xml:space="preserve"> SGC Intervention</w:t>
            </w:r>
          </w:p>
        </w:tc>
      </w:tr>
      <w:tr w:rsidR="006770B4" w:rsidRPr="006C43D5" w14:paraId="0C683693" w14:textId="77777777" w:rsidTr="00C26A7B">
        <w:tc>
          <w:tcPr>
            <w:tcW w:w="1418" w:type="dxa"/>
            <w:tcBorders>
              <w:top w:val="single" w:sz="4" w:space="0" w:color="auto"/>
            </w:tcBorders>
          </w:tcPr>
          <w:p w14:paraId="0C68368F" w14:textId="77777777" w:rsidR="006770B4" w:rsidRPr="006C43D5" w:rsidRDefault="006770B4" w:rsidP="00C26A7B">
            <w:pPr>
              <w:spacing w:before="40" w:after="40"/>
              <w:jc w:val="center"/>
              <w:rPr>
                <w:rFonts w:ascii="Times New Roman" w:hAnsi="Times New Roman" w:cs="Times New Roman"/>
                <w:i/>
                <w:sz w:val="18"/>
                <w:szCs w:val="18"/>
              </w:rPr>
            </w:pPr>
          </w:p>
        </w:tc>
        <w:tc>
          <w:tcPr>
            <w:tcW w:w="4678" w:type="dxa"/>
            <w:tcBorders>
              <w:top w:val="single" w:sz="4" w:space="0" w:color="auto"/>
            </w:tcBorders>
          </w:tcPr>
          <w:p w14:paraId="0C683690"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Gerlak and Heikkila (2011, p. 626-627)</w:t>
            </w:r>
          </w:p>
        </w:tc>
        <w:tc>
          <w:tcPr>
            <w:tcW w:w="4061" w:type="dxa"/>
            <w:tcBorders>
              <w:top w:val="single" w:sz="4" w:space="0" w:color="auto"/>
            </w:tcBorders>
          </w:tcPr>
          <w:p w14:paraId="0C683691" w14:textId="5D093069"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De Wit and Berner (2009, p. 936-937)</w:t>
            </w:r>
          </w:p>
        </w:tc>
        <w:tc>
          <w:tcPr>
            <w:tcW w:w="4019" w:type="dxa"/>
            <w:tcBorders>
              <w:top w:val="single" w:sz="4" w:space="0" w:color="auto"/>
            </w:tcBorders>
          </w:tcPr>
          <w:p w14:paraId="0C683692" w14:textId="44931545"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Ishan and Kähkönen (2002, p. 668, 673)</w:t>
            </w:r>
          </w:p>
        </w:tc>
      </w:tr>
      <w:tr w:rsidR="00330201" w:rsidRPr="006C43D5" w14:paraId="22F06BAB" w14:textId="77777777" w:rsidTr="00C26A7B">
        <w:tc>
          <w:tcPr>
            <w:tcW w:w="1418" w:type="dxa"/>
          </w:tcPr>
          <w:p w14:paraId="3A3E3C5F" w14:textId="2BF709B7" w:rsidR="008408F4" w:rsidRPr="008408F4" w:rsidRDefault="008408F4" w:rsidP="008408F4">
            <w:pPr>
              <w:spacing w:before="40" w:after="40"/>
              <w:rPr>
                <w:rFonts w:ascii="Times New Roman" w:hAnsi="Times New Roman" w:cs="Times New Roman"/>
                <w:sz w:val="18"/>
                <w:szCs w:val="18"/>
              </w:rPr>
            </w:pPr>
            <w:r w:rsidRPr="008408F4">
              <w:rPr>
                <w:rFonts w:ascii="Times New Roman" w:hAnsi="Times New Roman" w:cs="Times New Roman"/>
                <w:sz w:val="18"/>
                <w:szCs w:val="18"/>
              </w:rPr>
              <w:t>Aim: Addresses factors underlying the SGC such as by enabling and/or empowering disadvantaged stakeholder groups</w:t>
            </w:r>
          </w:p>
          <w:p w14:paraId="586C6A97" w14:textId="73024C83" w:rsidR="00330201" w:rsidRPr="006C43D5" w:rsidRDefault="00330201" w:rsidP="00C26A7B">
            <w:pPr>
              <w:spacing w:before="40" w:after="40"/>
              <w:rPr>
                <w:rFonts w:ascii="Times New Roman" w:hAnsi="Times New Roman" w:cs="Times New Roman"/>
                <w:sz w:val="18"/>
                <w:szCs w:val="18"/>
              </w:rPr>
            </w:pPr>
          </w:p>
        </w:tc>
        <w:tc>
          <w:tcPr>
            <w:tcW w:w="4678" w:type="dxa"/>
          </w:tcPr>
          <w:p w14:paraId="5241F700" w14:textId="4C36D3AC" w:rsidR="00330201" w:rsidRPr="006C43D5" w:rsidRDefault="00330201" w:rsidP="00C26A7B">
            <w:pPr>
              <w:spacing w:before="40" w:after="40"/>
              <w:rPr>
                <w:rFonts w:ascii="Times New Roman" w:hAnsi="Times New Roman" w:cs="Times New Roman"/>
                <w:sz w:val="20"/>
                <w:szCs w:val="20"/>
              </w:rPr>
            </w:pPr>
            <w:r w:rsidRPr="006C43D5">
              <w:rPr>
                <w:rFonts w:ascii="Times New Roman" w:hAnsi="Times New Roman" w:cs="Times New Roman"/>
                <w:sz w:val="18"/>
                <w:szCs w:val="18"/>
              </w:rPr>
              <w:t xml:space="preserve">“The Everglades restoration program has become a network of multiple organizations that institutionalizes communications and </w:t>
            </w:r>
            <w:r w:rsidRPr="006C43D5">
              <w:rPr>
                <w:rFonts w:ascii="Times New Roman" w:hAnsi="Times New Roman" w:cs="Times New Roman"/>
                <w:b/>
                <w:sz w:val="18"/>
                <w:szCs w:val="18"/>
              </w:rPr>
              <w:t>joint decisions among various actors that share responsibilities</w:t>
            </w:r>
            <w:r w:rsidRPr="006C43D5">
              <w:rPr>
                <w:rFonts w:ascii="Times New Roman" w:hAnsi="Times New Roman" w:cs="Times New Roman"/>
                <w:sz w:val="18"/>
                <w:szCs w:val="18"/>
              </w:rPr>
              <w:t xml:space="preserve"> for managing the Everglades and those who are affected by the restoration efforts.”</w:t>
            </w:r>
          </w:p>
        </w:tc>
        <w:tc>
          <w:tcPr>
            <w:tcW w:w="4061" w:type="dxa"/>
          </w:tcPr>
          <w:p w14:paraId="47AD942A" w14:textId="77777777" w:rsidR="00330201" w:rsidRPr="006C43D5" w:rsidRDefault="00330201"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Dutch-funded pilot programme aimed at poverty reduction by </w:t>
            </w:r>
            <w:r w:rsidRPr="006C43D5">
              <w:rPr>
                <w:rFonts w:ascii="Times New Roman" w:hAnsi="Times New Roman" w:cs="Times New Roman"/>
                <w:b/>
                <w:sz w:val="18"/>
                <w:szCs w:val="18"/>
              </w:rPr>
              <w:t>empowering slum inhabitants</w:t>
            </w:r>
            <w:r w:rsidRPr="006C43D5">
              <w:rPr>
                <w:rFonts w:ascii="Times New Roman" w:hAnsi="Times New Roman" w:cs="Times New Roman"/>
                <w:sz w:val="18"/>
                <w:szCs w:val="18"/>
              </w:rPr>
              <w:t xml:space="preserve"> and creating an enabling institutional framework to facilitate participation and co-operation between government agencies, NGOs and community organizations. […] Objective: addressing the root causes of urban poverty, and empowering people to tackle these themselves.”</w:t>
            </w:r>
          </w:p>
        </w:tc>
        <w:tc>
          <w:tcPr>
            <w:tcW w:w="4019" w:type="dxa"/>
          </w:tcPr>
          <w:p w14:paraId="6919EEF0" w14:textId="0AFEF66B" w:rsidR="00330201" w:rsidRPr="006C43D5" w:rsidRDefault="00330201"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collective demand for the type and level of services is more likely to be clearly expressed when </w:t>
            </w:r>
            <w:r w:rsidRPr="006C43D5">
              <w:rPr>
                <w:rFonts w:ascii="Times New Roman" w:hAnsi="Times New Roman" w:cs="Times New Roman"/>
                <w:b/>
                <w:sz w:val="18"/>
                <w:szCs w:val="18"/>
              </w:rPr>
              <w:t>community members are accustomed to working together</w:t>
            </w:r>
            <w:r w:rsidRPr="006C43D5">
              <w:rPr>
                <w:rFonts w:ascii="Times New Roman" w:hAnsi="Times New Roman" w:cs="Times New Roman"/>
                <w:sz w:val="18"/>
                <w:szCs w:val="18"/>
              </w:rPr>
              <w:t>, where leaders are accountable, and where all stakeholders have a voice. Water-users groups are more likely to succeed in communities with cohesive community groups and regular civic activities.”</w:t>
            </w:r>
          </w:p>
        </w:tc>
      </w:tr>
      <w:tr w:rsidR="006770B4" w:rsidRPr="006C43D5" w14:paraId="0C683699" w14:textId="77777777" w:rsidTr="00C26A7B">
        <w:tc>
          <w:tcPr>
            <w:tcW w:w="1418" w:type="dxa"/>
          </w:tcPr>
          <w:p w14:paraId="0C683694" w14:textId="2169B496" w:rsidR="006770B4" w:rsidRPr="006C43D5" w:rsidRDefault="00A75C30" w:rsidP="00C26A7B">
            <w:pPr>
              <w:spacing w:before="40" w:after="40"/>
              <w:rPr>
                <w:rFonts w:ascii="Times New Roman" w:hAnsi="Times New Roman" w:cs="Times New Roman"/>
                <w:sz w:val="18"/>
                <w:szCs w:val="18"/>
              </w:rPr>
            </w:pPr>
            <w:r w:rsidRPr="00A75C30">
              <w:rPr>
                <w:rFonts w:ascii="Times New Roman" w:hAnsi="Times New Roman" w:cs="Times New Roman"/>
                <w:sz w:val="18"/>
                <w:szCs w:val="18"/>
              </w:rPr>
              <w:t>Focal activities: Centered on a regulative and/or capacity building intervention</w:t>
            </w:r>
          </w:p>
        </w:tc>
        <w:tc>
          <w:tcPr>
            <w:tcW w:w="4678" w:type="dxa"/>
          </w:tcPr>
          <w:p w14:paraId="0C683695" w14:textId="6413D000"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primary goal of the collaborative program is to </w:t>
            </w:r>
            <w:r w:rsidRPr="006C43D5">
              <w:rPr>
                <w:rFonts w:ascii="Times New Roman" w:hAnsi="Times New Roman" w:cs="Times New Roman"/>
                <w:b/>
                <w:sz w:val="18"/>
                <w:szCs w:val="18"/>
              </w:rPr>
              <w:t>restore the ecological integrity</w:t>
            </w:r>
            <w:r w:rsidRPr="006C43D5">
              <w:rPr>
                <w:rFonts w:ascii="Times New Roman" w:hAnsi="Times New Roman" w:cs="Times New Roman"/>
                <w:sz w:val="18"/>
                <w:szCs w:val="18"/>
              </w:rPr>
              <w:t xml:space="preserve"> of the Everglades—a unique and culturally significant ecosystem that has been impaired after decades of engineering for flood control, agricultural, and urban development […]. This plan formalizes many of the shared goals of the collaborative program by identifying the operational projects that will </w:t>
            </w:r>
            <w:r w:rsidRPr="006C43D5">
              <w:rPr>
                <w:rFonts w:ascii="Times New Roman" w:hAnsi="Times New Roman" w:cs="Times New Roman"/>
                <w:b/>
                <w:sz w:val="18"/>
                <w:szCs w:val="18"/>
              </w:rPr>
              <w:t>re-engineer the existing flood control and water management infrastructure</w:t>
            </w:r>
            <w:r w:rsidRPr="006C43D5">
              <w:rPr>
                <w:rFonts w:ascii="Times New Roman" w:hAnsi="Times New Roman" w:cs="Times New Roman"/>
                <w:sz w:val="18"/>
                <w:szCs w:val="18"/>
              </w:rPr>
              <w:t xml:space="preserve"> in the </w:t>
            </w:r>
            <w:r w:rsidRPr="006C43D5">
              <w:rPr>
                <w:rFonts w:ascii="Times New Roman" w:hAnsi="Times New Roman" w:cs="Times New Roman"/>
                <w:sz w:val="18"/>
                <w:szCs w:val="18"/>
              </w:rPr>
              <w:lastRenderedPageBreak/>
              <w:t xml:space="preserve">Everglades needed to restore, or at least improve, the health of the Everglades ecosystem.” </w:t>
            </w:r>
          </w:p>
        </w:tc>
        <w:tc>
          <w:tcPr>
            <w:tcW w:w="4061" w:type="dxa"/>
          </w:tcPr>
          <w:p w14:paraId="0C683696"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lastRenderedPageBreak/>
              <w:t xml:space="preserve">“Between 1993 and 1999 the Bangalore Urban Poverty Alleviation Programme (BUPP) was implemented in the south Indian metropolis of Bangalore.” </w:t>
            </w:r>
            <w:r w:rsidRPr="006C43D5">
              <w:rPr>
                <w:rFonts w:ascii="Times New Roman" w:hAnsi="Times New Roman" w:cs="Times New Roman"/>
                <w:sz w:val="18"/>
                <w:szCs w:val="18"/>
              </w:rPr>
              <w:sym w:font="Wingdings" w:char="F0E0"/>
            </w:r>
            <w:r w:rsidRPr="006C43D5">
              <w:rPr>
                <w:rFonts w:ascii="Times New Roman" w:hAnsi="Times New Roman" w:cs="Times New Roman"/>
                <w:sz w:val="18"/>
                <w:szCs w:val="18"/>
              </w:rPr>
              <w:t xml:space="preserve">Drafting “a </w:t>
            </w:r>
            <w:r w:rsidRPr="006C43D5">
              <w:rPr>
                <w:rFonts w:ascii="Times New Roman" w:hAnsi="Times New Roman" w:cs="Times New Roman"/>
                <w:b/>
                <w:sz w:val="18"/>
                <w:szCs w:val="18"/>
              </w:rPr>
              <w:t>Slum Development Plan (SDP),</w:t>
            </w:r>
            <w:r w:rsidRPr="006C43D5">
              <w:rPr>
                <w:rFonts w:ascii="Times New Roman" w:hAnsi="Times New Roman" w:cs="Times New Roman"/>
                <w:sz w:val="18"/>
                <w:szCs w:val="18"/>
              </w:rPr>
              <w:t xml:space="preserve"> reflecting the prioritized needs of the community. Guidance and support in drafting and </w:t>
            </w:r>
            <w:r w:rsidRPr="006C43D5">
              <w:rPr>
                <w:rFonts w:ascii="Times New Roman" w:hAnsi="Times New Roman" w:cs="Times New Roman"/>
                <w:sz w:val="18"/>
                <w:szCs w:val="18"/>
              </w:rPr>
              <w:lastRenderedPageBreak/>
              <w:t>implementing the plan was provided by an NGO working in the slum in question.”</w:t>
            </w:r>
          </w:p>
        </w:tc>
        <w:tc>
          <w:tcPr>
            <w:tcW w:w="4019" w:type="dxa"/>
          </w:tcPr>
          <w:p w14:paraId="0C683697"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lastRenderedPageBreak/>
              <w:t xml:space="preserve">”In the early 1990s, three </w:t>
            </w:r>
            <w:r w:rsidRPr="006C43D5">
              <w:rPr>
                <w:rFonts w:ascii="Times New Roman" w:hAnsi="Times New Roman" w:cs="Times New Roman"/>
                <w:b/>
                <w:sz w:val="18"/>
                <w:szCs w:val="18"/>
              </w:rPr>
              <w:t>community-based rural water projects</w:t>
            </w:r>
            <w:r w:rsidRPr="006C43D5">
              <w:rPr>
                <w:rFonts w:ascii="Times New Roman" w:hAnsi="Times New Roman" w:cs="Times New Roman"/>
                <w:sz w:val="18"/>
                <w:szCs w:val="18"/>
              </w:rPr>
              <w:t xml:space="preserve"> were prepared and implemented in Sri Lanka and in two states of India—Karnataka and Maharashtra. Their objective was to provide potable water to selected small rural communities that did not have reliable access to safe water within a kilometer or less.”</w:t>
            </w:r>
          </w:p>
          <w:p w14:paraId="0C683698" w14:textId="77777777" w:rsidR="006770B4" w:rsidRPr="006C43D5" w:rsidRDefault="006770B4" w:rsidP="00C26A7B">
            <w:pPr>
              <w:spacing w:before="40" w:after="40"/>
              <w:rPr>
                <w:rFonts w:ascii="Times New Roman" w:hAnsi="Times New Roman" w:cs="Times New Roman"/>
                <w:sz w:val="18"/>
                <w:szCs w:val="18"/>
              </w:rPr>
            </w:pPr>
          </w:p>
        </w:tc>
      </w:tr>
      <w:tr w:rsidR="006770B4" w:rsidRPr="006C43D5" w14:paraId="0C68369E" w14:textId="77777777" w:rsidTr="00C26A7B">
        <w:tc>
          <w:tcPr>
            <w:tcW w:w="1418" w:type="dxa"/>
            <w:tcBorders>
              <w:bottom w:val="single" w:sz="4" w:space="0" w:color="auto"/>
            </w:tcBorders>
          </w:tcPr>
          <w:p w14:paraId="0C68369A" w14:textId="33290933" w:rsidR="006770B4" w:rsidRPr="006C43D5" w:rsidRDefault="00A75C30" w:rsidP="00C26A7B">
            <w:pPr>
              <w:spacing w:before="40" w:after="40"/>
              <w:rPr>
                <w:rFonts w:ascii="Times New Roman" w:hAnsi="Times New Roman" w:cs="Times New Roman"/>
                <w:sz w:val="18"/>
                <w:szCs w:val="18"/>
              </w:rPr>
            </w:pPr>
            <w:r w:rsidRPr="00A75C30">
              <w:rPr>
                <w:rFonts w:ascii="Times New Roman" w:hAnsi="Times New Roman" w:cs="Times New Roman"/>
                <w:sz w:val="18"/>
                <w:szCs w:val="18"/>
              </w:rPr>
              <w:lastRenderedPageBreak/>
              <w:t xml:space="preserve">Involvement: </w:t>
            </w:r>
            <w:r w:rsidR="00C33F5B">
              <w:rPr>
                <w:rFonts w:ascii="Times New Roman" w:hAnsi="Times New Roman" w:cs="Times New Roman"/>
                <w:sz w:val="18"/>
                <w:szCs w:val="18"/>
              </w:rPr>
              <w:t>I</w:t>
            </w:r>
            <w:r w:rsidRPr="00A75C30">
              <w:rPr>
                <w:rFonts w:ascii="Times New Roman" w:hAnsi="Times New Roman" w:cs="Times New Roman"/>
                <w:sz w:val="18"/>
                <w:szCs w:val="18"/>
              </w:rPr>
              <w:t>nvolving SGC stakeholder groups/</w:t>
            </w:r>
            <w:r w:rsidRPr="00A75C30">
              <w:rPr>
                <w:rFonts w:ascii="Times New Roman" w:hAnsi="Times New Roman" w:cs="Times New Roman"/>
                <w:sz w:val="18"/>
                <w:szCs w:val="18"/>
              </w:rPr>
              <w:br/>
              <w:t xml:space="preserve">  beneficiaries in its design and/or implementation</w:t>
            </w:r>
          </w:p>
        </w:tc>
        <w:tc>
          <w:tcPr>
            <w:tcW w:w="4678" w:type="dxa"/>
            <w:tcBorders>
              <w:bottom w:val="single" w:sz="4" w:space="0" w:color="auto"/>
            </w:tcBorders>
          </w:tcPr>
          <w:p w14:paraId="0C68369B" w14:textId="77777777" w:rsidR="006770B4" w:rsidRPr="006C43D5" w:rsidRDefault="006770B4" w:rsidP="00C26A7B">
            <w:pPr>
              <w:spacing w:before="40" w:after="40"/>
              <w:rPr>
                <w:rFonts w:ascii="Times New Roman" w:hAnsi="Times New Roman" w:cs="Times New Roman"/>
                <w:sz w:val="20"/>
                <w:szCs w:val="20"/>
              </w:rPr>
            </w:pPr>
            <w:r w:rsidRPr="006C43D5">
              <w:rPr>
                <w:rFonts w:ascii="Times New Roman" w:hAnsi="Times New Roman" w:cs="Times New Roman"/>
                <w:sz w:val="18"/>
                <w:szCs w:val="18"/>
              </w:rPr>
              <w:t xml:space="preserve">“Although most of these coordination and communication venues focus on the planning, technical, or implementation issues, there is also a state-sponsored venue, the Water Resources Advisory Commission (WRAC), designed to </w:t>
            </w:r>
            <w:r w:rsidRPr="006C43D5">
              <w:rPr>
                <w:rFonts w:ascii="Times New Roman" w:hAnsi="Times New Roman" w:cs="Times New Roman"/>
                <w:b/>
                <w:sz w:val="18"/>
                <w:szCs w:val="18"/>
              </w:rPr>
              <w:t>bring together citizen, business, tribal, and local agency input into the restoration process</w:t>
            </w:r>
            <w:r w:rsidRPr="006C43D5">
              <w:rPr>
                <w:rFonts w:ascii="Times New Roman" w:hAnsi="Times New Roman" w:cs="Times New Roman"/>
                <w:sz w:val="18"/>
                <w:szCs w:val="18"/>
              </w:rPr>
              <w:t>.”</w:t>
            </w:r>
          </w:p>
        </w:tc>
        <w:tc>
          <w:tcPr>
            <w:tcW w:w="4061" w:type="dxa"/>
            <w:tcBorders>
              <w:bottom w:val="single" w:sz="4" w:space="0" w:color="auto"/>
            </w:tcBorders>
          </w:tcPr>
          <w:p w14:paraId="0C68369C"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vehicle for participation and empowerment at the local slum level was the ‘Slum Development Team’ (SDT), consisting of elected representatives (equal numbers of men and women) of each of the programme slums. Each SDT was expected to </w:t>
            </w:r>
            <w:r w:rsidRPr="00B04B8F">
              <w:rPr>
                <w:rFonts w:ascii="Times New Roman" w:hAnsi="Times New Roman" w:cs="Times New Roman"/>
                <w:b/>
                <w:bCs/>
                <w:sz w:val="18"/>
                <w:szCs w:val="18"/>
              </w:rPr>
              <w:t>consult the slum community</w:t>
            </w:r>
            <w:r w:rsidRPr="006C43D5">
              <w:rPr>
                <w:rFonts w:ascii="Times New Roman" w:hAnsi="Times New Roman" w:cs="Times New Roman"/>
                <w:sz w:val="18"/>
                <w:szCs w:val="18"/>
              </w:rPr>
              <w:t xml:space="preserve"> and subsequently draft a Slum Development Plan (SDP), reflecting the prioritized needs of the community.”</w:t>
            </w:r>
          </w:p>
        </w:tc>
        <w:tc>
          <w:tcPr>
            <w:tcW w:w="4019" w:type="dxa"/>
            <w:tcBorders>
              <w:bottom w:val="single" w:sz="4" w:space="0" w:color="auto"/>
            </w:tcBorders>
          </w:tcPr>
          <w:p w14:paraId="0C68369D" w14:textId="60BB784E"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 “These projects adopted different ‘</w:t>
            </w:r>
            <w:r w:rsidRPr="006C43D5">
              <w:rPr>
                <w:rFonts w:ascii="Times New Roman" w:hAnsi="Times New Roman" w:cs="Times New Roman"/>
                <w:b/>
                <w:sz w:val="18"/>
                <w:szCs w:val="18"/>
              </w:rPr>
              <w:t>community-based’ strategies</w:t>
            </w:r>
            <w:r w:rsidRPr="006C43D5">
              <w:rPr>
                <w:rFonts w:ascii="Times New Roman" w:hAnsi="Times New Roman" w:cs="Times New Roman"/>
                <w:sz w:val="18"/>
                <w:szCs w:val="18"/>
              </w:rPr>
              <w:t xml:space="preserve">. The Sri Lankan households were supposed to contribute 20% of construction costs, in either cash or labor. </w:t>
            </w:r>
            <w:r w:rsidR="00B04B8F" w:rsidRPr="006C43D5">
              <w:rPr>
                <w:rFonts w:ascii="Times New Roman" w:hAnsi="Times New Roman" w:cs="Times New Roman"/>
                <w:sz w:val="18"/>
                <w:szCs w:val="18"/>
              </w:rPr>
              <w:t>[…]</w:t>
            </w:r>
            <w:r w:rsidRPr="006C43D5">
              <w:rPr>
                <w:rFonts w:ascii="Times New Roman" w:hAnsi="Times New Roman" w:cs="Times New Roman"/>
                <w:sz w:val="18"/>
                <w:szCs w:val="18"/>
              </w:rPr>
              <w:t xml:space="preserve"> In Sri Lanka and Karnataka, communities were supposed to take responsibility for operation and maintenance (O&amp;M) (including the levying of household tariffs to cover O&amp;M costs)..”</w:t>
            </w:r>
          </w:p>
        </w:tc>
      </w:tr>
      <w:tr w:rsidR="006770B4" w:rsidRPr="006C43D5" w14:paraId="0C6836A5" w14:textId="77777777" w:rsidTr="00C26A7B">
        <w:tc>
          <w:tcPr>
            <w:tcW w:w="14176" w:type="dxa"/>
            <w:gridSpan w:val="4"/>
            <w:tcBorders>
              <w:top w:val="single" w:sz="4" w:space="0" w:color="auto"/>
              <w:bottom w:val="single" w:sz="4" w:space="0" w:color="auto"/>
            </w:tcBorders>
            <w:shd w:val="clear" w:color="auto" w:fill="auto"/>
          </w:tcPr>
          <w:p w14:paraId="0C6836A4" w14:textId="1F41C894" w:rsidR="006770B4" w:rsidRPr="006C43D5" w:rsidRDefault="00B31B39" w:rsidP="00C26A7B">
            <w:pPr>
              <w:spacing w:before="40" w:after="40"/>
              <w:jc w:val="center"/>
              <w:rPr>
                <w:rFonts w:ascii="Times New Roman" w:hAnsi="Times New Roman" w:cs="Times New Roman"/>
                <w:b/>
                <w:i/>
              </w:rPr>
            </w:pPr>
            <w:r>
              <w:rPr>
                <w:rFonts w:ascii="Times New Roman" w:hAnsi="Times New Roman" w:cs="Times New Roman"/>
                <w:b/>
                <w:i/>
              </w:rPr>
              <w:t>Mitigative</w:t>
            </w:r>
            <w:r w:rsidR="006770B4" w:rsidRPr="006C43D5">
              <w:rPr>
                <w:rFonts w:ascii="Times New Roman" w:hAnsi="Times New Roman" w:cs="Times New Roman"/>
                <w:b/>
                <w:i/>
              </w:rPr>
              <w:t xml:space="preserve"> SGC Intervention</w:t>
            </w:r>
          </w:p>
        </w:tc>
      </w:tr>
      <w:tr w:rsidR="006770B4" w:rsidRPr="006C43D5" w14:paraId="0C6836AD" w14:textId="77777777" w:rsidTr="00C26A7B">
        <w:tc>
          <w:tcPr>
            <w:tcW w:w="1418" w:type="dxa"/>
            <w:tcBorders>
              <w:top w:val="single" w:sz="4" w:space="0" w:color="auto"/>
            </w:tcBorders>
          </w:tcPr>
          <w:p w14:paraId="0C6836A6" w14:textId="77777777" w:rsidR="006770B4" w:rsidRPr="006C43D5" w:rsidRDefault="006770B4" w:rsidP="00C26A7B">
            <w:pPr>
              <w:spacing w:before="40" w:after="40"/>
              <w:jc w:val="center"/>
              <w:rPr>
                <w:rFonts w:ascii="Times New Roman" w:hAnsi="Times New Roman" w:cs="Times New Roman"/>
                <w:i/>
                <w:sz w:val="20"/>
                <w:szCs w:val="20"/>
              </w:rPr>
            </w:pPr>
          </w:p>
        </w:tc>
        <w:tc>
          <w:tcPr>
            <w:tcW w:w="4678" w:type="dxa"/>
            <w:tcBorders>
              <w:top w:val="single" w:sz="4" w:space="0" w:color="auto"/>
            </w:tcBorders>
          </w:tcPr>
          <w:p w14:paraId="0C6836A7"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 xml:space="preserve">Example: Pavlovich and </w:t>
            </w:r>
            <w:proofErr w:type="spellStart"/>
            <w:r w:rsidRPr="006C43D5">
              <w:rPr>
                <w:rFonts w:ascii="Times New Roman" w:hAnsi="Times New Roman" w:cs="Times New Roman"/>
                <w:i/>
                <w:sz w:val="18"/>
                <w:szCs w:val="18"/>
              </w:rPr>
              <w:t>Akoorie</w:t>
            </w:r>
            <w:proofErr w:type="spellEnd"/>
            <w:r w:rsidRPr="006C43D5">
              <w:rPr>
                <w:rFonts w:ascii="Times New Roman" w:hAnsi="Times New Roman" w:cs="Times New Roman"/>
                <w:i/>
                <w:sz w:val="18"/>
                <w:szCs w:val="18"/>
              </w:rPr>
              <w:t xml:space="preserve"> (2010, p. 378, p. 382)</w:t>
            </w:r>
          </w:p>
          <w:p w14:paraId="0C6836A8"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Increasing the sustainability of the New Zealand fishery industry</w:t>
            </w:r>
          </w:p>
        </w:tc>
        <w:tc>
          <w:tcPr>
            <w:tcW w:w="4061" w:type="dxa"/>
            <w:tcBorders>
              <w:top w:val="single" w:sz="4" w:space="0" w:color="auto"/>
            </w:tcBorders>
          </w:tcPr>
          <w:p w14:paraId="0C6836A9"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Brogaard (2017, p. 1184-1190)</w:t>
            </w:r>
          </w:p>
          <w:p w14:paraId="0C6836AA"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Public services (e.g. eldercare, daycare, public schools, services for the disabled)</w:t>
            </w:r>
          </w:p>
        </w:tc>
        <w:tc>
          <w:tcPr>
            <w:tcW w:w="4019" w:type="dxa"/>
            <w:tcBorders>
              <w:top w:val="single" w:sz="4" w:space="0" w:color="auto"/>
            </w:tcBorders>
          </w:tcPr>
          <w:p w14:paraId="0C6836AB"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Woodson (2016, p. 1414)</w:t>
            </w:r>
          </w:p>
          <w:p w14:paraId="0C6836AC" w14:textId="77777777" w:rsidR="006770B4" w:rsidRPr="006C43D5" w:rsidRDefault="006770B4" w:rsidP="00C26A7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Drug development for disease of poverty (</w:t>
            </w:r>
            <w:proofErr w:type="spellStart"/>
            <w:r w:rsidRPr="006C43D5">
              <w:rPr>
                <w:rFonts w:ascii="Times New Roman" w:hAnsi="Times New Roman" w:cs="Times New Roman"/>
                <w:i/>
                <w:sz w:val="18"/>
                <w:szCs w:val="18"/>
              </w:rPr>
              <w:t>DoP</w:t>
            </w:r>
            <w:proofErr w:type="spellEnd"/>
            <w:r w:rsidRPr="006C43D5">
              <w:rPr>
                <w:rFonts w:ascii="Times New Roman" w:hAnsi="Times New Roman" w:cs="Times New Roman"/>
                <w:i/>
                <w:sz w:val="18"/>
                <w:szCs w:val="18"/>
              </w:rPr>
              <w:t>)</w:t>
            </w:r>
          </w:p>
        </w:tc>
      </w:tr>
      <w:tr w:rsidR="00964722" w:rsidRPr="006C43D5" w14:paraId="1E43C87B" w14:textId="77777777" w:rsidTr="00C26A7B">
        <w:tc>
          <w:tcPr>
            <w:tcW w:w="1418" w:type="dxa"/>
          </w:tcPr>
          <w:p w14:paraId="1B2ACD84" w14:textId="41F3A37B" w:rsidR="00964722" w:rsidRPr="006C43D5" w:rsidRDefault="00C33F5B" w:rsidP="00C26A7B">
            <w:pPr>
              <w:spacing w:before="40" w:after="40"/>
              <w:rPr>
                <w:rFonts w:ascii="Times New Roman" w:hAnsi="Times New Roman" w:cs="Times New Roman"/>
                <w:sz w:val="18"/>
                <w:szCs w:val="18"/>
              </w:rPr>
            </w:pPr>
            <w:r w:rsidRPr="00C33F5B">
              <w:rPr>
                <w:rFonts w:ascii="Times New Roman" w:hAnsi="Times New Roman" w:cs="Times New Roman"/>
                <w:sz w:val="18"/>
                <w:szCs w:val="18"/>
              </w:rPr>
              <w:t xml:space="preserve">Aim: </w:t>
            </w:r>
            <w:r>
              <w:rPr>
                <w:rFonts w:ascii="Times New Roman" w:hAnsi="Times New Roman" w:cs="Times New Roman"/>
                <w:sz w:val="18"/>
                <w:szCs w:val="18"/>
              </w:rPr>
              <w:t>A</w:t>
            </w:r>
            <w:r w:rsidRPr="00C33F5B">
              <w:rPr>
                <w:rFonts w:ascii="Times New Roman" w:hAnsi="Times New Roman" w:cs="Times New Roman"/>
                <w:sz w:val="18"/>
                <w:szCs w:val="18"/>
              </w:rPr>
              <w:t xml:space="preserve">lleviating or helping cope with SGC </w:t>
            </w:r>
            <w:r w:rsidR="00957672">
              <w:rPr>
                <w:rFonts w:ascii="Times New Roman" w:hAnsi="Times New Roman" w:cs="Times New Roman"/>
                <w:sz w:val="18"/>
                <w:szCs w:val="18"/>
              </w:rPr>
              <w:t>im</w:t>
            </w:r>
            <w:r w:rsidR="00736020">
              <w:rPr>
                <w:rFonts w:ascii="Times New Roman" w:hAnsi="Times New Roman" w:cs="Times New Roman"/>
                <w:sz w:val="18"/>
                <w:szCs w:val="18"/>
              </w:rPr>
              <w:t>plications</w:t>
            </w:r>
            <w:r w:rsidR="00A02F08">
              <w:rPr>
                <w:rFonts w:ascii="Times New Roman" w:hAnsi="Times New Roman" w:cs="Times New Roman"/>
                <w:sz w:val="18"/>
                <w:szCs w:val="18"/>
              </w:rPr>
              <w:t xml:space="preserve"> (e.g.</w:t>
            </w:r>
            <w:r w:rsidRPr="00C33F5B">
              <w:rPr>
                <w:rFonts w:ascii="Times New Roman" w:hAnsi="Times New Roman" w:cs="Times New Roman"/>
                <w:sz w:val="18"/>
                <w:szCs w:val="18"/>
              </w:rPr>
              <w:t xml:space="preserve"> by satisfying basic yet critical needs</w:t>
            </w:r>
            <w:r w:rsidR="00A02F08">
              <w:rPr>
                <w:rFonts w:ascii="Times New Roman" w:hAnsi="Times New Roman" w:cs="Times New Roman"/>
                <w:sz w:val="18"/>
                <w:szCs w:val="18"/>
              </w:rPr>
              <w:t>)</w:t>
            </w:r>
          </w:p>
        </w:tc>
        <w:tc>
          <w:tcPr>
            <w:tcW w:w="4678" w:type="dxa"/>
          </w:tcPr>
          <w:p w14:paraId="541B02BD" w14:textId="77777777" w:rsidR="00964722" w:rsidRPr="006C43D5" w:rsidRDefault="00964722"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“One example of the innovations that have been achieved is the extraction of collagen protein from the fish skin. This collagen is being used in the wine and beer industry to improve the clarity of the product with the protein removing unwanted particles from the liquid. This type of innovation is significant as not only does it </w:t>
            </w:r>
            <w:r w:rsidRPr="006C43D5">
              <w:rPr>
                <w:rFonts w:ascii="Times New Roman" w:hAnsi="Times New Roman" w:cs="Times New Roman"/>
                <w:b/>
                <w:sz w:val="18"/>
                <w:szCs w:val="18"/>
              </w:rPr>
              <w:t>increase the value of the fish waste</w:t>
            </w:r>
            <w:r w:rsidRPr="006C43D5">
              <w:rPr>
                <w:rFonts w:ascii="Times New Roman" w:hAnsi="Times New Roman" w:cs="Times New Roman"/>
                <w:sz w:val="18"/>
                <w:szCs w:val="18"/>
              </w:rPr>
              <w:t xml:space="preserve"> but it also creates new opportunities in different industries.”</w:t>
            </w:r>
          </w:p>
        </w:tc>
        <w:tc>
          <w:tcPr>
            <w:tcW w:w="4061" w:type="dxa"/>
          </w:tcPr>
          <w:p w14:paraId="2B44F8EF" w14:textId="63FD048F" w:rsidR="00964722" w:rsidRPr="006C43D5" w:rsidRDefault="00964722"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No details provided, but overall focus on eldercare, daycare, public schools, services for the disabled and other services</w:t>
            </w:r>
          </w:p>
        </w:tc>
        <w:tc>
          <w:tcPr>
            <w:tcW w:w="4019" w:type="dxa"/>
          </w:tcPr>
          <w:p w14:paraId="100EAE5C" w14:textId="77777777" w:rsidR="00964722" w:rsidRPr="006C43D5" w:rsidRDefault="00964722"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Providing patients with </w:t>
            </w:r>
            <w:r w:rsidRPr="006C43D5">
              <w:rPr>
                <w:rFonts w:ascii="Times New Roman" w:hAnsi="Times New Roman" w:cs="Times New Roman"/>
                <w:b/>
                <w:sz w:val="18"/>
                <w:szCs w:val="18"/>
              </w:rPr>
              <w:t>disease treatment</w:t>
            </w:r>
            <w:r w:rsidRPr="006C43D5">
              <w:rPr>
                <w:rFonts w:ascii="Times New Roman" w:hAnsi="Times New Roman" w:cs="Times New Roman"/>
                <w:sz w:val="18"/>
                <w:szCs w:val="18"/>
              </w:rPr>
              <w:t>:</w:t>
            </w:r>
            <w:r w:rsidRPr="006C43D5">
              <w:rPr>
                <w:rFonts w:ascii="Times New Roman" w:hAnsi="Times New Roman" w:cs="Times New Roman"/>
                <w:sz w:val="18"/>
                <w:szCs w:val="18"/>
              </w:rPr>
              <w:br/>
              <w:t xml:space="preserve">“PPPs can improve the </w:t>
            </w:r>
            <w:proofErr w:type="spellStart"/>
            <w:r w:rsidRPr="006C43D5">
              <w:rPr>
                <w:rFonts w:ascii="Times New Roman" w:hAnsi="Times New Roman" w:cs="Times New Roman"/>
                <w:sz w:val="18"/>
                <w:szCs w:val="18"/>
              </w:rPr>
              <w:t>DoP</w:t>
            </w:r>
            <w:proofErr w:type="spellEnd"/>
            <w:r w:rsidRPr="006C43D5">
              <w:rPr>
                <w:rFonts w:ascii="Times New Roman" w:hAnsi="Times New Roman" w:cs="Times New Roman"/>
                <w:sz w:val="18"/>
                <w:szCs w:val="18"/>
              </w:rPr>
              <w:t xml:space="preserve"> medicine market by connecting pharmaceutical suppliers with customers and lowering the barriers to entry so pharmaceutical companies can develop and sell medicines for </w:t>
            </w:r>
            <w:proofErr w:type="spellStart"/>
            <w:r w:rsidRPr="006C43D5">
              <w:rPr>
                <w:rFonts w:ascii="Times New Roman" w:hAnsi="Times New Roman" w:cs="Times New Roman"/>
                <w:sz w:val="18"/>
                <w:szCs w:val="18"/>
              </w:rPr>
              <w:t>DoP</w:t>
            </w:r>
            <w:proofErr w:type="spellEnd"/>
            <w:r w:rsidRPr="006C43D5">
              <w:rPr>
                <w:rFonts w:ascii="Times New Roman" w:hAnsi="Times New Roman" w:cs="Times New Roman"/>
                <w:sz w:val="18"/>
                <w:szCs w:val="18"/>
              </w:rPr>
              <w:t>.”</w:t>
            </w:r>
          </w:p>
        </w:tc>
      </w:tr>
      <w:tr w:rsidR="006770B4" w:rsidRPr="006C43D5" w14:paraId="0C6836B2" w14:textId="77777777" w:rsidTr="00C26A7B">
        <w:tc>
          <w:tcPr>
            <w:tcW w:w="1418" w:type="dxa"/>
          </w:tcPr>
          <w:p w14:paraId="0C6836AE" w14:textId="72D30C44" w:rsidR="006770B4" w:rsidRPr="006C43D5" w:rsidRDefault="00F84F72" w:rsidP="00C26A7B">
            <w:pPr>
              <w:spacing w:before="40" w:after="40"/>
              <w:rPr>
                <w:rFonts w:ascii="Times New Roman" w:hAnsi="Times New Roman" w:cs="Times New Roman"/>
                <w:sz w:val="18"/>
                <w:szCs w:val="18"/>
              </w:rPr>
            </w:pPr>
            <w:r w:rsidRPr="00F84F72">
              <w:rPr>
                <w:rFonts w:ascii="Times New Roman" w:hAnsi="Times New Roman" w:cs="Times New Roman"/>
                <w:sz w:val="18"/>
                <w:szCs w:val="18"/>
              </w:rPr>
              <w:t>Focal activities: Centered on a product/technology/service development and/or delivery intervention</w:t>
            </w:r>
          </w:p>
        </w:tc>
        <w:tc>
          <w:tcPr>
            <w:tcW w:w="4678" w:type="dxa"/>
          </w:tcPr>
          <w:p w14:paraId="0C6836AF"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“Assisting this process of conservation are significant multi-sector research and development partnerships designed to offer effective sustainable management of both fishery and waste products.” P. 382: “Two forms of innovation emerged from the primary data regarding </w:t>
            </w:r>
            <w:r w:rsidRPr="006C43D5">
              <w:rPr>
                <w:rFonts w:ascii="Times New Roman" w:hAnsi="Times New Roman" w:cs="Times New Roman"/>
                <w:b/>
                <w:sz w:val="18"/>
                <w:szCs w:val="18"/>
              </w:rPr>
              <w:t>product innovation and process innovation</w:t>
            </w:r>
            <w:r w:rsidRPr="006C43D5">
              <w:rPr>
                <w:rFonts w:ascii="Times New Roman" w:hAnsi="Times New Roman" w:cs="Times New Roman"/>
                <w:sz w:val="18"/>
                <w:szCs w:val="18"/>
              </w:rPr>
              <w:t>.”</w:t>
            </w:r>
          </w:p>
        </w:tc>
        <w:tc>
          <w:tcPr>
            <w:tcW w:w="4061" w:type="dxa"/>
          </w:tcPr>
          <w:p w14:paraId="0C6836B0"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“260 PPP projects oriented towards innovating public services in healthcare and social services in Denmark.” “The most common types of public innovations and developed solutions in a PPP, which are examined in this article, </w:t>
            </w:r>
            <w:r w:rsidRPr="006C43D5">
              <w:rPr>
                <w:rFonts w:ascii="Times New Roman" w:hAnsi="Times New Roman" w:cs="Times New Roman"/>
                <w:b/>
                <w:sz w:val="18"/>
                <w:szCs w:val="18"/>
              </w:rPr>
              <w:t>are new products, processes, and services</w:t>
            </w:r>
            <w:r w:rsidRPr="006C43D5">
              <w:rPr>
                <w:rFonts w:ascii="Times New Roman" w:hAnsi="Times New Roman" w:cs="Times New Roman"/>
                <w:sz w:val="18"/>
                <w:szCs w:val="18"/>
              </w:rPr>
              <w:t>.”</w:t>
            </w:r>
          </w:p>
        </w:tc>
        <w:tc>
          <w:tcPr>
            <w:tcW w:w="4019" w:type="dxa"/>
          </w:tcPr>
          <w:p w14:paraId="0C6836B1"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“Health PPPs can be divided into two broad groups: R&amp;DPPPs; and advocacy, education and medicine pricing PPPs. […] The </w:t>
            </w:r>
            <w:r w:rsidRPr="006C43D5">
              <w:rPr>
                <w:rFonts w:ascii="Times New Roman" w:hAnsi="Times New Roman" w:cs="Times New Roman"/>
                <w:b/>
                <w:sz w:val="18"/>
                <w:szCs w:val="18"/>
              </w:rPr>
              <w:t>R&amp;D PPPs</w:t>
            </w:r>
            <w:r w:rsidRPr="006C43D5">
              <w:rPr>
                <w:rFonts w:ascii="Times New Roman" w:hAnsi="Times New Roman" w:cs="Times New Roman"/>
                <w:sz w:val="18"/>
                <w:szCs w:val="18"/>
              </w:rPr>
              <w:t xml:space="preserve"> are especially interesting for this study because they were the only PPPs that were developing </w:t>
            </w:r>
            <w:proofErr w:type="spellStart"/>
            <w:r w:rsidRPr="006C43D5">
              <w:rPr>
                <w:rFonts w:ascii="Times New Roman" w:hAnsi="Times New Roman" w:cs="Times New Roman"/>
                <w:b/>
                <w:sz w:val="18"/>
                <w:szCs w:val="18"/>
              </w:rPr>
              <w:t>DoP</w:t>
            </w:r>
            <w:proofErr w:type="spellEnd"/>
            <w:r w:rsidRPr="006C43D5">
              <w:rPr>
                <w:rFonts w:ascii="Times New Roman" w:hAnsi="Times New Roman" w:cs="Times New Roman"/>
                <w:b/>
                <w:sz w:val="18"/>
                <w:szCs w:val="18"/>
              </w:rPr>
              <w:t xml:space="preserve"> nanomedicines</w:t>
            </w:r>
            <w:r w:rsidRPr="006C43D5">
              <w:rPr>
                <w:rFonts w:ascii="Times New Roman" w:hAnsi="Times New Roman" w:cs="Times New Roman"/>
                <w:sz w:val="18"/>
                <w:szCs w:val="18"/>
              </w:rPr>
              <w:t>.”</w:t>
            </w:r>
          </w:p>
        </w:tc>
      </w:tr>
      <w:tr w:rsidR="006770B4" w:rsidRPr="006C43D5" w14:paraId="0C6836B8" w14:textId="77777777" w:rsidTr="00C26A7B">
        <w:tc>
          <w:tcPr>
            <w:tcW w:w="1418" w:type="dxa"/>
          </w:tcPr>
          <w:p w14:paraId="0C6836B3" w14:textId="577E3ED0" w:rsidR="006770B4" w:rsidRPr="006C43D5" w:rsidRDefault="00F84F72" w:rsidP="00C26A7B">
            <w:pPr>
              <w:spacing w:before="40" w:after="40"/>
              <w:rPr>
                <w:rFonts w:ascii="Times New Roman" w:hAnsi="Times New Roman" w:cs="Times New Roman"/>
                <w:sz w:val="18"/>
                <w:szCs w:val="18"/>
              </w:rPr>
            </w:pPr>
            <w:r>
              <w:rPr>
                <w:rFonts w:ascii="Times New Roman" w:hAnsi="Times New Roman" w:cs="Times New Roman"/>
                <w:sz w:val="18"/>
                <w:szCs w:val="18"/>
              </w:rPr>
              <w:t>Involvement</w:t>
            </w:r>
            <w:r w:rsidR="006770B4" w:rsidRPr="006C43D5">
              <w:rPr>
                <w:rFonts w:ascii="Times New Roman" w:hAnsi="Times New Roman" w:cs="Times New Roman"/>
                <w:sz w:val="18"/>
                <w:szCs w:val="18"/>
              </w:rPr>
              <w:t>: Design</w:t>
            </w:r>
            <w:r w:rsidR="00A24327">
              <w:rPr>
                <w:rFonts w:ascii="Times New Roman" w:hAnsi="Times New Roman" w:cs="Times New Roman"/>
                <w:sz w:val="18"/>
                <w:szCs w:val="18"/>
              </w:rPr>
              <w:t>ed</w:t>
            </w:r>
            <w:r w:rsidR="006770B4" w:rsidRPr="006C43D5">
              <w:rPr>
                <w:rFonts w:ascii="Times New Roman" w:hAnsi="Times New Roman" w:cs="Times New Roman"/>
                <w:sz w:val="18"/>
                <w:szCs w:val="18"/>
              </w:rPr>
              <w:t xml:space="preserve"> / implement</w:t>
            </w:r>
            <w:r w:rsidR="00A24327">
              <w:rPr>
                <w:rFonts w:ascii="Times New Roman" w:hAnsi="Times New Roman" w:cs="Times New Roman"/>
                <w:sz w:val="18"/>
                <w:szCs w:val="18"/>
              </w:rPr>
              <w:t>ed</w:t>
            </w:r>
            <w:r w:rsidR="000A6B9D">
              <w:rPr>
                <w:rFonts w:ascii="Times New Roman" w:hAnsi="Times New Roman" w:cs="Times New Roman"/>
                <w:sz w:val="18"/>
                <w:szCs w:val="18"/>
              </w:rPr>
              <w:t xml:space="preserve"> mainly</w:t>
            </w:r>
            <w:r w:rsidR="006770B4" w:rsidRPr="006C43D5">
              <w:rPr>
                <w:rFonts w:ascii="Times New Roman" w:hAnsi="Times New Roman" w:cs="Times New Roman"/>
                <w:sz w:val="18"/>
                <w:szCs w:val="18"/>
              </w:rPr>
              <w:t xml:space="preserve"> by core partners for beneficiaries</w:t>
            </w:r>
          </w:p>
        </w:tc>
        <w:tc>
          <w:tcPr>
            <w:tcW w:w="4678" w:type="dxa"/>
          </w:tcPr>
          <w:p w14:paraId="0C6836B4"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Products and processes innovation for </w:t>
            </w:r>
            <w:r w:rsidRPr="006C43D5">
              <w:rPr>
                <w:rFonts w:ascii="Times New Roman" w:hAnsi="Times New Roman" w:cs="Times New Roman"/>
                <w:b/>
                <w:sz w:val="18"/>
                <w:szCs w:val="18"/>
              </w:rPr>
              <w:t>individual and business customers</w:t>
            </w:r>
            <w:r w:rsidRPr="006C43D5">
              <w:rPr>
                <w:rFonts w:ascii="Times New Roman" w:hAnsi="Times New Roman" w:cs="Times New Roman"/>
                <w:sz w:val="18"/>
                <w:szCs w:val="18"/>
              </w:rPr>
              <w:t xml:space="preserve"> allowing for: “the development of new industries around nutraceuticals which has the potential for developing products that add to health benefits for consumers.”</w:t>
            </w:r>
          </w:p>
        </w:tc>
        <w:tc>
          <w:tcPr>
            <w:tcW w:w="4061" w:type="dxa"/>
          </w:tcPr>
          <w:p w14:paraId="0C6836B5"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Focus on products and services for citizens: “By combining resources and competencies across sectors, public and private entities collaborate to develop </w:t>
            </w:r>
            <w:r w:rsidRPr="006C43D5">
              <w:rPr>
                <w:rFonts w:ascii="Times New Roman" w:hAnsi="Times New Roman" w:cs="Times New Roman"/>
                <w:b/>
                <w:sz w:val="18"/>
                <w:szCs w:val="18"/>
              </w:rPr>
              <w:t>new services or</w:t>
            </w:r>
            <w:r w:rsidRPr="006C43D5">
              <w:rPr>
                <w:rFonts w:ascii="Times New Roman" w:hAnsi="Times New Roman" w:cs="Times New Roman"/>
                <w:sz w:val="18"/>
                <w:szCs w:val="18"/>
              </w:rPr>
              <w:t xml:space="preserve"> </w:t>
            </w:r>
            <w:r w:rsidRPr="006C43D5">
              <w:rPr>
                <w:rFonts w:ascii="Times New Roman" w:hAnsi="Times New Roman" w:cs="Times New Roman"/>
                <w:b/>
                <w:sz w:val="18"/>
                <w:szCs w:val="18"/>
              </w:rPr>
              <w:t>products for use in the public sector</w:t>
            </w:r>
            <w:r w:rsidRPr="006C43D5">
              <w:rPr>
                <w:rFonts w:ascii="Times New Roman" w:hAnsi="Times New Roman" w:cs="Times New Roman"/>
                <w:sz w:val="18"/>
                <w:szCs w:val="18"/>
              </w:rPr>
              <w:t xml:space="preserve"> […].”</w:t>
            </w:r>
          </w:p>
          <w:p w14:paraId="0C6836B6" w14:textId="77777777" w:rsidR="006770B4" w:rsidRPr="006C43D5" w:rsidRDefault="006770B4" w:rsidP="00C26A7B">
            <w:pPr>
              <w:spacing w:before="40" w:after="40"/>
              <w:rPr>
                <w:rFonts w:ascii="Times New Roman" w:hAnsi="Times New Roman" w:cs="Times New Roman"/>
                <w:sz w:val="18"/>
                <w:szCs w:val="18"/>
              </w:rPr>
            </w:pPr>
          </w:p>
        </w:tc>
        <w:tc>
          <w:tcPr>
            <w:tcW w:w="4019" w:type="dxa"/>
          </w:tcPr>
          <w:p w14:paraId="0C6836B7" w14:textId="77777777" w:rsidR="006770B4" w:rsidRPr="006C43D5" w:rsidRDefault="006770B4" w:rsidP="00C26A7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Focus on public-private partnerships developing drugs for “disease of poverty,” </w:t>
            </w:r>
            <w:r w:rsidRPr="006C43D5">
              <w:rPr>
                <w:rFonts w:ascii="Times New Roman" w:hAnsi="Times New Roman" w:cs="Times New Roman"/>
                <w:b/>
                <w:sz w:val="18"/>
                <w:szCs w:val="18"/>
              </w:rPr>
              <w:t>for patients in low-income countries</w:t>
            </w:r>
          </w:p>
        </w:tc>
      </w:tr>
    </w:tbl>
    <w:p w14:paraId="097709B5" w14:textId="0C4ADCCC" w:rsidR="00297792" w:rsidRDefault="00297792"/>
    <w:tbl>
      <w:tblPr>
        <w:tblStyle w:val="TableGrid"/>
        <w:tblW w:w="141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678"/>
        <w:gridCol w:w="4061"/>
        <w:gridCol w:w="4019"/>
      </w:tblGrid>
      <w:tr w:rsidR="00316657" w:rsidRPr="006C43D5" w14:paraId="63A8D6F4" w14:textId="77777777" w:rsidTr="00C26A7B">
        <w:tc>
          <w:tcPr>
            <w:tcW w:w="1418" w:type="dxa"/>
          </w:tcPr>
          <w:p w14:paraId="7E92F25F" w14:textId="19C7BCD9" w:rsidR="00316657" w:rsidRPr="006C43D5" w:rsidRDefault="00316657" w:rsidP="00C26A7B">
            <w:pPr>
              <w:spacing w:before="40" w:after="40"/>
              <w:rPr>
                <w:rFonts w:ascii="Times New Roman" w:hAnsi="Times New Roman" w:cs="Times New Roman"/>
                <w:sz w:val="18"/>
                <w:szCs w:val="18"/>
              </w:rPr>
            </w:pPr>
          </w:p>
        </w:tc>
        <w:tc>
          <w:tcPr>
            <w:tcW w:w="4678" w:type="dxa"/>
          </w:tcPr>
          <w:p w14:paraId="666923B7" w14:textId="77777777" w:rsidR="00316657" w:rsidRPr="006C43D5" w:rsidRDefault="00316657" w:rsidP="00C26A7B">
            <w:pPr>
              <w:spacing w:before="40" w:after="40"/>
              <w:rPr>
                <w:rFonts w:ascii="Times New Roman" w:hAnsi="Times New Roman" w:cs="Times New Roman"/>
                <w:sz w:val="18"/>
                <w:szCs w:val="18"/>
              </w:rPr>
            </w:pPr>
          </w:p>
        </w:tc>
        <w:tc>
          <w:tcPr>
            <w:tcW w:w="4061" w:type="dxa"/>
          </w:tcPr>
          <w:p w14:paraId="6A8C1166" w14:textId="77777777" w:rsidR="00316657" w:rsidRPr="006C43D5" w:rsidRDefault="00316657" w:rsidP="00C26A7B">
            <w:pPr>
              <w:spacing w:before="40" w:after="40"/>
              <w:rPr>
                <w:rFonts w:ascii="Times New Roman" w:hAnsi="Times New Roman" w:cs="Times New Roman"/>
                <w:sz w:val="18"/>
                <w:szCs w:val="18"/>
              </w:rPr>
            </w:pPr>
          </w:p>
        </w:tc>
        <w:tc>
          <w:tcPr>
            <w:tcW w:w="4019" w:type="dxa"/>
          </w:tcPr>
          <w:p w14:paraId="1A8461CE" w14:textId="77777777" w:rsidR="00316657" w:rsidRPr="006C43D5" w:rsidRDefault="00316657" w:rsidP="00C26A7B">
            <w:pPr>
              <w:spacing w:before="40" w:after="40"/>
              <w:rPr>
                <w:rFonts w:ascii="Times New Roman" w:hAnsi="Times New Roman" w:cs="Times New Roman"/>
                <w:sz w:val="18"/>
                <w:szCs w:val="18"/>
              </w:rPr>
            </w:pPr>
          </w:p>
        </w:tc>
      </w:tr>
    </w:tbl>
    <w:p w14:paraId="0C6836BE" w14:textId="69D412F0" w:rsidR="006770B4" w:rsidRPr="0011022B" w:rsidRDefault="006770B4" w:rsidP="0011022B">
      <w:pPr>
        <w:pStyle w:val="ListParagraph"/>
        <w:numPr>
          <w:ilvl w:val="1"/>
          <w:numId w:val="2"/>
        </w:numPr>
        <w:spacing w:before="240"/>
        <w:rPr>
          <w:rFonts w:ascii="Times New Roman" w:hAnsi="Times New Roman" w:cs="Times New Roman"/>
          <w:b/>
        </w:rPr>
      </w:pPr>
      <w:r w:rsidRPr="0011022B">
        <w:rPr>
          <w:rFonts w:ascii="Times New Roman" w:hAnsi="Times New Roman" w:cs="Times New Roman"/>
          <w:b/>
        </w:rPr>
        <w:lastRenderedPageBreak/>
        <w:t xml:space="preserve">Examples </w:t>
      </w:r>
      <w:r w:rsidR="003A7C76">
        <w:rPr>
          <w:rFonts w:ascii="Times New Roman" w:hAnsi="Times New Roman" w:cs="Times New Roman"/>
          <w:b/>
        </w:rPr>
        <w:t>of</w:t>
      </w:r>
      <w:r w:rsidRPr="0011022B">
        <w:rPr>
          <w:rFonts w:ascii="Times New Roman" w:hAnsi="Times New Roman" w:cs="Times New Roman"/>
          <w:b/>
        </w:rPr>
        <w:t xml:space="preserve"> SGC</w:t>
      </w:r>
      <w:r w:rsidR="00C476B6" w:rsidRPr="0011022B">
        <w:rPr>
          <w:rFonts w:ascii="Times New Roman" w:hAnsi="Times New Roman" w:cs="Times New Roman"/>
          <w:b/>
        </w:rPr>
        <w:t>-related</w:t>
      </w:r>
      <w:r w:rsidRPr="0011022B">
        <w:rPr>
          <w:rFonts w:ascii="Times New Roman" w:hAnsi="Times New Roman" w:cs="Times New Roman"/>
          <w:b/>
        </w:rPr>
        <w:t xml:space="preserve"> Effect Reporting</w:t>
      </w:r>
    </w:p>
    <w:tbl>
      <w:tblPr>
        <w:tblStyle w:val="TableGrid"/>
        <w:tblW w:w="1403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4402"/>
        <w:gridCol w:w="3732"/>
        <w:gridCol w:w="3984"/>
      </w:tblGrid>
      <w:tr w:rsidR="006770B4" w:rsidRPr="006C43D5" w14:paraId="0C6836C3" w14:textId="77777777" w:rsidTr="00CE0B8B">
        <w:tc>
          <w:tcPr>
            <w:tcW w:w="1894" w:type="dxa"/>
            <w:tcBorders>
              <w:top w:val="double" w:sz="4" w:space="0" w:color="auto"/>
              <w:bottom w:val="double" w:sz="4" w:space="0" w:color="auto"/>
            </w:tcBorders>
          </w:tcPr>
          <w:p w14:paraId="0C6836BF" w14:textId="77777777" w:rsidR="006770B4" w:rsidRPr="006C43D5" w:rsidRDefault="006770B4" w:rsidP="00CE0B8B">
            <w:pPr>
              <w:spacing w:before="40" w:after="40"/>
              <w:jc w:val="center"/>
              <w:rPr>
                <w:rFonts w:ascii="Times New Roman" w:hAnsi="Times New Roman" w:cs="Times New Roman"/>
                <w:b/>
              </w:rPr>
            </w:pPr>
          </w:p>
        </w:tc>
        <w:tc>
          <w:tcPr>
            <w:tcW w:w="4411" w:type="dxa"/>
            <w:tcBorders>
              <w:top w:val="double" w:sz="4" w:space="0" w:color="auto"/>
              <w:bottom w:val="double" w:sz="4" w:space="0" w:color="auto"/>
            </w:tcBorders>
          </w:tcPr>
          <w:p w14:paraId="0C6836C0" w14:textId="72115C74" w:rsidR="006770B4" w:rsidRPr="006C43D5" w:rsidRDefault="00A73CAA" w:rsidP="00CE0B8B">
            <w:pPr>
              <w:spacing w:before="40" w:after="40"/>
              <w:jc w:val="center"/>
              <w:rPr>
                <w:rFonts w:ascii="Times New Roman" w:hAnsi="Times New Roman" w:cs="Times New Roman"/>
                <w:b/>
              </w:rPr>
            </w:pPr>
            <w:r>
              <w:rPr>
                <w:rFonts w:ascii="Times New Roman" w:hAnsi="Times New Roman" w:cs="Times New Roman"/>
                <w:b/>
              </w:rPr>
              <w:t>Example 1</w:t>
            </w:r>
          </w:p>
        </w:tc>
        <w:tc>
          <w:tcPr>
            <w:tcW w:w="3738" w:type="dxa"/>
            <w:tcBorders>
              <w:top w:val="double" w:sz="4" w:space="0" w:color="auto"/>
              <w:bottom w:val="double" w:sz="4" w:space="0" w:color="auto"/>
            </w:tcBorders>
          </w:tcPr>
          <w:p w14:paraId="0C6836C1" w14:textId="46BE9BE5" w:rsidR="006770B4" w:rsidRPr="006C43D5" w:rsidRDefault="00A73CAA" w:rsidP="00CE0B8B">
            <w:pPr>
              <w:spacing w:before="40" w:after="40"/>
              <w:jc w:val="center"/>
              <w:rPr>
                <w:rFonts w:ascii="Times New Roman" w:hAnsi="Times New Roman" w:cs="Times New Roman"/>
                <w:b/>
              </w:rPr>
            </w:pPr>
            <w:r>
              <w:rPr>
                <w:rFonts w:ascii="Times New Roman" w:hAnsi="Times New Roman" w:cs="Times New Roman"/>
                <w:b/>
              </w:rPr>
              <w:t>Example 2</w:t>
            </w:r>
          </w:p>
        </w:tc>
        <w:tc>
          <w:tcPr>
            <w:tcW w:w="3991" w:type="dxa"/>
            <w:tcBorders>
              <w:top w:val="double" w:sz="4" w:space="0" w:color="auto"/>
              <w:bottom w:val="double" w:sz="4" w:space="0" w:color="auto"/>
            </w:tcBorders>
          </w:tcPr>
          <w:p w14:paraId="0C6836C2" w14:textId="77B33D2B" w:rsidR="006770B4" w:rsidRPr="006C43D5" w:rsidRDefault="00A73CAA" w:rsidP="00CE0B8B">
            <w:pPr>
              <w:spacing w:before="40" w:after="40"/>
              <w:jc w:val="center"/>
              <w:rPr>
                <w:rFonts w:ascii="Times New Roman" w:hAnsi="Times New Roman" w:cs="Times New Roman"/>
                <w:b/>
              </w:rPr>
            </w:pPr>
            <w:r>
              <w:rPr>
                <w:rFonts w:ascii="Times New Roman" w:hAnsi="Times New Roman" w:cs="Times New Roman"/>
                <w:b/>
              </w:rPr>
              <w:t>Example 3</w:t>
            </w:r>
          </w:p>
        </w:tc>
      </w:tr>
      <w:tr w:rsidR="006770B4" w:rsidRPr="006C43D5" w14:paraId="0C6836C5" w14:textId="77777777" w:rsidTr="00CE0B8B">
        <w:tc>
          <w:tcPr>
            <w:tcW w:w="14034" w:type="dxa"/>
            <w:gridSpan w:val="4"/>
            <w:tcBorders>
              <w:top w:val="double" w:sz="4" w:space="0" w:color="auto"/>
              <w:bottom w:val="single" w:sz="4" w:space="0" w:color="auto"/>
            </w:tcBorders>
            <w:shd w:val="clear" w:color="auto" w:fill="auto"/>
          </w:tcPr>
          <w:p w14:paraId="0C6836C4" w14:textId="77777777" w:rsidR="006770B4" w:rsidRPr="006C43D5" w:rsidRDefault="006770B4" w:rsidP="00CE0B8B">
            <w:pPr>
              <w:spacing w:before="40" w:after="40"/>
              <w:jc w:val="center"/>
              <w:rPr>
                <w:rFonts w:ascii="Times New Roman" w:hAnsi="Times New Roman" w:cs="Times New Roman"/>
                <w:b/>
                <w:i/>
              </w:rPr>
            </w:pPr>
            <w:r w:rsidRPr="006C43D5">
              <w:rPr>
                <w:rFonts w:ascii="Times New Roman" w:hAnsi="Times New Roman" w:cs="Times New Roman"/>
                <w:b/>
                <w:i/>
              </w:rPr>
              <w:t>Impact-focused SGC Effect Reporting</w:t>
            </w:r>
          </w:p>
        </w:tc>
      </w:tr>
      <w:tr w:rsidR="006770B4" w:rsidRPr="006C43D5" w14:paraId="0C6836CC" w14:textId="77777777" w:rsidTr="00CE0B8B">
        <w:tc>
          <w:tcPr>
            <w:tcW w:w="1894" w:type="dxa"/>
            <w:tcBorders>
              <w:top w:val="single" w:sz="4" w:space="0" w:color="auto"/>
            </w:tcBorders>
          </w:tcPr>
          <w:p w14:paraId="0C6836C6" w14:textId="77777777" w:rsidR="006770B4" w:rsidRPr="006C43D5" w:rsidRDefault="006770B4" w:rsidP="00CE0B8B">
            <w:pPr>
              <w:spacing w:before="40" w:after="40"/>
              <w:jc w:val="center"/>
              <w:rPr>
                <w:rFonts w:ascii="Times New Roman" w:hAnsi="Times New Roman" w:cs="Times New Roman"/>
                <w:i/>
                <w:sz w:val="20"/>
                <w:szCs w:val="20"/>
              </w:rPr>
            </w:pPr>
          </w:p>
        </w:tc>
        <w:tc>
          <w:tcPr>
            <w:tcW w:w="4411" w:type="dxa"/>
            <w:tcBorders>
              <w:top w:val="single" w:sz="4" w:space="0" w:color="auto"/>
            </w:tcBorders>
          </w:tcPr>
          <w:p w14:paraId="0C6836C7"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Scott (2015, p. 545-546)</w:t>
            </w:r>
          </w:p>
          <w:p w14:paraId="0C6836C8" w14:textId="2697C63C" w:rsidR="000578F0" w:rsidRPr="006C43D5" w:rsidRDefault="006770B4" w:rsidP="00A1285C">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Watershed groups to improve water chemistry and in-stream habitat conditions</w:t>
            </w:r>
          </w:p>
        </w:tc>
        <w:tc>
          <w:tcPr>
            <w:tcW w:w="3738" w:type="dxa"/>
            <w:tcBorders>
              <w:top w:val="single" w:sz="4" w:space="0" w:color="auto"/>
            </w:tcBorders>
          </w:tcPr>
          <w:p w14:paraId="0C6836C9"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Thorpe (2018, p. 162, p. 166)</w:t>
            </w:r>
          </w:p>
          <w:p w14:paraId="0C6836CA"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Making agricultural value chains work for smallholder farmer</w:t>
            </w:r>
          </w:p>
        </w:tc>
        <w:tc>
          <w:tcPr>
            <w:tcW w:w="3991" w:type="dxa"/>
            <w:tcBorders>
              <w:top w:val="single" w:sz="4" w:space="0" w:color="auto"/>
            </w:tcBorders>
          </w:tcPr>
          <w:p w14:paraId="0C6836CB" w14:textId="12F0822E"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 xml:space="preserve">Example: </w:t>
            </w:r>
            <w:r w:rsidR="00D74A04">
              <w:rPr>
                <w:rFonts w:ascii="Times New Roman" w:hAnsi="Times New Roman" w:cs="Times New Roman"/>
                <w:i/>
                <w:sz w:val="18"/>
                <w:szCs w:val="18"/>
              </w:rPr>
              <w:t>Wang</w:t>
            </w:r>
            <w:r w:rsidRPr="006C43D5">
              <w:rPr>
                <w:rFonts w:ascii="Times New Roman" w:hAnsi="Times New Roman" w:cs="Times New Roman"/>
                <w:i/>
                <w:sz w:val="18"/>
                <w:szCs w:val="18"/>
              </w:rPr>
              <w:t xml:space="preserve"> (201</w:t>
            </w:r>
            <w:r w:rsidR="00E23D4D">
              <w:rPr>
                <w:rFonts w:ascii="Times New Roman" w:hAnsi="Times New Roman" w:cs="Times New Roman"/>
                <w:i/>
                <w:sz w:val="18"/>
                <w:szCs w:val="18"/>
              </w:rPr>
              <w:t>2</w:t>
            </w:r>
            <w:r w:rsidRPr="006C43D5">
              <w:rPr>
                <w:rFonts w:ascii="Times New Roman" w:hAnsi="Times New Roman" w:cs="Times New Roman"/>
                <w:i/>
                <w:sz w:val="18"/>
                <w:szCs w:val="18"/>
              </w:rPr>
              <w:t xml:space="preserve">, p. </w:t>
            </w:r>
            <w:r w:rsidR="00EA079A">
              <w:rPr>
                <w:rFonts w:ascii="Times New Roman" w:hAnsi="Times New Roman" w:cs="Times New Roman"/>
                <w:i/>
                <w:sz w:val="18"/>
                <w:szCs w:val="18"/>
              </w:rPr>
              <w:t>548</w:t>
            </w:r>
            <w:r w:rsidRPr="006C43D5">
              <w:rPr>
                <w:rFonts w:ascii="Times New Roman" w:hAnsi="Times New Roman" w:cs="Times New Roman"/>
                <w:i/>
                <w:sz w:val="18"/>
                <w:szCs w:val="18"/>
              </w:rPr>
              <w:t>)</w:t>
            </w:r>
            <w:r w:rsidRPr="006C43D5">
              <w:rPr>
                <w:rFonts w:ascii="Times New Roman" w:hAnsi="Times New Roman" w:cs="Times New Roman"/>
                <w:i/>
                <w:sz w:val="18"/>
                <w:szCs w:val="18"/>
              </w:rPr>
              <w:br/>
              <w:t>CSP to</w:t>
            </w:r>
            <w:r w:rsidR="00094294">
              <w:rPr>
                <w:rFonts w:ascii="Times New Roman" w:hAnsi="Times New Roman" w:cs="Times New Roman"/>
                <w:i/>
                <w:sz w:val="18"/>
                <w:szCs w:val="18"/>
              </w:rPr>
              <w:t xml:space="preserve"> address</w:t>
            </w:r>
            <w:r w:rsidR="00094294" w:rsidRPr="00094294">
              <w:rPr>
                <w:rFonts w:ascii="Times New Roman" w:hAnsi="Times New Roman" w:cs="Times New Roman"/>
                <w:i/>
                <w:sz w:val="18"/>
                <w:szCs w:val="18"/>
              </w:rPr>
              <w:t xml:space="preserve"> HIV</w:t>
            </w:r>
            <w:r w:rsidR="00094294">
              <w:rPr>
                <w:rFonts w:ascii="Times New Roman" w:hAnsi="Times New Roman" w:cs="Times New Roman"/>
                <w:i/>
                <w:sz w:val="18"/>
                <w:szCs w:val="18"/>
              </w:rPr>
              <w:t>/AIDS</w:t>
            </w:r>
            <w:r w:rsidR="00D30A89">
              <w:rPr>
                <w:rFonts w:ascii="Times New Roman" w:hAnsi="Times New Roman" w:cs="Times New Roman"/>
                <w:i/>
                <w:sz w:val="18"/>
                <w:szCs w:val="18"/>
              </w:rPr>
              <w:t xml:space="preserve"> in Yunnan, China</w:t>
            </w:r>
          </w:p>
        </w:tc>
      </w:tr>
      <w:tr w:rsidR="006770B4" w:rsidRPr="006C43D5" w14:paraId="0C6836D2" w14:textId="77777777" w:rsidTr="00CE0B8B">
        <w:tc>
          <w:tcPr>
            <w:tcW w:w="1894" w:type="dxa"/>
          </w:tcPr>
          <w:p w14:paraId="0C6836CE" w14:textId="03B9C1C7" w:rsidR="006770B4" w:rsidRPr="00D5520C" w:rsidRDefault="00E32F79" w:rsidP="00CE0B8B">
            <w:pPr>
              <w:spacing w:before="40" w:after="40"/>
              <w:rPr>
                <w:rFonts w:ascii="Times New Roman" w:hAnsi="Times New Roman" w:cs="Times New Roman"/>
                <w:sz w:val="18"/>
                <w:szCs w:val="18"/>
              </w:rPr>
            </w:pPr>
            <w:r w:rsidRPr="00E32F79">
              <w:rPr>
                <w:rFonts w:ascii="Times New Roman" w:hAnsi="Times New Roman" w:cs="Times New Roman"/>
                <w:sz w:val="18"/>
                <w:szCs w:val="18"/>
              </w:rPr>
              <w:t>Focus: Evidence of social or environmental change</w:t>
            </w:r>
          </w:p>
        </w:tc>
        <w:tc>
          <w:tcPr>
            <w:tcW w:w="4411" w:type="dxa"/>
          </w:tcPr>
          <w:p w14:paraId="0C6836CF"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“The WSA and NRSA assess the ecological condition of each site according to a series of measurements of chemical stressors, metrics of physical condition, and biological indicators.” </w:t>
            </w:r>
          </w:p>
        </w:tc>
        <w:tc>
          <w:tcPr>
            <w:tcW w:w="3738" w:type="dxa"/>
          </w:tcPr>
          <w:p w14:paraId="0C6836D0"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“It finds that public sector actors, through PPPs, are able to shape governance within value chains, influencing the relative skills, knowledge, and resources which different actors possess, the way that farmers are organized to engage in the value chain, and </w:t>
            </w:r>
            <w:r w:rsidRPr="006C43D5">
              <w:rPr>
                <w:rFonts w:ascii="Times New Roman" w:hAnsi="Times New Roman" w:cs="Times New Roman"/>
                <w:b/>
                <w:sz w:val="18"/>
                <w:szCs w:val="18"/>
              </w:rPr>
              <w:t>the attributes of procedural justice reflected in chain arrangements.</w:t>
            </w:r>
            <w:r w:rsidRPr="006C43D5">
              <w:rPr>
                <w:rFonts w:ascii="Times New Roman" w:hAnsi="Times New Roman" w:cs="Times New Roman"/>
                <w:sz w:val="18"/>
                <w:szCs w:val="18"/>
              </w:rPr>
              <w:t xml:space="preserve">” </w:t>
            </w:r>
          </w:p>
        </w:tc>
        <w:tc>
          <w:tcPr>
            <w:tcW w:w="3991" w:type="dxa"/>
          </w:tcPr>
          <w:p w14:paraId="0C6836D1" w14:textId="7291A0D8" w:rsidR="006770B4" w:rsidRPr="006C43D5" w:rsidRDefault="006770B4" w:rsidP="00EB3AF3">
            <w:pPr>
              <w:spacing w:before="40" w:after="40"/>
              <w:rPr>
                <w:rFonts w:ascii="Times New Roman" w:hAnsi="Times New Roman" w:cs="Times New Roman"/>
                <w:sz w:val="18"/>
                <w:szCs w:val="18"/>
              </w:rPr>
            </w:pPr>
            <w:r w:rsidRPr="006C43D5">
              <w:rPr>
                <w:rFonts w:ascii="Times New Roman" w:hAnsi="Times New Roman" w:cs="Times New Roman"/>
                <w:sz w:val="18"/>
                <w:szCs w:val="18"/>
              </w:rPr>
              <w:t>“[…]</w:t>
            </w:r>
            <w:r w:rsidR="00217189">
              <w:rPr>
                <w:rFonts w:ascii="Times New Roman" w:hAnsi="Times New Roman" w:cs="Times New Roman"/>
                <w:sz w:val="18"/>
                <w:szCs w:val="18"/>
              </w:rPr>
              <w:t xml:space="preserve"> </w:t>
            </w:r>
            <w:r w:rsidR="00217189" w:rsidRPr="00217189">
              <w:rPr>
                <w:rFonts w:ascii="Times New Roman" w:hAnsi="Times New Roman" w:cs="Times New Roman"/>
                <w:sz w:val="18"/>
                <w:szCs w:val="18"/>
              </w:rPr>
              <w:t>has generated positive effects in capacity building and stabilization of HIV</w:t>
            </w:r>
            <w:r w:rsidR="00217189">
              <w:rPr>
                <w:rFonts w:ascii="Times New Roman" w:hAnsi="Times New Roman" w:cs="Times New Roman"/>
                <w:sz w:val="18"/>
                <w:szCs w:val="18"/>
              </w:rPr>
              <w:t xml:space="preserve"> </w:t>
            </w:r>
            <w:r w:rsidR="00217189" w:rsidRPr="00217189">
              <w:rPr>
                <w:rFonts w:ascii="Times New Roman" w:hAnsi="Times New Roman" w:cs="Times New Roman"/>
                <w:sz w:val="18"/>
                <w:szCs w:val="18"/>
              </w:rPr>
              <w:t>transmission among intravenous drug users (IDUs), who form the majority of those</w:t>
            </w:r>
            <w:r w:rsidR="00217189">
              <w:rPr>
                <w:rFonts w:ascii="Times New Roman" w:hAnsi="Times New Roman" w:cs="Times New Roman"/>
                <w:sz w:val="18"/>
                <w:szCs w:val="18"/>
              </w:rPr>
              <w:t xml:space="preserve"> </w:t>
            </w:r>
            <w:r w:rsidR="00217189" w:rsidRPr="00217189">
              <w:rPr>
                <w:rFonts w:ascii="Times New Roman" w:hAnsi="Times New Roman" w:cs="Times New Roman"/>
                <w:sz w:val="18"/>
                <w:szCs w:val="18"/>
              </w:rPr>
              <w:t>with HIV in Yunnan. Data from the U.S. National Institute of Health (NIH) show</w:t>
            </w:r>
            <w:r w:rsidR="00EB3AF3">
              <w:rPr>
                <w:rFonts w:ascii="Times New Roman" w:hAnsi="Times New Roman" w:cs="Times New Roman"/>
                <w:sz w:val="18"/>
                <w:szCs w:val="18"/>
              </w:rPr>
              <w:t xml:space="preserve"> </w:t>
            </w:r>
            <w:r w:rsidR="00217189" w:rsidRPr="00217189">
              <w:rPr>
                <w:rFonts w:ascii="Times New Roman" w:hAnsi="Times New Roman" w:cs="Times New Roman"/>
                <w:sz w:val="18"/>
                <w:szCs w:val="18"/>
              </w:rPr>
              <w:t xml:space="preserve">that the </w:t>
            </w:r>
            <w:r w:rsidR="00217189" w:rsidRPr="00EB3AF3">
              <w:rPr>
                <w:rFonts w:ascii="Times New Roman" w:hAnsi="Times New Roman" w:cs="Times New Roman"/>
                <w:b/>
                <w:bCs/>
                <w:sz w:val="18"/>
                <w:szCs w:val="18"/>
              </w:rPr>
              <w:t>rate of new HIV infection among IDUs in Yunnan has slowed</w:t>
            </w:r>
            <w:r w:rsidR="00EB3AF3">
              <w:rPr>
                <w:rFonts w:ascii="Times New Roman" w:hAnsi="Times New Roman" w:cs="Times New Roman"/>
                <w:sz w:val="18"/>
                <w:szCs w:val="18"/>
              </w:rPr>
              <w:t>.</w:t>
            </w:r>
            <w:r w:rsidRPr="006C43D5">
              <w:rPr>
                <w:rFonts w:ascii="Times New Roman" w:hAnsi="Times New Roman" w:cs="Times New Roman"/>
                <w:sz w:val="18"/>
                <w:szCs w:val="18"/>
              </w:rPr>
              <w:t>”</w:t>
            </w:r>
          </w:p>
        </w:tc>
      </w:tr>
      <w:tr w:rsidR="006770B4" w:rsidRPr="006C43D5" w14:paraId="0C6836D7" w14:textId="77777777" w:rsidTr="00CE0B8B">
        <w:tc>
          <w:tcPr>
            <w:tcW w:w="1894" w:type="dxa"/>
          </w:tcPr>
          <w:p w14:paraId="0C6836D3" w14:textId="58B4C6E8" w:rsidR="006770B4" w:rsidRPr="00D5520C" w:rsidRDefault="006770B4" w:rsidP="00CE0B8B">
            <w:pPr>
              <w:spacing w:before="40" w:after="40"/>
              <w:rPr>
                <w:rFonts w:ascii="Times New Roman" w:hAnsi="Times New Roman" w:cs="Times New Roman"/>
                <w:sz w:val="18"/>
                <w:szCs w:val="18"/>
              </w:rPr>
            </w:pPr>
            <w:r w:rsidRPr="00D5520C">
              <w:rPr>
                <w:rFonts w:ascii="Times New Roman" w:hAnsi="Times New Roman" w:cs="Times New Roman"/>
                <w:sz w:val="18"/>
                <w:szCs w:val="18"/>
              </w:rPr>
              <w:t>Level: Capturing effects at the systems</w:t>
            </w:r>
            <w:r w:rsidR="001F6FA8">
              <w:rPr>
                <w:rFonts w:ascii="Times New Roman" w:hAnsi="Times New Roman" w:cs="Times New Roman"/>
                <w:sz w:val="18"/>
                <w:szCs w:val="18"/>
              </w:rPr>
              <w:t xml:space="preserve"> </w:t>
            </w:r>
            <w:r w:rsidRPr="00D5520C">
              <w:rPr>
                <w:rFonts w:ascii="Times New Roman" w:hAnsi="Times New Roman" w:cs="Times New Roman"/>
                <w:sz w:val="18"/>
                <w:szCs w:val="18"/>
              </w:rPr>
              <w:t>/</w:t>
            </w:r>
            <w:r w:rsidR="001F6FA8">
              <w:rPr>
                <w:rFonts w:ascii="Times New Roman" w:hAnsi="Times New Roman" w:cs="Times New Roman"/>
                <w:sz w:val="18"/>
                <w:szCs w:val="18"/>
              </w:rPr>
              <w:t xml:space="preserve"> target group / </w:t>
            </w:r>
            <w:r w:rsidRPr="00D5520C">
              <w:rPr>
                <w:rFonts w:ascii="Times New Roman" w:hAnsi="Times New Roman" w:cs="Times New Roman"/>
                <w:sz w:val="18"/>
                <w:szCs w:val="18"/>
              </w:rPr>
              <w:t>community level</w:t>
            </w:r>
          </w:p>
        </w:tc>
        <w:tc>
          <w:tcPr>
            <w:tcW w:w="4411" w:type="dxa"/>
          </w:tcPr>
          <w:p w14:paraId="0C6836D4"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Capturing effects at the </w:t>
            </w:r>
            <w:r w:rsidRPr="006C43D5">
              <w:rPr>
                <w:rFonts w:ascii="Times New Roman" w:hAnsi="Times New Roman" w:cs="Times New Roman"/>
                <w:b/>
                <w:sz w:val="18"/>
                <w:szCs w:val="18"/>
              </w:rPr>
              <w:t>ecosystem (i.e. watershed)</w:t>
            </w:r>
            <w:r w:rsidRPr="006C43D5">
              <w:rPr>
                <w:rFonts w:ascii="Times New Roman" w:hAnsi="Times New Roman" w:cs="Times New Roman"/>
                <w:sz w:val="18"/>
                <w:szCs w:val="18"/>
              </w:rPr>
              <w:t xml:space="preserve"> level</w:t>
            </w:r>
          </w:p>
        </w:tc>
        <w:tc>
          <w:tcPr>
            <w:tcW w:w="3738" w:type="dxa"/>
          </w:tcPr>
          <w:p w14:paraId="0C6836D5"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Indicators used at </w:t>
            </w:r>
            <w:r w:rsidRPr="006C43D5">
              <w:rPr>
                <w:rFonts w:ascii="Times New Roman" w:hAnsi="Times New Roman" w:cs="Times New Roman"/>
                <w:b/>
                <w:sz w:val="18"/>
                <w:szCs w:val="18"/>
              </w:rPr>
              <w:t>country level</w:t>
            </w:r>
            <w:r w:rsidRPr="006C43D5">
              <w:rPr>
                <w:rFonts w:ascii="Times New Roman" w:hAnsi="Times New Roman" w:cs="Times New Roman"/>
                <w:sz w:val="18"/>
                <w:szCs w:val="18"/>
              </w:rPr>
              <w:t xml:space="preserve"> (e.g. farmer satisfaction, crop yield, quality, crop income, and income stability)</w:t>
            </w:r>
          </w:p>
        </w:tc>
        <w:tc>
          <w:tcPr>
            <w:tcW w:w="3991" w:type="dxa"/>
          </w:tcPr>
          <w:p w14:paraId="0C6836D6" w14:textId="228BE5E7" w:rsidR="006770B4" w:rsidRPr="006C43D5" w:rsidRDefault="00DD2BDE" w:rsidP="00A1285C">
            <w:pPr>
              <w:spacing w:before="40" w:after="40"/>
              <w:rPr>
                <w:rFonts w:ascii="Times New Roman" w:hAnsi="Times New Roman" w:cs="Times New Roman"/>
                <w:sz w:val="18"/>
                <w:szCs w:val="18"/>
              </w:rPr>
            </w:pPr>
            <w:r>
              <w:rPr>
                <w:rFonts w:ascii="Times New Roman" w:hAnsi="Times New Roman" w:cs="Times New Roman"/>
                <w:sz w:val="18"/>
                <w:szCs w:val="18"/>
              </w:rPr>
              <w:t>“</w:t>
            </w:r>
            <w:r w:rsidRPr="00DD2BDE">
              <w:rPr>
                <w:rFonts w:ascii="Times New Roman" w:hAnsi="Times New Roman" w:cs="Times New Roman"/>
                <w:sz w:val="18"/>
                <w:szCs w:val="18"/>
              </w:rPr>
              <w:t>Thus these data show that Yunnan has effectively</w:t>
            </w:r>
            <w:r>
              <w:rPr>
                <w:rFonts w:ascii="Times New Roman" w:hAnsi="Times New Roman" w:cs="Times New Roman"/>
                <w:sz w:val="18"/>
                <w:szCs w:val="18"/>
              </w:rPr>
              <w:t xml:space="preserve"> </w:t>
            </w:r>
            <w:r w:rsidRPr="00A1285C">
              <w:rPr>
                <w:rFonts w:ascii="Times New Roman" w:hAnsi="Times New Roman" w:cs="Times New Roman"/>
                <w:b/>
                <w:bCs/>
                <w:sz w:val="18"/>
                <w:szCs w:val="18"/>
              </w:rPr>
              <w:t>reached hidden intravenous drug users</w:t>
            </w:r>
            <w:r w:rsidRPr="00DD2BDE">
              <w:rPr>
                <w:rFonts w:ascii="Times New Roman" w:hAnsi="Times New Roman" w:cs="Times New Roman"/>
                <w:sz w:val="18"/>
                <w:szCs w:val="18"/>
              </w:rPr>
              <w:t>; its integrated approach efficiently and simultaneously integrates</w:t>
            </w:r>
            <w:r w:rsidR="00A1285C">
              <w:rPr>
                <w:rFonts w:ascii="Times New Roman" w:hAnsi="Times New Roman" w:cs="Times New Roman"/>
                <w:sz w:val="18"/>
                <w:szCs w:val="18"/>
              </w:rPr>
              <w:t xml:space="preserve"> </w:t>
            </w:r>
            <w:r w:rsidRPr="00DD2BDE">
              <w:rPr>
                <w:rFonts w:ascii="Times New Roman" w:hAnsi="Times New Roman" w:cs="Times New Roman"/>
                <w:sz w:val="18"/>
                <w:szCs w:val="18"/>
              </w:rPr>
              <w:t>multiple risks.</w:t>
            </w:r>
            <w:r w:rsidR="00A1285C">
              <w:rPr>
                <w:rFonts w:ascii="Times New Roman" w:hAnsi="Times New Roman" w:cs="Times New Roman"/>
                <w:sz w:val="18"/>
                <w:szCs w:val="18"/>
              </w:rPr>
              <w:t>”</w:t>
            </w:r>
            <w:r w:rsidR="006770B4" w:rsidRPr="006C43D5">
              <w:rPr>
                <w:rFonts w:ascii="Times New Roman" w:hAnsi="Times New Roman" w:cs="Times New Roman"/>
                <w:sz w:val="18"/>
                <w:szCs w:val="18"/>
              </w:rPr>
              <w:t xml:space="preserve"> </w:t>
            </w:r>
          </w:p>
        </w:tc>
      </w:tr>
      <w:tr w:rsidR="006770B4" w:rsidRPr="006C43D5" w14:paraId="0C6836DC" w14:textId="77777777" w:rsidTr="00CE0B8B">
        <w:tc>
          <w:tcPr>
            <w:tcW w:w="1894" w:type="dxa"/>
            <w:tcBorders>
              <w:bottom w:val="double" w:sz="4" w:space="0" w:color="auto"/>
            </w:tcBorders>
          </w:tcPr>
          <w:p w14:paraId="0C6836D8" w14:textId="1A0D1908" w:rsidR="006770B4" w:rsidRPr="00D5520C" w:rsidRDefault="00F03509" w:rsidP="00CE0B8B">
            <w:pPr>
              <w:spacing w:before="40" w:after="40"/>
              <w:rPr>
                <w:rFonts w:ascii="Times New Roman" w:hAnsi="Times New Roman" w:cs="Times New Roman"/>
                <w:sz w:val="18"/>
                <w:szCs w:val="18"/>
              </w:rPr>
            </w:pPr>
            <w:r w:rsidRPr="00F03509">
              <w:rPr>
                <w:rFonts w:ascii="Times New Roman" w:hAnsi="Times New Roman" w:cs="Times New Roman"/>
                <w:sz w:val="18"/>
                <w:szCs w:val="18"/>
              </w:rPr>
              <w:t>Indicators: Assessing direct and indirect intervention effects</w:t>
            </w:r>
          </w:p>
        </w:tc>
        <w:tc>
          <w:tcPr>
            <w:tcW w:w="4411" w:type="dxa"/>
            <w:tcBorders>
              <w:bottom w:val="double" w:sz="4" w:space="0" w:color="auto"/>
            </w:tcBorders>
          </w:tcPr>
          <w:p w14:paraId="0C6836D9" w14:textId="77777777" w:rsidR="00C476B6"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w:t>
            </w:r>
            <w:r w:rsidRPr="006C43D5">
              <w:rPr>
                <w:rFonts w:ascii="Times New Roman" w:hAnsi="Times New Roman" w:cs="Times New Roman"/>
                <w:b/>
                <w:sz w:val="18"/>
                <w:szCs w:val="18"/>
              </w:rPr>
              <w:t>Six variables</w:t>
            </w:r>
            <w:r w:rsidRPr="006C43D5">
              <w:rPr>
                <w:rFonts w:ascii="Times New Roman" w:hAnsi="Times New Roman" w:cs="Times New Roman"/>
                <w:sz w:val="18"/>
                <w:szCs w:val="18"/>
              </w:rPr>
              <w:t xml:space="preserve"> are selected to provide a holistic representation of stream condition and water quality: total phosphorus content and total nitrogen content (chemical stressors caused by human activities such as mining or agriculture), water turbidity and in-stream natural habitat (physical indicators reflect more proximate habitat destruction), and indices of riparian vegetation and benthic community abundance (biological indicators of condition).” </w:t>
            </w:r>
          </w:p>
        </w:tc>
        <w:tc>
          <w:tcPr>
            <w:tcW w:w="3738" w:type="dxa"/>
            <w:tcBorders>
              <w:bottom w:val="double" w:sz="4" w:space="0" w:color="auto"/>
            </w:tcBorders>
          </w:tcPr>
          <w:p w14:paraId="0C6836DA"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“During this analysis an </w:t>
            </w:r>
            <w:r w:rsidRPr="006C43D5">
              <w:rPr>
                <w:rFonts w:ascii="Times New Roman" w:hAnsi="Times New Roman" w:cs="Times New Roman"/>
                <w:b/>
                <w:sz w:val="18"/>
                <w:szCs w:val="18"/>
              </w:rPr>
              <w:t xml:space="preserve">unexpected observation </w:t>
            </w:r>
            <w:r w:rsidRPr="006C43D5">
              <w:rPr>
                <w:rFonts w:ascii="Times New Roman" w:hAnsi="Times New Roman" w:cs="Times New Roman"/>
                <w:sz w:val="18"/>
                <w:szCs w:val="18"/>
              </w:rPr>
              <w:t>came to light: that in the PPP which was showing the most promising results in terms of crop yield and income gains (Uganda), farmers expressed a surprisingly high degree of dissatisfaction. This observation led to a re-analysis of the case studies to consider […].”</w:t>
            </w:r>
          </w:p>
        </w:tc>
        <w:tc>
          <w:tcPr>
            <w:tcW w:w="3991" w:type="dxa"/>
            <w:tcBorders>
              <w:bottom w:val="double" w:sz="4" w:space="0" w:color="auto"/>
            </w:tcBorders>
          </w:tcPr>
          <w:p w14:paraId="0C6836DB" w14:textId="3BDB9E07" w:rsidR="006770B4" w:rsidRPr="006C43D5" w:rsidRDefault="00457376" w:rsidP="00622404">
            <w:pPr>
              <w:spacing w:before="40" w:after="40"/>
              <w:rPr>
                <w:rFonts w:ascii="Times New Roman" w:hAnsi="Times New Roman" w:cs="Times New Roman"/>
                <w:sz w:val="18"/>
                <w:szCs w:val="18"/>
              </w:rPr>
            </w:pPr>
            <w:r>
              <w:rPr>
                <w:rFonts w:ascii="Times New Roman" w:hAnsi="Times New Roman" w:cs="Times New Roman"/>
                <w:sz w:val="18"/>
                <w:szCs w:val="18"/>
              </w:rPr>
              <w:t>“</w:t>
            </w:r>
            <w:r w:rsidR="00DE4490" w:rsidRPr="006C43D5">
              <w:rPr>
                <w:rFonts w:ascii="Times New Roman" w:hAnsi="Times New Roman" w:cs="Times New Roman"/>
                <w:sz w:val="18"/>
                <w:szCs w:val="18"/>
              </w:rPr>
              <w:t>[…]</w:t>
            </w:r>
            <w:r w:rsidRPr="00457376">
              <w:rPr>
                <w:rFonts w:ascii="Times New Roman" w:hAnsi="Times New Roman" w:cs="Times New Roman"/>
                <w:sz w:val="18"/>
                <w:szCs w:val="18"/>
              </w:rPr>
              <w:t xml:space="preserve"> impact in</w:t>
            </w:r>
            <w:r w:rsidR="00DE4490">
              <w:rPr>
                <w:rFonts w:ascii="Times New Roman" w:hAnsi="Times New Roman" w:cs="Times New Roman"/>
                <w:sz w:val="18"/>
                <w:szCs w:val="18"/>
              </w:rPr>
              <w:t xml:space="preserve"> </w:t>
            </w:r>
            <w:r w:rsidRPr="00457376">
              <w:rPr>
                <w:rFonts w:ascii="Times New Roman" w:hAnsi="Times New Roman" w:cs="Times New Roman"/>
                <w:sz w:val="18"/>
                <w:szCs w:val="18"/>
              </w:rPr>
              <w:t xml:space="preserve">reducing drug-related risky behaviours </w:t>
            </w:r>
            <w:r w:rsidR="00622404" w:rsidRPr="006C43D5">
              <w:rPr>
                <w:rFonts w:ascii="Times New Roman" w:hAnsi="Times New Roman" w:cs="Times New Roman"/>
                <w:sz w:val="18"/>
                <w:szCs w:val="18"/>
              </w:rPr>
              <w:t>[…]</w:t>
            </w:r>
            <w:r w:rsidR="00622404">
              <w:rPr>
                <w:rFonts w:ascii="Times New Roman" w:hAnsi="Times New Roman" w:cs="Times New Roman"/>
                <w:sz w:val="18"/>
                <w:szCs w:val="18"/>
              </w:rPr>
              <w:t>:</w:t>
            </w:r>
            <w:r w:rsidRPr="00457376">
              <w:rPr>
                <w:rFonts w:ascii="Times New Roman" w:hAnsi="Times New Roman" w:cs="Times New Roman"/>
                <w:sz w:val="18"/>
                <w:szCs w:val="18"/>
              </w:rPr>
              <w:t xml:space="preserve"> safer sex and better social behaviour along with less crime and drug use.</w:t>
            </w:r>
            <w:r w:rsidR="00622404">
              <w:rPr>
                <w:rFonts w:ascii="Times New Roman" w:hAnsi="Times New Roman" w:cs="Times New Roman"/>
                <w:sz w:val="18"/>
                <w:szCs w:val="18"/>
              </w:rPr>
              <w:t xml:space="preserve"> </w:t>
            </w:r>
            <w:r w:rsidRPr="00457376">
              <w:rPr>
                <w:rFonts w:ascii="Times New Roman" w:hAnsi="Times New Roman" w:cs="Times New Roman"/>
                <w:sz w:val="18"/>
                <w:szCs w:val="18"/>
              </w:rPr>
              <w:t xml:space="preserve">A two-year follow-up showed that </w:t>
            </w:r>
            <w:r w:rsidRPr="00FD0EFA">
              <w:rPr>
                <w:rFonts w:ascii="Times New Roman" w:hAnsi="Times New Roman" w:cs="Times New Roman"/>
                <w:b/>
                <w:bCs/>
                <w:sz w:val="18"/>
                <w:szCs w:val="18"/>
              </w:rPr>
              <w:t xml:space="preserve">drug use </w:t>
            </w:r>
            <w:r w:rsidRPr="00FD0EFA">
              <w:rPr>
                <w:rFonts w:ascii="Times New Roman" w:hAnsi="Times New Roman" w:cs="Times New Roman"/>
                <w:sz w:val="18"/>
                <w:szCs w:val="18"/>
              </w:rPr>
              <w:t>decreased</w:t>
            </w:r>
            <w:r w:rsidRPr="00457376">
              <w:rPr>
                <w:rFonts w:ascii="Times New Roman" w:hAnsi="Times New Roman" w:cs="Times New Roman"/>
                <w:sz w:val="18"/>
                <w:szCs w:val="18"/>
              </w:rPr>
              <w:t xml:space="preserve"> from 77.9 percent to 52.3</w:t>
            </w:r>
            <w:r w:rsidR="00622404">
              <w:rPr>
                <w:rFonts w:ascii="Times New Roman" w:hAnsi="Times New Roman" w:cs="Times New Roman"/>
                <w:sz w:val="18"/>
                <w:szCs w:val="18"/>
              </w:rPr>
              <w:t xml:space="preserve"> </w:t>
            </w:r>
            <w:r w:rsidRPr="00457376">
              <w:rPr>
                <w:rFonts w:ascii="Times New Roman" w:hAnsi="Times New Roman" w:cs="Times New Roman"/>
                <w:sz w:val="18"/>
                <w:szCs w:val="18"/>
              </w:rPr>
              <w:t xml:space="preserve">percent; </w:t>
            </w:r>
            <w:r w:rsidRPr="00FD0EFA">
              <w:rPr>
                <w:rFonts w:ascii="Times New Roman" w:hAnsi="Times New Roman" w:cs="Times New Roman"/>
                <w:b/>
                <w:bCs/>
                <w:sz w:val="18"/>
                <w:szCs w:val="18"/>
              </w:rPr>
              <w:t>safe sex</w:t>
            </w:r>
            <w:r w:rsidRPr="00457376">
              <w:rPr>
                <w:rFonts w:ascii="Times New Roman" w:hAnsi="Times New Roman" w:cs="Times New Roman"/>
                <w:sz w:val="18"/>
                <w:szCs w:val="18"/>
              </w:rPr>
              <w:t xml:space="preserve"> increased from 31.4 percent to 47.1 percent; </w:t>
            </w:r>
            <w:r w:rsidRPr="00FD0EFA">
              <w:rPr>
                <w:rFonts w:ascii="Times New Roman" w:hAnsi="Times New Roman" w:cs="Times New Roman"/>
                <w:b/>
                <w:bCs/>
                <w:sz w:val="18"/>
                <w:szCs w:val="18"/>
              </w:rPr>
              <w:t>arrest rates</w:t>
            </w:r>
            <w:r w:rsidRPr="00457376">
              <w:rPr>
                <w:rFonts w:ascii="Times New Roman" w:hAnsi="Times New Roman" w:cs="Times New Roman"/>
                <w:sz w:val="18"/>
                <w:szCs w:val="18"/>
              </w:rPr>
              <w:t xml:space="preserve"> dropped</w:t>
            </w:r>
            <w:r w:rsidR="00622404">
              <w:rPr>
                <w:rFonts w:ascii="Times New Roman" w:hAnsi="Times New Roman" w:cs="Times New Roman"/>
                <w:sz w:val="18"/>
                <w:szCs w:val="18"/>
              </w:rPr>
              <w:t xml:space="preserve"> </w:t>
            </w:r>
            <w:r w:rsidRPr="00457376">
              <w:rPr>
                <w:rFonts w:ascii="Times New Roman" w:hAnsi="Times New Roman" w:cs="Times New Roman"/>
                <w:sz w:val="18"/>
                <w:szCs w:val="18"/>
              </w:rPr>
              <w:t xml:space="preserve">from 12.8 percent to 4.5 percent; social rehabilitation measured in terms of </w:t>
            </w:r>
            <w:r w:rsidRPr="00FD0EFA">
              <w:rPr>
                <w:rFonts w:ascii="Times New Roman" w:hAnsi="Times New Roman" w:cs="Times New Roman"/>
                <w:b/>
                <w:bCs/>
                <w:sz w:val="18"/>
                <w:szCs w:val="18"/>
              </w:rPr>
              <w:t>family</w:t>
            </w:r>
            <w:r w:rsidR="00622404" w:rsidRPr="00FD0EFA">
              <w:rPr>
                <w:rFonts w:ascii="Times New Roman" w:hAnsi="Times New Roman" w:cs="Times New Roman"/>
                <w:b/>
                <w:bCs/>
                <w:sz w:val="18"/>
                <w:szCs w:val="18"/>
              </w:rPr>
              <w:t xml:space="preserve"> </w:t>
            </w:r>
            <w:r w:rsidRPr="00FD0EFA">
              <w:rPr>
                <w:rFonts w:ascii="Times New Roman" w:hAnsi="Times New Roman" w:cs="Times New Roman"/>
                <w:b/>
                <w:bCs/>
                <w:sz w:val="18"/>
                <w:szCs w:val="18"/>
              </w:rPr>
              <w:t>relations</w:t>
            </w:r>
            <w:r w:rsidRPr="00457376">
              <w:rPr>
                <w:rFonts w:ascii="Times New Roman" w:hAnsi="Times New Roman" w:cs="Times New Roman"/>
                <w:sz w:val="18"/>
                <w:szCs w:val="18"/>
              </w:rPr>
              <w:t xml:space="preserve"> and </w:t>
            </w:r>
            <w:r w:rsidRPr="00FD0EFA">
              <w:rPr>
                <w:rFonts w:ascii="Times New Roman" w:hAnsi="Times New Roman" w:cs="Times New Roman"/>
                <w:b/>
                <w:bCs/>
                <w:sz w:val="18"/>
                <w:szCs w:val="18"/>
              </w:rPr>
              <w:t>employment rates</w:t>
            </w:r>
            <w:r w:rsidRPr="00457376">
              <w:rPr>
                <w:rFonts w:ascii="Times New Roman" w:hAnsi="Times New Roman" w:cs="Times New Roman"/>
                <w:sz w:val="18"/>
                <w:szCs w:val="18"/>
              </w:rPr>
              <w:t xml:space="preserve"> for drug users was also positive</w:t>
            </w:r>
            <w:r w:rsidR="00622404">
              <w:rPr>
                <w:rFonts w:ascii="Times New Roman" w:hAnsi="Times New Roman" w:cs="Times New Roman"/>
                <w:sz w:val="18"/>
                <w:szCs w:val="18"/>
              </w:rPr>
              <w:t>.”</w:t>
            </w:r>
          </w:p>
        </w:tc>
      </w:tr>
      <w:tr w:rsidR="006770B4" w:rsidRPr="006C43D5" w14:paraId="0C6836DE" w14:textId="77777777" w:rsidTr="00CE0B8B">
        <w:tc>
          <w:tcPr>
            <w:tcW w:w="14034" w:type="dxa"/>
            <w:gridSpan w:val="4"/>
            <w:tcBorders>
              <w:top w:val="double" w:sz="4" w:space="0" w:color="auto"/>
              <w:bottom w:val="double" w:sz="4" w:space="0" w:color="auto"/>
            </w:tcBorders>
            <w:shd w:val="clear" w:color="auto" w:fill="auto"/>
          </w:tcPr>
          <w:p w14:paraId="0C6836DD" w14:textId="77777777" w:rsidR="006770B4" w:rsidRPr="006C43D5" w:rsidRDefault="006770B4" w:rsidP="00CE0B8B">
            <w:pPr>
              <w:spacing w:before="40" w:after="40"/>
              <w:jc w:val="center"/>
              <w:rPr>
                <w:rFonts w:ascii="Times New Roman" w:hAnsi="Times New Roman" w:cs="Times New Roman"/>
                <w:b/>
                <w:i/>
              </w:rPr>
            </w:pPr>
            <w:r w:rsidRPr="006C43D5">
              <w:rPr>
                <w:rFonts w:ascii="Times New Roman" w:hAnsi="Times New Roman" w:cs="Times New Roman"/>
                <w:b/>
                <w:i/>
              </w:rPr>
              <w:t>Output-focused SGC Effect Reporting</w:t>
            </w:r>
          </w:p>
        </w:tc>
      </w:tr>
      <w:tr w:rsidR="006770B4" w:rsidRPr="006C43D5" w14:paraId="0C6836E5" w14:textId="77777777" w:rsidTr="00CE0B8B">
        <w:tc>
          <w:tcPr>
            <w:tcW w:w="1894" w:type="dxa"/>
            <w:tcBorders>
              <w:top w:val="double" w:sz="4" w:space="0" w:color="auto"/>
            </w:tcBorders>
          </w:tcPr>
          <w:p w14:paraId="0C6836DF" w14:textId="77777777" w:rsidR="006770B4" w:rsidRPr="006C43D5" w:rsidRDefault="006770B4" w:rsidP="00CE0B8B">
            <w:pPr>
              <w:spacing w:before="40" w:after="40"/>
              <w:jc w:val="center"/>
              <w:rPr>
                <w:rFonts w:ascii="Times New Roman" w:hAnsi="Times New Roman" w:cs="Times New Roman"/>
                <w:i/>
                <w:sz w:val="20"/>
                <w:szCs w:val="20"/>
              </w:rPr>
            </w:pPr>
          </w:p>
        </w:tc>
        <w:tc>
          <w:tcPr>
            <w:tcW w:w="4411" w:type="dxa"/>
            <w:tcBorders>
              <w:top w:val="double" w:sz="4" w:space="0" w:color="auto"/>
            </w:tcBorders>
          </w:tcPr>
          <w:p w14:paraId="0C6836E0"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 xml:space="preserve">Example: </w:t>
            </w:r>
            <w:proofErr w:type="spellStart"/>
            <w:r w:rsidRPr="006C43D5">
              <w:rPr>
                <w:rFonts w:ascii="Times New Roman" w:hAnsi="Times New Roman" w:cs="Times New Roman"/>
                <w:i/>
                <w:sz w:val="18"/>
                <w:szCs w:val="18"/>
              </w:rPr>
              <w:t>Szulecki</w:t>
            </w:r>
            <w:proofErr w:type="spellEnd"/>
            <w:r w:rsidRPr="006C43D5">
              <w:rPr>
                <w:rFonts w:ascii="Times New Roman" w:hAnsi="Times New Roman" w:cs="Times New Roman"/>
                <w:i/>
                <w:sz w:val="18"/>
                <w:szCs w:val="18"/>
              </w:rPr>
              <w:t xml:space="preserve"> et al. (2011, pp. 716-717)</w:t>
            </w:r>
            <w:r w:rsidRPr="006C43D5">
              <w:rPr>
                <w:rFonts w:ascii="Times New Roman" w:hAnsi="Times New Roman" w:cs="Times New Roman"/>
                <w:i/>
                <w:sz w:val="18"/>
                <w:szCs w:val="18"/>
              </w:rPr>
              <w:br/>
              <w:t>CSPs for sustainable development in the energy sector</w:t>
            </w:r>
          </w:p>
        </w:tc>
        <w:tc>
          <w:tcPr>
            <w:tcW w:w="3738" w:type="dxa"/>
            <w:tcBorders>
              <w:top w:val="double" w:sz="4" w:space="0" w:color="auto"/>
            </w:tcBorders>
          </w:tcPr>
          <w:p w14:paraId="0C6836E1" w14:textId="4F852B6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Example: Gazley (2010</w:t>
            </w:r>
            <w:r w:rsidR="00F613C6">
              <w:rPr>
                <w:rFonts w:ascii="Times New Roman" w:hAnsi="Times New Roman" w:cs="Times New Roman"/>
                <w:i/>
                <w:sz w:val="18"/>
                <w:szCs w:val="18"/>
              </w:rPr>
              <w:t>,</w:t>
            </w:r>
            <w:r w:rsidRPr="006C43D5">
              <w:rPr>
                <w:rFonts w:ascii="Times New Roman" w:hAnsi="Times New Roman" w:cs="Times New Roman"/>
                <w:i/>
                <w:sz w:val="18"/>
                <w:szCs w:val="18"/>
              </w:rPr>
              <w:t xml:space="preserve"> p. 658) </w:t>
            </w:r>
          </w:p>
          <w:p w14:paraId="0C6836E2"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Social service provision in social, human, and health services</w:t>
            </w:r>
          </w:p>
        </w:tc>
        <w:tc>
          <w:tcPr>
            <w:tcW w:w="3991" w:type="dxa"/>
            <w:tcBorders>
              <w:top w:val="double" w:sz="4" w:space="0" w:color="auto"/>
            </w:tcBorders>
          </w:tcPr>
          <w:p w14:paraId="0C6836E3" w14:textId="77777777" w:rsidR="006770B4" w:rsidRPr="00644287" w:rsidRDefault="006770B4" w:rsidP="00CE0B8B">
            <w:pPr>
              <w:spacing w:before="40" w:after="40"/>
              <w:jc w:val="center"/>
              <w:rPr>
                <w:rFonts w:ascii="Times New Roman" w:hAnsi="Times New Roman" w:cs="Times New Roman"/>
                <w:i/>
                <w:sz w:val="18"/>
                <w:szCs w:val="18"/>
                <w:lang w:val="fr-FR"/>
              </w:rPr>
            </w:pPr>
            <w:r w:rsidRPr="00644287">
              <w:rPr>
                <w:rFonts w:ascii="Times New Roman" w:hAnsi="Times New Roman" w:cs="Times New Roman"/>
                <w:i/>
                <w:sz w:val="18"/>
                <w:szCs w:val="18"/>
                <w:lang w:val="fr-FR"/>
              </w:rPr>
              <w:t xml:space="preserve">Example: </w:t>
            </w:r>
            <w:proofErr w:type="spellStart"/>
            <w:r w:rsidRPr="00644287">
              <w:rPr>
                <w:rFonts w:ascii="Times New Roman" w:hAnsi="Times New Roman" w:cs="Times New Roman"/>
                <w:i/>
                <w:sz w:val="18"/>
                <w:szCs w:val="18"/>
                <w:lang w:val="fr-FR"/>
              </w:rPr>
              <w:t>Knai</w:t>
            </w:r>
            <w:proofErr w:type="spellEnd"/>
            <w:r w:rsidRPr="00644287">
              <w:rPr>
                <w:rFonts w:ascii="Times New Roman" w:hAnsi="Times New Roman" w:cs="Times New Roman"/>
                <w:i/>
                <w:sz w:val="18"/>
                <w:szCs w:val="18"/>
                <w:lang w:val="fr-FR"/>
              </w:rPr>
              <w:t xml:space="preserve"> et al. (2015, pp. 1-2)</w:t>
            </w:r>
          </w:p>
          <w:p w14:paraId="0C6836E4" w14:textId="77777777" w:rsidR="006770B4" w:rsidRPr="006C43D5" w:rsidRDefault="006770B4" w:rsidP="00CE0B8B">
            <w:pPr>
              <w:spacing w:before="40" w:after="40"/>
              <w:jc w:val="center"/>
              <w:rPr>
                <w:rFonts w:ascii="Times New Roman" w:hAnsi="Times New Roman" w:cs="Times New Roman"/>
                <w:i/>
                <w:sz w:val="18"/>
                <w:szCs w:val="18"/>
              </w:rPr>
            </w:pPr>
            <w:r w:rsidRPr="006C43D5">
              <w:rPr>
                <w:rFonts w:ascii="Times New Roman" w:hAnsi="Times New Roman" w:cs="Times New Roman"/>
                <w:i/>
                <w:sz w:val="18"/>
                <w:szCs w:val="18"/>
              </w:rPr>
              <w:t xml:space="preserve">Improving public health through the Public Health Responsibility Deal (RD) </w:t>
            </w:r>
          </w:p>
        </w:tc>
      </w:tr>
      <w:tr w:rsidR="006770B4" w:rsidRPr="006C43D5" w14:paraId="0C6836EA" w14:textId="77777777" w:rsidTr="00CE0B8B">
        <w:tc>
          <w:tcPr>
            <w:tcW w:w="1894" w:type="dxa"/>
          </w:tcPr>
          <w:p w14:paraId="0C6836E6" w14:textId="4D692D6D" w:rsidR="006770B4" w:rsidRPr="000323DE" w:rsidRDefault="000323DE" w:rsidP="00CE0B8B">
            <w:pPr>
              <w:spacing w:before="40" w:after="40"/>
              <w:rPr>
                <w:rFonts w:ascii="Times New Roman" w:hAnsi="Times New Roman" w:cs="Times New Roman"/>
                <w:sz w:val="18"/>
                <w:szCs w:val="18"/>
              </w:rPr>
            </w:pPr>
            <w:r w:rsidRPr="000323DE">
              <w:rPr>
                <w:rFonts w:ascii="Times New Roman" w:hAnsi="Times New Roman" w:cs="Times New Roman"/>
                <w:sz w:val="18"/>
                <w:szCs w:val="18"/>
              </w:rPr>
              <w:t>Focus: Evidence of SGC-related output (e.g. process/product/policy) change</w:t>
            </w:r>
          </w:p>
        </w:tc>
        <w:tc>
          <w:tcPr>
            <w:tcW w:w="4411" w:type="dxa"/>
          </w:tcPr>
          <w:p w14:paraId="0C6836E7" w14:textId="3FD757E6"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w:t>
            </w:r>
            <w:r w:rsidR="00947096" w:rsidRPr="006C43D5">
              <w:rPr>
                <w:rFonts w:ascii="Times New Roman" w:hAnsi="Times New Roman" w:cs="Times New Roman"/>
                <w:sz w:val="18"/>
                <w:szCs w:val="18"/>
              </w:rPr>
              <w:t>[…]</w:t>
            </w:r>
            <w:r w:rsidRPr="006C43D5">
              <w:rPr>
                <w:rFonts w:ascii="Times New Roman" w:hAnsi="Times New Roman" w:cs="Times New Roman"/>
                <w:sz w:val="18"/>
                <w:szCs w:val="18"/>
              </w:rPr>
              <w:t xml:space="preserve"> our focus in assessing the </w:t>
            </w:r>
            <w:r w:rsidRPr="006C43D5">
              <w:rPr>
                <w:rFonts w:ascii="Times New Roman" w:hAnsi="Times New Roman" w:cs="Times New Roman"/>
                <w:b/>
                <w:sz w:val="18"/>
                <w:szCs w:val="18"/>
              </w:rPr>
              <w:t>effectiveness</w:t>
            </w:r>
            <w:r w:rsidRPr="006C43D5">
              <w:rPr>
                <w:rFonts w:ascii="Times New Roman" w:hAnsi="Times New Roman" w:cs="Times New Roman"/>
                <w:sz w:val="18"/>
                <w:szCs w:val="18"/>
              </w:rPr>
              <w:t xml:space="preserve"> of transnational multi-stakeholder partnerships is on their output, that is, their actual activities such as issuing regulations, producing reports, conducting research, or organizing meetings.”</w:t>
            </w:r>
          </w:p>
        </w:tc>
        <w:tc>
          <w:tcPr>
            <w:tcW w:w="3738" w:type="dxa"/>
          </w:tcPr>
          <w:p w14:paraId="0C6836E8"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“measured (a) by the partnership managers’ perceived </w:t>
            </w:r>
            <w:r w:rsidRPr="006C43D5">
              <w:rPr>
                <w:rFonts w:ascii="Times New Roman" w:hAnsi="Times New Roman" w:cs="Times New Roman"/>
                <w:b/>
                <w:sz w:val="18"/>
                <w:szCs w:val="18"/>
              </w:rPr>
              <w:t xml:space="preserve">effectiveness </w:t>
            </w:r>
            <w:r w:rsidRPr="006C43D5">
              <w:rPr>
                <w:rFonts w:ascii="Times New Roman" w:hAnsi="Times New Roman" w:cs="Times New Roman"/>
                <w:sz w:val="18"/>
                <w:szCs w:val="18"/>
              </w:rPr>
              <w:t xml:space="preserve">and (b) survey on real </w:t>
            </w:r>
            <w:r w:rsidRPr="006C43D5">
              <w:rPr>
                <w:rFonts w:ascii="Times New Roman" w:hAnsi="Times New Roman" w:cs="Times New Roman"/>
                <w:b/>
                <w:sz w:val="18"/>
                <w:szCs w:val="18"/>
              </w:rPr>
              <w:t>performance improvements</w:t>
            </w:r>
            <w:r w:rsidRPr="006C43D5">
              <w:rPr>
                <w:rFonts w:ascii="Times New Roman" w:hAnsi="Times New Roman" w:cs="Times New Roman"/>
                <w:sz w:val="18"/>
                <w:szCs w:val="18"/>
              </w:rPr>
              <w:t xml:space="preserve"> (cost-benefits, service enhancement, build relationships)”</w:t>
            </w:r>
          </w:p>
        </w:tc>
        <w:tc>
          <w:tcPr>
            <w:tcW w:w="3991" w:type="dxa"/>
          </w:tcPr>
          <w:p w14:paraId="0C6836E9" w14:textId="1613C57C" w:rsidR="000578F0" w:rsidRPr="006C43D5" w:rsidRDefault="006770B4" w:rsidP="00DC6CB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“We focused on six […] out of the eight RD food pledges […]: out-of-home calorie labelling, salt reduction, calorie reduction, front-of-pack nutrition labelling, fruit and vegetable consumption, and saturated fats.”; “Based on seventeen evidence </w:t>
            </w:r>
            <w:r w:rsidRPr="006C43D5">
              <w:rPr>
                <w:rFonts w:ascii="Times New Roman" w:hAnsi="Times New Roman" w:cs="Times New Roman"/>
                <w:sz w:val="18"/>
                <w:szCs w:val="18"/>
              </w:rPr>
              <w:lastRenderedPageBreak/>
              <w:t xml:space="preserve">reviews, some of the RD food interventions could </w:t>
            </w:r>
            <w:r w:rsidRPr="006C43D5">
              <w:rPr>
                <w:rFonts w:ascii="Times New Roman" w:hAnsi="Times New Roman" w:cs="Times New Roman"/>
                <w:b/>
                <w:sz w:val="18"/>
                <w:szCs w:val="18"/>
              </w:rPr>
              <w:t>be effective, if fully implemented</w:t>
            </w:r>
            <w:r w:rsidRPr="006C43D5">
              <w:rPr>
                <w:rFonts w:ascii="Times New Roman" w:hAnsi="Times New Roman" w:cs="Times New Roman"/>
                <w:sz w:val="18"/>
                <w:szCs w:val="18"/>
              </w:rPr>
              <w:t>.”</w:t>
            </w:r>
          </w:p>
        </w:tc>
      </w:tr>
      <w:tr w:rsidR="006770B4" w:rsidRPr="006C43D5" w14:paraId="0C6836EF" w14:textId="77777777" w:rsidTr="00CE0B8B">
        <w:tc>
          <w:tcPr>
            <w:tcW w:w="1894" w:type="dxa"/>
          </w:tcPr>
          <w:p w14:paraId="0C6836EB" w14:textId="36DC517A" w:rsidR="006770B4" w:rsidRPr="000323DE" w:rsidRDefault="006770B4" w:rsidP="00CE0B8B">
            <w:pPr>
              <w:spacing w:before="40" w:after="40"/>
              <w:rPr>
                <w:rFonts w:ascii="Times New Roman" w:hAnsi="Times New Roman" w:cs="Times New Roman"/>
                <w:sz w:val="18"/>
                <w:szCs w:val="18"/>
              </w:rPr>
            </w:pPr>
            <w:r w:rsidRPr="000323DE">
              <w:rPr>
                <w:rFonts w:ascii="Times New Roman" w:hAnsi="Times New Roman" w:cs="Times New Roman"/>
                <w:sz w:val="18"/>
                <w:szCs w:val="18"/>
              </w:rPr>
              <w:lastRenderedPageBreak/>
              <w:t xml:space="preserve">Level: Capturing effects mainly at the </w:t>
            </w:r>
            <w:r w:rsidR="00112B1E">
              <w:rPr>
                <w:rFonts w:ascii="Times New Roman" w:hAnsi="Times New Roman" w:cs="Times New Roman"/>
                <w:sz w:val="18"/>
                <w:szCs w:val="18"/>
              </w:rPr>
              <w:t xml:space="preserve">output </w:t>
            </w:r>
            <w:r w:rsidRPr="000323DE">
              <w:rPr>
                <w:rFonts w:ascii="Times New Roman" w:hAnsi="Times New Roman" w:cs="Times New Roman"/>
                <w:sz w:val="18"/>
                <w:szCs w:val="18"/>
              </w:rPr>
              <w:t>level</w:t>
            </w:r>
          </w:p>
        </w:tc>
        <w:tc>
          <w:tcPr>
            <w:tcW w:w="4411" w:type="dxa"/>
          </w:tcPr>
          <w:p w14:paraId="0C6836EC"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Focus on the </w:t>
            </w:r>
            <w:r w:rsidRPr="00F07705">
              <w:rPr>
                <w:rFonts w:ascii="Times New Roman" w:hAnsi="Times New Roman" w:cs="Times New Roman"/>
                <w:b/>
                <w:bCs/>
                <w:sz w:val="18"/>
                <w:szCs w:val="18"/>
              </w:rPr>
              <w:t>outputs</w:t>
            </w:r>
            <w:r w:rsidRPr="006C43D5">
              <w:rPr>
                <w:rFonts w:ascii="Times New Roman" w:hAnsi="Times New Roman" w:cs="Times New Roman"/>
                <w:sz w:val="18"/>
                <w:szCs w:val="18"/>
              </w:rPr>
              <w:t xml:space="preserve"> that are delivered to the </w:t>
            </w:r>
            <w:r w:rsidRPr="006F5CDE">
              <w:rPr>
                <w:rFonts w:ascii="Times New Roman" w:hAnsi="Times New Roman" w:cs="Times New Roman"/>
                <w:bCs/>
                <w:sz w:val="18"/>
                <w:szCs w:val="18"/>
              </w:rPr>
              <w:t>specific target groups</w:t>
            </w:r>
            <w:r w:rsidRPr="006C43D5">
              <w:rPr>
                <w:rFonts w:ascii="Times New Roman" w:hAnsi="Times New Roman" w:cs="Times New Roman"/>
                <w:sz w:val="18"/>
                <w:szCs w:val="18"/>
              </w:rPr>
              <w:t xml:space="preserve"> (e.g. individual and business customers)</w:t>
            </w:r>
          </w:p>
        </w:tc>
        <w:tc>
          <w:tcPr>
            <w:tcW w:w="3738" w:type="dxa"/>
          </w:tcPr>
          <w:p w14:paraId="0C6836ED"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w:t>
            </w:r>
            <w:r w:rsidRPr="006C43D5">
              <w:rPr>
                <w:rFonts w:ascii="Times New Roman" w:hAnsi="Times New Roman" w:cs="Times New Roman"/>
                <w:b/>
                <w:sz w:val="18"/>
                <w:szCs w:val="18"/>
              </w:rPr>
              <w:t>Service enhancement</w:t>
            </w:r>
            <w:r w:rsidRPr="006C43D5">
              <w:rPr>
                <w:rFonts w:ascii="Times New Roman" w:hAnsi="Times New Roman" w:cs="Times New Roman"/>
                <w:sz w:val="18"/>
                <w:szCs w:val="18"/>
              </w:rPr>
              <w:t xml:space="preserve"> = increased the level of [public] community services/programs and increased the quality of community services/programs.”</w:t>
            </w:r>
          </w:p>
        </w:tc>
        <w:tc>
          <w:tcPr>
            <w:tcW w:w="3991" w:type="dxa"/>
          </w:tcPr>
          <w:p w14:paraId="0C6836EE" w14:textId="7FCF49B6" w:rsidR="000578F0" w:rsidRPr="006C43D5" w:rsidRDefault="006770B4" w:rsidP="00DC6CBA">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Focus on </w:t>
            </w:r>
            <w:r w:rsidRPr="006C43D5">
              <w:rPr>
                <w:rFonts w:ascii="Times New Roman" w:hAnsi="Times New Roman" w:cs="Times New Roman"/>
                <w:b/>
                <w:sz w:val="18"/>
                <w:szCs w:val="18"/>
              </w:rPr>
              <w:t>individual consumers</w:t>
            </w:r>
            <w:r w:rsidRPr="006C43D5">
              <w:rPr>
                <w:rFonts w:ascii="Times New Roman" w:hAnsi="Times New Roman" w:cs="Times New Roman"/>
                <w:sz w:val="18"/>
                <w:szCs w:val="18"/>
              </w:rPr>
              <w:t>; “However the most effective strategies to improve diet, such as food pricing strategies, restrictions on marketing, and reducing sugar intake, are not reflected in the RD food pledges.”</w:t>
            </w:r>
          </w:p>
        </w:tc>
      </w:tr>
      <w:tr w:rsidR="006770B4" w:rsidRPr="006C43D5" w14:paraId="0C6836F5" w14:textId="77777777" w:rsidTr="00CE0B8B">
        <w:tc>
          <w:tcPr>
            <w:tcW w:w="1894" w:type="dxa"/>
            <w:tcBorders>
              <w:bottom w:val="double" w:sz="4" w:space="0" w:color="auto"/>
            </w:tcBorders>
          </w:tcPr>
          <w:p w14:paraId="0C6836F0" w14:textId="1D32DFE4" w:rsidR="006770B4" w:rsidRPr="000323DE" w:rsidRDefault="007924B1" w:rsidP="00CE0B8B">
            <w:pPr>
              <w:spacing w:before="40" w:after="40"/>
              <w:rPr>
                <w:rFonts w:ascii="Times New Roman" w:hAnsi="Times New Roman" w:cs="Times New Roman"/>
                <w:sz w:val="18"/>
                <w:szCs w:val="18"/>
              </w:rPr>
            </w:pPr>
            <w:r w:rsidRPr="007924B1">
              <w:rPr>
                <w:rFonts w:ascii="Times New Roman" w:hAnsi="Times New Roman" w:cs="Times New Roman"/>
                <w:sz w:val="18"/>
                <w:szCs w:val="18"/>
              </w:rPr>
              <w:t>Indicators: Assessing the intervention’s direct effects</w:t>
            </w:r>
          </w:p>
        </w:tc>
        <w:tc>
          <w:tcPr>
            <w:tcW w:w="4411" w:type="dxa"/>
            <w:tcBorders>
              <w:bottom w:val="double" w:sz="4" w:space="0" w:color="auto"/>
            </w:tcBorders>
          </w:tcPr>
          <w:p w14:paraId="0C6836F1"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“Most of these functions have been operationalized and empirically assessed in the GSPD to measure effectiveness in terms of output. The amount of output is not only comparable among partnerships but can also be measured in terms of variables such as </w:t>
            </w:r>
            <w:r w:rsidRPr="006C43D5">
              <w:rPr>
                <w:rFonts w:ascii="Times New Roman" w:hAnsi="Times New Roman" w:cs="Times New Roman"/>
                <w:b/>
                <w:sz w:val="18"/>
                <w:szCs w:val="18"/>
              </w:rPr>
              <w:t>the amount of information published</w:t>
            </w:r>
            <w:r w:rsidRPr="006C43D5">
              <w:rPr>
                <w:rFonts w:ascii="Times New Roman" w:hAnsi="Times New Roman" w:cs="Times New Roman"/>
                <w:sz w:val="18"/>
                <w:szCs w:val="18"/>
              </w:rPr>
              <w:t xml:space="preserve"> in a given period or dissemination in terms of how much information has been downloaded from the partnership Web site.”</w:t>
            </w:r>
          </w:p>
        </w:tc>
        <w:tc>
          <w:tcPr>
            <w:tcW w:w="3738" w:type="dxa"/>
            <w:tcBorders>
              <w:bottom w:val="double" w:sz="4" w:space="0" w:color="auto"/>
            </w:tcBorders>
          </w:tcPr>
          <w:p w14:paraId="0C6836F2"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“This analysis is based on </w:t>
            </w:r>
            <w:r w:rsidRPr="006C43D5">
              <w:rPr>
                <w:rFonts w:ascii="Times New Roman" w:hAnsi="Times New Roman" w:cs="Times New Roman"/>
                <w:b/>
                <w:sz w:val="18"/>
                <w:szCs w:val="18"/>
              </w:rPr>
              <w:t>two dependent variables</w:t>
            </w:r>
            <w:r w:rsidRPr="006C43D5">
              <w:rPr>
                <w:rFonts w:ascii="Times New Roman" w:hAnsi="Times New Roman" w:cs="Times New Roman"/>
                <w:sz w:val="18"/>
                <w:szCs w:val="18"/>
              </w:rPr>
              <w:t>: partnership accomplishments related to collaborative activity, and the perceived effectiveness of the partnership.”</w:t>
            </w:r>
          </w:p>
        </w:tc>
        <w:tc>
          <w:tcPr>
            <w:tcW w:w="3991" w:type="dxa"/>
            <w:tcBorders>
              <w:bottom w:val="double" w:sz="4" w:space="0" w:color="auto"/>
            </w:tcBorders>
          </w:tcPr>
          <w:p w14:paraId="0C6836F3" w14:textId="77777777" w:rsidR="006770B4" w:rsidRPr="006C43D5" w:rsidRDefault="006770B4" w:rsidP="00CE0B8B">
            <w:pPr>
              <w:spacing w:before="40" w:after="40"/>
              <w:rPr>
                <w:rFonts w:ascii="Times New Roman" w:hAnsi="Times New Roman" w:cs="Times New Roman"/>
                <w:sz w:val="18"/>
                <w:szCs w:val="18"/>
              </w:rPr>
            </w:pPr>
            <w:r w:rsidRPr="006C43D5">
              <w:rPr>
                <w:rFonts w:ascii="Times New Roman" w:hAnsi="Times New Roman" w:cs="Times New Roman"/>
                <w:sz w:val="18"/>
                <w:szCs w:val="18"/>
              </w:rPr>
              <w:t xml:space="preserve">“Finally, most interventions reported by organisations seemed either </w:t>
            </w:r>
            <w:r w:rsidRPr="006C43D5">
              <w:rPr>
                <w:rFonts w:ascii="Times New Roman" w:hAnsi="Times New Roman" w:cs="Times New Roman"/>
                <w:b/>
                <w:sz w:val="18"/>
                <w:szCs w:val="18"/>
              </w:rPr>
              <w:t>clearly (37%) or possibly (37%) already underway</w:t>
            </w:r>
            <w:r w:rsidRPr="006C43D5">
              <w:rPr>
                <w:rFonts w:ascii="Times New Roman" w:hAnsi="Times New Roman" w:cs="Times New Roman"/>
                <w:sz w:val="18"/>
                <w:szCs w:val="18"/>
              </w:rPr>
              <w:t>, regardless of the RD.”</w:t>
            </w:r>
          </w:p>
          <w:p w14:paraId="0C6836F4" w14:textId="77777777" w:rsidR="006770B4" w:rsidRPr="006C43D5" w:rsidRDefault="006770B4" w:rsidP="00CE0B8B">
            <w:pPr>
              <w:spacing w:before="40" w:after="40"/>
              <w:rPr>
                <w:rFonts w:ascii="Times New Roman" w:hAnsi="Times New Roman" w:cs="Times New Roman"/>
                <w:sz w:val="18"/>
                <w:szCs w:val="18"/>
              </w:rPr>
            </w:pPr>
          </w:p>
        </w:tc>
      </w:tr>
    </w:tbl>
    <w:p w14:paraId="0C6836F6" w14:textId="77777777" w:rsidR="006770B4" w:rsidRPr="006C43D5" w:rsidRDefault="006770B4" w:rsidP="006770B4">
      <w:pPr>
        <w:spacing w:after="60" w:line="240" w:lineRule="auto"/>
        <w:rPr>
          <w:rFonts w:ascii="Times New Roman" w:hAnsi="Times New Roman" w:cs="Times New Roman"/>
          <w:sz w:val="20"/>
          <w:szCs w:val="20"/>
        </w:rPr>
      </w:pPr>
    </w:p>
    <w:p w14:paraId="0C6836F7" w14:textId="77777777" w:rsidR="007D2748" w:rsidRDefault="007D2748"/>
    <w:p w14:paraId="7EA62203" w14:textId="36BC1FF3" w:rsidR="00297792" w:rsidRDefault="00297792">
      <w:r>
        <w:br w:type="page"/>
      </w:r>
    </w:p>
    <w:p w14:paraId="6A2273C8" w14:textId="1DB83EA1" w:rsidR="008E18EF" w:rsidRDefault="004A4767" w:rsidP="004514B9">
      <w:pPr>
        <w:spacing w:after="0" w:line="480" w:lineRule="auto"/>
        <w:rPr>
          <w:rFonts w:ascii="Times New Roman" w:hAnsi="Times New Roman" w:cs="Times New Roman"/>
          <w:b/>
          <w:bCs/>
          <w:sz w:val="24"/>
          <w:szCs w:val="24"/>
        </w:rPr>
      </w:pPr>
      <w:r w:rsidRPr="004A4767">
        <w:rPr>
          <w:rFonts w:ascii="Times New Roman" w:hAnsi="Times New Roman" w:cs="Times New Roman"/>
          <w:b/>
          <w:bCs/>
          <w:sz w:val="24"/>
          <w:szCs w:val="24"/>
        </w:rPr>
        <w:lastRenderedPageBreak/>
        <w:t xml:space="preserve">Appendix 5. Coding </w:t>
      </w:r>
      <w:r>
        <w:rPr>
          <w:rFonts w:ascii="Times New Roman" w:hAnsi="Times New Roman" w:cs="Times New Roman"/>
          <w:b/>
          <w:bCs/>
          <w:sz w:val="24"/>
          <w:szCs w:val="24"/>
        </w:rPr>
        <w:t>Support</w:t>
      </w:r>
    </w:p>
    <w:p w14:paraId="0ACEC2AC" w14:textId="1462B3DA" w:rsidR="004A4767" w:rsidRPr="00480488" w:rsidRDefault="003E5922" w:rsidP="007277BF">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0EC84CE" wp14:editId="099AD43F">
            <wp:extent cx="8010428" cy="5308524"/>
            <wp:effectExtent l="19050" t="19050" r="10160" b="26035"/>
            <wp:docPr id="2010458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2680" cy="5329897"/>
                    </a:xfrm>
                    <a:prstGeom prst="rect">
                      <a:avLst/>
                    </a:prstGeom>
                    <a:noFill/>
                    <a:ln>
                      <a:solidFill>
                        <a:schemeClr val="tx1"/>
                      </a:solidFill>
                    </a:ln>
                  </pic:spPr>
                </pic:pic>
              </a:graphicData>
            </a:graphic>
          </wp:inline>
        </w:drawing>
      </w:r>
    </w:p>
    <w:sectPr w:rsidR="004A4767" w:rsidRPr="00480488" w:rsidSect="00451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1F31" w14:textId="77777777" w:rsidR="00140BD7" w:rsidRDefault="00140BD7" w:rsidP="00BA3C10">
      <w:pPr>
        <w:spacing w:after="0" w:line="240" w:lineRule="auto"/>
      </w:pPr>
      <w:r>
        <w:separator/>
      </w:r>
    </w:p>
  </w:endnote>
  <w:endnote w:type="continuationSeparator" w:id="0">
    <w:p w14:paraId="1CF0A33B" w14:textId="77777777" w:rsidR="00140BD7" w:rsidRDefault="00140BD7" w:rsidP="00BA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660651"/>
      <w:docPartObj>
        <w:docPartGallery w:val="Page Numbers (Bottom of Page)"/>
        <w:docPartUnique/>
      </w:docPartObj>
    </w:sdtPr>
    <w:sdtEndPr>
      <w:rPr>
        <w:noProof/>
      </w:rPr>
    </w:sdtEndPr>
    <w:sdtContent>
      <w:p w14:paraId="0C683704" w14:textId="61DA4682" w:rsidR="001F2DA6" w:rsidRDefault="001F2DA6" w:rsidP="00BA3C10">
        <w:pPr>
          <w:pStyle w:val="Footer"/>
          <w:jc w:val="right"/>
        </w:pPr>
        <w:r>
          <w:fldChar w:fldCharType="begin"/>
        </w:r>
        <w:r>
          <w:instrText xml:space="preserve"> PAGE   \* MERGEFORMAT </w:instrText>
        </w:r>
        <w:r>
          <w:fldChar w:fldCharType="separate"/>
        </w:r>
        <w:r w:rsidR="000A3C7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D31C" w14:textId="77777777" w:rsidR="00140BD7" w:rsidRDefault="00140BD7" w:rsidP="00BA3C10">
      <w:pPr>
        <w:spacing w:after="0" w:line="240" w:lineRule="auto"/>
      </w:pPr>
      <w:r>
        <w:separator/>
      </w:r>
    </w:p>
  </w:footnote>
  <w:footnote w:type="continuationSeparator" w:id="0">
    <w:p w14:paraId="6686F0A8" w14:textId="77777777" w:rsidR="00140BD7" w:rsidRDefault="00140BD7" w:rsidP="00BA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B25"/>
    <w:multiLevelType w:val="multilevel"/>
    <w:tmpl w:val="10BC63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87B1530"/>
    <w:multiLevelType w:val="multilevel"/>
    <w:tmpl w:val="0B5E57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30078566">
    <w:abstractNumId w:val="0"/>
  </w:num>
  <w:num w:numId="2" w16cid:durableId="16798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B4"/>
    <w:rsid w:val="00014896"/>
    <w:rsid w:val="00030908"/>
    <w:rsid w:val="000323DE"/>
    <w:rsid w:val="000461E1"/>
    <w:rsid w:val="0005305A"/>
    <w:rsid w:val="000578F0"/>
    <w:rsid w:val="00074627"/>
    <w:rsid w:val="00094294"/>
    <w:rsid w:val="000972A6"/>
    <w:rsid w:val="000A3C70"/>
    <w:rsid w:val="000A6B9D"/>
    <w:rsid w:val="000B5ABE"/>
    <w:rsid w:val="000C3D2D"/>
    <w:rsid w:val="000E27C3"/>
    <w:rsid w:val="000F02D1"/>
    <w:rsid w:val="000F5F07"/>
    <w:rsid w:val="001100A0"/>
    <w:rsid w:val="0011022B"/>
    <w:rsid w:val="00112B1E"/>
    <w:rsid w:val="00117138"/>
    <w:rsid w:val="00120CA6"/>
    <w:rsid w:val="00120D8B"/>
    <w:rsid w:val="00124FBD"/>
    <w:rsid w:val="001278EF"/>
    <w:rsid w:val="001328F9"/>
    <w:rsid w:val="00132E32"/>
    <w:rsid w:val="00140BD7"/>
    <w:rsid w:val="00144BC7"/>
    <w:rsid w:val="001836E5"/>
    <w:rsid w:val="00192703"/>
    <w:rsid w:val="0019367D"/>
    <w:rsid w:val="001A3196"/>
    <w:rsid w:val="001D79F0"/>
    <w:rsid w:val="001D7AB8"/>
    <w:rsid w:val="001E3423"/>
    <w:rsid w:val="001F2B2C"/>
    <w:rsid w:val="001F2DA6"/>
    <w:rsid w:val="001F6FA8"/>
    <w:rsid w:val="002068AA"/>
    <w:rsid w:val="00213ACF"/>
    <w:rsid w:val="00217189"/>
    <w:rsid w:val="00221057"/>
    <w:rsid w:val="00232935"/>
    <w:rsid w:val="00233011"/>
    <w:rsid w:val="00234F64"/>
    <w:rsid w:val="00255D5F"/>
    <w:rsid w:val="00263EF1"/>
    <w:rsid w:val="00264199"/>
    <w:rsid w:val="00297792"/>
    <w:rsid w:val="002A507E"/>
    <w:rsid w:val="002B0CD5"/>
    <w:rsid w:val="002B41C3"/>
    <w:rsid w:val="002D37FF"/>
    <w:rsid w:val="002E1EA9"/>
    <w:rsid w:val="002F4274"/>
    <w:rsid w:val="002F5DF4"/>
    <w:rsid w:val="0030554F"/>
    <w:rsid w:val="00311074"/>
    <w:rsid w:val="00312DFC"/>
    <w:rsid w:val="00316657"/>
    <w:rsid w:val="00321750"/>
    <w:rsid w:val="00321F95"/>
    <w:rsid w:val="00330201"/>
    <w:rsid w:val="00336B8B"/>
    <w:rsid w:val="00355467"/>
    <w:rsid w:val="00362A0D"/>
    <w:rsid w:val="00362FF8"/>
    <w:rsid w:val="00376B17"/>
    <w:rsid w:val="00377A3F"/>
    <w:rsid w:val="00395C64"/>
    <w:rsid w:val="003A7C76"/>
    <w:rsid w:val="003B571D"/>
    <w:rsid w:val="003E5922"/>
    <w:rsid w:val="003F38B9"/>
    <w:rsid w:val="00430071"/>
    <w:rsid w:val="004514B9"/>
    <w:rsid w:val="00457376"/>
    <w:rsid w:val="00470880"/>
    <w:rsid w:val="00474B61"/>
    <w:rsid w:val="00480488"/>
    <w:rsid w:val="004865E4"/>
    <w:rsid w:val="004A33D8"/>
    <w:rsid w:val="004A4767"/>
    <w:rsid w:val="004B3E11"/>
    <w:rsid w:val="004C58F9"/>
    <w:rsid w:val="004E7D68"/>
    <w:rsid w:val="004F0B1D"/>
    <w:rsid w:val="00506133"/>
    <w:rsid w:val="00507058"/>
    <w:rsid w:val="005127C3"/>
    <w:rsid w:val="00534FE2"/>
    <w:rsid w:val="005358AF"/>
    <w:rsid w:val="00563A44"/>
    <w:rsid w:val="0056739B"/>
    <w:rsid w:val="00574FFE"/>
    <w:rsid w:val="0058011E"/>
    <w:rsid w:val="00581C2B"/>
    <w:rsid w:val="005911F7"/>
    <w:rsid w:val="00592154"/>
    <w:rsid w:val="00595F12"/>
    <w:rsid w:val="005A7459"/>
    <w:rsid w:val="005D68F3"/>
    <w:rsid w:val="00621B0D"/>
    <w:rsid w:val="00622404"/>
    <w:rsid w:val="00637244"/>
    <w:rsid w:val="0064100C"/>
    <w:rsid w:val="0064727A"/>
    <w:rsid w:val="00661D7B"/>
    <w:rsid w:val="006770B4"/>
    <w:rsid w:val="0068179B"/>
    <w:rsid w:val="00690F2C"/>
    <w:rsid w:val="006922E1"/>
    <w:rsid w:val="006A2A77"/>
    <w:rsid w:val="006B507C"/>
    <w:rsid w:val="006D4ACF"/>
    <w:rsid w:val="006F5CDE"/>
    <w:rsid w:val="00713643"/>
    <w:rsid w:val="00714ECC"/>
    <w:rsid w:val="00721413"/>
    <w:rsid w:val="007277BF"/>
    <w:rsid w:val="00736020"/>
    <w:rsid w:val="00737A33"/>
    <w:rsid w:val="0077040F"/>
    <w:rsid w:val="00771183"/>
    <w:rsid w:val="0077550A"/>
    <w:rsid w:val="007760CB"/>
    <w:rsid w:val="007918F3"/>
    <w:rsid w:val="007924B1"/>
    <w:rsid w:val="007B1907"/>
    <w:rsid w:val="007B3A95"/>
    <w:rsid w:val="007D2748"/>
    <w:rsid w:val="00801720"/>
    <w:rsid w:val="00804AD0"/>
    <w:rsid w:val="0083650D"/>
    <w:rsid w:val="008408F4"/>
    <w:rsid w:val="00855DD2"/>
    <w:rsid w:val="00857F26"/>
    <w:rsid w:val="00867116"/>
    <w:rsid w:val="00895B51"/>
    <w:rsid w:val="008A4814"/>
    <w:rsid w:val="008B6E44"/>
    <w:rsid w:val="008C1FB6"/>
    <w:rsid w:val="008D32EA"/>
    <w:rsid w:val="008D77EE"/>
    <w:rsid w:val="008E18EF"/>
    <w:rsid w:val="009044DB"/>
    <w:rsid w:val="00904922"/>
    <w:rsid w:val="009139E5"/>
    <w:rsid w:val="009268E9"/>
    <w:rsid w:val="009312EA"/>
    <w:rsid w:val="00947096"/>
    <w:rsid w:val="00957672"/>
    <w:rsid w:val="00964722"/>
    <w:rsid w:val="00987E58"/>
    <w:rsid w:val="009B0244"/>
    <w:rsid w:val="009D3737"/>
    <w:rsid w:val="009E0542"/>
    <w:rsid w:val="009E11E9"/>
    <w:rsid w:val="00A02F08"/>
    <w:rsid w:val="00A0684D"/>
    <w:rsid w:val="00A10121"/>
    <w:rsid w:val="00A1285C"/>
    <w:rsid w:val="00A154F9"/>
    <w:rsid w:val="00A24327"/>
    <w:rsid w:val="00A33DAF"/>
    <w:rsid w:val="00A354C1"/>
    <w:rsid w:val="00A42734"/>
    <w:rsid w:val="00A43D00"/>
    <w:rsid w:val="00A56DAF"/>
    <w:rsid w:val="00A60DC9"/>
    <w:rsid w:val="00A70A81"/>
    <w:rsid w:val="00A73CAA"/>
    <w:rsid w:val="00A75C30"/>
    <w:rsid w:val="00A87BC4"/>
    <w:rsid w:val="00AD10D5"/>
    <w:rsid w:val="00AD3F57"/>
    <w:rsid w:val="00B04B8F"/>
    <w:rsid w:val="00B17483"/>
    <w:rsid w:val="00B31B39"/>
    <w:rsid w:val="00B46A1A"/>
    <w:rsid w:val="00B4751C"/>
    <w:rsid w:val="00B65035"/>
    <w:rsid w:val="00BA3C10"/>
    <w:rsid w:val="00BA578A"/>
    <w:rsid w:val="00BB2FD5"/>
    <w:rsid w:val="00BC27D9"/>
    <w:rsid w:val="00BD7149"/>
    <w:rsid w:val="00BE34B9"/>
    <w:rsid w:val="00BE3991"/>
    <w:rsid w:val="00C02066"/>
    <w:rsid w:val="00C03063"/>
    <w:rsid w:val="00C03B20"/>
    <w:rsid w:val="00C26A7B"/>
    <w:rsid w:val="00C33F5B"/>
    <w:rsid w:val="00C4147B"/>
    <w:rsid w:val="00C474FB"/>
    <w:rsid w:val="00C476B6"/>
    <w:rsid w:val="00C61846"/>
    <w:rsid w:val="00CA73AF"/>
    <w:rsid w:val="00CC762B"/>
    <w:rsid w:val="00CD4F3C"/>
    <w:rsid w:val="00CE07D4"/>
    <w:rsid w:val="00CE0B8B"/>
    <w:rsid w:val="00CF625B"/>
    <w:rsid w:val="00CF74B1"/>
    <w:rsid w:val="00D0797D"/>
    <w:rsid w:val="00D1402E"/>
    <w:rsid w:val="00D30A89"/>
    <w:rsid w:val="00D35E58"/>
    <w:rsid w:val="00D36CBB"/>
    <w:rsid w:val="00D5520C"/>
    <w:rsid w:val="00D74A04"/>
    <w:rsid w:val="00D807B5"/>
    <w:rsid w:val="00DA37AB"/>
    <w:rsid w:val="00DB1FD1"/>
    <w:rsid w:val="00DC1B28"/>
    <w:rsid w:val="00DC4218"/>
    <w:rsid w:val="00DC5DCC"/>
    <w:rsid w:val="00DC6CBA"/>
    <w:rsid w:val="00DD2BDE"/>
    <w:rsid w:val="00DE0FF1"/>
    <w:rsid w:val="00DE4490"/>
    <w:rsid w:val="00E23D4D"/>
    <w:rsid w:val="00E32F79"/>
    <w:rsid w:val="00E44E2A"/>
    <w:rsid w:val="00E456FB"/>
    <w:rsid w:val="00E60E4C"/>
    <w:rsid w:val="00E63483"/>
    <w:rsid w:val="00E71D7B"/>
    <w:rsid w:val="00E74477"/>
    <w:rsid w:val="00E86D17"/>
    <w:rsid w:val="00E95C2A"/>
    <w:rsid w:val="00EA079A"/>
    <w:rsid w:val="00EB3AF3"/>
    <w:rsid w:val="00EC24BD"/>
    <w:rsid w:val="00ED1AB4"/>
    <w:rsid w:val="00F006CA"/>
    <w:rsid w:val="00F03509"/>
    <w:rsid w:val="00F055EC"/>
    <w:rsid w:val="00F07705"/>
    <w:rsid w:val="00F102AC"/>
    <w:rsid w:val="00F37489"/>
    <w:rsid w:val="00F4288D"/>
    <w:rsid w:val="00F43CAA"/>
    <w:rsid w:val="00F52797"/>
    <w:rsid w:val="00F60EFA"/>
    <w:rsid w:val="00F613C6"/>
    <w:rsid w:val="00F76125"/>
    <w:rsid w:val="00F84F72"/>
    <w:rsid w:val="00FA1430"/>
    <w:rsid w:val="00FD0EFA"/>
    <w:rsid w:val="00FD45C1"/>
    <w:rsid w:val="00FE3889"/>
    <w:rsid w:val="00FF20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3644"/>
  <w15:chartTrackingRefBased/>
  <w15:docId w15:val="{419F725A-D78B-4374-99AA-5F674B65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0B4"/>
    <w:pPr>
      <w:ind w:left="720"/>
      <w:contextualSpacing/>
    </w:pPr>
  </w:style>
  <w:style w:type="paragraph" w:styleId="Header">
    <w:name w:val="header"/>
    <w:basedOn w:val="Normal"/>
    <w:link w:val="HeaderChar"/>
    <w:uiPriority w:val="99"/>
    <w:unhideWhenUsed/>
    <w:rsid w:val="00BA3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10"/>
    <w:rPr>
      <w:lang w:val="en-US"/>
    </w:rPr>
  </w:style>
  <w:style w:type="paragraph" w:styleId="Footer">
    <w:name w:val="footer"/>
    <w:basedOn w:val="Normal"/>
    <w:link w:val="FooterChar"/>
    <w:uiPriority w:val="99"/>
    <w:unhideWhenUsed/>
    <w:rsid w:val="00BA3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10"/>
    <w:rPr>
      <w:lang w:val="en-US"/>
    </w:rPr>
  </w:style>
  <w:style w:type="paragraph" w:styleId="NormalWeb">
    <w:name w:val="Normal (Web)"/>
    <w:basedOn w:val="Normal"/>
    <w:uiPriority w:val="99"/>
    <w:semiHidden/>
    <w:unhideWhenUsed/>
    <w:rsid w:val="00DC1B28"/>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023">
      <w:bodyDiv w:val="1"/>
      <w:marLeft w:val="0"/>
      <w:marRight w:val="0"/>
      <w:marTop w:val="0"/>
      <w:marBottom w:val="0"/>
      <w:divBdr>
        <w:top w:val="none" w:sz="0" w:space="0" w:color="auto"/>
        <w:left w:val="none" w:sz="0" w:space="0" w:color="auto"/>
        <w:bottom w:val="none" w:sz="0" w:space="0" w:color="auto"/>
        <w:right w:val="none" w:sz="0" w:space="0" w:color="auto"/>
      </w:divBdr>
    </w:div>
    <w:div w:id="897982907">
      <w:bodyDiv w:val="1"/>
      <w:marLeft w:val="0"/>
      <w:marRight w:val="0"/>
      <w:marTop w:val="0"/>
      <w:marBottom w:val="0"/>
      <w:divBdr>
        <w:top w:val="none" w:sz="0" w:space="0" w:color="auto"/>
        <w:left w:val="none" w:sz="0" w:space="0" w:color="auto"/>
        <w:bottom w:val="none" w:sz="0" w:space="0" w:color="auto"/>
        <w:right w:val="none" w:sz="0" w:space="0" w:color="auto"/>
      </w:divBdr>
    </w:div>
    <w:div w:id="12143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9441a35d9a9cfde4/Documents/Papers/Systematic%20Literature%20Review%202019/Paper%20I%20Outcomes/JMS%20Submission/Revision%202/Visuals/Coding%20Sheet_07.2023_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9441a35d9a9cfde4/Documents/Papers/Systematic%20Literature%20Review%202019/Paper%20I%20Outcomes/JMS%20Submission/Revision%202/Visuals/Coding%20Sheet_07.2023_L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9441a35d9a9cfde4/Documents/Papers/Systematic%20Literature%20Review%202019/Paper%20I%20Outcomes/JMS%20Submission/Revision%202/Visuals/Coding%20Sheet_07.2023_L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9441a35d9a9cfde4/Documents/Papers/Systematic%20Literature%20Review%202019/Paper%20I%20Outcomes/JMS%20Submission/Revision%202/Visuals/Coding%20Sheet_07.2023_L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[Coding Sheet_07.2023_LS.xlsx]Sheet3!PivotTable3</c:name>
    <c:fmtId val="-1"/>
  </c:pivotSource>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cap="none" baseline="0">
                <a:latin typeface="Times New Roman" panose="02020603050405020304" pitchFamily="18" charset="0"/>
                <a:cs typeface="Times New Roman" panose="02020603050405020304" pitchFamily="18" charset="0"/>
              </a:rPr>
              <a:t>Research Methods</a:t>
            </a:r>
          </a:p>
        </c:rich>
      </c:tx>
      <c:layout>
        <c:manualLayout>
          <c:xMode val="edge"/>
          <c:yMode val="edge"/>
          <c:x val="0.29215223097112863"/>
          <c:y val="4.5193697077617945E-2"/>
        </c:manualLayout>
      </c:layout>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000000000000005E-2"/>
              <c:y val="-2.31481481481482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8.3333333333333592E-3"/>
              <c:y val="-2.777777777777780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4"/>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000000000000005E-2"/>
              <c:y val="-2.31481481481482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787401574803137E-2"/>
              <c:y val="-3.484491558696507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624671916010501"/>
                  <c:h val="0.10836277974087162"/>
                </c:manualLayout>
              </c15:layout>
              <c15:dlblFieldTable/>
              <c15:showDataLabelsRange val="0"/>
            </c:ext>
          </c:extLst>
        </c:dLbl>
      </c:pivotFmt>
      <c:pivotFmt>
        <c:idx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9"/>
        <c:spPr>
          <a:solidFill>
            <a:schemeClr val="tx2">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1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000000000000005E-2"/>
              <c:y val="-2.31481481481482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CB150B64-32FC-4AA8-B29E-3E7E044215A8}" type="CATEGORYNAME">
                  <a:rPr lang="en-US"/>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[CATEGORY NAME]</a:t>
                </a:fld>
                <a:r>
                  <a:rPr lang="en-US" baseline="0"/>
                  <a:t>, 17%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1"/>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787401574803137E-2"/>
              <c:y val="-3.484491558696507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624671916010501"/>
                  <c:h val="0.10836277974087162"/>
                </c:manualLayout>
              </c15:layout>
              <c15:dlblFieldTable/>
              <c15:showDataLabelsRange val="0"/>
            </c:ext>
          </c:extLst>
        </c:dLbl>
      </c:pivotFmt>
      <c:pivotFmt>
        <c:idx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13"/>
        <c:spPr>
          <a:solidFill>
            <a:schemeClr val="tx2">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14"/>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000000000000005E-2"/>
              <c:y val="-2.31481481481482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CB150B64-32FC-4AA8-B29E-3E7E044215A8}" type="CATEGORYNAME">
                  <a:rPr lang="en-US"/>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[CATEGORY NAME]</a:t>
                </a:fld>
                <a:r>
                  <a:rPr lang="en-US" baseline="0"/>
                  <a:t>, 17%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5"/>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787401574803137E-2"/>
              <c:y val="-3.484491558696507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624671916010501"/>
                  <c:h val="0.10836277974087162"/>
                </c:manualLayout>
              </c15:layout>
              <c15:dlblFieldTable/>
              <c15:showDataLabelsRange val="0"/>
            </c:ext>
          </c:extLst>
        </c:dLbl>
      </c:pivotFmt>
      <c:pivotFmt>
        <c:idx val="1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extLst>
            <c:ext xmlns:c15="http://schemas.microsoft.com/office/drawing/2012/chart" uri="{CE6537A1-D6FC-4f65-9D91-7224C49458BB}"/>
          </c:extLst>
        </c:dLbl>
      </c:pivotFmt>
      <c:pivotFmt>
        <c:idx val="17"/>
        <c:spPr>
          <a:solidFill>
            <a:schemeClr val="tx2">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Lst>
        </c:dLbl>
      </c:pivotFmt>
      <c:pivotFmt>
        <c:idx val="18"/>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000000000000005E-2"/>
              <c:y val="-2.31481481481482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CB150B64-32FC-4AA8-B29E-3E7E044215A8}" type="CATEGORYNAME">
                  <a:rPr lang="en-US"/>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[CATEGORY NAME]</a:t>
                </a:fld>
                <a:r>
                  <a:rPr lang="en-US" baseline="0"/>
                  <a:t>, 17%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pivotFmt>
      <c:pivotFmt>
        <c:idx val="19"/>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Lbl>
          <c:idx val="0"/>
          <c:layout>
            <c:manualLayout>
              <c:x val="2.5787401574803137E-2"/>
              <c:y val="-3.484491558696507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624671916010501"/>
                  <c:h val="0.10836277974087162"/>
                </c:manualLayout>
              </c15:layout>
              <c15:dlblFieldTable/>
              <c15:showDataLabelsRange val="0"/>
            </c:ext>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908531594840974E-2"/>
          <c:y val="0.34945350405308157"/>
          <c:w val="0.81191770383540762"/>
          <c:h val="0.63934011062876051"/>
        </c:manualLayout>
      </c:layout>
      <c:pie3DChart>
        <c:varyColors val="1"/>
        <c:ser>
          <c:idx val="0"/>
          <c:order val="0"/>
          <c:tx>
            <c:strRef>
              <c:f>Sheet3!$B$3</c:f>
              <c:strCache>
                <c:ptCount val="1"/>
                <c:pt idx="0">
                  <c:v>Total</c:v>
                </c:pt>
              </c:strCache>
            </c:strRef>
          </c:tx>
          <c:dPt>
            <c:idx val="0"/>
            <c:bubble3D val="0"/>
            <c:spPr>
              <a:solidFill>
                <a:schemeClr val="accent1">
                  <a:lumMod val="40000"/>
                  <a:lumOff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E10-4D4D-9A36-8C069AC2B701}"/>
              </c:ext>
            </c:extLst>
          </c:dPt>
          <c:dPt>
            <c:idx val="1"/>
            <c:bubble3D val="0"/>
            <c:spPr>
              <a:solidFill>
                <a:schemeClr val="tx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E10-4D4D-9A36-8C069AC2B701}"/>
              </c:ext>
            </c:extLst>
          </c:dPt>
          <c:dPt>
            <c:idx val="2"/>
            <c:bubble3D val="0"/>
            <c:spPr>
              <a:solidFill>
                <a:schemeClr val="bg1">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E10-4D4D-9A36-8C069AC2B701}"/>
              </c:ext>
            </c:extLst>
          </c:dPt>
          <c:dLbls>
            <c:dLbl>
              <c:idx val="0"/>
              <c:layout>
                <c:manualLayout>
                  <c:x val="1.6666666666666566E-2"/>
                  <c:y val="2.31481481481480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10-4D4D-9A36-8C069AC2B701}"/>
                </c:ext>
              </c:extLst>
            </c:dLbl>
            <c:dLbl>
              <c:idx val="1"/>
              <c:layout>
                <c:manualLayout>
                  <c:x val="-2.5000000000000005E-2"/>
                  <c:y val="-2.31481481481482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fld id="{CB150B64-32FC-4AA8-B29E-3E7E044215A8}" type="CATEGORYNAME">
                      <a:rPr lang="en-US"/>
                      <a:pPr>
                        <a:defRPr>
                          <a:solidFill>
                            <a:schemeClr val="tx1">
                              <a:lumMod val="65000"/>
                              <a:lumOff val="35000"/>
                            </a:schemeClr>
                          </a:solidFill>
                          <a:latin typeface="Times New Roman" panose="02020603050405020304" pitchFamily="18" charset="0"/>
                          <a:cs typeface="Times New Roman" panose="02020603050405020304" pitchFamily="18" charset="0"/>
                        </a:defRPr>
                      </a:pPr>
                      <a:t>[CATEGORY NAME]</a:t>
                    </a:fld>
                    <a:r>
                      <a:rPr lang="en-US" baseline="0"/>
                      <a:t>, 17%</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10-4D4D-9A36-8C069AC2B701}"/>
                </c:ext>
              </c:extLst>
            </c:dLbl>
            <c:dLbl>
              <c:idx val="2"/>
              <c:layout>
                <c:manualLayout>
                  <c:x val="0.10177314932407637"/>
                  <c:y val="-3.4844993599144225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Mixed Methods, </a:t>
                    </a:r>
                    <a:fld id="{A68A80DC-C2E4-41F0-9C9C-789825CC1993}" type="VALUE">
                      <a:rPr lang="en-US" baseline="0">
                        <a:latin typeface="Times New Roman" panose="02020603050405020304" pitchFamily="18" charset="0"/>
                        <a:cs typeface="Times New Roman" panose="02020603050405020304" pitchFamily="18" charset="0"/>
                      </a:rPr>
                      <a:pPr>
                        <a:defRPr>
                          <a:solidFill>
                            <a:schemeClr val="tx1">
                              <a:lumMod val="65000"/>
                              <a:lumOff val="35000"/>
                            </a:schemeClr>
                          </a:solidFill>
                          <a:latin typeface="Times New Roman" panose="02020603050405020304" pitchFamily="18" charset="0"/>
                          <a:cs typeface="Times New Roman" panose="02020603050405020304" pitchFamily="18" charset="0"/>
                        </a:defRPr>
                      </a:pPr>
                      <a:t>[VALUE]</a:t>
                    </a:fld>
                    <a:endParaRPr lang="en-US"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793130697372503"/>
                      <c:h val="0.10836258038101711"/>
                    </c:manualLayout>
                  </c15:layout>
                  <c15:dlblFieldTable/>
                  <c15:showDataLabelsRange val="0"/>
                </c:ext>
                <c:ext xmlns:c16="http://schemas.microsoft.com/office/drawing/2014/chart" uri="{C3380CC4-5D6E-409C-BE32-E72D297353CC}">
                  <c16:uniqueId val="{00000005-2E10-4D4D-9A36-8C069AC2B70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Sheet3!$A$4:$A$7</c:f>
              <c:strCache>
                <c:ptCount val="3"/>
                <c:pt idx="0">
                  <c:v>Qualitative</c:v>
                </c:pt>
                <c:pt idx="1">
                  <c:v>Quantitative</c:v>
                </c:pt>
                <c:pt idx="2">
                  <c:v>Mixed Methods</c:v>
                </c:pt>
              </c:strCache>
            </c:strRef>
          </c:cat>
          <c:val>
            <c:numRef>
              <c:f>Sheet3!$B$4:$B$7</c:f>
              <c:numCache>
                <c:formatCode>0%</c:formatCode>
                <c:ptCount val="3"/>
                <c:pt idx="0">
                  <c:v>0.71232876712328763</c:v>
                </c:pt>
                <c:pt idx="1">
                  <c:v>0.16438356164383561</c:v>
                </c:pt>
                <c:pt idx="2">
                  <c:v>0.12328767123287671</c:v>
                </c:pt>
              </c:numCache>
            </c:numRef>
          </c:val>
          <c:extLst>
            <c:ext xmlns:c16="http://schemas.microsoft.com/office/drawing/2014/chart" uri="{C3380CC4-5D6E-409C-BE32-E72D297353CC}">
              <c16:uniqueId val="{00000006-2E10-4D4D-9A36-8C069AC2B701}"/>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[Coding Sheet_07.2023_LS.xlsx]Sheet2!PivotTable1</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Type of CSP*</a:t>
            </a:r>
          </a:p>
        </c:rich>
      </c:tx>
      <c:layout>
        <c:manualLayout>
          <c:xMode val="edge"/>
          <c:yMode val="edge"/>
          <c:x val="0.37582633420822398"/>
          <c:y val="6.754206212251942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Sheet2!$B$24</c:f>
              <c:strCache>
                <c:ptCount val="1"/>
                <c:pt idx="0">
                  <c:v>Total</c:v>
                </c:pt>
              </c:strCache>
            </c:strRef>
          </c:tx>
          <c:spPr>
            <a:solidFill>
              <a:schemeClr val="accent1">
                <a:lumMod val="60000"/>
                <a:lumOff val="40000"/>
              </a:schemeClr>
            </a:solidFill>
            <a:ln>
              <a:solidFill>
                <a:schemeClr val="accent1"/>
              </a:solidFill>
            </a:ln>
            <a:effectLst/>
          </c:spPr>
          <c:invertIfNegative val="0"/>
          <c:cat>
            <c:strRef>
              <c:f>Sheet2!$A$25:$A$34</c:f>
              <c:strCache>
                <c:ptCount val="9"/>
                <c:pt idx="0">
                  <c:v>BUS-GOV</c:v>
                </c:pt>
                <c:pt idx="1">
                  <c:v>BUS-GOV-Citizen</c:v>
                </c:pt>
                <c:pt idx="2">
                  <c:v>BUS-GOV-NPO</c:v>
                </c:pt>
                <c:pt idx="3">
                  <c:v>BUS-GOV-NPO-Citizen</c:v>
                </c:pt>
                <c:pt idx="4">
                  <c:v>BUS-NPO</c:v>
                </c:pt>
                <c:pt idx="5">
                  <c:v>BUS-NPO-Citizen</c:v>
                </c:pt>
                <c:pt idx="6">
                  <c:v>Not stated</c:v>
                </c:pt>
                <c:pt idx="7">
                  <c:v>NPO-GOV</c:v>
                </c:pt>
                <c:pt idx="8">
                  <c:v>NPO-GOV-Citizen</c:v>
                </c:pt>
              </c:strCache>
            </c:strRef>
          </c:cat>
          <c:val>
            <c:numRef>
              <c:f>Sheet2!$B$25:$B$34</c:f>
              <c:numCache>
                <c:formatCode>General</c:formatCode>
                <c:ptCount val="9"/>
                <c:pt idx="0">
                  <c:v>8</c:v>
                </c:pt>
                <c:pt idx="1">
                  <c:v>5</c:v>
                </c:pt>
                <c:pt idx="2">
                  <c:v>19</c:v>
                </c:pt>
                <c:pt idx="3">
                  <c:v>12</c:v>
                </c:pt>
                <c:pt idx="4">
                  <c:v>12</c:v>
                </c:pt>
                <c:pt idx="5">
                  <c:v>1</c:v>
                </c:pt>
                <c:pt idx="6">
                  <c:v>5</c:v>
                </c:pt>
                <c:pt idx="7">
                  <c:v>6</c:v>
                </c:pt>
                <c:pt idx="8">
                  <c:v>5</c:v>
                </c:pt>
              </c:numCache>
            </c:numRef>
          </c:val>
          <c:extLst>
            <c:ext xmlns:c16="http://schemas.microsoft.com/office/drawing/2014/chart" uri="{C3380CC4-5D6E-409C-BE32-E72D297353CC}">
              <c16:uniqueId val="{00000000-5D66-4A03-93B1-7AFD7160C640}"/>
            </c:ext>
          </c:extLst>
        </c:ser>
        <c:dLbls>
          <c:showLegendKey val="0"/>
          <c:showVal val="0"/>
          <c:showCatName val="0"/>
          <c:showSerName val="0"/>
          <c:showPercent val="0"/>
          <c:showBubbleSize val="0"/>
        </c:dLbls>
        <c:gapWidth val="90"/>
        <c:overlap val="100"/>
        <c:axId val="321407663"/>
        <c:axId val="321406703"/>
      </c:barChart>
      <c:catAx>
        <c:axId val="32140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406703"/>
        <c:crosses val="autoZero"/>
        <c:auto val="1"/>
        <c:lblAlgn val="ctr"/>
        <c:lblOffset val="100"/>
        <c:noMultiLvlLbl val="0"/>
      </c:catAx>
      <c:valAx>
        <c:axId val="321406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07663"/>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[Coding Sheet_07.2023_LS.xlsx]Sheet7!PivotTable9</c:name>
    <c:fmtId val="-1"/>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Continent of Analyzed CSPs*</a:t>
            </a:r>
          </a:p>
        </c:rich>
      </c:tx>
      <c:layout>
        <c:manualLayout>
          <c:xMode val="edge"/>
          <c:yMode val="edge"/>
          <c:x val="0.24697900262467193"/>
          <c:y val="8.231262758821814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tx2">
              <a:lumMod val="40000"/>
              <a:lumOff val="60000"/>
            </a:schemeClr>
          </a:solidFill>
          <a:ln>
            <a:solidFill>
              <a:schemeClr val="accen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213648293963254"/>
          <c:y val="0.20879629629629629"/>
          <c:w val="0.83341907261592296"/>
          <c:h val="0.55436716243802864"/>
        </c:manualLayout>
      </c:layout>
      <c:barChart>
        <c:barDir val="col"/>
        <c:grouping val="clustered"/>
        <c:varyColors val="0"/>
        <c:ser>
          <c:idx val="0"/>
          <c:order val="0"/>
          <c:tx>
            <c:strRef>
              <c:f>Sheet7!$B$3</c:f>
              <c:strCache>
                <c:ptCount val="1"/>
                <c:pt idx="0">
                  <c:v>Total</c:v>
                </c:pt>
              </c:strCache>
            </c:strRef>
          </c:tx>
          <c:spPr>
            <a:solidFill>
              <a:schemeClr val="accent1">
                <a:lumMod val="60000"/>
                <a:lumOff val="40000"/>
              </a:schemeClr>
            </a:solidFill>
            <a:ln>
              <a:solidFill>
                <a:schemeClr val="accent1"/>
              </a:solidFill>
            </a:ln>
            <a:effectLst/>
          </c:spPr>
          <c:invertIfNegative val="0"/>
          <c:cat>
            <c:strRef>
              <c:f>Sheet7!$A$4:$A$11</c:f>
              <c:strCache>
                <c:ptCount val="7"/>
                <c:pt idx="0">
                  <c:v>Africa</c:v>
                </c:pt>
                <c:pt idx="1">
                  <c:v>Asia</c:v>
                </c:pt>
                <c:pt idx="2">
                  <c:v>Europe</c:v>
                </c:pt>
                <c:pt idx="3">
                  <c:v>Global</c:v>
                </c:pt>
                <c:pt idx="4">
                  <c:v>North America</c:v>
                </c:pt>
                <c:pt idx="5">
                  <c:v>Oceania</c:v>
                </c:pt>
                <c:pt idx="6">
                  <c:v>South America</c:v>
                </c:pt>
              </c:strCache>
            </c:strRef>
          </c:cat>
          <c:val>
            <c:numRef>
              <c:f>Sheet7!$B$4:$B$11</c:f>
              <c:numCache>
                <c:formatCode>General</c:formatCode>
                <c:ptCount val="7"/>
                <c:pt idx="0">
                  <c:v>11</c:v>
                </c:pt>
                <c:pt idx="1">
                  <c:v>11</c:v>
                </c:pt>
                <c:pt idx="2">
                  <c:v>23</c:v>
                </c:pt>
                <c:pt idx="3">
                  <c:v>3</c:v>
                </c:pt>
                <c:pt idx="4">
                  <c:v>18</c:v>
                </c:pt>
                <c:pt idx="5">
                  <c:v>1</c:v>
                </c:pt>
                <c:pt idx="6">
                  <c:v>6</c:v>
                </c:pt>
              </c:numCache>
            </c:numRef>
          </c:val>
          <c:extLst>
            <c:ext xmlns:c16="http://schemas.microsoft.com/office/drawing/2014/chart" uri="{C3380CC4-5D6E-409C-BE32-E72D297353CC}">
              <c16:uniqueId val="{00000000-4986-4C23-BECE-987C83CC2CAE}"/>
            </c:ext>
          </c:extLst>
        </c:ser>
        <c:dLbls>
          <c:showLegendKey val="0"/>
          <c:showVal val="0"/>
          <c:showCatName val="0"/>
          <c:showSerName val="0"/>
          <c:showPercent val="0"/>
          <c:showBubbleSize val="0"/>
        </c:dLbls>
        <c:gapWidth val="119"/>
        <c:overlap val="-27"/>
        <c:axId val="1535558319"/>
        <c:axId val="1535565039"/>
      </c:barChart>
      <c:catAx>
        <c:axId val="1535558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35565039"/>
        <c:crosses val="autoZero"/>
        <c:auto val="1"/>
        <c:lblAlgn val="ctr"/>
        <c:lblOffset val="100"/>
        <c:noMultiLvlLbl val="0"/>
      </c:catAx>
      <c:valAx>
        <c:axId val="1535565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55583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[Coding Sheet_07.2023_LS.xlsx]Sheet6!PivotTable8</c:name>
    <c:fmtId val="-1"/>
  </c:pivotSource>
  <c:chart>
    <c:title>
      <c:tx>
        <c:rich>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cap="none" baseline="0">
                <a:latin typeface="Times New Roman" panose="02020603050405020304" pitchFamily="18" charset="0"/>
                <a:cs typeface="Times New Roman" panose="02020603050405020304" pitchFamily="18" charset="0"/>
              </a:rPr>
              <a:t>Goals of Analyzed CSPs* </a:t>
            </a:r>
          </a:p>
        </c:rich>
      </c:tx>
      <c:overlay val="0"/>
      <c:spPr>
        <a:noFill/>
        <a:ln>
          <a:noFill/>
        </a:ln>
        <a:effectLst/>
      </c:spPr>
      <c:txPr>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2440887449243896E-2"/>
          <c:y val="0.15894039735099336"/>
          <c:w val="0.88546575004163863"/>
          <c:h val="0.51236024767131505"/>
        </c:manualLayout>
      </c:layout>
      <c:barChart>
        <c:barDir val="col"/>
        <c:grouping val="stacked"/>
        <c:varyColors val="0"/>
        <c:ser>
          <c:idx val="0"/>
          <c:order val="0"/>
          <c:tx>
            <c:strRef>
              <c:f>Sheet6!$B$3</c:f>
              <c:strCache>
                <c:ptCount val="1"/>
                <c:pt idx="0">
                  <c:v>Total</c:v>
                </c:pt>
              </c:strCache>
            </c:strRef>
          </c:tx>
          <c:spPr>
            <a:solidFill>
              <a:schemeClr val="accent1">
                <a:alpha val="70000"/>
              </a:schemeClr>
            </a:solidFill>
            <a:ln>
              <a:solidFill>
                <a:srgbClr val="0070C0"/>
              </a:solidFill>
            </a:ln>
            <a:effectLst/>
          </c:spPr>
          <c:invertIfNegative val="0"/>
          <c:cat>
            <c:strRef>
              <c:f>Sheet6!$A$4:$A$21</c:f>
              <c:strCache>
                <c:ptCount val="17"/>
                <c:pt idx="0">
                  <c:v>Not Stated</c:v>
                </c:pt>
                <c:pt idx="1">
                  <c:v>SDG 01</c:v>
                </c:pt>
                <c:pt idx="2">
                  <c:v>SDG 02</c:v>
                </c:pt>
                <c:pt idx="3">
                  <c:v>SDG 03</c:v>
                </c:pt>
                <c:pt idx="4">
                  <c:v>SDG 04</c:v>
                </c:pt>
                <c:pt idx="5">
                  <c:v>SDG 05</c:v>
                </c:pt>
                <c:pt idx="6">
                  <c:v>SDG 06</c:v>
                </c:pt>
                <c:pt idx="7">
                  <c:v>SDG 07</c:v>
                </c:pt>
                <c:pt idx="8">
                  <c:v>SDG 08</c:v>
                </c:pt>
                <c:pt idx="9">
                  <c:v>SDG 09</c:v>
                </c:pt>
                <c:pt idx="10">
                  <c:v>SDG 10</c:v>
                </c:pt>
                <c:pt idx="11">
                  <c:v>SDG 11</c:v>
                </c:pt>
                <c:pt idx="12">
                  <c:v>SDG 12</c:v>
                </c:pt>
                <c:pt idx="13">
                  <c:v>SDG 13</c:v>
                </c:pt>
                <c:pt idx="14">
                  <c:v>SDG 14</c:v>
                </c:pt>
                <c:pt idx="15">
                  <c:v>SDG 15</c:v>
                </c:pt>
                <c:pt idx="16">
                  <c:v>SDG 16</c:v>
                </c:pt>
              </c:strCache>
            </c:strRef>
          </c:cat>
          <c:val>
            <c:numRef>
              <c:f>Sheet6!$B$4:$B$21</c:f>
              <c:numCache>
                <c:formatCode>General</c:formatCode>
                <c:ptCount val="17"/>
                <c:pt idx="0">
                  <c:v>4</c:v>
                </c:pt>
                <c:pt idx="1">
                  <c:v>3</c:v>
                </c:pt>
                <c:pt idx="2">
                  <c:v>3</c:v>
                </c:pt>
                <c:pt idx="3">
                  <c:v>11</c:v>
                </c:pt>
                <c:pt idx="4">
                  <c:v>3</c:v>
                </c:pt>
                <c:pt idx="5">
                  <c:v>2</c:v>
                </c:pt>
                <c:pt idx="6">
                  <c:v>7</c:v>
                </c:pt>
                <c:pt idx="7">
                  <c:v>3</c:v>
                </c:pt>
                <c:pt idx="8">
                  <c:v>10</c:v>
                </c:pt>
                <c:pt idx="9">
                  <c:v>4</c:v>
                </c:pt>
                <c:pt idx="10">
                  <c:v>2</c:v>
                </c:pt>
                <c:pt idx="11">
                  <c:v>4</c:v>
                </c:pt>
                <c:pt idx="12">
                  <c:v>4</c:v>
                </c:pt>
                <c:pt idx="13">
                  <c:v>3</c:v>
                </c:pt>
                <c:pt idx="14">
                  <c:v>2</c:v>
                </c:pt>
                <c:pt idx="15">
                  <c:v>7</c:v>
                </c:pt>
                <c:pt idx="16">
                  <c:v>1</c:v>
                </c:pt>
              </c:numCache>
            </c:numRef>
          </c:val>
          <c:extLst>
            <c:ext xmlns:c16="http://schemas.microsoft.com/office/drawing/2014/chart" uri="{C3380CC4-5D6E-409C-BE32-E72D297353CC}">
              <c16:uniqueId val="{00000000-9D8D-42CD-AA10-B56CAB375CEF}"/>
            </c:ext>
          </c:extLst>
        </c:ser>
        <c:dLbls>
          <c:showLegendKey val="0"/>
          <c:showVal val="0"/>
          <c:showCatName val="0"/>
          <c:showSerName val="0"/>
          <c:showPercent val="0"/>
          <c:showBubbleSize val="0"/>
        </c:dLbls>
        <c:gapWidth val="50"/>
        <c:overlap val="100"/>
        <c:axId val="845504968"/>
        <c:axId val="845508568"/>
      </c:barChart>
      <c:catAx>
        <c:axId val="84550496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45508568"/>
        <c:crosses val="autoZero"/>
        <c:auto val="1"/>
        <c:lblAlgn val="ctr"/>
        <c:lblOffset val="100"/>
        <c:noMultiLvlLbl val="0"/>
      </c:catAx>
      <c:valAx>
        <c:axId val="845508568"/>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504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4889</Words>
  <Characters>27868</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Stadtler Lea</dc:creator>
  <cp:keywords/>
  <dc:description/>
  <cp:lastModifiedBy>Joanne Picton</cp:lastModifiedBy>
  <cp:revision>2</cp:revision>
  <cp:lastPrinted>2023-08-18T12:54:00Z</cp:lastPrinted>
  <dcterms:created xsi:type="dcterms:W3CDTF">2023-12-12T14:28:00Z</dcterms:created>
  <dcterms:modified xsi:type="dcterms:W3CDTF">2023-12-12T14:28:00Z</dcterms:modified>
</cp:coreProperties>
</file>